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before="60" w:beforeLines="25" w:after="60" w:afterLines="25"/>
        <w:rPr>
          <w:rFonts w:ascii="宋体" w:hAnsi="宋体" w:cs="宋体"/>
          <w:b/>
          <w:sz w:val="44"/>
          <w:szCs w:val="44"/>
        </w:rPr>
      </w:pPr>
      <w:bookmarkStart w:id="0" w:name="_Toc241827234"/>
      <w:bookmarkStart w:id="1" w:name="_Toc241827233"/>
      <w:bookmarkStart w:id="2" w:name="_Toc86202580"/>
      <w:r>
        <w:rPr>
          <w:rFonts w:hint="eastAsia" w:ascii="宋体" w:hAnsi="宋体" w:cs="宋体"/>
          <w:b/>
          <w:sz w:val="44"/>
          <w:szCs w:val="44"/>
        </w:rPr>
        <w:drawing>
          <wp:inline distT="0" distB="0" distL="114300" distR="114300">
            <wp:extent cx="1894840" cy="536575"/>
            <wp:effectExtent l="0" t="0" r="10160" b="15875"/>
            <wp:docPr id="5" name="图片 5" descr="LOGO（终）-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LOGO（终）-01"/>
                    <pic:cNvPicPr>
                      <a:picLocks noChangeAspect="1"/>
                    </pic:cNvPicPr>
                  </pic:nvPicPr>
                  <pic:blipFill>
                    <a:blip r:embed="rId13"/>
                    <a:stretch>
                      <a:fillRect/>
                    </a:stretch>
                  </pic:blipFill>
                  <pic:spPr>
                    <a:xfrm>
                      <a:off x="0" y="0"/>
                      <a:ext cx="1894840" cy="536575"/>
                    </a:xfrm>
                    <a:prstGeom prst="rect">
                      <a:avLst/>
                    </a:prstGeom>
                  </pic:spPr>
                </pic:pic>
              </a:graphicData>
            </a:graphic>
          </wp:inline>
        </w:drawing>
      </w:r>
    </w:p>
    <w:p>
      <w:pPr>
        <w:spacing w:before="60" w:beforeLines="25" w:after="60" w:afterLines="25"/>
        <w:jc w:val="center"/>
        <w:rPr>
          <w:rFonts w:ascii="宋体" w:hAnsi="宋体" w:cs="宋体"/>
          <w:b/>
          <w:sz w:val="56"/>
          <w:szCs w:val="56"/>
        </w:rPr>
      </w:pPr>
    </w:p>
    <w:p>
      <w:pPr>
        <w:spacing w:before="60" w:beforeLines="25" w:after="60" w:afterLines="25"/>
        <w:jc w:val="center"/>
        <w:rPr>
          <w:rFonts w:ascii="宋体" w:hAnsi="宋体" w:cs="宋体"/>
          <w:b/>
          <w:sz w:val="56"/>
          <w:szCs w:val="56"/>
        </w:rPr>
      </w:pPr>
    </w:p>
    <w:p>
      <w:pPr>
        <w:spacing w:before="60" w:beforeLines="25" w:after="60" w:afterLines="25"/>
        <w:jc w:val="center"/>
        <w:rPr>
          <w:rFonts w:ascii="宋体" w:hAnsi="宋体" w:cs="宋体"/>
          <w:b/>
          <w:sz w:val="56"/>
          <w:szCs w:val="56"/>
        </w:rPr>
      </w:pPr>
      <w:r>
        <w:rPr>
          <w:rFonts w:hint="eastAsia" w:ascii="宋体" w:hAnsi="宋体" w:cs="宋体"/>
          <w:b/>
          <w:sz w:val="56"/>
          <w:szCs w:val="56"/>
        </w:rPr>
        <w:t>某实验室会议辅助服务项目</w:t>
      </w:r>
    </w:p>
    <w:p>
      <w:pPr>
        <w:spacing w:before="60" w:beforeLines="25" w:after="60" w:afterLines="25" w:line="360" w:lineRule="auto"/>
        <w:rPr>
          <w:rFonts w:ascii="宋体" w:hAnsi="宋体" w:cs="宋体"/>
          <w:b/>
          <w:sz w:val="28"/>
        </w:rPr>
      </w:pPr>
    </w:p>
    <w:p>
      <w:pPr>
        <w:spacing w:before="60" w:beforeLines="25" w:after="60" w:afterLines="25" w:line="360" w:lineRule="auto"/>
        <w:jc w:val="center"/>
        <w:rPr>
          <w:rFonts w:ascii="宋体" w:hAnsi="宋体" w:cs="宋体"/>
          <w:b/>
          <w:sz w:val="28"/>
        </w:rPr>
      </w:pPr>
    </w:p>
    <w:p>
      <w:pPr>
        <w:spacing w:before="60" w:beforeLines="25" w:after="60" w:afterLines="25" w:line="360" w:lineRule="auto"/>
        <w:jc w:val="center"/>
        <w:rPr>
          <w:rFonts w:ascii="宋体" w:hAnsi="宋体" w:cs="宋体"/>
          <w:b/>
          <w:sz w:val="28"/>
        </w:rPr>
      </w:pPr>
    </w:p>
    <w:p>
      <w:pPr>
        <w:spacing w:before="60" w:beforeLines="25" w:after="60" w:afterLines="25" w:line="360" w:lineRule="auto"/>
        <w:jc w:val="center"/>
        <w:rPr>
          <w:rFonts w:ascii="宋体" w:hAnsi="宋体" w:cs="宋体"/>
          <w:b/>
          <w:sz w:val="28"/>
        </w:rPr>
      </w:pPr>
    </w:p>
    <w:p>
      <w:pPr>
        <w:jc w:val="center"/>
        <w:rPr>
          <w:b/>
          <w:bCs/>
          <w:sz w:val="96"/>
          <w:szCs w:val="52"/>
        </w:rPr>
      </w:pPr>
      <w:bookmarkStart w:id="3" w:name="_Toc30675"/>
      <w:bookmarkStart w:id="4" w:name="_Toc2663"/>
      <w:bookmarkStart w:id="5" w:name="_Toc18030"/>
      <w:bookmarkStart w:id="6" w:name="_Toc14955"/>
      <w:r>
        <w:rPr>
          <w:rFonts w:hint="eastAsia"/>
          <w:b/>
          <w:bCs/>
          <w:sz w:val="96"/>
          <w:szCs w:val="52"/>
        </w:rPr>
        <w:t>竞争性磋商文件</w:t>
      </w:r>
      <w:bookmarkEnd w:id="3"/>
      <w:bookmarkEnd w:id="4"/>
      <w:bookmarkEnd w:id="5"/>
      <w:bookmarkEnd w:id="6"/>
    </w:p>
    <w:p>
      <w:pPr>
        <w:spacing w:before="60" w:beforeLines="25" w:after="60" w:afterLines="25" w:line="360" w:lineRule="auto"/>
        <w:jc w:val="center"/>
        <w:rPr>
          <w:rFonts w:ascii="宋体" w:hAnsi="宋体" w:cs="宋体"/>
          <w:b/>
          <w:sz w:val="36"/>
          <w:szCs w:val="36"/>
        </w:rPr>
      </w:pPr>
      <w:r>
        <w:rPr>
          <w:rFonts w:hint="eastAsia" w:ascii="宋体" w:hAnsi="宋体" w:cs="宋体"/>
          <w:b/>
          <w:sz w:val="36"/>
          <w:szCs w:val="36"/>
        </w:rPr>
        <w:t>项目编号：CFTC-BJ01-2203048</w:t>
      </w:r>
    </w:p>
    <w:p>
      <w:pPr>
        <w:spacing w:before="60" w:beforeLines="25" w:after="60" w:afterLines="25" w:line="360" w:lineRule="auto"/>
        <w:jc w:val="center"/>
        <w:rPr>
          <w:rFonts w:ascii="宋体" w:hAnsi="宋体" w:cs="宋体"/>
          <w:b/>
          <w:sz w:val="84"/>
        </w:rPr>
      </w:pPr>
    </w:p>
    <w:p>
      <w:pPr>
        <w:spacing w:before="60" w:beforeLines="25" w:after="60" w:afterLines="25" w:line="360" w:lineRule="auto"/>
        <w:jc w:val="center"/>
        <w:rPr>
          <w:rFonts w:ascii="宋体" w:hAnsi="宋体" w:cs="宋体"/>
          <w:b/>
          <w:sz w:val="84"/>
        </w:rPr>
      </w:pPr>
    </w:p>
    <w:p>
      <w:pPr>
        <w:spacing w:before="60" w:beforeLines="25" w:after="60" w:afterLines="25" w:line="360" w:lineRule="auto"/>
        <w:jc w:val="center"/>
        <w:rPr>
          <w:rFonts w:hint="eastAsia" w:ascii="宋体" w:hAnsi="宋体" w:eastAsia="宋体" w:cs="宋体"/>
          <w:b/>
          <w:sz w:val="32"/>
          <w:szCs w:val="32"/>
          <w:lang w:val="en-US" w:eastAsia="zh-CN"/>
        </w:rPr>
      </w:pPr>
      <w:r>
        <w:rPr>
          <w:rFonts w:hint="eastAsia" w:ascii="宋体" w:hAnsi="宋体" w:cs="宋体"/>
          <w:b/>
          <w:sz w:val="32"/>
          <w:szCs w:val="32"/>
          <w:lang w:val="en-US" w:eastAsia="zh-CN"/>
        </w:rPr>
        <w:t>采购人：ZYCGR22011905</w:t>
      </w:r>
    </w:p>
    <w:p>
      <w:pPr>
        <w:spacing w:before="60" w:beforeLines="25" w:after="60" w:afterLines="25" w:line="360" w:lineRule="auto"/>
        <w:jc w:val="center"/>
        <w:rPr>
          <w:rFonts w:ascii="宋体" w:hAnsi="宋体" w:cs="宋体"/>
          <w:b/>
          <w:sz w:val="32"/>
        </w:rPr>
      </w:pPr>
      <w:r>
        <w:rPr>
          <w:rFonts w:hint="eastAsia" w:ascii="宋体" w:hAnsi="宋体" w:cs="宋体"/>
          <w:b/>
          <w:sz w:val="32"/>
          <w:lang w:val="en-US" w:eastAsia="zh-CN"/>
        </w:rPr>
        <w:t>采购代理机构：</w:t>
      </w:r>
      <w:r>
        <w:rPr>
          <w:rFonts w:hint="eastAsia" w:ascii="宋体" w:hAnsi="宋体" w:cs="宋体"/>
          <w:b/>
          <w:sz w:val="32"/>
        </w:rPr>
        <w:t>国金招标有限公司</w:t>
      </w:r>
    </w:p>
    <w:p>
      <w:pPr>
        <w:spacing w:before="60" w:beforeLines="25" w:after="60" w:afterLines="25" w:line="360" w:lineRule="auto"/>
        <w:ind w:left="0" w:leftChars="0" w:right="0" w:rightChars="0" w:firstLine="0" w:firstLineChars="0"/>
        <w:jc w:val="center"/>
        <w:rPr>
          <w:rFonts w:ascii="宋体" w:hAnsi="宋体" w:cs="宋体"/>
          <w:b/>
          <w:sz w:val="32"/>
        </w:rPr>
        <w:sectPr>
          <w:headerReference r:id="rId4" w:type="first"/>
          <w:footerReference r:id="rId7" w:type="first"/>
          <w:headerReference r:id="rId3" w:type="default"/>
          <w:footerReference r:id="rId5" w:type="default"/>
          <w:footerReference r:id="rId6" w:type="even"/>
          <w:pgSz w:w="11907" w:h="16840"/>
          <w:pgMar w:top="1440" w:right="1701" w:bottom="1440" w:left="1701" w:header="851" w:footer="992" w:gutter="0"/>
          <w:pgNumType w:start="0"/>
          <w:cols w:space="720" w:num="1"/>
          <w:titlePg/>
        </w:sectPr>
      </w:pPr>
      <w:r>
        <w:rPr>
          <w:rFonts w:hint="eastAsia" w:ascii="宋体" w:hAnsi="宋体" w:cs="宋体"/>
          <w:b/>
          <w:sz w:val="32"/>
        </w:rPr>
        <w:t>2022年</w:t>
      </w:r>
      <w:r>
        <w:rPr>
          <w:rFonts w:ascii="宋体" w:hAnsi="宋体" w:cs="宋体"/>
          <w:b/>
          <w:sz w:val="32"/>
        </w:rPr>
        <w:t>0</w:t>
      </w:r>
      <w:r>
        <w:rPr>
          <w:rFonts w:hint="eastAsia" w:ascii="宋体" w:hAnsi="宋体" w:cs="宋体"/>
          <w:b/>
          <w:sz w:val="32"/>
          <w:lang w:val="en-US" w:eastAsia="zh-CN"/>
        </w:rPr>
        <w:t>9</w:t>
      </w:r>
      <w:r>
        <w:rPr>
          <w:rFonts w:hint="eastAsia" w:ascii="宋体" w:hAnsi="宋体" w:cs="宋体"/>
          <w:b/>
          <w:sz w:val="32"/>
        </w:rPr>
        <w:t>月</w:t>
      </w:r>
    </w:p>
    <w:bookmarkEnd w:id="0"/>
    <w:bookmarkEnd w:id="1"/>
    <w:bookmarkEnd w:id="2"/>
    <w:sdt>
      <w:sdtPr>
        <w:rPr>
          <w:rFonts w:ascii="宋体" w:hAnsi="宋体"/>
          <w:b/>
          <w:bCs/>
          <w:sz w:val="22"/>
          <w:szCs w:val="21"/>
        </w:rPr>
        <w:id w:val="147459357"/>
        <w15:color w:val="DBDBDB"/>
        <w:docPartObj>
          <w:docPartGallery w:val="Table of Contents"/>
          <w:docPartUnique/>
        </w:docPartObj>
      </w:sdtPr>
      <w:sdtEndPr>
        <w:rPr>
          <w:rFonts w:ascii="宋体" w:hAnsi="宋体"/>
          <w:b/>
          <w:bCs/>
          <w:sz w:val="22"/>
          <w:szCs w:val="21"/>
        </w:rPr>
      </w:sdtEndPr>
      <w:sdtContent>
        <w:p>
          <w:pPr>
            <w:spacing w:before="120" w:beforeLines="50" w:after="120" w:afterLines="50" w:line="360" w:lineRule="auto"/>
            <w:jc w:val="center"/>
            <w:rPr>
              <w:b/>
              <w:bCs/>
              <w:sz w:val="28"/>
              <w:szCs w:val="28"/>
            </w:rPr>
          </w:pPr>
          <w:bookmarkStart w:id="7" w:name="_Toc27329"/>
          <w:r>
            <w:rPr>
              <w:rFonts w:ascii="宋体" w:hAnsi="宋体"/>
              <w:b/>
              <w:bCs/>
              <w:sz w:val="28"/>
              <w:szCs w:val="28"/>
            </w:rPr>
            <w:t>目</w:t>
          </w:r>
          <w:r>
            <w:rPr>
              <w:rFonts w:hint="eastAsia" w:ascii="宋体" w:hAnsi="宋体"/>
              <w:b/>
              <w:bCs/>
              <w:sz w:val="28"/>
              <w:szCs w:val="28"/>
            </w:rPr>
            <w:t xml:space="preserve">   </w:t>
          </w:r>
          <w:r>
            <w:rPr>
              <w:rFonts w:ascii="宋体" w:hAnsi="宋体"/>
              <w:b/>
              <w:bCs/>
              <w:sz w:val="28"/>
              <w:szCs w:val="28"/>
            </w:rPr>
            <w:t>录</w:t>
          </w:r>
        </w:p>
        <w:p>
          <w:pPr>
            <w:pStyle w:val="115"/>
            <w:tabs>
              <w:tab w:val="right" w:leader="hyphen" w:pos="8313"/>
            </w:tabs>
            <w:spacing w:before="120" w:beforeLines="50" w:after="120" w:afterLines="50" w:line="360" w:lineRule="auto"/>
            <w:rPr>
              <w:rFonts w:ascii="宋体" w:hAnsi="宋体" w:cs="宋体"/>
              <w:sz w:val="24"/>
              <w:szCs w:val="24"/>
            </w:rPr>
          </w:pPr>
          <w:r>
            <w:rPr>
              <w:sz w:val="24"/>
              <w:szCs w:val="24"/>
            </w:rPr>
            <w:fldChar w:fldCharType="begin"/>
          </w:r>
          <w:r>
            <w:rPr>
              <w:sz w:val="24"/>
              <w:szCs w:val="24"/>
            </w:rPr>
            <w:instrText xml:space="preserve">TOC \o "1-1" \h \u </w:instrText>
          </w:r>
          <w:r>
            <w:rPr>
              <w:sz w:val="24"/>
              <w:szCs w:val="24"/>
            </w:rPr>
            <w:fldChar w:fldCharType="separate"/>
          </w:r>
          <w:r>
            <w:fldChar w:fldCharType="begin"/>
          </w:r>
          <w:r>
            <w:instrText xml:space="preserve"> HYPERLINK \l "_Toc11458" </w:instrText>
          </w:r>
          <w:r>
            <w:fldChar w:fldCharType="separate"/>
          </w:r>
          <w:r>
            <w:rPr>
              <w:rFonts w:hint="eastAsia" w:ascii="宋体" w:hAnsi="宋体" w:cs="宋体"/>
              <w:sz w:val="24"/>
              <w:szCs w:val="24"/>
            </w:rPr>
            <w:t>第一章  竞争性磋商邀请</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_Toc11458 \h </w:instrText>
          </w:r>
          <w:r>
            <w:rPr>
              <w:rFonts w:hint="eastAsia" w:ascii="宋体" w:hAnsi="宋体" w:cs="宋体"/>
              <w:sz w:val="24"/>
              <w:szCs w:val="24"/>
            </w:rPr>
            <w:fldChar w:fldCharType="separate"/>
          </w:r>
          <w:r>
            <w:rPr>
              <w:rFonts w:hint="eastAsia" w:ascii="宋体" w:hAnsi="宋体" w:cs="宋体"/>
              <w:sz w:val="24"/>
              <w:szCs w:val="24"/>
            </w:rPr>
            <w:t>2</w:t>
          </w:r>
          <w:r>
            <w:rPr>
              <w:rFonts w:hint="eastAsia" w:ascii="宋体" w:hAnsi="宋体" w:cs="宋体"/>
              <w:sz w:val="24"/>
              <w:szCs w:val="24"/>
            </w:rPr>
            <w:fldChar w:fldCharType="end"/>
          </w:r>
          <w:r>
            <w:rPr>
              <w:rFonts w:hint="eastAsia" w:ascii="宋体" w:hAnsi="宋体" w:cs="宋体"/>
              <w:sz w:val="24"/>
              <w:szCs w:val="24"/>
            </w:rPr>
            <w:fldChar w:fldCharType="end"/>
          </w:r>
        </w:p>
        <w:p>
          <w:pPr>
            <w:pStyle w:val="115"/>
            <w:tabs>
              <w:tab w:val="right" w:leader="hyphen" w:pos="8313"/>
            </w:tabs>
            <w:spacing w:before="120" w:beforeLines="50" w:after="120" w:afterLines="50" w:line="360" w:lineRule="auto"/>
            <w:rPr>
              <w:rFonts w:ascii="宋体" w:hAnsi="宋体" w:cs="宋体"/>
              <w:sz w:val="24"/>
              <w:szCs w:val="24"/>
            </w:rPr>
          </w:pPr>
          <w:r>
            <w:fldChar w:fldCharType="begin"/>
          </w:r>
          <w:r>
            <w:instrText xml:space="preserve"> HYPERLINK \l "_Toc22503" </w:instrText>
          </w:r>
          <w:r>
            <w:fldChar w:fldCharType="separate"/>
          </w:r>
          <w:r>
            <w:rPr>
              <w:rFonts w:hint="eastAsia" w:ascii="宋体" w:hAnsi="宋体" w:cs="宋体"/>
              <w:sz w:val="24"/>
              <w:szCs w:val="24"/>
            </w:rPr>
            <w:t>第二章  供应商须知</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_Toc22503 \h </w:instrText>
          </w:r>
          <w:r>
            <w:rPr>
              <w:rFonts w:hint="eastAsia" w:ascii="宋体" w:hAnsi="宋体" w:cs="宋体"/>
              <w:sz w:val="24"/>
              <w:szCs w:val="24"/>
            </w:rPr>
            <w:fldChar w:fldCharType="separate"/>
          </w:r>
          <w:r>
            <w:rPr>
              <w:rFonts w:hint="eastAsia" w:ascii="宋体" w:hAnsi="宋体" w:cs="宋体"/>
              <w:sz w:val="24"/>
              <w:szCs w:val="24"/>
            </w:rPr>
            <w:t>5</w:t>
          </w:r>
          <w:r>
            <w:rPr>
              <w:rFonts w:hint="eastAsia" w:ascii="宋体" w:hAnsi="宋体" w:cs="宋体"/>
              <w:sz w:val="24"/>
              <w:szCs w:val="24"/>
            </w:rPr>
            <w:fldChar w:fldCharType="end"/>
          </w:r>
          <w:r>
            <w:rPr>
              <w:rFonts w:hint="eastAsia" w:ascii="宋体" w:hAnsi="宋体" w:cs="宋体"/>
              <w:sz w:val="24"/>
              <w:szCs w:val="24"/>
            </w:rPr>
            <w:fldChar w:fldCharType="end"/>
          </w:r>
        </w:p>
        <w:p>
          <w:pPr>
            <w:pStyle w:val="115"/>
            <w:tabs>
              <w:tab w:val="right" w:leader="hyphen" w:pos="8313"/>
            </w:tabs>
            <w:spacing w:before="120" w:beforeLines="50" w:after="120" w:afterLines="50" w:line="360" w:lineRule="auto"/>
            <w:rPr>
              <w:rFonts w:ascii="宋体" w:hAnsi="宋体" w:cs="宋体"/>
              <w:sz w:val="24"/>
              <w:szCs w:val="24"/>
            </w:rPr>
          </w:pPr>
          <w:r>
            <w:fldChar w:fldCharType="begin"/>
          </w:r>
          <w:r>
            <w:instrText xml:space="preserve"> HYPERLINK \l "_Toc12731" </w:instrText>
          </w:r>
          <w:r>
            <w:fldChar w:fldCharType="separate"/>
          </w:r>
          <w:r>
            <w:rPr>
              <w:rFonts w:hint="eastAsia" w:ascii="宋体" w:hAnsi="宋体" w:cs="宋体"/>
              <w:sz w:val="24"/>
              <w:szCs w:val="24"/>
            </w:rPr>
            <w:t>第三章  合同样本</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_Toc12731 \h </w:instrText>
          </w:r>
          <w:r>
            <w:rPr>
              <w:rFonts w:hint="eastAsia" w:ascii="宋体" w:hAnsi="宋体" w:cs="宋体"/>
              <w:sz w:val="24"/>
              <w:szCs w:val="24"/>
            </w:rPr>
            <w:fldChar w:fldCharType="separate"/>
          </w:r>
          <w:r>
            <w:rPr>
              <w:rFonts w:hint="eastAsia" w:ascii="宋体" w:hAnsi="宋体" w:cs="宋体"/>
              <w:sz w:val="24"/>
              <w:szCs w:val="24"/>
            </w:rPr>
            <w:t>22</w:t>
          </w:r>
          <w:r>
            <w:rPr>
              <w:rFonts w:hint="eastAsia" w:ascii="宋体" w:hAnsi="宋体" w:cs="宋体"/>
              <w:sz w:val="24"/>
              <w:szCs w:val="24"/>
            </w:rPr>
            <w:fldChar w:fldCharType="end"/>
          </w:r>
          <w:r>
            <w:rPr>
              <w:rFonts w:hint="eastAsia" w:ascii="宋体" w:hAnsi="宋体" w:cs="宋体"/>
              <w:sz w:val="24"/>
              <w:szCs w:val="24"/>
            </w:rPr>
            <w:fldChar w:fldCharType="end"/>
          </w:r>
        </w:p>
        <w:p>
          <w:pPr>
            <w:pStyle w:val="115"/>
            <w:tabs>
              <w:tab w:val="right" w:leader="hyphen" w:pos="8313"/>
            </w:tabs>
            <w:spacing w:before="120" w:beforeLines="50" w:after="120" w:afterLines="50" w:line="360" w:lineRule="auto"/>
            <w:rPr>
              <w:rFonts w:ascii="宋体" w:hAnsi="宋体" w:cs="宋体"/>
              <w:sz w:val="24"/>
              <w:szCs w:val="24"/>
            </w:rPr>
          </w:pPr>
          <w:r>
            <w:fldChar w:fldCharType="begin"/>
          </w:r>
          <w:r>
            <w:instrText xml:space="preserve"> HYPERLINK \l "_Toc26854" </w:instrText>
          </w:r>
          <w:r>
            <w:fldChar w:fldCharType="separate"/>
          </w:r>
          <w:r>
            <w:rPr>
              <w:rFonts w:hint="eastAsia" w:ascii="宋体" w:hAnsi="宋体" w:cs="宋体"/>
              <w:bCs/>
              <w:sz w:val="24"/>
              <w:szCs w:val="24"/>
            </w:rPr>
            <w:t>第四章  服务需求书</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_Toc26854 \h </w:instrText>
          </w:r>
          <w:r>
            <w:rPr>
              <w:rFonts w:hint="eastAsia" w:ascii="宋体" w:hAnsi="宋体" w:cs="宋体"/>
              <w:sz w:val="24"/>
              <w:szCs w:val="24"/>
            </w:rPr>
            <w:fldChar w:fldCharType="separate"/>
          </w:r>
          <w:r>
            <w:rPr>
              <w:rFonts w:hint="eastAsia" w:ascii="宋体" w:hAnsi="宋体" w:cs="宋体"/>
              <w:sz w:val="24"/>
              <w:szCs w:val="24"/>
            </w:rPr>
            <w:t>28</w:t>
          </w:r>
          <w:r>
            <w:rPr>
              <w:rFonts w:hint="eastAsia" w:ascii="宋体" w:hAnsi="宋体" w:cs="宋体"/>
              <w:sz w:val="24"/>
              <w:szCs w:val="24"/>
            </w:rPr>
            <w:fldChar w:fldCharType="end"/>
          </w:r>
          <w:r>
            <w:rPr>
              <w:rFonts w:hint="eastAsia" w:ascii="宋体" w:hAnsi="宋体" w:cs="宋体"/>
              <w:sz w:val="24"/>
              <w:szCs w:val="24"/>
            </w:rPr>
            <w:fldChar w:fldCharType="end"/>
          </w:r>
        </w:p>
        <w:p>
          <w:pPr>
            <w:pStyle w:val="115"/>
            <w:tabs>
              <w:tab w:val="right" w:leader="hyphen" w:pos="8313"/>
            </w:tabs>
            <w:spacing w:before="120" w:beforeLines="50" w:after="120" w:afterLines="50" w:line="360" w:lineRule="auto"/>
            <w:rPr>
              <w:rFonts w:ascii="宋体" w:hAnsi="宋体" w:cs="宋体"/>
              <w:sz w:val="24"/>
              <w:szCs w:val="24"/>
            </w:rPr>
          </w:pPr>
          <w:r>
            <w:fldChar w:fldCharType="begin"/>
          </w:r>
          <w:r>
            <w:instrText xml:space="preserve"> HYPERLINK \l "_Toc12832" </w:instrText>
          </w:r>
          <w:r>
            <w:fldChar w:fldCharType="separate"/>
          </w:r>
          <w:r>
            <w:rPr>
              <w:rFonts w:hint="eastAsia" w:ascii="宋体" w:hAnsi="宋体" w:cs="宋体"/>
              <w:bCs/>
              <w:sz w:val="24"/>
              <w:szCs w:val="24"/>
            </w:rPr>
            <w:t>第五章  评分标</w:t>
          </w:r>
          <w:bookmarkStart w:id="977" w:name="_GoBack"/>
          <w:bookmarkEnd w:id="977"/>
          <w:r>
            <w:rPr>
              <w:rFonts w:hint="eastAsia" w:ascii="宋体" w:hAnsi="宋体" w:cs="宋体"/>
              <w:bCs/>
              <w:sz w:val="24"/>
              <w:szCs w:val="24"/>
            </w:rPr>
            <w:t>准</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_Toc12832 \h </w:instrText>
          </w:r>
          <w:r>
            <w:rPr>
              <w:rFonts w:hint="eastAsia" w:ascii="宋体" w:hAnsi="宋体" w:cs="宋体"/>
              <w:sz w:val="24"/>
              <w:szCs w:val="24"/>
            </w:rPr>
            <w:fldChar w:fldCharType="separate"/>
          </w:r>
          <w:r>
            <w:rPr>
              <w:rFonts w:hint="eastAsia" w:ascii="宋体" w:hAnsi="宋体" w:cs="宋体"/>
              <w:sz w:val="24"/>
              <w:szCs w:val="24"/>
            </w:rPr>
            <w:t>31</w:t>
          </w:r>
          <w:r>
            <w:rPr>
              <w:rFonts w:hint="eastAsia" w:ascii="宋体" w:hAnsi="宋体" w:cs="宋体"/>
              <w:sz w:val="24"/>
              <w:szCs w:val="24"/>
            </w:rPr>
            <w:fldChar w:fldCharType="end"/>
          </w:r>
          <w:r>
            <w:rPr>
              <w:rFonts w:hint="eastAsia" w:ascii="宋体" w:hAnsi="宋体" w:cs="宋体"/>
              <w:sz w:val="24"/>
              <w:szCs w:val="24"/>
            </w:rPr>
            <w:fldChar w:fldCharType="end"/>
          </w:r>
        </w:p>
        <w:p>
          <w:pPr>
            <w:pStyle w:val="115"/>
            <w:tabs>
              <w:tab w:val="right" w:leader="hyphen" w:pos="8313"/>
            </w:tabs>
            <w:spacing w:before="120" w:beforeLines="50" w:after="120" w:afterLines="50" w:line="360" w:lineRule="auto"/>
            <w:rPr>
              <w:sz w:val="24"/>
              <w:szCs w:val="24"/>
            </w:rPr>
          </w:pPr>
          <w:r>
            <w:fldChar w:fldCharType="begin"/>
          </w:r>
          <w:r>
            <w:instrText xml:space="preserve"> HYPERLINK \l "_Toc9555" </w:instrText>
          </w:r>
          <w:r>
            <w:fldChar w:fldCharType="separate"/>
          </w:r>
          <w:r>
            <w:rPr>
              <w:rFonts w:hint="eastAsia" w:ascii="宋体" w:hAnsi="宋体" w:cs="宋体"/>
              <w:bCs/>
              <w:sz w:val="24"/>
              <w:szCs w:val="24"/>
            </w:rPr>
            <w:t>第六章  响应文件格式</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_Toc9555 \h </w:instrText>
          </w:r>
          <w:r>
            <w:rPr>
              <w:rFonts w:hint="eastAsia" w:ascii="宋体" w:hAnsi="宋体" w:cs="宋体"/>
              <w:sz w:val="24"/>
              <w:szCs w:val="24"/>
            </w:rPr>
            <w:fldChar w:fldCharType="separate"/>
          </w:r>
          <w:r>
            <w:rPr>
              <w:rFonts w:hint="eastAsia" w:ascii="宋体" w:hAnsi="宋体" w:cs="宋体"/>
              <w:sz w:val="24"/>
              <w:szCs w:val="24"/>
            </w:rPr>
            <w:t>37</w:t>
          </w:r>
          <w:r>
            <w:rPr>
              <w:rFonts w:hint="eastAsia" w:ascii="宋体" w:hAnsi="宋体" w:cs="宋体"/>
              <w:sz w:val="24"/>
              <w:szCs w:val="24"/>
            </w:rPr>
            <w:fldChar w:fldCharType="end"/>
          </w:r>
          <w:r>
            <w:rPr>
              <w:rFonts w:hint="eastAsia" w:ascii="宋体" w:hAnsi="宋体" w:cs="宋体"/>
              <w:sz w:val="24"/>
              <w:szCs w:val="24"/>
            </w:rPr>
            <w:fldChar w:fldCharType="end"/>
          </w:r>
        </w:p>
        <w:p>
          <w:pPr>
            <w:pStyle w:val="115"/>
            <w:tabs>
              <w:tab w:val="right" w:leader="hyphen" w:pos="8313"/>
            </w:tabs>
            <w:rPr>
              <w:sz w:val="24"/>
              <w:szCs w:val="24"/>
            </w:rPr>
          </w:pPr>
        </w:p>
        <w:p>
          <w:r>
            <w:rPr>
              <w:szCs w:val="24"/>
            </w:rPr>
            <w:fldChar w:fldCharType="end"/>
          </w:r>
        </w:p>
      </w:sdtContent>
    </w:sdt>
    <w:p>
      <w:pPr>
        <w:pStyle w:val="4"/>
        <w:jc w:val="center"/>
        <w:sectPr>
          <w:headerReference r:id="rId8" w:type="default"/>
          <w:footerReference r:id="rId9" w:type="default"/>
          <w:pgSz w:w="11907" w:h="16840"/>
          <w:pgMar w:top="1361" w:right="1797" w:bottom="1440" w:left="1797" w:header="851" w:footer="992" w:gutter="0"/>
          <w:cols w:space="720" w:num="1"/>
          <w:docGrid w:linePitch="326" w:charSpace="0"/>
        </w:sectPr>
      </w:pPr>
      <w:bookmarkStart w:id="8" w:name="_Toc11458"/>
    </w:p>
    <w:p>
      <w:pPr>
        <w:pStyle w:val="4"/>
        <w:jc w:val="center"/>
      </w:pPr>
      <w:r>
        <w:rPr>
          <w:rFonts w:hint="eastAsia"/>
        </w:rPr>
        <w:t>第一章 竞争性磋商邀请</w:t>
      </w:r>
      <w:bookmarkEnd w:id="7"/>
      <w:bookmarkEnd w:id="8"/>
    </w:p>
    <w:p>
      <w:pPr>
        <w:rPr>
          <w:rFonts w:ascii="宋体" w:hAnsi="宋体" w:cs="宋体"/>
        </w:rPr>
      </w:pPr>
    </w:p>
    <w:p>
      <w:pPr>
        <w:pBdr>
          <w:top w:val="single" w:color="auto" w:sz="4" w:space="1"/>
          <w:left w:val="single" w:color="auto" w:sz="4" w:space="4"/>
          <w:bottom w:val="single" w:color="auto" w:sz="4" w:space="1"/>
          <w:right w:val="single" w:color="auto" w:sz="4" w:space="4"/>
        </w:pBdr>
        <w:spacing w:before="120" w:after="120" w:line="360" w:lineRule="auto"/>
        <w:ind w:firstLine="482" w:firstLineChars="200"/>
        <w:rPr>
          <w:rFonts w:ascii="宋体" w:hAnsi="宋体" w:cs="宋体"/>
          <w:szCs w:val="24"/>
        </w:rPr>
      </w:pPr>
      <w:r>
        <w:rPr>
          <w:rFonts w:hint="eastAsia" w:ascii="宋体" w:hAnsi="宋体" w:cs="宋体"/>
          <w:b/>
          <w:bCs/>
          <w:szCs w:val="24"/>
        </w:rPr>
        <w:t>项目概况</w:t>
      </w:r>
    </w:p>
    <w:p>
      <w:pPr>
        <w:pBdr>
          <w:top w:val="single" w:color="auto" w:sz="4" w:space="1"/>
          <w:left w:val="single" w:color="auto" w:sz="4" w:space="4"/>
          <w:bottom w:val="single" w:color="auto" w:sz="4" w:space="1"/>
          <w:right w:val="single" w:color="auto" w:sz="4" w:space="4"/>
        </w:pBdr>
        <w:spacing w:before="120" w:after="120" w:line="360" w:lineRule="auto"/>
        <w:ind w:firstLine="480" w:firstLineChars="200"/>
        <w:jc w:val="both"/>
        <w:rPr>
          <w:rFonts w:ascii="宋体" w:hAnsi="宋体" w:cs="宋体"/>
          <w:szCs w:val="24"/>
        </w:rPr>
      </w:pPr>
      <w:r>
        <w:rPr>
          <w:rFonts w:hint="eastAsia" w:ascii="宋体" w:hAnsi="宋体" w:cs="宋体"/>
          <w:szCs w:val="24"/>
          <w:u w:val="none"/>
        </w:rPr>
        <w:t xml:space="preserve"> (某实验室会议辅助服务) 项目的潜在供应商应</w:t>
      </w:r>
      <w:r>
        <w:rPr>
          <w:rFonts w:hint="eastAsia" w:ascii="宋体" w:hAnsi="宋体" w:cs="宋体"/>
          <w:szCs w:val="21"/>
          <w:u w:val="none"/>
        </w:rPr>
        <w:t>网上获取</w:t>
      </w:r>
      <w:r>
        <w:rPr>
          <w:rFonts w:hint="eastAsia" w:ascii="宋体" w:hAnsi="宋体" w:cs="宋体"/>
          <w:szCs w:val="24"/>
          <w:u w:val="none"/>
        </w:rPr>
        <w:t>采</w:t>
      </w:r>
      <w:r>
        <w:rPr>
          <w:rFonts w:hint="eastAsia" w:ascii="宋体" w:hAnsi="宋体" w:cs="宋体"/>
          <w:szCs w:val="24"/>
        </w:rPr>
        <w:t>购文件，并于2022年0</w:t>
      </w:r>
      <w:r>
        <w:rPr>
          <w:rFonts w:hint="eastAsia" w:ascii="宋体" w:hAnsi="宋体" w:cs="宋体"/>
          <w:szCs w:val="24"/>
          <w:lang w:val="en-US" w:eastAsia="zh-CN"/>
        </w:rPr>
        <w:t>9</w:t>
      </w:r>
      <w:r>
        <w:rPr>
          <w:rFonts w:hint="eastAsia" w:ascii="宋体" w:hAnsi="宋体" w:cs="宋体"/>
          <w:szCs w:val="24"/>
        </w:rPr>
        <w:t>月</w:t>
      </w:r>
      <w:r>
        <w:rPr>
          <w:rFonts w:hint="eastAsia" w:ascii="宋体" w:hAnsi="宋体" w:cs="宋体"/>
          <w:szCs w:val="24"/>
          <w:lang w:val="en-US" w:eastAsia="zh-CN"/>
        </w:rPr>
        <w:t>16</w:t>
      </w:r>
      <w:r>
        <w:rPr>
          <w:rFonts w:hint="eastAsia" w:ascii="宋体" w:hAnsi="宋体" w:cs="宋体"/>
          <w:szCs w:val="24"/>
        </w:rPr>
        <w:t>日</w:t>
      </w:r>
      <w:r>
        <w:rPr>
          <w:rFonts w:hint="eastAsia" w:ascii="宋体" w:hAnsi="宋体" w:cs="宋体"/>
          <w:szCs w:val="24"/>
          <w:lang w:val="en-US" w:eastAsia="zh-CN"/>
        </w:rPr>
        <w:t>14</w:t>
      </w:r>
      <w:r>
        <w:rPr>
          <w:rFonts w:hint="eastAsia" w:ascii="宋体" w:hAnsi="宋体" w:cs="宋体"/>
          <w:bCs/>
          <w:szCs w:val="24"/>
          <w:u w:val="none"/>
        </w:rPr>
        <w:t>点</w:t>
      </w:r>
      <w:r>
        <w:rPr>
          <w:rFonts w:hint="eastAsia" w:ascii="宋体" w:hAnsi="宋体" w:cs="宋体"/>
          <w:bCs/>
          <w:szCs w:val="24"/>
          <w:u w:val="none"/>
          <w:lang w:val="en-US" w:eastAsia="zh-CN"/>
        </w:rPr>
        <w:t>0</w:t>
      </w:r>
      <w:r>
        <w:rPr>
          <w:rFonts w:hint="eastAsia" w:ascii="宋体" w:hAnsi="宋体" w:cs="宋体"/>
          <w:szCs w:val="24"/>
          <w:u w:val="none"/>
        </w:rPr>
        <w:t>0</w:t>
      </w:r>
      <w:r>
        <w:rPr>
          <w:rFonts w:hint="eastAsia" w:ascii="宋体" w:hAnsi="宋体" w:cs="宋体"/>
          <w:bCs/>
          <w:szCs w:val="24"/>
          <w:u w:val="none"/>
        </w:rPr>
        <w:t>分</w:t>
      </w:r>
      <w:r>
        <w:rPr>
          <w:rFonts w:hint="eastAsia" w:ascii="宋体" w:hAnsi="宋体" w:cs="宋体"/>
          <w:bCs/>
          <w:szCs w:val="24"/>
        </w:rPr>
        <w:t>（北京时间）前提交响应文件</w:t>
      </w:r>
      <w:r>
        <w:rPr>
          <w:rFonts w:hint="eastAsia" w:ascii="宋体" w:hAnsi="宋体" w:cs="宋体"/>
          <w:szCs w:val="24"/>
        </w:rPr>
        <w:t>。</w:t>
      </w:r>
    </w:p>
    <w:p>
      <w:pPr>
        <w:spacing w:before="120" w:after="120" w:line="360" w:lineRule="auto"/>
        <w:rPr>
          <w:rFonts w:ascii="宋体" w:hAnsi="宋体" w:cs="宋体"/>
          <w:szCs w:val="24"/>
        </w:rPr>
      </w:pPr>
    </w:p>
    <w:p>
      <w:pPr>
        <w:pStyle w:val="4"/>
        <w:spacing w:before="120" w:after="120" w:line="360" w:lineRule="auto"/>
        <w:rPr>
          <w:rFonts w:ascii="宋体" w:hAnsi="宋体" w:eastAsia="宋体" w:cs="宋体"/>
          <w:bCs w:val="0"/>
          <w:sz w:val="24"/>
          <w:szCs w:val="24"/>
        </w:rPr>
      </w:pPr>
      <w:bookmarkStart w:id="9" w:name="_Toc35393798"/>
      <w:bookmarkStart w:id="10" w:name="_Toc35393629"/>
      <w:bookmarkStart w:id="11" w:name="_Toc28359012"/>
      <w:bookmarkStart w:id="12" w:name="_Toc28359089"/>
      <w:r>
        <w:rPr>
          <w:rFonts w:hint="eastAsia" w:ascii="宋体" w:hAnsi="宋体" w:eastAsia="宋体" w:cs="宋体"/>
          <w:bCs w:val="0"/>
          <w:sz w:val="24"/>
          <w:szCs w:val="24"/>
        </w:rPr>
        <w:t>一、项目基本情况</w:t>
      </w:r>
      <w:bookmarkEnd w:id="9"/>
      <w:bookmarkEnd w:id="10"/>
      <w:bookmarkEnd w:id="11"/>
      <w:bookmarkEnd w:id="12"/>
    </w:p>
    <w:p>
      <w:pPr>
        <w:spacing w:before="120" w:after="120" w:line="360" w:lineRule="auto"/>
        <w:ind w:firstLine="482" w:firstLineChars="200"/>
        <w:rPr>
          <w:rFonts w:ascii="宋体" w:hAnsi="宋体" w:cs="宋体"/>
          <w:szCs w:val="24"/>
        </w:rPr>
      </w:pPr>
      <w:r>
        <w:rPr>
          <w:rFonts w:hint="eastAsia" w:ascii="宋体" w:hAnsi="宋体" w:cs="宋体"/>
          <w:b/>
          <w:bCs/>
          <w:szCs w:val="24"/>
        </w:rPr>
        <w:t>项目编号</w:t>
      </w:r>
      <w:r>
        <w:rPr>
          <w:rFonts w:hint="eastAsia" w:ascii="宋体" w:hAnsi="宋体" w:cs="宋体"/>
          <w:szCs w:val="24"/>
        </w:rPr>
        <w:t>：CFTC-BJ01-2203048</w:t>
      </w:r>
    </w:p>
    <w:p>
      <w:pPr>
        <w:spacing w:before="120" w:after="120" w:line="360" w:lineRule="auto"/>
        <w:ind w:firstLine="482" w:firstLineChars="200"/>
        <w:rPr>
          <w:rFonts w:ascii="宋体" w:hAnsi="宋体" w:cs="宋体"/>
          <w:szCs w:val="24"/>
          <w:u w:val="single"/>
        </w:rPr>
      </w:pPr>
      <w:r>
        <w:rPr>
          <w:rFonts w:hint="eastAsia" w:ascii="宋体" w:hAnsi="宋体" w:cs="宋体"/>
          <w:b/>
          <w:bCs/>
          <w:szCs w:val="24"/>
        </w:rPr>
        <w:t>项目名称</w:t>
      </w:r>
      <w:r>
        <w:rPr>
          <w:rFonts w:hint="eastAsia" w:ascii="宋体" w:hAnsi="宋体" w:cs="宋体"/>
          <w:szCs w:val="24"/>
        </w:rPr>
        <w:t>：某实验室会议辅助服务项目</w:t>
      </w:r>
    </w:p>
    <w:p>
      <w:pPr>
        <w:spacing w:before="120" w:after="120" w:line="360" w:lineRule="auto"/>
        <w:ind w:firstLine="482" w:firstLineChars="200"/>
        <w:rPr>
          <w:rFonts w:ascii="宋体" w:hAnsi="宋体" w:cs="宋体"/>
          <w:szCs w:val="24"/>
        </w:rPr>
      </w:pPr>
      <w:r>
        <w:rPr>
          <w:rFonts w:hint="eastAsia" w:ascii="宋体" w:hAnsi="宋体" w:cs="宋体"/>
          <w:b/>
          <w:bCs/>
          <w:szCs w:val="24"/>
        </w:rPr>
        <w:t>采购方式</w:t>
      </w:r>
      <w:r>
        <w:rPr>
          <w:rFonts w:hint="eastAsia" w:ascii="宋体" w:hAnsi="宋体" w:cs="宋体"/>
          <w:szCs w:val="24"/>
        </w:rPr>
        <w:t xml:space="preserve">：竞争性磋商 </w:t>
      </w:r>
    </w:p>
    <w:p>
      <w:pPr>
        <w:spacing w:line="360" w:lineRule="auto"/>
        <w:ind w:firstLine="482" w:firstLineChars="200"/>
        <w:rPr>
          <w:rFonts w:ascii="宋体" w:hAnsi="宋体" w:cs="宋体"/>
          <w:szCs w:val="24"/>
        </w:rPr>
      </w:pPr>
      <w:r>
        <w:rPr>
          <w:rFonts w:hint="eastAsia" w:ascii="宋体" w:hAnsi="宋体" w:cs="宋体"/>
          <w:b/>
          <w:bCs/>
          <w:szCs w:val="24"/>
        </w:rPr>
        <w:t>预算金额</w:t>
      </w:r>
      <w:r>
        <w:rPr>
          <w:rFonts w:hint="eastAsia" w:ascii="宋体" w:hAnsi="宋体" w:cs="宋体"/>
          <w:szCs w:val="24"/>
        </w:rPr>
        <w:t>：</w:t>
      </w:r>
      <w:r>
        <w:rPr>
          <w:rFonts w:ascii="宋体" w:hAnsi="宋体" w:cs="宋体"/>
          <w:szCs w:val="24"/>
        </w:rPr>
        <w:t>183</w:t>
      </w:r>
      <w:r>
        <w:rPr>
          <w:rFonts w:hint="eastAsia" w:ascii="宋体" w:hAnsi="宋体" w:cs="宋体"/>
          <w:szCs w:val="24"/>
        </w:rPr>
        <w:t>万元</w:t>
      </w:r>
    </w:p>
    <w:p>
      <w:pPr>
        <w:spacing w:line="360" w:lineRule="auto"/>
        <w:ind w:firstLine="482" w:firstLineChars="200"/>
        <w:rPr>
          <w:rFonts w:ascii="宋体" w:hAnsi="宋体" w:cs="宋体"/>
          <w:szCs w:val="24"/>
          <w:u w:val="single"/>
        </w:rPr>
      </w:pPr>
      <w:r>
        <w:rPr>
          <w:rFonts w:hint="eastAsia" w:ascii="宋体" w:hAnsi="宋体" w:cs="宋体"/>
          <w:b/>
          <w:bCs/>
          <w:szCs w:val="24"/>
        </w:rPr>
        <w:t>采购需求</w:t>
      </w:r>
      <w:r>
        <w:rPr>
          <w:rFonts w:hint="eastAsia" w:ascii="宋体" w:hAnsi="宋体" w:cs="宋体"/>
          <w:szCs w:val="24"/>
        </w:rPr>
        <w:t>：会议室服务、专家办公室内部保洁等，详见第四章服务需求书</w:t>
      </w:r>
    </w:p>
    <w:p>
      <w:pPr>
        <w:spacing w:before="120" w:after="120" w:line="360" w:lineRule="auto"/>
        <w:ind w:firstLine="482" w:firstLineChars="200"/>
        <w:rPr>
          <w:rFonts w:ascii="宋体" w:hAnsi="宋体" w:cs="宋体"/>
          <w:szCs w:val="24"/>
          <w:u w:val="single"/>
        </w:rPr>
      </w:pPr>
      <w:r>
        <w:rPr>
          <w:rFonts w:hint="eastAsia" w:ascii="宋体" w:hAnsi="宋体" w:cs="宋体"/>
          <w:b/>
          <w:bCs/>
          <w:szCs w:val="24"/>
        </w:rPr>
        <w:t>合同履行期限</w:t>
      </w:r>
      <w:r>
        <w:rPr>
          <w:rFonts w:hint="eastAsia" w:ascii="宋体" w:hAnsi="宋体" w:cs="宋体"/>
          <w:szCs w:val="24"/>
        </w:rPr>
        <w:t>：1年</w:t>
      </w:r>
    </w:p>
    <w:p>
      <w:pPr>
        <w:spacing w:before="120" w:after="120" w:line="360" w:lineRule="auto"/>
        <w:ind w:firstLine="482" w:firstLineChars="200"/>
        <w:rPr>
          <w:rFonts w:ascii="宋体" w:hAnsi="宋体" w:cs="宋体"/>
          <w:szCs w:val="24"/>
        </w:rPr>
      </w:pPr>
      <w:r>
        <w:rPr>
          <w:rFonts w:hint="eastAsia" w:ascii="宋体" w:hAnsi="宋体" w:cs="宋体"/>
          <w:b/>
          <w:bCs/>
          <w:szCs w:val="24"/>
        </w:rPr>
        <w:t>本项目不接受联合体</w:t>
      </w:r>
    </w:p>
    <w:p>
      <w:pPr>
        <w:pStyle w:val="4"/>
        <w:spacing w:before="120" w:after="120" w:line="360" w:lineRule="auto"/>
        <w:rPr>
          <w:rFonts w:ascii="宋体" w:hAnsi="宋体" w:eastAsia="宋体" w:cs="宋体"/>
          <w:bCs w:val="0"/>
          <w:sz w:val="24"/>
          <w:szCs w:val="24"/>
        </w:rPr>
      </w:pPr>
      <w:bookmarkStart w:id="13" w:name="_Toc28359013"/>
      <w:bookmarkStart w:id="14" w:name="_Toc35393799"/>
      <w:bookmarkStart w:id="15" w:name="_Toc35393630"/>
      <w:bookmarkStart w:id="16" w:name="_Toc28359090"/>
      <w:r>
        <w:rPr>
          <w:rFonts w:hint="eastAsia" w:ascii="宋体" w:hAnsi="宋体" w:eastAsia="宋体" w:cs="宋体"/>
          <w:bCs w:val="0"/>
          <w:sz w:val="24"/>
          <w:szCs w:val="24"/>
        </w:rPr>
        <w:t>二、申请人的资格要求：</w:t>
      </w:r>
      <w:bookmarkEnd w:id="13"/>
      <w:bookmarkEnd w:id="14"/>
      <w:bookmarkEnd w:id="15"/>
      <w:bookmarkEnd w:id="16"/>
    </w:p>
    <w:p>
      <w:pPr>
        <w:spacing w:before="120" w:after="120" w:line="360" w:lineRule="auto"/>
        <w:ind w:firstLine="482" w:firstLineChars="200"/>
        <w:rPr>
          <w:rFonts w:ascii="宋体" w:hAnsi="宋体" w:cs="宋体"/>
          <w:szCs w:val="24"/>
        </w:rPr>
      </w:pPr>
      <w:r>
        <w:rPr>
          <w:rFonts w:hint="eastAsia" w:ascii="宋体" w:hAnsi="宋体" w:cs="宋体"/>
          <w:b/>
          <w:bCs/>
          <w:szCs w:val="24"/>
        </w:rPr>
        <w:t>1.满足《中华人民共和国政府采购法》第二十二条规定；</w:t>
      </w:r>
    </w:p>
    <w:p>
      <w:pPr>
        <w:spacing w:before="120" w:after="120" w:line="360" w:lineRule="auto"/>
        <w:ind w:firstLine="480" w:firstLineChars="200"/>
        <w:rPr>
          <w:rFonts w:ascii="宋体" w:hAnsi="宋体" w:cs="宋体"/>
          <w:szCs w:val="24"/>
        </w:rPr>
      </w:pPr>
      <w:r>
        <w:rPr>
          <w:rFonts w:hint="eastAsia" w:ascii="宋体" w:hAnsi="宋体" w:cs="宋体"/>
          <w:szCs w:val="24"/>
        </w:rPr>
        <w:t>1）具有独立承担民事责任的能力；</w:t>
      </w:r>
    </w:p>
    <w:p>
      <w:pPr>
        <w:spacing w:before="120" w:after="120" w:line="360" w:lineRule="auto"/>
        <w:ind w:firstLine="480" w:firstLineChars="200"/>
        <w:rPr>
          <w:rFonts w:ascii="宋体" w:hAnsi="宋体" w:cs="宋体"/>
          <w:szCs w:val="24"/>
        </w:rPr>
      </w:pPr>
      <w:r>
        <w:rPr>
          <w:rFonts w:hint="eastAsia" w:ascii="宋体" w:hAnsi="宋体" w:cs="宋体"/>
          <w:szCs w:val="24"/>
        </w:rPr>
        <w:t>2）具有良好的商业信誉和健全的财务会计制度；</w:t>
      </w:r>
    </w:p>
    <w:p>
      <w:pPr>
        <w:spacing w:before="120" w:after="120" w:line="360" w:lineRule="auto"/>
        <w:ind w:firstLine="480" w:firstLineChars="200"/>
        <w:rPr>
          <w:rFonts w:ascii="宋体" w:hAnsi="宋体" w:cs="宋体"/>
          <w:szCs w:val="24"/>
        </w:rPr>
      </w:pPr>
      <w:r>
        <w:rPr>
          <w:rFonts w:hint="eastAsia" w:ascii="宋体" w:hAnsi="宋体" w:cs="宋体"/>
          <w:szCs w:val="24"/>
        </w:rPr>
        <w:t>3）具有履行合同所必需的设备和专业技术能力；</w:t>
      </w:r>
    </w:p>
    <w:p>
      <w:pPr>
        <w:spacing w:before="120" w:after="120" w:line="360" w:lineRule="auto"/>
        <w:ind w:firstLine="480" w:firstLineChars="200"/>
        <w:rPr>
          <w:rFonts w:ascii="宋体" w:hAnsi="宋体" w:cs="宋体"/>
          <w:szCs w:val="24"/>
        </w:rPr>
      </w:pPr>
      <w:r>
        <w:rPr>
          <w:rFonts w:hint="eastAsia" w:ascii="宋体" w:hAnsi="宋体" w:cs="宋体"/>
          <w:szCs w:val="24"/>
        </w:rPr>
        <w:t>4）有依法缴纳税收和社会保障资金的良好记录；</w:t>
      </w:r>
    </w:p>
    <w:p>
      <w:pPr>
        <w:spacing w:before="120" w:after="120" w:line="360" w:lineRule="auto"/>
        <w:ind w:firstLine="480" w:firstLineChars="200"/>
        <w:rPr>
          <w:rFonts w:ascii="宋体" w:hAnsi="宋体" w:cs="宋体"/>
          <w:szCs w:val="24"/>
        </w:rPr>
      </w:pPr>
      <w:r>
        <w:rPr>
          <w:rFonts w:hint="eastAsia" w:ascii="宋体" w:hAnsi="宋体" w:cs="宋体"/>
          <w:szCs w:val="24"/>
        </w:rPr>
        <w:t>5）参加政府采购活动前三年内，在经营活动中没有重大违法记录；</w:t>
      </w:r>
    </w:p>
    <w:p>
      <w:pPr>
        <w:spacing w:before="120" w:after="120" w:line="360" w:lineRule="auto"/>
        <w:ind w:firstLine="480" w:firstLineChars="200"/>
        <w:rPr>
          <w:rFonts w:ascii="宋体" w:hAnsi="宋体" w:cs="宋体"/>
          <w:szCs w:val="24"/>
        </w:rPr>
      </w:pPr>
      <w:r>
        <w:rPr>
          <w:rFonts w:hint="eastAsia" w:ascii="宋体" w:hAnsi="宋体" w:cs="宋体"/>
          <w:szCs w:val="24"/>
        </w:rPr>
        <w:t>6）法律、行政法规规定的其他条件。</w:t>
      </w:r>
    </w:p>
    <w:p>
      <w:pPr>
        <w:spacing w:before="93" w:beforeLines="30" w:after="93" w:afterLines="30" w:line="312" w:lineRule="auto"/>
        <w:ind w:firstLine="241" w:firstLineChars="100"/>
        <w:rPr>
          <w:rFonts w:ascii="宋体" w:hAnsi="宋体" w:cs="宋体"/>
          <w:b/>
          <w:bCs/>
          <w:szCs w:val="21"/>
        </w:rPr>
      </w:pPr>
      <w:bookmarkStart w:id="17" w:name="_Toc28359091"/>
      <w:bookmarkStart w:id="18" w:name="_Toc28359014"/>
      <w:r>
        <w:rPr>
          <w:rFonts w:hint="eastAsia" w:ascii="宋体" w:hAnsi="宋体" w:cs="宋体"/>
          <w:b/>
          <w:bCs/>
          <w:szCs w:val="21"/>
        </w:rPr>
        <w:t>2.落实政府采购政策需满足的资格要求：</w:t>
      </w:r>
    </w:p>
    <w:p>
      <w:pPr>
        <w:spacing w:before="93" w:beforeLines="30" w:after="93" w:afterLines="30" w:line="312" w:lineRule="auto"/>
        <w:ind w:firstLine="480" w:firstLineChars="200"/>
        <w:rPr>
          <w:rFonts w:ascii="宋体" w:hAnsi="宋体" w:cs="宋体"/>
          <w:szCs w:val="21"/>
        </w:rPr>
      </w:pPr>
      <w:r>
        <w:rPr>
          <w:rFonts w:hint="eastAsia" w:ascii="宋体" w:hAnsi="宋体" w:cs="宋体"/>
          <w:szCs w:val="21"/>
        </w:rPr>
        <w:t>本项目面向</w:t>
      </w:r>
      <w:r>
        <w:rPr>
          <w:rFonts w:hint="eastAsia" w:ascii="宋体" w:hAnsi="宋体" w:cs="宋体"/>
          <w:szCs w:val="21"/>
          <w:lang w:val="en-US" w:eastAsia="zh-CN"/>
        </w:rPr>
        <w:t>所有</w:t>
      </w:r>
      <w:r>
        <w:rPr>
          <w:rFonts w:hint="eastAsia" w:ascii="宋体" w:hAnsi="宋体" w:cs="宋体"/>
          <w:szCs w:val="21"/>
        </w:rPr>
        <w:t>企业</w:t>
      </w:r>
    </w:p>
    <w:p>
      <w:pPr>
        <w:spacing w:line="360" w:lineRule="auto"/>
        <w:ind w:firstLine="480" w:firstLineChars="200"/>
        <w:rPr>
          <w:rFonts w:ascii="宋体" w:hAnsi="宋体" w:cs="宋体"/>
          <w:bCs/>
          <w:spacing w:val="5"/>
          <w:szCs w:val="21"/>
          <w:shd w:val="clear" w:color="auto" w:fill="FFFFFF"/>
        </w:rPr>
      </w:pPr>
      <w:r>
        <w:rPr>
          <w:rFonts w:hint="eastAsia"/>
        </w:rPr>
        <w:t>本项目采购标的对应的中小企业划分标准所属行业：</w:t>
      </w:r>
      <w:r>
        <w:rPr>
          <w:rFonts w:hint="eastAsia"/>
          <w:lang w:val="en-US" w:eastAsia="zh-CN"/>
        </w:rPr>
        <w:t>其他未列明行业</w:t>
      </w:r>
      <w:r>
        <w:rPr>
          <w:rFonts w:hint="eastAsia"/>
        </w:rPr>
        <w:t>。</w:t>
      </w:r>
    </w:p>
    <w:p>
      <w:pPr>
        <w:spacing w:before="60" w:beforeLines="25" w:after="60" w:afterLines="25" w:line="360" w:lineRule="auto"/>
        <w:ind w:firstLine="482" w:firstLineChars="200"/>
        <w:rPr>
          <w:rFonts w:ascii="宋体" w:hAnsi="宋体" w:cs="宋体"/>
          <w:b/>
          <w:bCs/>
          <w:szCs w:val="24"/>
        </w:rPr>
      </w:pPr>
      <w:r>
        <w:rPr>
          <w:rFonts w:hint="eastAsia" w:ascii="宋体" w:hAnsi="宋体" w:cs="宋体"/>
          <w:b/>
          <w:bCs/>
          <w:szCs w:val="24"/>
          <w:lang w:val="en-US" w:eastAsia="zh-CN"/>
        </w:rPr>
        <w:t>3</w:t>
      </w:r>
      <w:r>
        <w:rPr>
          <w:rFonts w:hint="eastAsia" w:ascii="宋体" w:hAnsi="宋体" w:cs="宋体"/>
          <w:b/>
          <w:bCs/>
          <w:szCs w:val="24"/>
        </w:rPr>
        <w:t>.本项目的其他资格要求：</w:t>
      </w:r>
    </w:p>
    <w:p>
      <w:pPr>
        <w:pageBreakBefore w:val="0"/>
        <w:kinsoku/>
        <w:wordWrap/>
        <w:overflowPunct/>
        <w:topLinePunct w:val="0"/>
        <w:autoSpaceDE/>
        <w:autoSpaceDN/>
        <w:bidi w:val="0"/>
        <w:adjustRightInd/>
        <w:snapToGrid/>
        <w:spacing w:before="157" w:beforeLines="50" w:after="157" w:afterLines="50"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本项目提交首次响应文件截止之日前，供应商不得被“信用中国”网站列入失信被执行人、重大税收违法案件当事人名单，不得被“中国政府采购网”网站列入政府采购严重违法失信行为记录名单（处罚期限尚未届满的）。</w:t>
      </w:r>
    </w:p>
    <w:p>
      <w:pPr>
        <w:pageBreakBefore w:val="0"/>
        <w:kinsoku/>
        <w:wordWrap/>
        <w:overflowPunct/>
        <w:topLinePunct w:val="0"/>
        <w:autoSpaceDE/>
        <w:autoSpaceDN/>
        <w:bidi w:val="0"/>
        <w:adjustRightInd/>
        <w:snapToGrid/>
        <w:spacing w:before="157" w:beforeLines="50" w:after="157" w:afterLines="50"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2）单位负责人为同一人或者存在直接控股、管理关系的不同供应商，不得同时参加本项目同一分包的政府采购活动。</w:t>
      </w:r>
    </w:p>
    <w:p>
      <w:pPr>
        <w:adjustRightInd/>
        <w:spacing w:before="157" w:beforeLines="50" w:after="157" w:afterLines="50" w:line="240" w:lineRule="auto"/>
        <w:ind w:firstLine="480" w:firstLineChars="200"/>
        <w:textAlignment w:val="auto"/>
        <w:rPr>
          <w:rFonts w:ascii="宋体" w:hAnsi="宋体" w:cs="宋体"/>
          <w:szCs w:val="24"/>
        </w:rPr>
      </w:pPr>
      <w:r>
        <w:rPr>
          <w:rFonts w:hint="eastAsia" w:ascii="宋体" w:hAnsi="宋体" w:eastAsia="宋体" w:cs="宋体"/>
          <w:sz w:val="24"/>
          <w:szCs w:val="24"/>
        </w:rPr>
        <w:t>3）为本项目提供整体设计、规范编制或者项目管理、监理、检测等服务的供应商，不得参加本次政府采购活动</w:t>
      </w:r>
      <w:r>
        <w:rPr>
          <w:rFonts w:hint="eastAsia" w:ascii="宋体" w:hAnsi="宋体" w:cs="宋体"/>
          <w:szCs w:val="24"/>
        </w:rPr>
        <w:t>。</w:t>
      </w:r>
    </w:p>
    <w:p>
      <w:pPr>
        <w:pStyle w:val="4"/>
        <w:spacing w:before="120" w:after="120" w:line="360" w:lineRule="auto"/>
        <w:rPr>
          <w:rFonts w:ascii="宋体" w:hAnsi="宋体" w:eastAsia="宋体" w:cs="宋体"/>
          <w:bCs w:val="0"/>
          <w:sz w:val="24"/>
          <w:szCs w:val="24"/>
        </w:rPr>
      </w:pPr>
      <w:bookmarkStart w:id="19" w:name="_Toc35393631"/>
      <w:bookmarkStart w:id="20" w:name="_Toc35393800"/>
      <w:r>
        <w:rPr>
          <w:rFonts w:hint="eastAsia" w:ascii="宋体" w:hAnsi="宋体" w:eastAsia="宋体" w:cs="宋体"/>
          <w:bCs w:val="0"/>
          <w:sz w:val="24"/>
          <w:szCs w:val="24"/>
        </w:rPr>
        <w:t>三、获取采购文件</w:t>
      </w:r>
      <w:bookmarkEnd w:id="17"/>
      <w:bookmarkEnd w:id="18"/>
      <w:bookmarkEnd w:id="19"/>
      <w:bookmarkEnd w:id="20"/>
    </w:p>
    <w:p>
      <w:pPr>
        <w:spacing w:before="120" w:after="120" w:line="360" w:lineRule="auto"/>
        <w:ind w:firstLine="540"/>
        <w:rPr>
          <w:rFonts w:ascii="宋体" w:hAnsi="宋体" w:cs="宋体"/>
          <w:szCs w:val="24"/>
        </w:rPr>
      </w:pPr>
      <w:r>
        <w:rPr>
          <w:rFonts w:hint="eastAsia" w:ascii="宋体" w:hAnsi="宋体" w:cs="宋体"/>
          <w:b/>
          <w:bCs/>
          <w:szCs w:val="24"/>
        </w:rPr>
        <w:t>时间</w:t>
      </w:r>
      <w:r>
        <w:rPr>
          <w:rFonts w:hint="eastAsia" w:ascii="宋体" w:hAnsi="宋体" w:cs="宋体"/>
          <w:szCs w:val="24"/>
        </w:rPr>
        <w:t>：2022年0</w:t>
      </w:r>
      <w:r>
        <w:rPr>
          <w:rFonts w:hint="eastAsia" w:ascii="宋体" w:hAnsi="宋体" w:cs="宋体"/>
          <w:szCs w:val="24"/>
          <w:lang w:val="en-US" w:eastAsia="zh-CN"/>
        </w:rPr>
        <w:t>9</w:t>
      </w:r>
      <w:r>
        <w:rPr>
          <w:rFonts w:hint="eastAsia" w:ascii="宋体" w:hAnsi="宋体" w:cs="宋体"/>
          <w:szCs w:val="24"/>
        </w:rPr>
        <w:t>月</w:t>
      </w:r>
      <w:r>
        <w:rPr>
          <w:rFonts w:hint="eastAsia" w:ascii="宋体" w:hAnsi="宋体" w:cs="宋体"/>
          <w:szCs w:val="24"/>
          <w:lang w:val="en-US" w:eastAsia="zh-CN"/>
        </w:rPr>
        <w:t>05</w:t>
      </w:r>
      <w:r>
        <w:rPr>
          <w:rFonts w:hint="eastAsia" w:ascii="宋体" w:hAnsi="宋体" w:cs="宋体"/>
          <w:szCs w:val="24"/>
        </w:rPr>
        <w:t>日至2022年0</w:t>
      </w:r>
      <w:r>
        <w:rPr>
          <w:rFonts w:hint="eastAsia" w:ascii="宋体" w:hAnsi="宋体" w:cs="宋体"/>
          <w:szCs w:val="24"/>
          <w:lang w:val="en-US" w:eastAsia="zh-CN"/>
        </w:rPr>
        <w:t>9</w:t>
      </w:r>
      <w:r>
        <w:rPr>
          <w:rFonts w:hint="eastAsia" w:ascii="宋体" w:hAnsi="宋体" w:cs="宋体"/>
          <w:szCs w:val="24"/>
        </w:rPr>
        <w:t>月</w:t>
      </w:r>
      <w:r>
        <w:rPr>
          <w:rFonts w:hint="eastAsia" w:ascii="宋体" w:hAnsi="宋体" w:cs="宋体"/>
          <w:szCs w:val="24"/>
          <w:lang w:val="en-US" w:eastAsia="zh-CN"/>
        </w:rPr>
        <w:t>13</w:t>
      </w:r>
      <w:r>
        <w:rPr>
          <w:rFonts w:hint="eastAsia" w:ascii="宋体" w:hAnsi="宋体" w:cs="宋体"/>
          <w:szCs w:val="24"/>
        </w:rPr>
        <w:t>日，每天上午9:00至17:00（北京时间，法定节假日除外 ）</w:t>
      </w:r>
    </w:p>
    <w:p>
      <w:pPr>
        <w:spacing w:before="120" w:after="120" w:line="360" w:lineRule="auto"/>
        <w:ind w:firstLine="482" w:firstLineChars="200"/>
        <w:rPr>
          <w:rFonts w:ascii="宋体" w:hAnsi="宋体" w:cs="宋体"/>
          <w:szCs w:val="24"/>
        </w:rPr>
      </w:pPr>
      <w:r>
        <w:rPr>
          <w:rFonts w:hint="eastAsia" w:ascii="宋体" w:hAnsi="宋体" w:cs="宋体"/>
          <w:b/>
          <w:bCs/>
          <w:szCs w:val="24"/>
        </w:rPr>
        <w:t>地点</w:t>
      </w:r>
      <w:r>
        <w:rPr>
          <w:rFonts w:hint="eastAsia" w:ascii="宋体" w:hAnsi="宋体" w:cs="宋体"/>
          <w:szCs w:val="24"/>
        </w:rPr>
        <w:t>：北京市朝阳区东三环南路甲52号楼顺迈金钻国际商务中心9层9c</w:t>
      </w:r>
    </w:p>
    <w:p>
      <w:pPr>
        <w:spacing w:before="120" w:beforeLines="50" w:after="120" w:afterLines="50" w:line="360" w:lineRule="auto"/>
        <w:ind w:firstLine="482" w:firstLineChars="200"/>
        <w:rPr>
          <w:rFonts w:ascii="宋体" w:hAnsi="宋体" w:cs="宋体"/>
          <w:szCs w:val="21"/>
        </w:rPr>
      </w:pPr>
      <w:bookmarkStart w:id="21" w:name="_Toc35393632"/>
      <w:bookmarkStart w:id="22" w:name="_Toc28359092"/>
      <w:bookmarkStart w:id="23" w:name="_Toc28359015"/>
      <w:bookmarkStart w:id="24" w:name="_Toc35393801"/>
      <w:r>
        <w:rPr>
          <w:rFonts w:hint="eastAsia" w:ascii="宋体" w:hAnsi="宋体" w:cs="宋体"/>
          <w:b/>
          <w:bCs/>
          <w:szCs w:val="21"/>
        </w:rPr>
        <w:t>方式：</w:t>
      </w:r>
      <w:r>
        <w:rPr>
          <w:rFonts w:hint="eastAsia" w:ascii="宋体" w:hAnsi="宋体" w:cs="宋体"/>
          <w:szCs w:val="21"/>
        </w:rPr>
        <w:t>网上获取</w:t>
      </w:r>
      <w:r>
        <w:rPr>
          <w:rFonts w:hint="eastAsia" w:ascii="宋体" w:hAnsi="宋体" w:cs="宋体"/>
          <w:szCs w:val="21"/>
          <w:lang w:eastAsia="zh-CN"/>
        </w:rPr>
        <w:t>，</w:t>
      </w:r>
      <w:r>
        <w:rPr>
          <w:rFonts w:hint="eastAsia" w:ascii="宋体" w:hAnsi="宋体" w:cs="宋体"/>
          <w:szCs w:val="21"/>
        </w:rPr>
        <w:t>须提供以下资料的彩色扫描件，在获取竞争性磋商文件时间内发送至采购代理机构邮箱gjzbyxgs@126.com</w:t>
      </w:r>
    </w:p>
    <w:p>
      <w:pPr>
        <w:spacing w:before="120" w:beforeLines="50" w:after="120" w:afterLines="50" w:line="360" w:lineRule="auto"/>
        <w:ind w:firstLine="480" w:firstLineChars="200"/>
        <w:rPr>
          <w:rFonts w:ascii="宋体" w:hAnsi="宋体" w:cs="宋体"/>
          <w:szCs w:val="21"/>
        </w:rPr>
      </w:pPr>
      <w:r>
        <w:rPr>
          <w:rFonts w:hint="eastAsia" w:ascii="宋体" w:hAnsi="宋体" w:cs="宋体"/>
          <w:szCs w:val="21"/>
        </w:rPr>
        <w:t>（1-1）法定代表人：针对本项目出具的法定代表人身份证明书原件加盖公章（须体现法定代表人姓名、身份证号）及法定代表人身份证复印件加盖公章；</w:t>
      </w:r>
    </w:p>
    <w:p>
      <w:pPr>
        <w:spacing w:before="120" w:beforeLines="50" w:after="120" w:afterLines="50" w:line="360" w:lineRule="auto"/>
        <w:ind w:firstLine="480" w:firstLineChars="200"/>
        <w:rPr>
          <w:rFonts w:ascii="宋体" w:hAnsi="宋体" w:cs="宋体"/>
          <w:szCs w:val="21"/>
        </w:rPr>
      </w:pPr>
      <w:r>
        <w:rPr>
          <w:rFonts w:hint="eastAsia" w:ascii="宋体" w:hAnsi="宋体" w:cs="宋体"/>
          <w:szCs w:val="21"/>
        </w:rPr>
        <w:t>（1-2）法定代表人授权代表：针对本项目出具的法定代表人授权委托书原件加盖公章及授权代表身份证复印件加盖公章；</w:t>
      </w:r>
    </w:p>
    <w:p>
      <w:pPr>
        <w:spacing w:before="120" w:beforeLines="50" w:after="120" w:afterLines="50" w:line="360" w:lineRule="auto"/>
        <w:ind w:firstLine="480" w:firstLineChars="200"/>
        <w:rPr>
          <w:rFonts w:ascii="宋体" w:hAnsi="宋体" w:cs="宋体"/>
          <w:szCs w:val="21"/>
        </w:rPr>
      </w:pPr>
      <w:r>
        <w:rPr>
          <w:rFonts w:hint="eastAsia" w:ascii="宋体" w:hAnsi="宋体" w:cs="宋体"/>
          <w:szCs w:val="21"/>
        </w:rPr>
        <w:t>（1-1）和（1-2）根据实际情况提供相关资料。</w:t>
      </w:r>
    </w:p>
    <w:p>
      <w:pPr>
        <w:spacing w:before="120" w:beforeLines="50" w:after="120" w:afterLines="50" w:line="360" w:lineRule="auto"/>
        <w:ind w:firstLine="480" w:firstLineChars="200"/>
        <w:rPr>
          <w:rFonts w:ascii="宋体" w:hAnsi="宋体" w:cs="宋体"/>
          <w:szCs w:val="21"/>
        </w:rPr>
      </w:pPr>
      <w:r>
        <w:rPr>
          <w:rFonts w:hint="eastAsia" w:ascii="宋体" w:hAnsi="宋体" w:cs="宋体"/>
          <w:szCs w:val="21"/>
        </w:rPr>
        <w:t>供应商必须从采购代理机构获取竞争性磋商文件并登记备案，未从采购代理机构获取竞争性磋商文件并登记备案的无资格参加本次投标。获取竞争性磋商文件的费用无论何种原因或成交与否均不予退还。电子版竞争性磋商文件与纸质版竞争性磋商文件有同等法律效力。</w:t>
      </w:r>
    </w:p>
    <w:p>
      <w:pPr>
        <w:spacing w:before="120" w:beforeLines="50" w:after="120" w:afterLines="50" w:line="360" w:lineRule="auto"/>
        <w:ind w:firstLine="482" w:firstLineChars="200"/>
        <w:rPr>
          <w:rFonts w:ascii="宋体" w:hAnsi="宋体" w:cs="宋体"/>
          <w:szCs w:val="21"/>
        </w:rPr>
      </w:pPr>
      <w:r>
        <w:rPr>
          <w:rFonts w:hint="eastAsia" w:ascii="宋体" w:hAnsi="宋体" w:cs="宋体"/>
          <w:b/>
          <w:bCs/>
          <w:szCs w:val="21"/>
        </w:rPr>
        <w:t>制作标书费</w:t>
      </w:r>
      <w:r>
        <w:rPr>
          <w:rFonts w:hint="eastAsia" w:ascii="宋体" w:hAnsi="宋体" w:cs="宋体"/>
          <w:szCs w:val="21"/>
        </w:rPr>
        <w:t>：500元/本（网上获取须电汇支付，公对公转账，收款账户：</w:t>
      </w:r>
      <w:r>
        <w:rPr>
          <w:rFonts w:hint="eastAsia" w:ascii="宋体" w:hAnsi="宋体" w:cs="宋体"/>
          <w:bCs/>
          <w:szCs w:val="21"/>
        </w:rPr>
        <w:t>公司名称：国金招标有限公司；账号: 170149276；开户行：中国民生银行北京劲松支行；行号：011607324</w:t>
      </w:r>
      <w:r>
        <w:rPr>
          <w:rFonts w:hint="eastAsia" w:ascii="宋体" w:hAnsi="宋体" w:cs="宋体"/>
          <w:szCs w:val="21"/>
        </w:rPr>
        <w:t>）</w:t>
      </w:r>
    </w:p>
    <w:p>
      <w:pPr>
        <w:pStyle w:val="4"/>
        <w:spacing w:before="120" w:after="120" w:line="360" w:lineRule="auto"/>
        <w:rPr>
          <w:rFonts w:ascii="宋体" w:hAnsi="宋体" w:eastAsia="宋体" w:cs="宋体"/>
          <w:bCs w:val="0"/>
          <w:sz w:val="24"/>
          <w:szCs w:val="24"/>
        </w:rPr>
      </w:pPr>
      <w:r>
        <w:rPr>
          <w:rFonts w:hint="eastAsia" w:ascii="宋体" w:hAnsi="宋体" w:eastAsia="宋体" w:cs="宋体"/>
          <w:bCs w:val="0"/>
          <w:sz w:val="24"/>
          <w:szCs w:val="24"/>
        </w:rPr>
        <w:t>四、响应文件提交</w:t>
      </w:r>
      <w:bookmarkEnd w:id="21"/>
      <w:bookmarkEnd w:id="22"/>
      <w:bookmarkEnd w:id="23"/>
      <w:bookmarkEnd w:id="24"/>
    </w:p>
    <w:p>
      <w:pPr>
        <w:spacing w:before="120" w:after="120" w:line="360" w:lineRule="auto"/>
        <w:ind w:firstLine="482" w:firstLineChars="200"/>
        <w:jc w:val="both"/>
        <w:rPr>
          <w:rFonts w:ascii="宋体" w:hAnsi="宋体" w:cs="宋体"/>
          <w:szCs w:val="24"/>
        </w:rPr>
      </w:pPr>
      <w:r>
        <w:rPr>
          <w:rFonts w:hint="eastAsia" w:ascii="宋体" w:hAnsi="宋体" w:cs="宋体"/>
          <w:b/>
          <w:bCs/>
          <w:szCs w:val="24"/>
        </w:rPr>
        <w:t>接收时间：</w:t>
      </w:r>
      <w:r>
        <w:rPr>
          <w:rFonts w:hint="eastAsia" w:ascii="宋体" w:hAnsi="宋体" w:cs="宋体"/>
          <w:szCs w:val="24"/>
        </w:rPr>
        <w:t>2022年</w:t>
      </w:r>
      <w:r>
        <w:rPr>
          <w:rFonts w:ascii="宋体" w:hAnsi="宋体" w:cs="宋体"/>
          <w:szCs w:val="24"/>
        </w:rPr>
        <w:t>0</w:t>
      </w:r>
      <w:r>
        <w:rPr>
          <w:rFonts w:hint="eastAsia" w:ascii="宋体" w:hAnsi="宋体" w:cs="宋体"/>
          <w:szCs w:val="24"/>
          <w:lang w:val="en-US" w:eastAsia="zh-CN"/>
        </w:rPr>
        <w:t>9</w:t>
      </w:r>
      <w:r>
        <w:rPr>
          <w:rFonts w:hint="eastAsia" w:ascii="宋体" w:hAnsi="宋体" w:cs="宋体"/>
          <w:szCs w:val="24"/>
        </w:rPr>
        <w:t>月</w:t>
      </w:r>
      <w:r>
        <w:rPr>
          <w:rFonts w:hint="eastAsia" w:ascii="宋体" w:hAnsi="宋体" w:cs="宋体"/>
          <w:szCs w:val="24"/>
          <w:lang w:val="en-US" w:eastAsia="zh-CN"/>
        </w:rPr>
        <w:t>16</w:t>
      </w:r>
      <w:r>
        <w:rPr>
          <w:rFonts w:hint="eastAsia" w:ascii="宋体" w:hAnsi="宋体" w:cs="宋体"/>
          <w:szCs w:val="24"/>
        </w:rPr>
        <w:t>日</w:t>
      </w:r>
      <w:r>
        <w:rPr>
          <w:rFonts w:hint="eastAsia" w:ascii="宋体" w:hAnsi="宋体" w:cs="宋体"/>
          <w:szCs w:val="24"/>
          <w:lang w:val="en-US" w:eastAsia="zh-CN"/>
        </w:rPr>
        <w:t>13</w:t>
      </w:r>
      <w:r>
        <w:rPr>
          <w:rFonts w:hint="eastAsia" w:ascii="宋体" w:hAnsi="宋体" w:cs="宋体"/>
          <w:bCs/>
          <w:szCs w:val="24"/>
        </w:rPr>
        <w:t>点</w:t>
      </w:r>
      <w:r>
        <w:rPr>
          <w:rFonts w:hint="eastAsia" w:ascii="宋体" w:hAnsi="宋体" w:cs="宋体"/>
          <w:bCs/>
          <w:szCs w:val="24"/>
          <w:lang w:val="en-US" w:eastAsia="zh-CN"/>
        </w:rPr>
        <w:t>3</w:t>
      </w:r>
      <w:r>
        <w:rPr>
          <w:rFonts w:hint="eastAsia" w:ascii="宋体" w:hAnsi="宋体" w:cs="宋体"/>
          <w:szCs w:val="24"/>
        </w:rPr>
        <w:t>0</w:t>
      </w:r>
      <w:r>
        <w:rPr>
          <w:rFonts w:hint="eastAsia" w:ascii="宋体" w:hAnsi="宋体" w:cs="宋体"/>
          <w:bCs/>
          <w:szCs w:val="24"/>
        </w:rPr>
        <w:t>分</w:t>
      </w:r>
      <w:r>
        <w:rPr>
          <w:rFonts w:hint="eastAsia" w:ascii="宋体" w:hAnsi="宋体" w:cs="宋体"/>
          <w:szCs w:val="24"/>
        </w:rPr>
        <w:t>至2022年0</w:t>
      </w:r>
      <w:r>
        <w:rPr>
          <w:rFonts w:hint="eastAsia" w:ascii="宋体" w:hAnsi="宋体" w:cs="宋体"/>
          <w:szCs w:val="24"/>
          <w:lang w:val="en-US" w:eastAsia="zh-CN"/>
        </w:rPr>
        <w:t>9</w:t>
      </w:r>
      <w:r>
        <w:rPr>
          <w:rFonts w:hint="eastAsia" w:ascii="宋体" w:hAnsi="宋体" w:cs="宋体"/>
          <w:szCs w:val="24"/>
        </w:rPr>
        <w:t>月</w:t>
      </w:r>
      <w:r>
        <w:rPr>
          <w:rFonts w:hint="eastAsia" w:ascii="宋体" w:hAnsi="宋体" w:cs="宋体"/>
          <w:szCs w:val="24"/>
          <w:lang w:val="en-US" w:eastAsia="zh-CN"/>
        </w:rPr>
        <w:t>16</w:t>
      </w:r>
      <w:r>
        <w:rPr>
          <w:rFonts w:hint="eastAsia" w:ascii="宋体" w:hAnsi="宋体" w:cs="宋体"/>
          <w:szCs w:val="24"/>
        </w:rPr>
        <w:t>日</w:t>
      </w:r>
      <w:r>
        <w:rPr>
          <w:rFonts w:hint="eastAsia" w:ascii="宋体" w:hAnsi="宋体" w:cs="宋体"/>
          <w:szCs w:val="24"/>
          <w:lang w:val="en-US" w:eastAsia="zh-CN"/>
        </w:rPr>
        <w:t>14</w:t>
      </w:r>
      <w:r>
        <w:rPr>
          <w:rFonts w:hint="eastAsia" w:ascii="宋体" w:hAnsi="宋体" w:cs="宋体"/>
          <w:bCs/>
          <w:szCs w:val="24"/>
        </w:rPr>
        <w:t>点</w:t>
      </w:r>
      <w:r>
        <w:rPr>
          <w:rFonts w:hint="eastAsia" w:ascii="宋体" w:hAnsi="宋体" w:cs="宋体"/>
          <w:bCs/>
          <w:szCs w:val="24"/>
          <w:lang w:val="en-US" w:eastAsia="zh-CN"/>
        </w:rPr>
        <w:t>0</w:t>
      </w:r>
      <w:r>
        <w:rPr>
          <w:rFonts w:hint="eastAsia" w:ascii="宋体" w:hAnsi="宋体" w:cs="宋体"/>
          <w:szCs w:val="24"/>
        </w:rPr>
        <w:t>0</w:t>
      </w:r>
      <w:r>
        <w:rPr>
          <w:rFonts w:hint="eastAsia" w:ascii="宋体" w:hAnsi="宋体" w:cs="宋体"/>
          <w:bCs/>
          <w:szCs w:val="24"/>
        </w:rPr>
        <w:t>分</w:t>
      </w:r>
      <w:r>
        <w:rPr>
          <w:rFonts w:hint="eastAsia" w:ascii="宋体" w:hAnsi="宋体" w:cs="宋体"/>
          <w:szCs w:val="24"/>
        </w:rPr>
        <w:t>（北京时间）</w:t>
      </w:r>
    </w:p>
    <w:p>
      <w:pPr>
        <w:spacing w:before="120" w:after="120" w:line="360" w:lineRule="auto"/>
        <w:ind w:firstLine="482" w:firstLineChars="200"/>
        <w:rPr>
          <w:rFonts w:ascii="宋体" w:hAnsi="宋体" w:cs="宋体"/>
          <w:bCs/>
          <w:iCs/>
          <w:color w:val="0000FF"/>
          <w:szCs w:val="24"/>
          <w:u w:val="single"/>
        </w:rPr>
      </w:pPr>
      <w:r>
        <w:rPr>
          <w:rFonts w:hint="eastAsia" w:ascii="宋体" w:hAnsi="宋体" w:cs="宋体"/>
          <w:b/>
          <w:bCs/>
          <w:szCs w:val="24"/>
        </w:rPr>
        <w:t>截止时间</w:t>
      </w:r>
      <w:r>
        <w:rPr>
          <w:rFonts w:hint="eastAsia" w:ascii="宋体" w:hAnsi="宋体" w:cs="宋体"/>
          <w:szCs w:val="24"/>
        </w:rPr>
        <w:t>：2022年0</w:t>
      </w:r>
      <w:r>
        <w:rPr>
          <w:rFonts w:hint="eastAsia" w:ascii="宋体" w:hAnsi="宋体" w:cs="宋体"/>
          <w:szCs w:val="24"/>
          <w:lang w:val="en-US" w:eastAsia="zh-CN"/>
        </w:rPr>
        <w:t>9</w:t>
      </w:r>
      <w:r>
        <w:rPr>
          <w:rFonts w:hint="eastAsia" w:ascii="宋体" w:hAnsi="宋体" w:cs="宋体"/>
          <w:szCs w:val="24"/>
        </w:rPr>
        <w:t>月</w:t>
      </w:r>
      <w:r>
        <w:rPr>
          <w:rFonts w:hint="eastAsia" w:ascii="宋体" w:hAnsi="宋体" w:cs="宋体"/>
          <w:szCs w:val="24"/>
          <w:lang w:val="en-US" w:eastAsia="zh-CN"/>
        </w:rPr>
        <w:t>16</w:t>
      </w:r>
      <w:r>
        <w:rPr>
          <w:rFonts w:hint="eastAsia" w:ascii="宋体" w:hAnsi="宋体" w:cs="宋体"/>
          <w:szCs w:val="24"/>
        </w:rPr>
        <w:t>日</w:t>
      </w:r>
      <w:r>
        <w:rPr>
          <w:rFonts w:hint="eastAsia" w:ascii="宋体" w:hAnsi="宋体" w:cs="宋体"/>
          <w:szCs w:val="24"/>
          <w:lang w:val="en-US" w:eastAsia="zh-CN"/>
        </w:rPr>
        <w:t>14</w:t>
      </w:r>
      <w:r>
        <w:rPr>
          <w:rFonts w:hint="eastAsia" w:ascii="宋体" w:hAnsi="宋体" w:cs="宋体"/>
          <w:bCs/>
          <w:szCs w:val="24"/>
        </w:rPr>
        <w:t>点</w:t>
      </w:r>
      <w:r>
        <w:rPr>
          <w:rFonts w:hint="eastAsia" w:ascii="宋体" w:hAnsi="宋体" w:cs="宋体"/>
          <w:bCs/>
          <w:szCs w:val="24"/>
          <w:lang w:val="en-US" w:eastAsia="zh-CN"/>
        </w:rPr>
        <w:t>0</w:t>
      </w:r>
      <w:r>
        <w:rPr>
          <w:rFonts w:hint="eastAsia" w:ascii="宋体" w:hAnsi="宋体" w:cs="宋体"/>
          <w:szCs w:val="24"/>
        </w:rPr>
        <w:t>0</w:t>
      </w:r>
      <w:r>
        <w:rPr>
          <w:rFonts w:hint="eastAsia" w:ascii="宋体" w:hAnsi="宋体" w:cs="宋体"/>
          <w:bCs/>
          <w:szCs w:val="24"/>
        </w:rPr>
        <w:t>分（北京时间）</w:t>
      </w:r>
    </w:p>
    <w:p>
      <w:pPr>
        <w:spacing w:before="120" w:after="120" w:line="360" w:lineRule="auto"/>
        <w:ind w:firstLine="482" w:firstLineChars="200"/>
        <w:jc w:val="both"/>
        <w:rPr>
          <w:rFonts w:ascii="宋体" w:hAnsi="宋体" w:cs="宋体"/>
          <w:bCs/>
          <w:szCs w:val="24"/>
          <w:u w:val="single"/>
        </w:rPr>
      </w:pPr>
      <w:r>
        <w:rPr>
          <w:rFonts w:hint="eastAsia" w:ascii="宋体" w:hAnsi="宋体" w:cs="宋体"/>
          <w:b/>
          <w:bCs/>
          <w:szCs w:val="24"/>
        </w:rPr>
        <w:t>地点</w:t>
      </w:r>
      <w:r>
        <w:rPr>
          <w:rFonts w:hint="eastAsia" w:ascii="宋体" w:hAnsi="宋体" w:cs="宋体"/>
          <w:szCs w:val="24"/>
        </w:rPr>
        <w:t>：</w:t>
      </w:r>
      <w:r>
        <w:rPr>
          <w:rFonts w:hint="eastAsia" w:ascii="宋体" w:hAnsi="宋体" w:cs="宋体"/>
          <w:bCs/>
          <w:szCs w:val="21"/>
        </w:rPr>
        <w:t>北京市朝阳区东三环南路甲52号楼顺迈金钻国际商务中心9层9c</w:t>
      </w:r>
    </w:p>
    <w:p>
      <w:pPr>
        <w:pStyle w:val="4"/>
        <w:spacing w:before="120" w:after="120" w:line="360" w:lineRule="auto"/>
        <w:rPr>
          <w:rFonts w:ascii="宋体" w:hAnsi="宋体" w:eastAsia="宋体" w:cs="宋体"/>
          <w:bCs w:val="0"/>
          <w:color w:val="0000FF"/>
          <w:sz w:val="24"/>
          <w:szCs w:val="24"/>
        </w:rPr>
      </w:pPr>
      <w:bookmarkStart w:id="25" w:name="_Toc28359093"/>
      <w:bookmarkStart w:id="26" w:name="_Toc35393633"/>
      <w:bookmarkStart w:id="27" w:name="_Toc28359016"/>
      <w:bookmarkStart w:id="28" w:name="_Toc35393802"/>
      <w:r>
        <w:rPr>
          <w:rFonts w:hint="eastAsia" w:ascii="宋体" w:hAnsi="宋体" w:eastAsia="宋体" w:cs="宋体"/>
          <w:bCs w:val="0"/>
          <w:sz w:val="24"/>
          <w:szCs w:val="24"/>
        </w:rPr>
        <w:t>五、开启</w:t>
      </w:r>
      <w:bookmarkEnd w:id="25"/>
      <w:bookmarkEnd w:id="26"/>
      <w:bookmarkEnd w:id="27"/>
      <w:bookmarkEnd w:id="28"/>
    </w:p>
    <w:p>
      <w:pPr>
        <w:spacing w:before="120" w:after="120" w:line="360" w:lineRule="auto"/>
        <w:ind w:firstLine="482" w:firstLineChars="200"/>
        <w:rPr>
          <w:rFonts w:ascii="宋体" w:hAnsi="宋体" w:cs="宋体"/>
          <w:bCs/>
          <w:szCs w:val="24"/>
          <w:u w:val="single"/>
        </w:rPr>
      </w:pPr>
      <w:r>
        <w:rPr>
          <w:rFonts w:hint="eastAsia" w:ascii="宋体" w:hAnsi="宋体" w:cs="宋体"/>
          <w:b/>
          <w:bCs/>
          <w:szCs w:val="24"/>
        </w:rPr>
        <w:t>时间：</w:t>
      </w:r>
      <w:r>
        <w:rPr>
          <w:rFonts w:hint="eastAsia" w:ascii="宋体" w:hAnsi="宋体" w:cs="宋体"/>
          <w:szCs w:val="24"/>
        </w:rPr>
        <w:t>2022年0</w:t>
      </w:r>
      <w:r>
        <w:rPr>
          <w:rFonts w:hint="eastAsia" w:ascii="宋体" w:hAnsi="宋体" w:cs="宋体"/>
          <w:szCs w:val="24"/>
          <w:lang w:val="en-US" w:eastAsia="zh-CN"/>
        </w:rPr>
        <w:t>9</w:t>
      </w:r>
      <w:r>
        <w:rPr>
          <w:rFonts w:hint="eastAsia" w:ascii="宋体" w:hAnsi="宋体" w:cs="宋体"/>
          <w:szCs w:val="24"/>
        </w:rPr>
        <w:t>月</w:t>
      </w:r>
      <w:r>
        <w:rPr>
          <w:rFonts w:hint="eastAsia" w:ascii="宋体" w:hAnsi="宋体" w:cs="宋体"/>
          <w:szCs w:val="24"/>
          <w:lang w:val="en-US" w:eastAsia="zh-CN"/>
        </w:rPr>
        <w:t>16</w:t>
      </w:r>
      <w:r>
        <w:rPr>
          <w:rFonts w:hint="eastAsia" w:ascii="宋体" w:hAnsi="宋体" w:cs="宋体"/>
          <w:szCs w:val="24"/>
        </w:rPr>
        <w:t>日</w:t>
      </w:r>
      <w:r>
        <w:rPr>
          <w:rFonts w:hint="eastAsia" w:ascii="宋体" w:hAnsi="宋体" w:cs="宋体"/>
          <w:szCs w:val="24"/>
          <w:lang w:val="en-US" w:eastAsia="zh-CN"/>
        </w:rPr>
        <w:t>14</w:t>
      </w:r>
      <w:r>
        <w:rPr>
          <w:rFonts w:hint="eastAsia" w:ascii="宋体" w:hAnsi="宋体" w:cs="宋体"/>
          <w:bCs/>
          <w:szCs w:val="24"/>
        </w:rPr>
        <w:t>点</w:t>
      </w:r>
      <w:r>
        <w:rPr>
          <w:rFonts w:hint="eastAsia" w:ascii="宋体" w:hAnsi="宋体" w:cs="宋体"/>
          <w:bCs/>
          <w:szCs w:val="24"/>
          <w:lang w:val="en-US" w:eastAsia="zh-CN"/>
        </w:rPr>
        <w:t>0</w:t>
      </w:r>
      <w:r>
        <w:rPr>
          <w:rFonts w:hint="eastAsia" w:ascii="宋体" w:hAnsi="宋体" w:cs="宋体"/>
          <w:szCs w:val="24"/>
        </w:rPr>
        <w:t>0</w:t>
      </w:r>
      <w:r>
        <w:rPr>
          <w:rFonts w:hint="eastAsia" w:ascii="宋体" w:hAnsi="宋体" w:cs="宋体"/>
          <w:bCs/>
          <w:szCs w:val="24"/>
        </w:rPr>
        <w:t>分（北京时间）</w:t>
      </w:r>
    </w:p>
    <w:p>
      <w:pPr>
        <w:spacing w:before="120" w:after="120" w:line="360" w:lineRule="auto"/>
        <w:ind w:firstLine="482" w:firstLineChars="200"/>
        <w:rPr>
          <w:rFonts w:ascii="宋体" w:hAnsi="宋体" w:cs="宋体"/>
          <w:bCs/>
          <w:szCs w:val="24"/>
          <w:u w:val="single"/>
        </w:rPr>
      </w:pPr>
      <w:r>
        <w:rPr>
          <w:rFonts w:hint="eastAsia" w:ascii="宋体" w:hAnsi="宋体" w:cs="宋体"/>
          <w:b/>
          <w:bCs/>
          <w:szCs w:val="24"/>
        </w:rPr>
        <w:t>地点：</w:t>
      </w:r>
      <w:r>
        <w:rPr>
          <w:rFonts w:hint="eastAsia" w:ascii="宋体" w:hAnsi="宋体" w:cs="宋体"/>
          <w:bCs/>
          <w:szCs w:val="21"/>
        </w:rPr>
        <w:t>北京市朝阳区东三环南路甲52号楼顺迈金钻国际商务中心9层9c</w:t>
      </w:r>
    </w:p>
    <w:p>
      <w:pPr>
        <w:pStyle w:val="4"/>
        <w:spacing w:before="120" w:after="120" w:line="360" w:lineRule="auto"/>
        <w:rPr>
          <w:rFonts w:ascii="宋体" w:hAnsi="宋体" w:eastAsia="宋体" w:cs="宋体"/>
          <w:bCs w:val="0"/>
          <w:sz w:val="24"/>
          <w:szCs w:val="24"/>
        </w:rPr>
      </w:pPr>
      <w:bookmarkStart w:id="29" w:name="_Toc28359094"/>
      <w:bookmarkStart w:id="30" w:name="_Toc28359017"/>
      <w:bookmarkStart w:id="31" w:name="_Toc35393803"/>
      <w:bookmarkStart w:id="32" w:name="_Toc35393634"/>
      <w:r>
        <w:rPr>
          <w:rFonts w:hint="eastAsia" w:ascii="宋体" w:hAnsi="宋体" w:eastAsia="宋体" w:cs="宋体"/>
          <w:bCs w:val="0"/>
          <w:sz w:val="24"/>
          <w:szCs w:val="24"/>
        </w:rPr>
        <w:t>六、公告期限</w:t>
      </w:r>
      <w:bookmarkEnd w:id="29"/>
      <w:bookmarkEnd w:id="30"/>
      <w:bookmarkEnd w:id="31"/>
      <w:bookmarkEnd w:id="32"/>
    </w:p>
    <w:p>
      <w:pPr>
        <w:spacing w:before="120" w:after="120" w:line="360" w:lineRule="auto"/>
        <w:ind w:firstLine="480" w:firstLineChars="200"/>
        <w:rPr>
          <w:rFonts w:ascii="宋体" w:hAnsi="宋体" w:cs="宋体"/>
          <w:szCs w:val="24"/>
        </w:rPr>
      </w:pPr>
      <w:r>
        <w:rPr>
          <w:rFonts w:hint="eastAsia" w:ascii="宋体" w:hAnsi="宋体" w:cs="宋体"/>
          <w:szCs w:val="24"/>
        </w:rPr>
        <w:t>自本公告发布之日起3个工作日。</w:t>
      </w:r>
    </w:p>
    <w:p>
      <w:pPr>
        <w:pStyle w:val="4"/>
        <w:numPr>
          <w:ilvl w:val="0"/>
          <w:numId w:val="1"/>
        </w:numPr>
        <w:spacing w:before="120" w:after="120" w:line="360" w:lineRule="auto"/>
        <w:rPr>
          <w:rFonts w:ascii="宋体" w:hAnsi="宋体" w:eastAsia="宋体" w:cs="宋体"/>
          <w:bCs w:val="0"/>
          <w:sz w:val="24"/>
          <w:szCs w:val="24"/>
        </w:rPr>
      </w:pPr>
      <w:bookmarkStart w:id="33" w:name="_Toc35393804"/>
      <w:bookmarkStart w:id="34" w:name="_Toc35393635"/>
      <w:r>
        <w:rPr>
          <w:rFonts w:hint="eastAsia" w:ascii="宋体" w:hAnsi="宋体" w:eastAsia="宋体" w:cs="宋体"/>
          <w:bCs w:val="0"/>
          <w:sz w:val="24"/>
          <w:szCs w:val="24"/>
        </w:rPr>
        <w:t>其他补充事宜</w:t>
      </w:r>
      <w:bookmarkEnd w:id="33"/>
      <w:bookmarkEnd w:id="34"/>
    </w:p>
    <w:p>
      <w:pPr>
        <w:pStyle w:val="4"/>
        <w:widowControl w:val="0"/>
        <w:adjustRightInd/>
        <w:spacing w:before="120" w:beforeLines="50" w:after="120" w:afterLines="50" w:line="360" w:lineRule="auto"/>
        <w:ind w:firstLine="482" w:firstLineChars="200"/>
        <w:textAlignment w:val="auto"/>
        <w:rPr>
          <w:rFonts w:ascii="宋体" w:hAnsi="宋体" w:eastAsia="宋体" w:cs="宋体"/>
          <w:b w:val="0"/>
          <w:kern w:val="2"/>
          <w:sz w:val="24"/>
          <w:szCs w:val="24"/>
        </w:rPr>
      </w:pPr>
      <w:r>
        <w:rPr>
          <w:rFonts w:hint="eastAsia" w:ascii="宋体" w:hAnsi="宋体" w:eastAsia="宋体" w:cs="宋体"/>
          <w:bCs w:val="0"/>
          <w:kern w:val="2"/>
          <w:sz w:val="24"/>
          <w:szCs w:val="24"/>
        </w:rPr>
        <w:t>评分方法和标准：</w:t>
      </w:r>
      <w:r>
        <w:rPr>
          <w:rFonts w:hint="eastAsia" w:ascii="宋体" w:hAnsi="宋体" w:eastAsia="宋体" w:cs="宋体"/>
          <w:b w:val="0"/>
          <w:kern w:val="2"/>
          <w:sz w:val="24"/>
          <w:szCs w:val="24"/>
        </w:rPr>
        <w:t>综合评分法</w:t>
      </w:r>
    </w:p>
    <w:p>
      <w:pPr>
        <w:adjustRightInd/>
        <w:spacing w:before="120" w:beforeLines="50" w:after="120" w:afterLines="50" w:line="360" w:lineRule="auto"/>
        <w:ind w:firstLine="482" w:firstLineChars="200"/>
        <w:textAlignment w:val="auto"/>
        <w:rPr>
          <w:rFonts w:ascii="宋体" w:hAnsi="宋体" w:cs="宋体"/>
          <w:szCs w:val="24"/>
        </w:rPr>
      </w:pPr>
      <w:r>
        <w:rPr>
          <w:rFonts w:hint="eastAsia" w:ascii="宋体" w:hAnsi="宋体" w:cs="宋体"/>
          <w:b/>
          <w:kern w:val="2"/>
          <w:szCs w:val="24"/>
        </w:rPr>
        <w:t>公告发布媒介：</w:t>
      </w:r>
      <w:r>
        <w:rPr>
          <w:rFonts w:hint="eastAsia" w:ascii="宋体" w:hAnsi="宋体" w:cs="宋体"/>
          <w:bCs/>
          <w:kern w:val="2"/>
          <w:szCs w:val="24"/>
        </w:rPr>
        <w:t>中国政府采购网</w:t>
      </w:r>
    </w:p>
    <w:p>
      <w:pPr>
        <w:pStyle w:val="4"/>
        <w:spacing w:before="120" w:after="120" w:line="360" w:lineRule="auto"/>
        <w:rPr>
          <w:rFonts w:ascii="宋体" w:hAnsi="宋体" w:eastAsia="宋体" w:cs="宋体"/>
          <w:bCs w:val="0"/>
          <w:sz w:val="24"/>
          <w:szCs w:val="24"/>
        </w:rPr>
      </w:pPr>
      <w:bookmarkStart w:id="35" w:name="_Toc35393805"/>
      <w:bookmarkStart w:id="36" w:name="_Toc28359018"/>
      <w:bookmarkStart w:id="37" w:name="_Toc35393636"/>
      <w:bookmarkStart w:id="38" w:name="_Toc28359095"/>
      <w:r>
        <w:rPr>
          <w:rFonts w:hint="eastAsia" w:ascii="宋体" w:hAnsi="宋体" w:eastAsia="宋体" w:cs="宋体"/>
          <w:bCs w:val="0"/>
          <w:sz w:val="24"/>
          <w:szCs w:val="24"/>
        </w:rPr>
        <w:t>八、凡对本次采购提出询问，请按以下方式联系</w:t>
      </w:r>
      <w:bookmarkEnd w:id="35"/>
      <w:bookmarkEnd w:id="36"/>
      <w:bookmarkEnd w:id="37"/>
      <w:bookmarkEnd w:id="38"/>
    </w:p>
    <w:p>
      <w:pPr>
        <w:spacing w:line="360" w:lineRule="auto"/>
        <w:ind w:firstLine="482" w:firstLineChars="200"/>
        <w:rPr>
          <w:rFonts w:ascii="宋体" w:hAnsi="宋体" w:cs="宋体"/>
          <w:szCs w:val="24"/>
        </w:rPr>
      </w:pPr>
      <w:r>
        <w:rPr>
          <w:rFonts w:hint="eastAsia" w:ascii="宋体" w:hAnsi="宋体" w:cs="宋体"/>
          <w:b/>
          <w:bCs/>
          <w:szCs w:val="24"/>
        </w:rPr>
        <w:t>1.采购人信息</w:t>
      </w:r>
    </w:p>
    <w:p>
      <w:pPr>
        <w:spacing w:line="360" w:lineRule="auto"/>
        <w:ind w:firstLine="480" w:firstLineChars="200"/>
        <w:rPr>
          <w:rFonts w:hint="eastAsia" w:ascii="宋体" w:hAnsi="宋体" w:eastAsia="宋体" w:cs="宋体"/>
          <w:szCs w:val="24"/>
          <w:lang w:eastAsia="zh-CN"/>
        </w:rPr>
      </w:pPr>
      <w:r>
        <w:rPr>
          <w:rFonts w:hint="eastAsia" w:ascii="宋体" w:hAnsi="宋体" w:cs="宋体"/>
          <w:szCs w:val="24"/>
        </w:rPr>
        <w:t>采购人名称：</w:t>
      </w:r>
      <w:r>
        <w:rPr>
          <w:rFonts w:hint="eastAsia" w:ascii="宋体" w:hAnsi="宋体" w:cs="宋体"/>
          <w:szCs w:val="24"/>
          <w:lang w:eastAsia="zh-CN"/>
        </w:rPr>
        <w:t>ZYCGR22011905</w:t>
      </w:r>
    </w:p>
    <w:p>
      <w:pPr>
        <w:spacing w:line="360" w:lineRule="auto"/>
        <w:ind w:firstLine="480" w:firstLineChars="200"/>
        <w:rPr>
          <w:rFonts w:ascii="宋体" w:hAnsi="宋体" w:cs="宋体"/>
          <w:szCs w:val="24"/>
        </w:rPr>
      </w:pPr>
      <w:r>
        <w:rPr>
          <w:rFonts w:hint="eastAsia" w:ascii="宋体" w:hAnsi="宋体" w:cs="宋体"/>
          <w:szCs w:val="24"/>
        </w:rPr>
        <w:t xml:space="preserve">联系人：贾老师      </w:t>
      </w:r>
    </w:p>
    <w:p>
      <w:pPr>
        <w:spacing w:line="360" w:lineRule="auto"/>
        <w:ind w:firstLine="480" w:firstLineChars="200"/>
        <w:rPr>
          <w:rFonts w:ascii="宋体" w:hAnsi="宋体" w:cs="宋体"/>
          <w:szCs w:val="24"/>
        </w:rPr>
      </w:pPr>
      <w:r>
        <w:rPr>
          <w:rFonts w:hint="eastAsia" w:ascii="宋体" w:hAnsi="宋体" w:cs="宋体"/>
          <w:szCs w:val="24"/>
        </w:rPr>
        <w:t>办公电话：010-62602809</w:t>
      </w:r>
    </w:p>
    <w:p>
      <w:pPr>
        <w:spacing w:line="360" w:lineRule="auto"/>
        <w:ind w:firstLine="482" w:firstLineChars="200"/>
        <w:rPr>
          <w:rFonts w:ascii="宋体" w:hAnsi="宋体" w:cs="宋体"/>
          <w:b/>
          <w:bCs/>
          <w:szCs w:val="24"/>
        </w:rPr>
      </w:pPr>
      <w:r>
        <w:rPr>
          <w:rFonts w:hint="eastAsia" w:ascii="宋体" w:hAnsi="宋体" w:cs="宋体"/>
          <w:b/>
          <w:bCs/>
          <w:szCs w:val="24"/>
        </w:rPr>
        <w:t>2.采购代理机构信息</w:t>
      </w:r>
    </w:p>
    <w:p>
      <w:pPr>
        <w:spacing w:line="360" w:lineRule="auto"/>
        <w:ind w:firstLine="480" w:firstLineChars="200"/>
        <w:rPr>
          <w:rFonts w:ascii="宋体" w:hAnsi="宋体" w:cs="宋体"/>
          <w:szCs w:val="24"/>
        </w:rPr>
      </w:pPr>
      <w:r>
        <w:rPr>
          <w:rFonts w:hint="eastAsia" w:ascii="宋体" w:hAnsi="宋体" w:cs="宋体"/>
          <w:szCs w:val="24"/>
        </w:rPr>
        <w:t xml:space="preserve">名称：国金招标有限公司 </w:t>
      </w:r>
    </w:p>
    <w:p>
      <w:pPr>
        <w:spacing w:line="360" w:lineRule="auto"/>
        <w:ind w:firstLine="480" w:firstLineChars="200"/>
        <w:rPr>
          <w:rFonts w:ascii="宋体" w:hAnsi="宋体" w:cs="宋体"/>
          <w:szCs w:val="24"/>
        </w:rPr>
      </w:pPr>
      <w:r>
        <w:rPr>
          <w:rFonts w:hint="eastAsia" w:ascii="宋体" w:hAnsi="宋体" w:cs="宋体"/>
          <w:szCs w:val="24"/>
        </w:rPr>
        <w:t>地址：北京市朝阳区东三环南路甲52号顺迈金钻国际商务中心9层9C</w:t>
      </w:r>
    </w:p>
    <w:p>
      <w:pPr>
        <w:spacing w:line="360" w:lineRule="auto"/>
        <w:ind w:firstLine="480" w:firstLineChars="200"/>
        <w:rPr>
          <w:rFonts w:ascii="宋体" w:hAnsi="宋体" w:cs="宋体"/>
          <w:szCs w:val="24"/>
        </w:rPr>
      </w:pPr>
      <w:r>
        <w:rPr>
          <w:rFonts w:hint="eastAsia" w:ascii="宋体" w:hAnsi="宋体" w:cs="宋体"/>
          <w:szCs w:val="24"/>
        </w:rPr>
        <w:t>联系方式：杨振豪、孙涛、张含勇010-56225116</w:t>
      </w:r>
    </w:p>
    <w:p>
      <w:pPr>
        <w:spacing w:line="360" w:lineRule="auto"/>
        <w:ind w:firstLine="482" w:firstLineChars="200"/>
        <w:rPr>
          <w:rFonts w:ascii="宋体" w:hAnsi="宋体" w:cs="宋体"/>
          <w:b/>
          <w:bCs/>
          <w:szCs w:val="24"/>
        </w:rPr>
      </w:pPr>
      <w:r>
        <w:rPr>
          <w:rFonts w:hint="eastAsia" w:ascii="宋体" w:hAnsi="宋体" w:cs="宋体"/>
          <w:b/>
          <w:bCs/>
          <w:szCs w:val="24"/>
        </w:rPr>
        <w:t>3.项目联系方式</w:t>
      </w:r>
    </w:p>
    <w:p>
      <w:pPr>
        <w:spacing w:line="360" w:lineRule="auto"/>
        <w:ind w:firstLine="480" w:firstLineChars="200"/>
        <w:rPr>
          <w:rFonts w:ascii="宋体" w:hAnsi="宋体" w:cs="宋体"/>
          <w:szCs w:val="24"/>
        </w:rPr>
      </w:pPr>
      <w:r>
        <w:rPr>
          <w:rFonts w:hint="eastAsia" w:ascii="宋体" w:hAnsi="宋体" w:cs="宋体"/>
          <w:szCs w:val="24"/>
        </w:rPr>
        <w:t xml:space="preserve">项目联系人：杨振豪、孙涛、张含勇         </w:t>
      </w:r>
    </w:p>
    <w:p>
      <w:pPr>
        <w:spacing w:line="360" w:lineRule="auto"/>
        <w:ind w:firstLine="480" w:firstLineChars="200"/>
        <w:rPr>
          <w:rFonts w:ascii="宋体" w:hAnsi="宋体" w:cs="宋体"/>
          <w:szCs w:val="24"/>
        </w:rPr>
      </w:pPr>
      <w:r>
        <w:rPr>
          <w:rFonts w:hint="eastAsia" w:ascii="宋体" w:hAnsi="宋体" w:cs="宋体"/>
          <w:szCs w:val="24"/>
        </w:rPr>
        <w:t>电话：010-56225116</w:t>
      </w:r>
    </w:p>
    <w:p>
      <w:pPr>
        <w:spacing w:line="360" w:lineRule="auto"/>
        <w:ind w:firstLine="480" w:firstLineChars="200"/>
        <w:rPr>
          <w:rFonts w:ascii="宋体" w:hAnsi="宋体" w:cs="宋体"/>
          <w:szCs w:val="24"/>
        </w:rPr>
      </w:pPr>
    </w:p>
    <w:p>
      <w:pPr>
        <w:spacing w:line="360" w:lineRule="auto"/>
        <w:ind w:right="480" w:firstLine="480" w:firstLineChars="200"/>
        <w:jc w:val="right"/>
        <w:rPr>
          <w:rFonts w:ascii="宋体" w:hAnsi="宋体" w:cs="宋体"/>
          <w:szCs w:val="24"/>
        </w:rPr>
      </w:pPr>
    </w:p>
    <w:p>
      <w:pPr>
        <w:spacing w:line="360" w:lineRule="auto"/>
        <w:ind w:right="480" w:firstLine="480" w:firstLineChars="200"/>
        <w:jc w:val="right"/>
        <w:rPr>
          <w:rFonts w:ascii="宋体" w:hAnsi="宋体" w:cs="宋体"/>
          <w:szCs w:val="24"/>
        </w:rPr>
      </w:pPr>
      <w:r>
        <w:rPr>
          <w:rFonts w:hint="eastAsia" w:ascii="宋体" w:hAnsi="宋体" w:cs="宋体"/>
          <w:szCs w:val="24"/>
        </w:rPr>
        <w:t>国金招标有限公司</w:t>
      </w:r>
    </w:p>
    <w:p>
      <w:pPr>
        <w:wordWrap w:val="0"/>
        <w:spacing w:line="360" w:lineRule="auto"/>
        <w:ind w:right="480" w:firstLine="480" w:firstLineChars="200"/>
        <w:jc w:val="right"/>
        <w:rPr>
          <w:rFonts w:hint="default" w:ascii="宋体" w:hAnsi="宋体" w:eastAsia="宋体" w:cs="宋体"/>
          <w:szCs w:val="24"/>
          <w:lang w:val="en-US" w:eastAsia="zh-CN"/>
        </w:rPr>
      </w:pPr>
      <w:r>
        <w:rPr>
          <w:rFonts w:hint="eastAsia" w:ascii="宋体" w:hAnsi="宋体" w:cs="宋体"/>
          <w:szCs w:val="24"/>
        </w:rPr>
        <w:t xml:space="preserve">  2022年 0</w:t>
      </w:r>
      <w:r>
        <w:rPr>
          <w:rFonts w:hint="eastAsia" w:ascii="宋体" w:hAnsi="宋体" w:cs="宋体"/>
          <w:szCs w:val="24"/>
          <w:lang w:val="en-US" w:eastAsia="zh-CN"/>
        </w:rPr>
        <w:t>9</w:t>
      </w:r>
      <w:r>
        <w:rPr>
          <w:rFonts w:hint="eastAsia" w:ascii="宋体" w:hAnsi="宋体" w:cs="宋体"/>
          <w:szCs w:val="24"/>
        </w:rPr>
        <w:t>月</w:t>
      </w:r>
      <w:r>
        <w:rPr>
          <w:rFonts w:hint="eastAsia" w:ascii="宋体" w:hAnsi="宋体" w:cs="宋体"/>
          <w:szCs w:val="24"/>
          <w:lang w:val="en-US" w:eastAsia="zh-CN"/>
        </w:rPr>
        <w:t>05日</w:t>
      </w:r>
    </w:p>
    <w:p>
      <w:pPr>
        <w:pStyle w:val="4"/>
        <w:jc w:val="center"/>
      </w:pPr>
      <w:bookmarkStart w:id="39" w:name="_Toc22503"/>
      <w:bookmarkStart w:id="40" w:name="_Toc4633"/>
      <w:bookmarkStart w:id="41" w:name="_Toc8345"/>
      <w:bookmarkStart w:id="42" w:name="_Toc15785"/>
      <w:bookmarkStart w:id="43" w:name="_Toc5539"/>
      <w:bookmarkStart w:id="44" w:name="_Toc21592"/>
      <w:r>
        <w:rPr>
          <w:rFonts w:hint="eastAsia"/>
        </w:rPr>
        <w:t>第二章  供应商须知</w:t>
      </w:r>
      <w:bookmarkEnd w:id="39"/>
      <w:bookmarkEnd w:id="40"/>
      <w:bookmarkEnd w:id="41"/>
      <w:bookmarkEnd w:id="42"/>
      <w:bookmarkEnd w:id="43"/>
      <w:bookmarkEnd w:id="44"/>
    </w:p>
    <w:p>
      <w:pPr>
        <w:spacing w:line="360" w:lineRule="auto"/>
        <w:rPr>
          <w:rFonts w:ascii="宋体" w:hAnsi="宋体" w:cs="宋体"/>
        </w:rPr>
      </w:pPr>
    </w:p>
    <w:p>
      <w:pPr>
        <w:spacing w:line="360" w:lineRule="auto"/>
        <w:jc w:val="center"/>
        <w:rPr>
          <w:rFonts w:ascii="宋体" w:hAnsi="宋体" w:cs="宋体"/>
          <w:b/>
          <w:sz w:val="28"/>
          <w:szCs w:val="28"/>
        </w:rPr>
      </w:pPr>
      <w:r>
        <w:rPr>
          <w:rFonts w:hint="eastAsia" w:ascii="宋体" w:hAnsi="宋体" w:cs="宋体"/>
          <w:b/>
          <w:sz w:val="28"/>
          <w:szCs w:val="28"/>
        </w:rPr>
        <w:t>供应商须知前附表</w:t>
      </w:r>
    </w:p>
    <w:p>
      <w:pPr>
        <w:spacing w:line="360" w:lineRule="auto"/>
        <w:rPr>
          <w:rFonts w:ascii="宋体" w:hAnsi="宋体" w:cs="宋体"/>
          <w:szCs w:val="24"/>
        </w:rPr>
      </w:pPr>
      <w:r>
        <w:rPr>
          <w:rFonts w:hint="eastAsia" w:ascii="宋体" w:hAnsi="宋体" w:cs="宋体"/>
          <w:szCs w:val="24"/>
        </w:rPr>
        <w:t>注：本须知前附表是对供应商须知的修改和补充，如有矛盾，均以本表为准。</w:t>
      </w:r>
    </w:p>
    <w:tbl>
      <w:tblPr>
        <w:tblStyle w:val="4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73"/>
        <w:gridCol w:w="766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47" w:hRule="atLeast"/>
          <w:tblHeader/>
          <w:jc w:val="center"/>
        </w:trPr>
        <w:tc>
          <w:tcPr>
            <w:tcW w:w="773"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s="宋体"/>
                <w:b/>
                <w:bCs/>
              </w:rPr>
            </w:pPr>
            <w:r>
              <w:rPr>
                <w:rFonts w:hint="eastAsia" w:ascii="宋体" w:hAnsi="宋体" w:cs="宋体"/>
                <w:b/>
                <w:bCs/>
              </w:rPr>
              <w:t>序号</w:t>
            </w:r>
          </w:p>
        </w:tc>
        <w:tc>
          <w:tcPr>
            <w:tcW w:w="7667"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s="宋体"/>
                <w:b/>
                <w:bCs/>
              </w:rPr>
            </w:pPr>
            <w:r>
              <w:rPr>
                <w:rFonts w:hint="eastAsia" w:ascii="宋体" w:hAnsi="宋体" w:cs="宋体"/>
                <w:b/>
                <w:bCs/>
              </w:rPr>
              <w:t>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824" w:hRule="atLeast"/>
          <w:jc w:val="center"/>
        </w:trPr>
        <w:tc>
          <w:tcPr>
            <w:tcW w:w="773"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s="宋体"/>
              </w:rPr>
            </w:pPr>
            <w:r>
              <w:rPr>
                <w:rFonts w:hint="eastAsia" w:ascii="宋体" w:hAnsi="宋体" w:cs="宋体"/>
              </w:rPr>
              <w:t>1</w:t>
            </w:r>
          </w:p>
        </w:tc>
        <w:tc>
          <w:tcPr>
            <w:tcW w:w="7667" w:type="dxa"/>
            <w:tcBorders>
              <w:top w:val="single" w:color="auto" w:sz="6" w:space="0"/>
              <w:left w:val="single" w:color="auto" w:sz="6" w:space="0"/>
              <w:bottom w:val="single" w:color="auto" w:sz="6" w:space="0"/>
              <w:right w:val="single" w:color="auto" w:sz="6" w:space="0"/>
            </w:tcBorders>
            <w:vAlign w:val="center"/>
          </w:tcPr>
          <w:p>
            <w:pPr>
              <w:spacing w:line="360" w:lineRule="auto"/>
              <w:jc w:val="both"/>
              <w:rPr>
                <w:rFonts w:ascii="宋体" w:hAnsi="宋体" w:cs="宋体"/>
                <w:szCs w:val="22"/>
              </w:rPr>
            </w:pPr>
            <w:r>
              <w:rPr>
                <w:rFonts w:hint="eastAsia" w:ascii="宋体" w:hAnsi="宋体" w:cs="宋体"/>
                <w:szCs w:val="22"/>
              </w:rPr>
              <w:t>项目名称：某实验室会议辅助服务项目</w:t>
            </w:r>
          </w:p>
          <w:p>
            <w:pPr>
              <w:tabs>
                <w:tab w:val="left" w:pos="3299"/>
              </w:tabs>
              <w:spacing w:line="360" w:lineRule="auto"/>
              <w:jc w:val="both"/>
              <w:rPr>
                <w:rFonts w:ascii="宋体" w:hAnsi="宋体" w:cs="宋体"/>
              </w:rPr>
            </w:pPr>
            <w:r>
              <w:rPr>
                <w:rFonts w:hint="eastAsia" w:ascii="宋体" w:hAnsi="宋体" w:cs="宋体"/>
              </w:rPr>
              <w:t>项目编号：CFTC-BJ01-2203048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69" w:hRule="atLeast"/>
          <w:jc w:val="center"/>
        </w:trPr>
        <w:tc>
          <w:tcPr>
            <w:tcW w:w="773"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s="宋体"/>
              </w:rPr>
            </w:pPr>
            <w:r>
              <w:rPr>
                <w:rFonts w:hint="eastAsia" w:ascii="宋体" w:hAnsi="宋体" w:cs="宋体"/>
              </w:rPr>
              <w:t>2</w:t>
            </w:r>
          </w:p>
        </w:tc>
        <w:tc>
          <w:tcPr>
            <w:tcW w:w="7667"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cs="宋体"/>
                <w:szCs w:val="22"/>
              </w:rPr>
            </w:pPr>
            <w:r>
              <w:rPr>
                <w:rFonts w:hint="eastAsia" w:ascii="宋体" w:hAnsi="宋体" w:cs="宋体"/>
                <w:szCs w:val="22"/>
              </w:rPr>
              <w:t>采购项目预算金额：人民币</w:t>
            </w:r>
            <w:r>
              <w:rPr>
                <w:rFonts w:ascii="宋体" w:hAnsi="宋体" w:cs="宋体"/>
                <w:szCs w:val="22"/>
              </w:rPr>
              <w:t>183</w:t>
            </w:r>
            <w:r>
              <w:rPr>
                <w:rFonts w:hint="eastAsia" w:ascii="宋体" w:hAnsi="宋体" w:cs="宋体"/>
                <w:szCs w:val="22"/>
              </w:rPr>
              <w:t>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69" w:hRule="atLeast"/>
          <w:jc w:val="center"/>
        </w:trPr>
        <w:tc>
          <w:tcPr>
            <w:tcW w:w="773"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s="宋体"/>
              </w:rPr>
            </w:pPr>
            <w:r>
              <w:rPr>
                <w:rFonts w:hint="eastAsia" w:ascii="宋体" w:hAnsi="宋体" w:cs="宋体"/>
              </w:rPr>
              <w:t>3</w:t>
            </w:r>
          </w:p>
        </w:tc>
        <w:tc>
          <w:tcPr>
            <w:tcW w:w="7667" w:type="dxa"/>
            <w:tcBorders>
              <w:top w:val="single" w:color="auto" w:sz="6" w:space="0"/>
              <w:left w:val="single" w:color="auto" w:sz="6" w:space="0"/>
              <w:bottom w:val="single" w:color="auto" w:sz="6" w:space="0"/>
              <w:right w:val="single" w:color="auto" w:sz="6" w:space="0"/>
            </w:tcBorders>
            <w:vAlign w:val="center"/>
          </w:tcPr>
          <w:p>
            <w:pPr>
              <w:spacing w:line="360" w:lineRule="auto"/>
              <w:jc w:val="both"/>
              <w:rPr>
                <w:rFonts w:ascii="宋体" w:hAnsi="宋体" w:cs="宋体"/>
                <w:szCs w:val="22"/>
              </w:rPr>
            </w:pPr>
            <w:r>
              <w:rPr>
                <w:rFonts w:hint="eastAsia" w:ascii="宋体" w:hAnsi="宋体" w:cs="宋体"/>
                <w:szCs w:val="22"/>
              </w:rPr>
              <w:t>磋商保证金：20000元人民币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69" w:hRule="atLeast"/>
          <w:jc w:val="center"/>
        </w:trPr>
        <w:tc>
          <w:tcPr>
            <w:tcW w:w="773"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s="宋体"/>
              </w:rPr>
            </w:pPr>
            <w:r>
              <w:rPr>
                <w:rFonts w:hint="eastAsia" w:ascii="宋体" w:hAnsi="宋体" w:cs="宋体"/>
              </w:rPr>
              <w:t>4</w:t>
            </w:r>
          </w:p>
        </w:tc>
        <w:tc>
          <w:tcPr>
            <w:tcW w:w="7667" w:type="dxa"/>
            <w:tcBorders>
              <w:top w:val="single" w:color="auto" w:sz="6" w:space="0"/>
              <w:left w:val="single" w:color="auto" w:sz="6" w:space="0"/>
              <w:bottom w:val="single" w:color="auto" w:sz="6" w:space="0"/>
              <w:right w:val="single" w:color="auto" w:sz="6" w:space="0"/>
            </w:tcBorders>
            <w:vAlign w:val="center"/>
          </w:tcPr>
          <w:p>
            <w:pPr>
              <w:spacing w:line="360" w:lineRule="auto"/>
              <w:jc w:val="both"/>
              <w:rPr>
                <w:rFonts w:ascii="宋体" w:hAnsi="宋体" w:cs="宋体"/>
                <w:szCs w:val="21"/>
                <w:u w:val="single"/>
              </w:rPr>
            </w:pPr>
            <w:r>
              <w:rPr>
                <w:rFonts w:hint="eastAsia" w:ascii="宋体" w:hAnsi="宋体" w:cs="宋体"/>
                <w:szCs w:val="21"/>
              </w:rPr>
              <w:t>磋商保证金形式：</w:t>
            </w:r>
            <w:r>
              <w:rPr>
                <w:rFonts w:hint="eastAsia" w:ascii="宋体" w:hAnsi="宋体" w:cs="宋体"/>
                <w:szCs w:val="21"/>
                <w:u w:val="single"/>
              </w:rPr>
              <w:t>支票、汇票、本票、网上银行支付、金融机构或担保机构出具的保函等非现金形式</w:t>
            </w:r>
          </w:p>
          <w:p>
            <w:pPr>
              <w:spacing w:line="360" w:lineRule="auto"/>
              <w:jc w:val="both"/>
              <w:rPr>
                <w:rFonts w:ascii="宋体" w:hAnsi="宋体" w:cs="宋体"/>
                <w:b/>
                <w:bCs/>
                <w:szCs w:val="21"/>
                <w:u w:val="single"/>
              </w:rPr>
            </w:pPr>
            <w:r>
              <w:rPr>
                <w:rFonts w:hint="eastAsia" w:ascii="宋体" w:hAnsi="宋体" w:cs="宋体"/>
                <w:szCs w:val="21"/>
              </w:rPr>
              <w:t>磋商保证金提交截止时间：</w:t>
            </w:r>
            <w:r>
              <w:rPr>
                <w:rFonts w:hint="eastAsia" w:ascii="宋体" w:hAnsi="宋体" w:cs="宋体"/>
                <w:b/>
                <w:bCs/>
                <w:szCs w:val="21"/>
                <w:u w:val="single"/>
              </w:rPr>
              <w:t>供应商应在响应文件开启时间前按磋商文件规定的金额、形式等，将磋商保证金交到国金招标有限公司（采用电汇或网上银行支付的，须最迟与磋商截止时间同时到账。）</w:t>
            </w:r>
          </w:p>
          <w:p>
            <w:pPr>
              <w:spacing w:line="360" w:lineRule="auto"/>
              <w:jc w:val="both"/>
              <w:rPr>
                <w:rFonts w:ascii="宋体" w:hAnsi="宋体" w:cs="宋体"/>
                <w:szCs w:val="21"/>
              </w:rPr>
            </w:pPr>
            <w:r>
              <w:rPr>
                <w:rFonts w:hint="eastAsia" w:ascii="宋体" w:hAnsi="宋体" w:cs="宋体"/>
                <w:szCs w:val="21"/>
              </w:rPr>
              <w:t>收款单位：国金招标有限公司</w:t>
            </w:r>
          </w:p>
          <w:p>
            <w:pPr>
              <w:spacing w:line="360" w:lineRule="auto"/>
              <w:jc w:val="both"/>
              <w:rPr>
                <w:rFonts w:ascii="宋体" w:hAnsi="宋体" w:cs="宋体"/>
                <w:szCs w:val="21"/>
              </w:rPr>
            </w:pPr>
            <w:r>
              <w:rPr>
                <w:rFonts w:hint="eastAsia" w:ascii="宋体" w:hAnsi="宋体" w:cs="宋体"/>
                <w:szCs w:val="21"/>
              </w:rPr>
              <w:t>开户行：北京银行九龙山支行营业部</w:t>
            </w:r>
          </w:p>
          <w:p>
            <w:pPr>
              <w:spacing w:line="360" w:lineRule="auto"/>
              <w:jc w:val="both"/>
              <w:rPr>
                <w:rFonts w:ascii="宋体" w:hAnsi="宋体" w:cs="宋体"/>
                <w:szCs w:val="21"/>
              </w:rPr>
            </w:pPr>
            <w:r>
              <w:rPr>
                <w:rFonts w:hint="eastAsia" w:ascii="宋体" w:hAnsi="宋体" w:cs="宋体"/>
                <w:szCs w:val="21"/>
              </w:rPr>
              <w:t>账号：20000034139900038022284</w:t>
            </w:r>
          </w:p>
          <w:p>
            <w:pPr>
              <w:spacing w:line="360" w:lineRule="auto"/>
              <w:jc w:val="both"/>
              <w:rPr>
                <w:rFonts w:ascii="宋体" w:hAnsi="宋体" w:cs="宋体"/>
                <w:szCs w:val="22"/>
              </w:rPr>
            </w:pPr>
            <w:r>
              <w:rPr>
                <w:rFonts w:hint="eastAsia" w:ascii="宋体" w:hAnsi="宋体" w:cs="宋体"/>
                <w:b/>
                <w:szCs w:val="21"/>
              </w:rPr>
              <w:t>（注：为方便磋商保证金退还等相关财务工作的办理，请各供应商在递交响应文件时，将清晰的转账凭证复印件以及贵单位的开户许可证复印件提交至采购代理机构，此项资料不需要密封）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46" w:hRule="atLeast"/>
          <w:jc w:val="center"/>
        </w:trPr>
        <w:tc>
          <w:tcPr>
            <w:tcW w:w="773" w:type="dxa"/>
            <w:tcBorders>
              <w:top w:val="single" w:color="auto" w:sz="4" w:space="0"/>
              <w:left w:val="single" w:color="auto" w:sz="6" w:space="0"/>
              <w:bottom w:val="single" w:color="auto" w:sz="6" w:space="0"/>
              <w:right w:val="single" w:color="auto" w:sz="6" w:space="0"/>
            </w:tcBorders>
            <w:vAlign w:val="center"/>
          </w:tcPr>
          <w:p>
            <w:pPr>
              <w:pStyle w:val="22"/>
              <w:adjustRightInd w:val="0"/>
              <w:snapToGrid w:val="0"/>
              <w:spacing w:line="360" w:lineRule="auto"/>
              <w:jc w:val="center"/>
              <w:rPr>
                <w:rFonts w:hAnsi="宋体" w:cs="宋体"/>
                <w:sz w:val="24"/>
                <w:szCs w:val="24"/>
              </w:rPr>
            </w:pPr>
            <w:r>
              <w:rPr>
                <w:rFonts w:hint="eastAsia" w:hAnsi="宋体" w:cs="宋体"/>
                <w:sz w:val="24"/>
              </w:rPr>
              <w:t>5</w:t>
            </w:r>
          </w:p>
        </w:tc>
        <w:tc>
          <w:tcPr>
            <w:tcW w:w="7667" w:type="dxa"/>
            <w:tcBorders>
              <w:top w:val="single" w:color="auto" w:sz="4" w:space="0"/>
              <w:left w:val="single" w:color="auto" w:sz="6" w:space="0"/>
              <w:bottom w:val="single" w:color="auto" w:sz="6" w:space="0"/>
              <w:right w:val="single" w:color="auto" w:sz="6" w:space="0"/>
            </w:tcBorders>
            <w:vAlign w:val="center"/>
          </w:tcPr>
          <w:p>
            <w:pPr>
              <w:pStyle w:val="22"/>
              <w:adjustRightInd w:val="0"/>
              <w:snapToGrid w:val="0"/>
              <w:spacing w:line="360" w:lineRule="auto"/>
              <w:rPr>
                <w:rFonts w:hAnsi="宋体" w:cs="宋体"/>
                <w:sz w:val="24"/>
                <w:szCs w:val="24"/>
              </w:rPr>
            </w:pPr>
            <w:r>
              <w:rPr>
                <w:rFonts w:hint="eastAsia" w:hAnsi="宋体" w:cs="宋体"/>
                <w:sz w:val="24"/>
                <w:szCs w:val="24"/>
              </w:rPr>
              <w:t>响应有效期：90日历天（自响应之日起算）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76" w:hRule="atLeast"/>
          <w:jc w:val="center"/>
        </w:trPr>
        <w:tc>
          <w:tcPr>
            <w:tcW w:w="773" w:type="dxa"/>
            <w:tcBorders>
              <w:top w:val="single" w:color="auto" w:sz="6" w:space="0"/>
              <w:left w:val="single" w:color="auto" w:sz="6" w:space="0"/>
              <w:bottom w:val="single" w:color="auto" w:sz="6" w:space="0"/>
              <w:right w:val="single" w:color="auto" w:sz="6" w:space="0"/>
            </w:tcBorders>
            <w:vAlign w:val="center"/>
          </w:tcPr>
          <w:p>
            <w:pPr>
              <w:pStyle w:val="22"/>
              <w:adjustRightInd w:val="0"/>
              <w:snapToGrid w:val="0"/>
              <w:spacing w:line="360" w:lineRule="auto"/>
              <w:jc w:val="center"/>
              <w:rPr>
                <w:rFonts w:hAnsi="宋体" w:cs="宋体"/>
                <w:sz w:val="24"/>
                <w:szCs w:val="24"/>
              </w:rPr>
            </w:pPr>
            <w:r>
              <w:rPr>
                <w:rFonts w:hint="eastAsia" w:hAnsi="宋体" w:cs="宋体"/>
                <w:sz w:val="24"/>
              </w:rPr>
              <w:t>6</w:t>
            </w:r>
          </w:p>
        </w:tc>
        <w:tc>
          <w:tcPr>
            <w:tcW w:w="7667" w:type="dxa"/>
            <w:tcBorders>
              <w:top w:val="single" w:color="auto" w:sz="6" w:space="0"/>
              <w:left w:val="single" w:color="auto" w:sz="6" w:space="0"/>
              <w:bottom w:val="single" w:color="auto" w:sz="6" w:space="0"/>
              <w:right w:val="single" w:color="auto" w:sz="6" w:space="0"/>
            </w:tcBorders>
            <w:vAlign w:val="center"/>
          </w:tcPr>
          <w:p>
            <w:pPr>
              <w:pStyle w:val="22"/>
              <w:adjustRightInd w:val="0"/>
              <w:snapToGrid w:val="0"/>
              <w:spacing w:line="360" w:lineRule="auto"/>
              <w:rPr>
                <w:rFonts w:hAnsi="宋体" w:cs="宋体"/>
                <w:bCs/>
                <w:sz w:val="24"/>
                <w:szCs w:val="24"/>
              </w:rPr>
            </w:pPr>
            <w:r>
              <w:rPr>
                <w:rFonts w:hint="eastAsia" w:hAnsi="宋体" w:cs="宋体"/>
                <w:bCs/>
                <w:sz w:val="24"/>
                <w:szCs w:val="24"/>
              </w:rPr>
              <w:t>响应文件份数及递交要求：供应商应将响应一览表（一份）、磋商保证金或其凭证和开户许可证复印件（一份）、响应文件（正本一份、副本三份）、电子版（一份）。分别密封提交。</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76" w:hRule="atLeast"/>
          <w:jc w:val="center"/>
        </w:trPr>
        <w:tc>
          <w:tcPr>
            <w:tcW w:w="773" w:type="dxa"/>
            <w:tcBorders>
              <w:top w:val="single" w:color="auto" w:sz="6" w:space="0"/>
              <w:left w:val="single" w:color="auto" w:sz="6" w:space="0"/>
              <w:bottom w:val="single" w:color="auto" w:sz="6" w:space="0"/>
              <w:right w:val="single" w:color="auto" w:sz="6" w:space="0"/>
            </w:tcBorders>
            <w:vAlign w:val="center"/>
          </w:tcPr>
          <w:p>
            <w:pPr>
              <w:pStyle w:val="22"/>
              <w:adjustRightInd w:val="0"/>
              <w:snapToGrid w:val="0"/>
              <w:spacing w:line="360" w:lineRule="auto"/>
              <w:jc w:val="center"/>
              <w:rPr>
                <w:rFonts w:hAnsi="宋体" w:cs="宋体"/>
                <w:sz w:val="24"/>
              </w:rPr>
            </w:pPr>
            <w:r>
              <w:rPr>
                <w:rFonts w:hAnsi="宋体" w:cs="宋体"/>
                <w:sz w:val="24"/>
              </w:rPr>
              <w:t>7</w:t>
            </w:r>
          </w:p>
        </w:tc>
        <w:tc>
          <w:tcPr>
            <w:tcW w:w="7667" w:type="dxa"/>
            <w:tcBorders>
              <w:top w:val="single" w:color="auto" w:sz="6" w:space="0"/>
              <w:left w:val="single" w:color="auto" w:sz="6" w:space="0"/>
              <w:bottom w:val="single" w:color="auto" w:sz="6" w:space="0"/>
              <w:right w:val="single" w:color="auto" w:sz="6" w:space="0"/>
            </w:tcBorders>
            <w:vAlign w:val="center"/>
          </w:tcPr>
          <w:p>
            <w:pPr>
              <w:pStyle w:val="22"/>
              <w:adjustRightInd w:val="0"/>
              <w:snapToGrid w:val="0"/>
              <w:spacing w:line="360" w:lineRule="auto"/>
              <w:rPr>
                <w:rFonts w:hAnsi="宋体" w:cs="宋体"/>
                <w:bCs/>
                <w:sz w:val="24"/>
                <w:szCs w:val="24"/>
              </w:rPr>
            </w:pPr>
            <w:r>
              <w:rPr>
                <w:rFonts w:hint="eastAsia" w:hAnsi="宋体" w:cs="宋体"/>
                <w:bCs/>
                <w:sz w:val="24"/>
                <w:szCs w:val="24"/>
              </w:rPr>
              <w:t>供应商递交的电子版文件必须为签字盖章后的正本扫描件+可编辑版word文档，包含纸质响应文件全部内容，存储载体为u盘。（为了方便区分各供应商，请在U盘或光盘表面粘贴单位标识，如：项目编号后三位+供应商三个字简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23" w:hRule="atLeast"/>
          <w:jc w:val="center"/>
        </w:trPr>
        <w:tc>
          <w:tcPr>
            <w:tcW w:w="773" w:type="dxa"/>
            <w:tcBorders>
              <w:top w:val="single" w:color="auto" w:sz="6" w:space="0"/>
              <w:left w:val="single" w:color="auto" w:sz="6" w:space="0"/>
              <w:bottom w:val="single" w:color="auto" w:sz="6" w:space="0"/>
              <w:right w:val="single" w:color="auto" w:sz="6" w:space="0"/>
            </w:tcBorders>
            <w:vAlign w:val="center"/>
          </w:tcPr>
          <w:p>
            <w:pPr>
              <w:pStyle w:val="22"/>
              <w:adjustRightInd w:val="0"/>
              <w:snapToGrid w:val="0"/>
              <w:spacing w:line="360" w:lineRule="auto"/>
              <w:jc w:val="center"/>
              <w:rPr>
                <w:rFonts w:hAnsi="宋体" w:cs="宋体"/>
                <w:sz w:val="24"/>
                <w:szCs w:val="24"/>
              </w:rPr>
            </w:pPr>
            <w:r>
              <w:rPr>
                <w:rFonts w:hAnsi="宋体" w:cs="宋体"/>
                <w:sz w:val="24"/>
              </w:rPr>
              <w:t>8</w:t>
            </w:r>
          </w:p>
        </w:tc>
        <w:tc>
          <w:tcPr>
            <w:tcW w:w="7667" w:type="dxa"/>
            <w:tcBorders>
              <w:top w:val="single" w:color="auto" w:sz="6" w:space="0"/>
              <w:left w:val="single" w:color="auto" w:sz="6" w:space="0"/>
              <w:bottom w:val="single" w:color="auto" w:sz="6" w:space="0"/>
              <w:right w:val="single" w:color="auto" w:sz="6" w:space="0"/>
            </w:tcBorders>
            <w:vAlign w:val="center"/>
          </w:tcPr>
          <w:p>
            <w:pPr>
              <w:pStyle w:val="22"/>
              <w:adjustRightInd w:val="0"/>
              <w:snapToGrid w:val="0"/>
              <w:spacing w:line="360" w:lineRule="auto"/>
              <w:rPr>
                <w:rFonts w:hAnsi="宋体" w:cs="宋体"/>
                <w:sz w:val="24"/>
                <w:szCs w:val="24"/>
              </w:rPr>
            </w:pPr>
            <w:r>
              <w:rPr>
                <w:rFonts w:hint="eastAsia" w:hAnsi="宋体" w:cs="宋体"/>
                <w:sz w:val="24"/>
                <w:szCs w:val="24"/>
              </w:rPr>
              <w:t>响应截止时间及开启时间：见竞争性磋商公告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08" w:hRule="atLeast"/>
          <w:jc w:val="center"/>
        </w:trPr>
        <w:tc>
          <w:tcPr>
            <w:tcW w:w="773" w:type="dxa"/>
            <w:tcBorders>
              <w:top w:val="single" w:color="auto" w:sz="6" w:space="0"/>
              <w:left w:val="single" w:color="auto" w:sz="6" w:space="0"/>
              <w:bottom w:val="single" w:color="auto" w:sz="6" w:space="0"/>
              <w:right w:val="single" w:color="auto" w:sz="6" w:space="0"/>
            </w:tcBorders>
            <w:vAlign w:val="center"/>
          </w:tcPr>
          <w:p>
            <w:pPr>
              <w:pStyle w:val="22"/>
              <w:adjustRightInd w:val="0"/>
              <w:snapToGrid w:val="0"/>
              <w:spacing w:line="360" w:lineRule="auto"/>
              <w:jc w:val="center"/>
              <w:rPr>
                <w:rFonts w:hAnsi="宋体" w:cs="宋体"/>
                <w:sz w:val="24"/>
                <w:szCs w:val="24"/>
              </w:rPr>
            </w:pPr>
            <w:r>
              <w:rPr>
                <w:rFonts w:hAnsi="宋体" w:cs="宋体"/>
                <w:sz w:val="24"/>
              </w:rPr>
              <w:t>9</w:t>
            </w:r>
          </w:p>
        </w:tc>
        <w:tc>
          <w:tcPr>
            <w:tcW w:w="7667" w:type="dxa"/>
            <w:tcBorders>
              <w:top w:val="single" w:color="auto" w:sz="6" w:space="0"/>
              <w:left w:val="single" w:color="auto" w:sz="6" w:space="0"/>
              <w:bottom w:val="single" w:color="auto" w:sz="6" w:space="0"/>
              <w:right w:val="single" w:color="auto" w:sz="6" w:space="0"/>
            </w:tcBorders>
            <w:vAlign w:val="center"/>
          </w:tcPr>
          <w:p>
            <w:pPr>
              <w:pStyle w:val="22"/>
              <w:adjustRightInd w:val="0"/>
              <w:snapToGrid w:val="0"/>
              <w:spacing w:line="360" w:lineRule="auto"/>
              <w:rPr>
                <w:rFonts w:hAnsi="宋体" w:cs="宋体"/>
                <w:sz w:val="24"/>
                <w:szCs w:val="24"/>
              </w:rPr>
            </w:pPr>
            <w:r>
              <w:rPr>
                <w:rFonts w:hint="eastAsia" w:hAnsi="宋体" w:cs="宋体"/>
                <w:sz w:val="24"/>
                <w:szCs w:val="24"/>
              </w:rPr>
              <w:t>响应</w:t>
            </w:r>
            <w:r>
              <w:rPr>
                <w:rFonts w:hint="eastAsia" w:hAnsi="宋体" w:cs="宋体"/>
                <w:sz w:val="24"/>
              </w:rPr>
              <w:t>时间、</w:t>
            </w:r>
            <w:r>
              <w:rPr>
                <w:rFonts w:hint="eastAsia" w:hAnsi="宋体" w:cs="宋体"/>
                <w:sz w:val="24"/>
                <w:szCs w:val="24"/>
              </w:rPr>
              <w:t>响应</w:t>
            </w:r>
            <w:r>
              <w:rPr>
                <w:rFonts w:hint="eastAsia" w:hAnsi="宋体" w:cs="宋体"/>
                <w:sz w:val="24"/>
              </w:rPr>
              <w:t>地</w:t>
            </w:r>
            <w:r>
              <w:rPr>
                <w:rFonts w:hint="eastAsia" w:hAnsi="宋体" w:cs="宋体"/>
                <w:sz w:val="24"/>
                <w:szCs w:val="24"/>
              </w:rPr>
              <w:t>点：见竞争性磋商公告</w:t>
            </w:r>
          </w:p>
          <w:p>
            <w:pPr>
              <w:pStyle w:val="22"/>
              <w:adjustRightInd w:val="0"/>
              <w:snapToGrid w:val="0"/>
              <w:spacing w:line="360" w:lineRule="auto"/>
              <w:rPr>
                <w:rFonts w:hAnsi="宋体" w:cs="宋体"/>
                <w:sz w:val="24"/>
                <w:szCs w:val="24"/>
                <w:u w:val="single"/>
              </w:rPr>
            </w:pPr>
            <w:r>
              <w:rPr>
                <w:rFonts w:hint="eastAsia" w:hAnsi="宋体" w:cs="宋体"/>
                <w:sz w:val="24"/>
                <w:szCs w:val="24"/>
              </w:rPr>
              <w:t>响应文件递交地点：响应文件请于响应当日、响应截止时间之前直接送达响应地点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22" w:hRule="atLeast"/>
          <w:jc w:val="center"/>
        </w:trPr>
        <w:tc>
          <w:tcPr>
            <w:tcW w:w="773" w:type="dxa"/>
            <w:tcBorders>
              <w:top w:val="single" w:color="auto" w:sz="6" w:space="0"/>
              <w:left w:val="single" w:color="auto" w:sz="6" w:space="0"/>
              <w:bottom w:val="single" w:color="auto" w:sz="6" w:space="0"/>
              <w:right w:val="single" w:color="auto" w:sz="6" w:space="0"/>
            </w:tcBorders>
            <w:vAlign w:val="center"/>
          </w:tcPr>
          <w:p>
            <w:pPr>
              <w:pStyle w:val="22"/>
              <w:adjustRightInd w:val="0"/>
              <w:snapToGrid w:val="0"/>
              <w:spacing w:line="360" w:lineRule="auto"/>
              <w:jc w:val="center"/>
              <w:rPr>
                <w:rFonts w:hAnsi="宋体" w:cs="宋体"/>
                <w:sz w:val="24"/>
              </w:rPr>
            </w:pPr>
            <w:r>
              <w:rPr>
                <w:rFonts w:hAnsi="宋体" w:cs="宋体"/>
                <w:sz w:val="24"/>
              </w:rPr>
              <w:t>10</w:t>
            </w:r>
          </w:p>
        </w:tc>
        <w:tc>
          <w:tcPr>
            <w:tcW w:w="7667" w:type="dxa"/>
            <w:tcBorders>
              <w:top w:val="single" w:color="auto" w:sz="6" w:space="0"/>
              <w:left w:val="single" w:color="auto" w:sz="6" w:space="0"/>
              <w:bottom w:val="single" w:color="auto" w:sz="6" w:space="0"/>
              <w:right w:val="single" w:color="auto" w:sz="6" w:space="0"/>
            </w:tcBorders>
            <w:vAlign w:val="center"/>
          </w:tcPr>
          <w:p>
            <w:pPr>
              <w:spacing w:line="360" w:lineRule="auto"/>
              <w:jc w:val="both"/>
              <w:rPr>
                <w:rFonts w:ascii="宋体" w:hAnsi="宋体" w:cs="宋体"/>
                <w:kern w:val="2"/>
                <w:szCs w:val="24"/>
              </w:rPr>
            </w:pPr>
            <w:r>
              <w:rPr>
                <w:rFonts w:hint="eastAsia" w:ascii="宋体" w:hAnsi="宋体" w:cs="宋体"/>
                <w:kern w:val="2"/>
                <w:szCs w:val="24"/>
              </w:rPr>
              <w:t>代理服务费：本项目收费参考国家计委计价格[2002]1980号文中“差额定率累进”计费方式收取向成交单位支付，领取成交通知书的同时缴纳。</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22" w:hRule="atLeast"/>
          <w:jc w:val="center"/>
        </w:trPr>
        <w:tc>
          <w:tcPr>
            <w:tcW w:w="773" w:type="dxa"/>
            <w:tcBorders>
              <w:top w:val="single" w:color="auto" w:sz="6" w:space="0"/>
              <w:left w:val="single" w:color="auto" w:sz="6" w:space="0"/>
              <w:bottom w:val="single" w:color="auto" w:sz="6" w:space="0"/>
              <w:right w:val="single" w:color="auto" w:sz="6" w:space="0"/>
            </w:tcBorders>
            <w:vAlign w:val="center"/>
          </w:tcPr>
          <w:p>
            <w:pPr>
              <w:pStyle w:val="22"/>
              <w:adjustRightInd w:val="0"/>
              <w:snapToGrid w:val="0"/>
              <w:spacing w:line="360" w:lineRule="auto"/>
              <w:jc w:val="center"/>
              <w:rPr>
                <w:rFonts w:hAnsi="宋体" w:cs="宋体"/>
                <w:sz w:val="24"/>
              </w:rPr>
            </w:pPr>
            <w:bookmarkStart w:id="45" w:name="_Toc86202581"/>
            <w:r>
              <w:rPr>
                <w:rFonts w:hint="eastAsia" w:hAnsi="宋体" w:cs="宋体"/>
                <w:sz w:val="24"/>
              </w:rPr>
              <w:t>11</w:t>
            </w:r>
          </w:p>
        </w:tc>
        <w:tc>
          <w:tcPr>
            <w:tcW w:w="7667" w:type="dxa"/>
            <w:tcBorders>
              <w:top w:val="single" w:color="auto" w:sz="6" w:space="0"/>
              <w:left w:val="single" w:color="auto" w:sz="6" w:space="0"/>
              <w:bottom w:val="single" w:color="auto" w:sz="6" w:space="0"/>
              <w:right w:val="single" w:color="auto" w:sz="6" w:space="0"/>
            </w:tcBorders>
            <w:vAlign w:val="center"/>
          </w:tcPr>
          <w:p>
            <w:pPr>
              <w:spacing w:before="93" w:beforeLines="30" w:after="93" w:afterLines="30" w:line="312" w:lineRule="auto"/>
              <w:rPr>
                <w:rFonts w:ascii="宋体" w:hAnsi="宋体" w:cs="宋体"/>
                <w:szCs w:val="21"/>
              </w:rPr>
            </w:pPr>
            <w:r>
              <w:rPr>
                <w:rFonts w:hint="eastAsia" w:ascii="宋体" w:hAnsi="宋体" w:cs="宋体"/>
                <w:szCs w:val="21"/>
              </w:rPr>
              <w:t>本项目面向</w:t>
            </w:r>
            <w:r>
              <w:rPr>
                <w:rFonts w:hint="eastAsia" w:ascii="宋体" w:hAnsi="宋体" w:cs="宋体"/>
                <w:szCs w:val="21"/>
                <w:lang w:val="en-US" w:eastAsia="zh-CN"/>
              </w:rPr>
              <w:t>所有</w:t>
            </w:r>
            <w:r>
              <w:rPr>
                <w:rFonts w:hint="eastAsia" w:ascii="宋体" w:hAnsi="宋体" w:cs="宋体"/>
                <w:szCs w:val="21"/>
              </w:rPr>
              <w:t>企业</w:t>
            </w:r>
          </w:p>
          <w:p>
            <w:pPr>
              <w:spacing w:line="360" w:lineRule="auto"/>
            </w:pPr>
            <w:r>
              <w:rPr>
                <w:rFonts w:hint="eastAsia"/>
              </w:rPr>
              <w:t>本项目采购标的对应的中小企业划分标准所属行业：</w:t>
            </w:r>
            <w:r>
              <w:rPr>
                <w:rFonts w:hint="eastAsia"/>
                <w:lang w:val="en-US" w:eastAsia="zh-CN"/>
              </w:rPr>
              <w:t>其他未列明行业</w:t>
            </w:r>
            <w:r>
              <w:rPr>
                <w:rFonts w:hint="eastAsia"/>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22" w:hRule="atLeast"/>
          <w:jc w:val="center"/>
        </w:trPr>
        <w:tc>
          <w:tcPr>
            <w:tcW w:w="773" w:type="dxa"/>
            <w:tcBorders>
              <w:top w:val="single" w:color="auto" w:sz="6" w:space="0"/>
              <w:left w:val="single" w:color="auto" w:sz="6" w:space="0"/>
              <w:bottom w:val="single" w:color="auto" w:sz="6" w:space="0"/>
              <w:right w:val="single" w:color="auto" w:sz="6" w:space="0"/>
            </w:tcBorders>
            <w:vAlign w:val="center"/>
          </w:tcPr>
          <w:p>
            <w:pPr>
              <w:pStyle w:val="22"/>
              <w:adjustRightInd w:val="0"/>
              <w:snapToGrid w:val="0"/>
              <w:spacing w:line="360" w:lineRule="auto"/>
              <w:jc w:val="center"/>
              <w:rPr>
                <w:rFonts w:hint="default" w:hAnsi="宋体" w:eastAsia="宋体" w:cs="宋体"/>
                <w:sz w:val="24"/>
                <w:lang w:val="en-US" w:eastAsia="zh-CN"/>
              </w:rPr>
            </w:pPr>
            <w:r>
              <w:rPr>
                <w:rFonts w:hint="eastAsia" w:hAnsi="宋体" w:cs="宋体"/>
                <w:sz w:val="24"/>
                <w:lang w:val="en-US" w:eastAsia="zh-CN"/>
              </w:rPr>
              <w:t>12</w:t>
            </w:r>
          </w:p>
        </w:tc>
        <w:tc>
          <w:tcPr>
            <w:tcW w:w="7667" w:type="dxa"/>
            <w:tcBorders>
              <w:top w:val="single" w:color="auto" w:sz="6" w:space="0"/>
              <w:left w:val="single" w:color="auto" w:sz="6" w:space="0"/>
              <w:bottom w:val="single" w:color="auto" w:sz="6" w:space="0"/>
              <w:right w:val="single" w:color="auto" w:sz="6" w:space="0"/>
            </w:tcBorders>
            <w:vAlign w:val="center"/>
          </w:tcPr>
          <w:p>
            <w:pPr>
              <w:spacing w:before="93" w:beforeLines="30" w:after="93" w:afterLines="30" w:line="312" w:lineRule="auto"/>
              <w:rPr>
                <w:rFonts w:hint="eastAsia" w:ascii="宋体" w:hAnsi="宋体" w:cs="宋体"/>
                <w:szCs w:val="21"/>
                <w:lang w:val="en-US" w:eastAsia="zh-CN"/>
              </w:rPr>
            </w:pPr>
            <w:r>
              <w:rPr>
                <w:rFonts w:hint="eastAsia" w:ascii="宋体" w:hAnsi="宋体" w:cs="宋体"/>
                <w:szCs w:val="21"/>
              </w:rPr>
              <w:t>各供应商单位法定代表人或授权委托人</w:t>
            </w:r>
            <w:r>
              <w:rPr>
                <w:rFonts w:hint="eastAsia" w:ascii="宋体" w:hAnsi="宋体" w:cs="宋体"/>
                <w:szCs w:val="21"/>
                <w:lang w:val="en-US" w:eastAsia="zh-CN"/>
              </w:rPr>
              <w:t>参加磋商要求：</w:t>
            </w:r>
          </w:p>
          <w:p>
            <w:pPr>
              <w:spacing w:before="93" w:beforeLines="30" w:after="93" w:afterLines="30" w:line="312" w:lineRule="auto"/>
              <w:rPr>
                <w:rFonts w:hint="eastAsia" w:ascii="宋体" w:hAnsi="宋体" w:cs="宋体"/>
                <w:szCs w:val="21"/>
              </w:rPr>
            </w:pPr>
            <w:r>
              <w:rPr>
                <w:rFonts w:hint="eastAsia" w:ascii="宋体" w:hAnsi="宋体" w:cs="宋体"/>
                <w:szCs w:val="21"/>
              </w:rPr>
              <w:t>被授权委托人需持法定代表人授权委托书（含：法定代表人和</w:t>
            </w:r>
            <w:r>
              <w:rPr>
                <w:rFonts w:hint="eastAsia" w:ascii="宋体" w:hAnsi="宋体" w:cs="宋体"/>
                <w:szCs w:val="21"/>
                <w:lang w:val="en-US" w:eastAsia="zh-CN"/>
              </w:rPr>
              <w:t>被</w:t>
            </w:r>
            <w:r>
              <w:rPr>
                <w:rFonts w:hint="eastAsia" w:ascii="宋体" w:hAnsi="宋体" w:cs="宋体"/>
                <w:szCs w:val="21"/>
              </w:rPr>
              <w:t>授权人身份证复印件）</w:t>
            </w:r>
            <w:r>
              <w:rPr>
                <w:rFonts w:hint="eastAsia" w:ascii="宋体" w:hAnsi="宋体" w:cs="宋体"/>
                <w:szCs w:val="21"/>
                <w:lang w:eastAsia="zh-CN"/>
              </w:rPr>
              <w:t>、</w:t>
            </w:r>
            <w:r>
              <w:rPr>
                <w:rFonts w:hint="eastAsia" w:ascii="宋体" w:hAnsi="宋体" w:cs="宋体"/>
                <w:szCs w:val="21"/>
              </w:rPr>
              <w:t>身份证原件参加开启大会；</w:t>
            </w:r>
          </w:p>
          <w:p>
            <w:pPr>
              <w:spacing w:before="93" w:beforeLines="30" w:after="93" w:afterLines="30" w:line="312" w:lineRule="auto"/>
              <w:rPr>
                <w:rFonts w:hint="eastAsia" w:ascii="宋体" w:hAnsi="宋体" w:cs="宋体"/>
                <w:szCs w:val="21"/>
                <w:lang w:eastAsia="zh-CN"/>
              </w:rPr>
            </w:pPr>
            <w:r>
              <w:rPr>
                <w:rFonts w:hint="eastAsia" w:ascii="宋体" w:hAnsi="宋体" w:cs="宋体"/>
                <w:szCs w:val="21"/>
              </w:rPr>
              <w:t>法定代表人需持法定代表人身份证明</w:t>
            </w:r>
            <w:r>
              <w:rPr>
                <w:rFonts w:hint="eastAsia" w:ascii="宋体" w:hAnsi="宋体" w:cs="宋体"/>
                <w:szCs w:val="21"/>
                <w:lang w:eastAsia="zh-CN"/>
              </w:rPr>
              <w:t>（</w:t>
            </w:r>
            <w:r>
              <w:rPr>
                <w:rFonts w:hint="eastAsia" w:ascii="宋体" w:hAnsi="宋体" w:cs="宋体"/>
                <w:szCs w:val="21"/>
                <w:lang w:val="en-US" w:eastAsia="zh-CN"/>
              </w:rPr>
              <w:t>格式自拟，体现法定代表人身份证号和姓名，加盖单位公章</w:t>
            </w:r>
            <w:r>
              <w:rPr>
                <w:rFonts w:hint="eastAsia" w:ascii="宋体" w:hAnsi="宋体" w:cs="宋体"/>
                <w:szCs w:val="21"/>
                <w:lang w:eastAsia="zh-CN"/>
              </w:rPr>
              <w:t>）、</w:t>
            </w:r>
            <w:r>
              <w:rPr>
                <w:rFonts w:hint="eastAsia" w:ascii="宋体" w:hAnsi="宋体" w:cs="宋体"/>
                <w:szCs w:val="21"/>
              </w:rPr>
              <w:t>身份证原件</w:t>
            </w:r>
            <w:r>
              <w:rPr>
                <w:rFonts w:hint="eastAsia" w:ascii="宋体" w:hAnsi="宋体" w:cs="宋体"/>
                <w:szCs w:val="21"/>
                <w:lang w:eastAsia="zh-CN"/>
              </w:rPr>
              <w:t>。</w:t>
            </w:r>
          </w:p>
          <w:p>
            <w:pPr>
              <w:spacing w:before="93" w:beforeLines="30" w:after="93" w:afterLines="30" w:line="312" w:lineRule="auto"/>
              <w:rPr>
                <w:rFonts w:hint="eastAsia"/>
              </w:rPr>
            </w:pPr>
            <w:r>
              <w:rPr>
                <w:rFonts w:hint="eastAsia" w:ascii="宋体" w:hAnsi="宋体" w:cs="宋体"/>
                <w:szCs w:val="21"/>
              </w:rPr>
              <w:t>否则将拒绝其参加本次竞争性磋商。</w:t>
            </w:r>
          </w:p>
        </w:tc>
      </w:tr>
    </w:tbl>
    <w:p>
      <w:pPr>
        <w:jc w:val="center"/>
        <w:rPr>
          <w:rFonts w:ascii="宋体" w:hAnsi="宋体" w:cs="宋体"/>
          <w:b/>
          <w:sz w:val="32"/>
          <w:szCs w:val="32"/>
        </w:rPr>
      </w:pPr>
      <w:r>
        <w:rPr>
          <w:rFonts w:hint="eastAsia" w:ascii="宋体" w:hAnsi="宋体" w:cs="宋体"/>
          <w:szCs w:val="24"/>
        </w:rPr>
        <w:br w:type="page"/>
      </w:r>
      <w:bookmarkStart w:id="46" w:name="_Toc53722841"/>
      <w:bookmarkStart w:id="47" w:name="_Toc177189236"/>
      <w:bookmarkStart w:id="48" w:name="_Toc177995474"/>
      <w:bookmarkStart w:id="49" w:name="_Toc232395213"/>
      <w:bookmarkStart w:id="50" w:name="_Toc230013633"/>
      <w:bookmarkStart w:id="51" w:name="_Toc70687140"/>
      <w:bookmarkStart w:id="52" w:name="_Toc232176273"/>
      <w:bookmarkStart w:id="53" w:name="_Toc184043013"/>
      <w:bookmarkStart w:id="54" w:name="_Toc239740352"/>
      <w:bookmarkStart w:id="55" w:name="_Toc177817335"/>
      <w:bookmarkStart w:id="56" w:name="_Toc230583542"/>
      <w:bookmarkStart w:id="57" w:name="_Toc230099798"/>
      <w:bookmarkStart w:id="58" w:name="_Toc176882543"/>
      <w:bookmarkStart w:id="59" w:name="_Toc265738861"/>
      <w:bookmarkStart w:id="60" w:name="_Toc235518467"/>
      <w:bookmarkStart w:id="61" w:name="_Toc86202582"/>
      <w:bookmarkStart w:id="62" w:name="_Toc241827236"/>
      <w:r>
        <w:rPr>
          <w:rFonts w:hint="eastAsia" w:ascii="宋体" w:hAnsi="宋体" w:cs="宋体"/>
          <w:b/>
          <w:sz w:val="32"/>
          <w:szCs w:val="32"/>
        </w:rPr>
        <w:t>一、 总 则</w:t>
      </w:r>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p>
    <w:p>
      <w:pPr>
        <w:spacing w:line="360" w:lineRule="auto"/>
        <w:rPr>
          <w:rFonts w:ascii="宋体" w:hAnsi="宋体" w:cs="宋体"/>
          <w:b/>
          <w:szCs w:val="21"/>
        </w:rPr>
      </w:pPr>
      <w:bookmarkStart w:id="63" w:name="_Hlt14560612"/>
      <w:bookmarkEnd w:id="63"/>
      <w:bookmarkStart w:id="64" w:name="_Toc184043014"/>
      <w:r>
        <w:rPr>
          <w:rFonts w:hint="eastAsia" w:ascii="宋体" w:hAnsi="宋体" w:cs="宋体"/>
          <w:b/>
          <w:szCs w:val="21"/>
        </w:rPr>
        <w:t>1. 项目说明</w:t>
      </w:r>
      <w:bookmarkEnd w:id="64"/>
    </w:p>
    <w:p>
      <w:pPr>
        <w:pStyle w:val="103"/>
        <w:widowControl w:val="0"/>
        <w:numPr>
          <w:ilvl w:val="1"/>
          <w:numId w:val="2"/>
        </w:numPr>
        <w:tabs>
          <w:tab w:val="left" w:pos="588"/>
        </w:tabs>
        <w:spacing w:before="0" w:beforeAutospacing="0" w:after="0" w:afterAutospacing="0"/>
        <w:textAlignment w:val="auto"/>
        <w:rPr>
          <w:rFonts w:ascii="宋体" w:hAnsi="宋体" w:cs="宋体"/>
          <w:kern w:val="24"/>
          <w:szCs w:val="21"/>
        </w:rPr>
      </w:pPr>
      <w:r>
        <w:rPr>
          <w:rFonts w:hint="eastAsia" w:ascii="宋体" w:hAnsi="宋体" w:cs="宋体"/>
          <w:kern w:val="24"/>
          <w:szCs w:val="21"/>
        </w:rPr>
        <w:t xml:space="preserve"> 项目说明见“供应商须知前附表”。</w:t>
      </w:r>
    </w:p>
    <w:p>
      <w:pPr>
        <w:spacing w:line="360" w:lineRule="auto"/>
        <w:rPr>
          <w:rFonts w:ascii="宋体" w:hAnsi="宋体" w:cs="宋体"/>
          <w:b/>
          <w:szCs w:val="21"/>
        </w:rPr>
      </w:pPr>
      <w:bookmarkStart w:id="65" w:name="_Toc70687142"/>
      <w:bookmarkStart w:id="66" w:name="_Toc184043015"/>
      <w:r>
        <w:rPr>
          <w:rFonts w:hint="eastAsia" w:ascii="宋体" w:hAnsi="宋体" w:cs="宋体"/>
          <w:b/>
          <w:szCs w:val="21"/>
        </w:rPr>
        <w:t>2. 定义</w:t>
      </w:r>
      <w:bookmarkEnd w:id="65"/>
      <w:bookmarkEnd w:id="66"/>
    </w:p>
    <w:p>
      <w:pPr>
        <w:tabs>
          <w:tab w:val="left" w:pos="588"/>
        </w:tabs>
        <w:adjustRightInd/>
        <w:spacing w:line="360" w:lineRule="auto"/>
        <w:jc w:val="both"/>
        <w:textAlignment w:val="auto"/>
        <w:rPr>
          <w:rFonts w:ascii="宋体" w:hAnsi="宋体" w:cs="宋体"/>
        </w:rPr>
      </w:pPr>
      <w:r>
        <w:rPr>
          <w:rFonts w:hint="eastAsia" w:ascii="宋体" w:hAnsi="宋体" w:cs="宋体"/>
        </w:rPr>
        <w:t>2.1“采购人”系指</w:t>
      </w:r>
      <w:r>
        <w:rPr>
          <w:rFonts w:hint="eastAsia" w:ascii="宋体" w:hAnsi="宋体" w:cs="宋体"/>
          <w:lang w:eastAsia="zh-CN"/>
        </w:rPr>
        <w:t>ZYCGR22011905</w:t>
      </w:r>
      <w:r>
        <w:rPr>
          <w:rFonts w:hint="eastAsia" w:ascii="宋体" w:hAnsi="宋体" w:cs="宋体"/>
        </w:rPr>
        <w:t>。</w:t>
      </w:r>
    </w:p>
    <w:p>
      <w:pPr>
        <w:tabs>
          <w:tab w:val="left" w:pos="588"/>
        </w:tabs>
        <w:adjustRightInd/>
        <w:spacing w:line="360" w:lineRule="auto"/>
        <w:jc w:val="both"/>
        <w:textAlignment w:val="auto"/>
        <w:rPr>
          <w:rFonts w:ascii="宋体" w:hAnsi="宋体" w:cs="宋体"/>
        </w:rPr>
      </w:pPr>
      <w:r>
        <w:rPr>
          <w:rFonts w:hint="eastAsia" w:ascii="宋体" w:hAnsi="宋体" w:cs="宋体"/>
        </w:rPr>
        <w:t>2.2“采购代理机构”系指国金招标有限公司。</w:t>
      </w:r>
    </w:p>
    <w:p>
      <w:pPr>
        <w:tabs>
          <w:tab w:val="left" w:pos="588"/>
        </w:tabs>
        <w:adjustRightInd/>
        <w:spacing w:line="360" w:lineRule="auto"/>
        <w:jc w:val="both"/>
        <w:textAlignment w:val="auto"/>
        <w:rPr>
          <w:rFonts w:ascii="宋体" w:hAnsi="宋体" w:cs="宋体"/>
        </w:rPr>
      </w:pPr>
      <w:r>
        <w:rPr>
          <w:rFonts w:hint="eastAsia" w:ascii="宋体" w:hAnsi="宋体" w:cs="宋体"/>
        </w:rPr>
        <w:t>2.3“供应商”系指响应采购人要求，向采购人提交响应文件的磋商单位。</w:t>
      </w:r>
    </w:p>
    <w:p>
      <w:pPr>
        <w:tabs>
          <w:tab w:val="left" w:pos="588"/>
        </w:tabs>
        <w:adjustRightInd/>
        <w:spacing w:line="360" w:lineRule="auto"/>
        <w:ind w:left="480" w:hanging="480" w:hangingChars="200"/>
        <w:jc w:val="both"/>
        <w:textAlignment w:val="auto"/>
        <w:rPr>
          <w:rFonts w:ascii="宋体" w:hAnsi="宋体" w:cs="宋体"/>
        </w:rPr>
      </w:pPr>
      <w:r>
        <w:rPr>
          <w:rFonts w:hint="eastAsia" w:ascii="宋体" w:hAnsi="宋体" w:cs="宋体"/>
        </w:rPr>
        <w:t>2.4“服务”系指成交供应商按竞争性磋商文件规定向采购人提供的一切服务。</w:t>
      </w:r>
    </w:p>
    <w:p>
      <w:pPr>
        <w:spacing w:line="360" w:lineRule="auto"/>
        <w:rPr>
          <w:rFonts w:ascii="宋体" w:hAnsi="宋体" w:cs="宋体"/>
          <w:szCs w:val="22"/>
        </w:rPr>
      </w:pPr>
      <w:r>
        <w:rPr>
          <w:rFonts w:hint="eastAsia" w:ascii="宋体" w:hAnsi="宋体" w:cs="宋体"/>
          <w:szCs w:val="22"/>
        </w:rPr>
        <w:t>2.5“资金来源”系指竞争性磋商公告中所述的采购人已获得足以支付本次采购后所签订的合同项下的款项。</w:t>
      </w:r>
    </w:p>
    <w:p>
      <w:pPr>
        <w:spacing w:line="360" w:lineRule="auto"/>
        <w:rPr>
          <w:rFonts w:ascii="宋体" w:hAnsi="宋体" w:cs="宋体"/>
          <w:szCs w:val="22"/>
        </w:rPr>
      </w:pPr>
      <w:r>
        <w:rPr>
          <w:rFonts w:hint="eastAsia" w:ascii="宋体" w:hAnsi="宋体" w:cs="宋体"/>
          <w:szCs w:val="22"/>
        </w:rPr>
        <w:t>2.6“*”标志的为实质性条款，如有其中一项不符合即将按无效磋商响应处理。</w:t>
      </w:r>
    </w:p>
    <w:p>
      <w:pPr>
        <w:spacing w:line="360" w:lineRule="auto"/>
        <w:rPr>
          <w:rFonts w:ascii="宋体" w:hAnsi="宋体" w:cs="宋体"/>
          <w:szCs w:val="22"/>
        </w:rPr>
      </w:pPr>
      <w:r>
        <w:rPr>
          <w:rFonts w:hint="eastAsia" w:ascii="宋体" w:hAnsi="宋体" w:cs="宋体"/>
          <w:szCs w:val="22"/>
        </w:rPr>
        <w:t>2.7“中小企业”在本项目中系指满足《财政部关于印发政府采购促进中小企业发展</w:t>
      </w:r>
      <w:r>
        <w:rPr>
          <w:rFonts w:hint="eastAsia" w:ascii="宋体" w:hAnsi="宋体" w:cs="宋体"/>
        </w:rPr>
        <w:t>管理</w:t>
      </w:r>
      <w:r>
        <w:rPr>
          <w:rFonts w:hint="eastAsia" w:ascii="宋体" w:hAnsi="宋体" w:cs="宋体"/>
          <w:szCs w:val="22"/>
        </w:rPr>
        <w:t>办法》（财库【2020】46号）第二条规定的企业。</w:t>
      </w:r>
    </w:p>
    <w:p>
      <w:pPr>
        <w:spacing w:line="360" w:lineRule="auto"/>
        <w:rPr>
          <w:rFonts w:ascii="宋体" w:hAnsi="宋体" w:cs="宋体"/>
          <w:szCs w:val="22"/>
        </w:rPr>
      </w:pPr>
      <w:r>
        <w:rPr>
          <w:rFonts w:hint="eastAsia" w:ascii="宋体" w:hAnsi="宋体" w:cs="宋体"/>
          <w:szCs w:val="22"/>
        </w:rPr>
        <w:t>2.8本文中“竞争性磋商文件”、“磋商文件”和“采购文件”均指本文件。</w:t>
      </w:r>
    </w:p>
    <w:p>
      <w:pPr>
        <w:spacing w:line="360" w:lineRule="auto"/>
        <w:rPr>
          <w:rFonts w:ascii="宋体" w:hAnsi="宋体" w:cs="宋体"/>
          <w:b/>
          <w:szCs w:val="21"/>
        </w:rPr>
      </w:pPr>
      <w:bookmarkStart w:id="67" w:name="_Toc70687143"/>
      <w:bookmarkStart w:id="68" w:name="_Toc389620168"/>
      <w:bookmarkStart w:id="69" w:name="_Toc184043016"/>
      <w:bookmarkStart w:id="70" w:name="_Toc385992329"/>
      <w:r>
        <w:rPr>
          <w:rFonts w:hint="eastAsia" w:ascii="宋体" w:hAnsi="宋体" w:cs="宋体"/>
          <w:b/>
          <w:szCs w:val="21"/>
        </w:rPr>
        <w:t>3. 合格的供应商</w:t>
      </w:r>
      <w:bookmarkEnd w:id="67"/>
      <w:bookmarkEnd w:id="68"/>
      <w:bookmarkEnd w:id="69"/>
      <w:bookmarkEnd w:id="70"/>
    </w:p>
    <w:p>
      <w:pPr>
        <w:tabs>
          <w:tab w:val="left" w:pos="588"/>
        </w:tabs>
        <w:adjustRightInd/>
        <w:spacing w:line="360" w:lineRule="auto"/>
        <w:jc w:val="both"/>
        <w:textAlignment w:val="auto"/>
        <w:rPr>
          <w:rFonts w:ascii="宋体" w:hAnsi="宋体" w:cs="宋体"/>
          <w:kern w:val="24"/>
          <w:szCs w:val="21"/>
        </w:rPr>
      </w:pPr>
      <w:r>
        <w:rPr>
          <w:rFonts w:hint="eastAsia" w:ascii="宋体" w:hAnsi="宋体" w:cs="宋体"/>
          <w:kern w:val="24"/>
          <w:szCs w:val="21"/>
        </w:rPr>
        <w:t>3.1供应商具体资格要求详见本项目</w:t>
      </w:r>
      <w:r>
        <w:rPr>
          <w:rFonts w:hint="eastAsia" w:ascii="宋体" w:hAnsi="宋体" w:cs="宋体"/>
          <w:szCs w:val="24"/>
        </w:rPr>
        <w:t>竞争性磋商公告</w:t>
      </w:r>
      <w:r>
        <w:rPr>
          <w:rFonts w:hint="eastAsia" w:ascii="宋体" w:hAnsi="宋体" w:cs="宋体"/>
          <w:kern w:val="24"/>
          <w:szCs w:val="21"/>
        </w:rPr>
        <w:t>。</w:t>
      </w:r>
    </w:p>
    <w:p>
      <w:pPr>
        <w:tabs>
          <w:tab w:val="left" w:pos="588"/>
        </w:tabs>
        <w:adjustRightInd/>
        <w:spacing w:line="360" w:lineRule="auto"/>
        <w:jc w:val="both"/>
        <w:textAlignment w:val="auto"/>
        <w:rPr>
          <w:rFonts w:ascii="宋体" w:hAnsi="宋体" w:cs="宋体"/>
          <w:kern w:val="24"/>
          <w:szCs w:val="21"/>
        </w:rPr>
      </w:pPr>
      <w:r>
        <w:rPr>
          <w:rFonts w:hint="eastAsia" w:ascii="宋体" w:hAnsi="宋体" w:cs="宋体"/>
          <w:kern w:val="24"/>
          <w:szCs w:val="21"/>
        </w:rPr>
        <w:t>3.2供应商还应遵守《中华人民共和国政府采购法》、《中华人民共和国政府采购法实施条例》及其它有关的中国法律和法规。</w:t>
      </w:r>
    </w:p>
    <w:p>
      <w:pPr>
        <w:spacing w:line="360" w:lineRule="auto"/>
        <w:rPr>
          <w:rFonts w:ascii="宋体" w:hAnsi="宋体" w:cs="宋体"/>
          <w:szCs w:val="24"/>
        </w:rPr>
      </w:pPr>
      <w:r>
        <w:rPr>
          <w:rFonts w:hint="eastAsia" w:ascii="宋体" w:hAnsi="宋体" w:cs="宋体"/>
          <w:szCs w:val="24"/>
        </w:rPr>
        <w:t>3.3供应商应购买竞争性磋商文件且在法律上独立、合法运作并独立于采购人和采购代理机构。</w:t>
      </w:r>
    </w:p>
    <w:p>
      <w:pPr>
        <w:spacing w:line="360" w:lineRule="auto"/>
        <w:jc w:val="both"/>
        <w:rPr>
          <w:rFonts w:ascii="宋体" w:hAnsi="宋体" w:cs="宋体"/>
          <w:kern w:val="24"/>
          <w:szCs w:val="24"/>
        </w:rPr>
      </w:pPr>
      <w:r>
        <w:rPr>
          <w:rFonts w:hint="eastAsia" w:ascii="宋体" w:hAnsi="宋体" w:cs="宋体"/>
          <w:kern w:val="24"/>
          <w:szCs w:val="24"/>
        </w:rPr>
        <w:t>3.4</w:t>
      </w:r>
      <w:r>
        <w:rPr>
          <w:rFonts w:hint="eastAsia" w:ascii="宋体" w:hAnsi="宋体" w:cs="宋体"/>
          <w:kern w:val="24"/>
          <w:szCs w:val="24"/>
        </w:rPr>
        <w:tab/>
      </w:r>
      <w:r>
        <w:rPr>
          <w:rFonts w:hint="eastAsia" w:ascii="宋体" w:hAnsi="宋体" w:cs="宋体"/>
          <w:kern w:val="24"/>
          <w:szCs w:val="24"/>
        </w:rPr>
        <w:t xml:space="preserve"> 政府采购活动中查询及使用供应商信用记录的具体要求为：供应商未被列入失信被执行人、重大税收违法案件当事人名单、政府采购严重违法失信行为记录名单（如联合体形式磋商的，联合体成员存在不良信用记录，视同联合体存在不良信用记录）。</w:t>
      </w:r>
    </w:p>
    <w:p>
      <w:pPr>
        <w:tabs>
          <w:tab w:val="left" w:pos="588"/>
        </w:tabs>
        <w:adjustRightInd/>
        <w:spacing w:line="360" w:lineRule="auto"/>
        <w:jc w:val="both"/>
        <w:textAlignment w:val="auto"/>
        <w:rPr>
          <w:rFonts w:ascii="宋体" w:hAnsi="宋体" w:cs="宋体"/>
          <w:kern w:val="24"/>
          <w:szCs w:val="21"/>
        </w:rPr>
      </w:pPr>
      <w:r>
        <w:rPr>
          <w:rFonts w:hint="eastAsia" w:ascii="宋体" w:hAnsi="宋体" w:cs="宋体"/>
          <w:kern w:val="24"/>
          <w:szCs w:val="21"/>
        </w:rPr>
        <w:t>3.5供应商必须向采购代理机构购买竞争性磋商文件并登记备案，未向采购代理机构购买竞争性磋商文件并登记备案的潜在供应商均无资格参加磋商；</w:t>
      </w:r>
    </w:p>
    <w:p>
      <w:pPr>
        <w:spacing w:line="360" w:lineRule="auto"/>
        <w:rPr>
          <w:rFonts w:ascii="宋体" w:hAnsi="宋体" w:cs="宋体"/>
          <w:b/>
          <w:szCs w:val="21"/>
        </w:rPr>
      </w:pPr>
      <w:bookmarkStart w:id="71" w:name="_Toc389620169"/>
      <w:bookmarkStart w:id="72" w:name="_Toc184043017"/>
      <w:bookmarkStart w:id="73" w:name="_Toc70687144"/>
      <w:bookmarkStart w:id="74" w:name="_Toc385992330"/>
      <w:r>
        <w:rPr>
          <w:rFonts w:hint="eastAsia" w:ascii="宋体" w:hAnsi="宋体" w:cs="宋体"/>
          <w:b/>
          <w:szCs w:val="21"/>
        </w:rPr>
        <w:t>4. 响应费用</w:t>
      </w:r>
      <w:bookmarkEnd w:id="71"/>
      <w:bookmarkEnd w:id="72"/>
      <w:bookmarkEnd w:id="73"/>
      <w:bookmarkEnd w:id="74"/>
    </w:p>
    <w:p>
      <w:pPr>
        <w:spacing w:line="360" w:lineRule="auto"/>
        <w:rPr>
          <w:rFonts w:ascii="宋体" w:hAnsi="宋体" w:cs="宋体"/>
          <w:kern w:val="24"/>
          <w:szCs w:val="24"/>
        </w:rPr>
      </w:pPr>
      <w:r>
        <w:rPr>
          <w:rFonts w:hint="eastAsia" w:ascii="宋体" w:hAnsi="宋体" w:cs="宋体"/>
          <w:kern w:val="24"/>
          <w:szCs w:val="24"/>
        </w:rPr>
        <w:t>4.1供应商应承担所有与编写和提交响应文件有关的费用，无论磋商过程和结果如何，采购人在任何情况下均无义务和责任承担这些费用。</w:t>
      </w:r>
    </w:p>
    <w:p>
      <w:pPr>
        <w:spacing w:line="360" w:lineRule="auto"/>
        <w:rPr>
          <w:rFonts w:ascii="宋体" w:hAnsi="宋体" w:cs="宋体"/>
          <w:b/>
          <w:bCs/>
          <w:kern w:val="24"/>
          <w:szCs w:val="24"/>
        </w:rPr>
      </w:pPr>
      <w:bookmarkStart w:id="75" w:name="_Toc70687145"/>
      <w:bookmarkStart w:id="76" w:name="_Toc385992331"/>
      <w:bookmarkStart w:id="77" w:name="_Toc177817336"/>
      <w:bookmarkStart w:id="78" w:name="_Toc389620170"/>
      <w:bookmarkStart w:id="79" w:name="_Toc230099799"/>
      <w:bookmarkStart w:id="80" w:name="_Toc232395214"/>
      <w:bookmarkStart w:id="81" w:name="_Toc499711045"/>
      <w:bookmarkStart w:id="82" w:name="_Toc53722842"/>
      <w:bookmarkStart w:id="83" w:name="_Toc239740353"/>
      <w:bookmarkStart w:id="84" w:name="_Toc232176274"/>
      <w:bookmarkStart w:id="85" w:name="_Toc500746968"/>
      <w:bookmarkStart w:id="86" w:name="_Toc496324581"/>
      <w:bookmarkStart w:id="87" w:name="_Toc499711886"/>
      <w:bookmarkStart w:id="88" w:name="_Toc177189237"/>
      <w:bookmarkStart w:id="89" w:name="_Toc230583543"/>
      <w:bookmarkStart w:id="90" w:name="_Toc492955417"/>
      <w:bookmarkStart w:id="91" w:name="_Toc265738862"/>
      <w:bookmarkStart w:id="92" w:name="_Toc184043018"/>
      <w:bookmarkStart w:id="93" w:name="_Toc500747064"/>
      <w:bookmarkStart w:id="94" w:name="_Toc500747191"/>
      <w:bookmarkStart w:id="95" w:name="_Toc176882544"/>
      <w:bookmarkStart w:id="96" w:name="_Toc503063424"/>
      <w:bookmarkStart w:id="97" w:name="_Toc177995475"/>
      <w:bookmarkStart w:id="98" w:name="_Toc235518468"/>
      <w:bookmarkStart w:id="99" w:name="_Toc230013634"/>
      <w:r>
        <w:rPr>
          <w:rFonts w:hint="eastAsia" w:ascii="宋体" w:hAnsi="宋体" w:cs="宋体"/>
          <w:b/>
          <w:bCs/>
          <w:kern w:val="24"/>
          <w:szCs w:val="24"/>
        </w:rPr>
        <w:t>5. 通知</w:t>
      </w:r>
    </w:p>
    <w:p>
      <w:pPr>
        <w:spacing w:line="360" w:lineRule="auto"/>
        <w:jc w:val="both"/>
        <w:rPr>
          <w:rFonts w:ascii="宋体" w:hAnsi="宋体" w:cs="宋体"/>
          <w:kern w:val="24"/>
          <w:szCs w:val="24"/>
        </w:rPr>
      </w:pPr>
      <w:r>
        <w:rPr>
          <w:rFonts w:hint="eastAsia" w:ascii="宋体" w:hAnsi="宋体" w:cs="宋体"/>
          <w:kern w:val="24"/>
          <w:szCs w:val="24"/>
        </w:rPr>
        <w:t>5.1对与本项目有关的通知，采购人或采购代理机构将以书面（包括书面材料、信函、传真、电子邮件等，下同）的形式，送达所有与通知有关的已登记备案并领取了竞争性磋商文件的供应商（潜在供应商），传真号码以供应商的登记为准。供应商应于收到通知的当日以书面方式予以回复确认。因登记有误或传真线路故障导致通知延迟送达或无法送达，采购人或采购代理机构不承担责任。</w:t>
      </w:r>
    </w:p>
    <w:p>
      <w:pPr>
        <w:spacing w:line="360" w:lineRule="auto"/>
        <w:jc w:val="both"/>
        <w:rPr>
          <w:rFonts w:ascii="宋体" w:hAnsi="宋体" w:cs="宋体"/>
          <w:kern w:val="24"/>
          <w:szCs w:val="24"/>
        </w:rPr>
      </w:pPr>
      <w:r>
        <w:rPr>
          <w:rFonts w:hint="eastAsia" w:ascii="宋体" w:hAnsi="宋体" w:cs="宋体"/>
          <w:kern w:val="24"/>
          <w:szCs w:val="24"/>
        </w:rPr>
        <w:t>5.2供应商应认真阅读竞争性磋商文件中所有的事项、格式条款和规范要求等。供应商没有对竞争性磋商文件做出全面的实质性响应是供应商的风险。采购人有权拒绝没有对竞争性磋商文件要求做出实质性响应的磋商。</w:t>
      </w:r>
    </w:p>
    <w:p>
      <w:pPr>
        <w:tabs>
          <w:tab w:val="left" w:pos="588"/>
        </w:tabs>
        <w:adjustRightInd/>
        <w:spacing w:line="360" w:lineRule="auto"/>
        <w:ind w:left="480" w:hanging="480" w:hangingChars="200"/>
        <w:jc w:val="both"/>
        <w:textAlignment w:val="auto"/>
        <w:rPr>
          <w:rFonts w:ascii="宋体" w:hAnsi="宋体" w:cs="宋体"/>
        </w:rPr>
      </w:pPr>
    </w:p>
    <w:p>
      <w:pPr>
        <w:spacing w:line="360" w:lineRule="auto"/>
        <w:jc w:val="center"/>
        <w:rPr>
          <w:rFonts w:ascii="宋体" w:hAnsi="宋体" w:cs="宋体"/>
          <w:b/>
          <w:sz w:val="32"/>
          <w:szCs w:val="32"/>
        </w:rPr>
      </w:pPr>
      <w:r>
        <w:rPr>
          <w:rFonts w:hint="eastAsia" w:ascii="宋体" w:hAnsi="宋体" w:cs="宋体"/>
          <w:b/>
          <w:sz w:val="32"/>
          <w:szCs w:val="32"/>
        </w:rPr>
        <w:t>二、竞争性磋商文件说明</w:t>
      </w:r>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p>
    <w:p>
      <w:pPr>
        <w:spacing w:line="360" w:lineRule="auto"/>
        <w:rPr>
          <w:rFonts w:ascii="宋体" w:hAnsi="宋体" w:cs="宋体"/>
          <w:b/>
          <w:szCs w:val="21"/>
        </w:rPr>
      </w:pPr>
      <w:bookmarkStart w:id="100" w:name="_Toc70687146"/>
      <w:bookmarkStart w:id="101" w:name="_Toc184043019"/>
      <w:bookmarkStart w:id="102" w:name="_Toc385992332"/>
      <w:bookmarkStart w:id="103" w:name="_Toc389620171"/>
      <w:r>
        <w:rPr>
          <w:rFonts w:hint="eastAsia" w:ascii="宋体" w:hAnsi="宋体" w:cs="宋体"/>
          <w:b/>
          <w:szCs w:val="21"/>
        </w:rPr>
        <w:t>6. 竞争性磋商文件的构成</w:t>
      </w:r>
      <w:bookmarkEnd w:id="100"/>
      <w:bookmarkEnd w:id="101"/>
      <w:bookmarkEnd w:id="102"/>
      <w:bookmarkEnd w:id="103"/>
    </w:p>
    <w:p>
      <w:pPr>
        <w:spacing w:line="360" w:lineRule="auto"/>
        <w:jc w:val="both"/>
        <w:rPr>
          <w:rFonts w:ascii="宋体" w:hAnsi="宋体" w:cs="宋体"/>
          <w:kern w:val="24"/>
          <w:szCs w:val="24"/>
        </w:rPr>
      </w:pPr>
      <w:r>
        <w:rPr>
          <w:rFonts w:hint="eastAsia" w:ascii="宋体" w:hAnsi="宋体" w:cs="宋体"/>
          <w:kern w:val="24"/>
          <w:szCs w:val="24"/>
        </w:rPr>
        <w:t>6.1竞争性磋商文件用以阐明供应商所需提供的服务以及其它类似的义务、磋商程序和合同条款。竞争性磋商文件包括如下六章内容：</w:t>
      </w:r>
    </w:p>
    <w:p>
      <w:pPr>
        <w:tabs>
          <w:tab w:val="left" w:pos="588"/>
          <w:tab w:val="left" w:pos="960"/>
        </w:tabs>
        <w:adjustRightInd/>
        <w:spacing w:line="360" w:lineRule="auto"/>
        <w:jc w:val="both"/>
        <w:textAlignment w:val="auto"/>
        <w:rPr>
          <w:rFonts w:ascii="宋体" w:hAnsi="宋体" w:cs="宋体"/>
          <w:szCs w:val="21"/>
        </w:rPr>
      </w:pPr>
      <w:r>
        <w:rPr>
          <w:rFonts w:hint="eastAsia" w:ascii="宋体" w:hAnsi="宋体" w:cs="宋体"/>
          <w:szCs w:val="21"/>
        </w:rPr>
        <w:t>第一章 竞争性磋商公告</w:t>
      </w:r>
    </w:p>
    <w:p>
      <w:pPr>
        <w:tabs>
          <w:tab w:val="left" w:pos="588"/>
          <w:tab w:val="left" w:pos="960"/>
        </w:tabs>
        <w:adjustRightInd/>
        <w:spacing w:line="360" w:lineRule="auto"/>
        <w:jc w:val="both"/>
        <w:textAlignment w:val="auto"/>
        <w:rPr>
          <w:rFonts w:ascii="宋体" w:hAnsi="宋体" w:cs="宋体"/>
          <w:szCs w:val="21"/>
        </w:rPr>
      </w:pPr>
      <w:r>
        <w:rPr>
          <w:rFonts w:hint="eastAsia" w:ascii="宋体" w:hAnsi="宋体" w:cs="宋体"/>
          <w:szCs w:val="21"/>
        </w:rPr>
        <w:t>第二章 供应商须知</w:t>
      </w:r>
    </w:p>
    <w:p>
      <w:pPr>
        <w:tabs>
          <w:tab w:val="left" w:pos="588"/>
          <w:tab w:val="left" w:pos="960"/>
        </w:tabs>
        <w:adjustRightInd/>
        <w:spacing w:line="360" w:lineRule="auto"/>
        <w:jc w:val="both"/>
        <w:textAlignment w:val="auto"/>
        <w:rPr>
          <w:rFonts w:ascii="宋体" w:hAnsi="宋体" w:cs="宋体"/>
          <w:szCs w:val="21"/>
        </w:rPr>
      </w:pPr>
      <w:r>
        <w:rPr>
          <w:rFonts w:hint="eastAsia" w:ascii="宋体" w:hAnsi="宋体" w:cs="宋体"/>
          <w:szCs w:val="21"/>
        </w:rPr>
        <w:t>第三章 合同主要条款</w:t>
      </w:r>
    </w:p>
    <w:p>
      <w:pPr>
        <w:tabs>
          <w:tab w:val="left" w:pos="588"/>
          <w:tab w:val="left" w:pos="960"/>
        </w:tabs>
        <w:adjustRightInd/>
        <w:spacing w:line="360" w:lineRule="auto"/>
        <w:jc w:val="both"/>
        <w:textAlignment w:val="auto"/>
        <w:rPr>
          <w:rFonts w:ascii="宋体" w:hAnsi="宋体" w:cs="宋体"/>
          <w:szCs w:val="21"/>
        </w:rPr>
      </w:pPr>
      <w:r>
        <w:rPr>
          <w:rFonts w:hint="eastAsia" w:ascii="宋体" w:hAnsi="宋体" w:cs="宋体"/>
          <w:szCs w:val="21"/>
        </w:rPr>
        <w:t>第四章 服务需求书</w:t>
      </w:r>
    </w:p>
    <w:p>
      <w:pPr>
        <w:tabs>
          <w:tab w:val="left" w:pos="588"/>
          <w:tab w:val="left" w:pos="960"/>
        </w:tabs>
        <w:adjustRightInd/>
        <w:spacing w:line="360" w:lineRule="auto"/>
        <w:jc w:val="both"/>
        <w:textAlignment w:val="auto"/>
        <w:rPr>
          <w:rFonts w:ascii="宋体" w:hAnsi="宋体" w:cs="宋体"/>
          <w:szCs w:val="21"/>
        </w:rPr>
      </w:pPr>
      <w:r>
        <w:rPr>
          <w:rFonts w:hint="eastAsia" w:ascii="宋体" w:hAnsi="宋体" w:cs="宋体"/>
          <w:szCs w:val="21"/>
        </w:rPr>
        <w:t xml:space="preserve">第五章 </w:t>
      </w:r>
      <w:r>
        <w:rPr>
          <w:rFonts w:hint="eastAsia" w:ascii="宋体" w:hAnsi="宋体" w:cs="宋体"/>
          <w:bCs/>
        </w:rPr>
        <w:t>评分标准</w:t>
      </w:r>
    </w:p>
    <w:p>
      <w:pPr>
        <w:tabs>
          <w:tab w:val="left" w:pos="588"/>
          <w:tab w:val="left" w:pos="960"/>
        </w:tabs>
        <w:adjustRightInd/>
        <w:spacing w:line="360" w:lineRule="auto"/>
        <w:jc w:val="both"/>
        <w:textAlignment w:val="auto"/>
        <w:rPr>
          <w:rFonts w:ascii="宋体" w:hAnsi="宋体" w:cs="宋体"/>
          <w:szCs w:val="21"/>
        </w:rPr>
      </w:pPr>
      <w:r>
        <w:rPr>
          <w:rFonts w:hint="eastAsia" w:ascii="宋体" w:hAnsi="宋体" w:cs="宋体"/>
          <w:szCs w:val="21"/>
        </w:rPr>
        <w:t>第六章 响应文件格式</w:t>
      </w:r>
    </w:p>
    <w:p>
      <w:pPr>
        <w:spacing w:line="360" w:lineRule="auto"/>
        <w:rPr>
          <w:rFonts w:ascii="宋体" w:hAnsi="宋体" w:cs="宋体"/>
          <w:b/>
          <w:szCs w:val="21"/>
        </w:rPr>
      </w:pPr>
      <w:bookmarkStart w:id="104" w:name="_Toc70687147"/>
      <w:bookmarkStart w:id="105" w:name="_Toc389620172"/>
      <w:bookmarkStart w:id="106" w:name="_Toc385992333"/>
      <w:bookmarkStart w:id="107" w:name="_Toc184043020"/>
      <w:r>
        <w:rPr>
          <w:rFonts w:hint="eastAsia" w:ascii="宋体" w:hAnsi="宋体" w:cs="宋体"/>
          <w:b/>
          <w:szCs w:val="21"/>
        </w:rPr>
        <w:t>7. 竞争性磋商文件的澄清</w:t>
      </w:r>
      <w:bookmarkEnd w:id="104"/>
      <w:bookmarkEnd w:id="105"/>
      <w:bookmarkEnd w:id="106"/>
      <w:bookmarkEnd w:id="107"/>
      <w:r>
        <w:rPr>
          <w:rFonts w:hint="eastAsia" w:ascii="宋体" w:hAnsi="宋体" w:cs="宋体"/>
          <w:b/>
          <w:szCs w:val="24"/>
        </w:rPr>
        <w:t>和修改</w:t>
      </w:r>
    </w:p>
    <w:p>
      <w:pPr>
        <w:spacing w:line="360" w:lineRule="auto"/>
        <w:rPr>
          <w:rFonts w:ascii="宋体" w:hAnsi="宋体" w:cs="宋体"/>
          <w:kern w:val="24"/>
          <w:szCs w:val="24"/>
        </w:rPr>
      </w:pPr>
      <w:r>
        <w:rPr>
          <w:rFonts w:hint="eastAsia" w:ascii="宋体" w:hAnsi="宋体" w:cs="宋体"/>
          <w:kern w:val="24"/>
          <w:szCs w:val="24"/>
        </w:rPr>
        <w:t>7.1已登记备案并领取了竞争性磋商文件的潜在供应商，在发现竞争性磋商文件存在混淆或错乱等问题时，可要求采购人或采购代理机构对竞争性磋商文件进行澄清。澄清要求按竞争性磋商公告中的联系地址以书面形式送达采购人或采购代理机构。采购人或采购代理机构将视情况决定采用适当方式予以澄清或以书面形式予以答复，并在其认为必要时，在首次响应文件提交截止之日5日前将书面答复发给每个购买磋商文件的潜在供应商，答复中包括原提出的问题，但不包括问题的来源。</w:t>
      </w:r>
    </w:p>
    <w:p>
      <w:pPr>
        <w:spacing w:line="360" w:lineRule="auto"/>
        <w:rPr>
          <w:rFonts w:ascii="宋体" w:hAnsi="宋体" w:cs="宋体"/>
          <w:kern w:val="24"/>
          <w:szCs w:val="24"/>
        </w:rPr>
      </w:pPr>
      <w:r>
        <w:rPr>
          <w:rFonts w:hint="eastAsia" w:ascii="宋体" w:hAnsi="宋体" w:cs="宋体"/>
          <w:kern w:val="24"/>
          <w:szCs w:val="24"/>
        </w:rPr>
        <w:t>7.2 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或者磋商小组应当在提交首次响应文件截止时间至少5日前，以书面形式通知所有接收磋商文件的供应商，不足5日的，应当顺延提交首次响应文件截止之日。</w:t>
      </w:r>
    </w:p>
    <w:p>
      <w:pPr>
        <w:spacing w:line="360" w:lineRule="auto"/>
        <w:rPr>
          <w:rFonts w:ascii="宋体" w:hAnsi="宋体" w:cs="宋体"/>
          <w:kern w:val="24"/>
          <w:szCs w:val="24"/>
        </w:rPr>
      </w:pPr>
      <w:r>
        <w:rPr>
          <w:rFonts w:hint="eastAsia" w:ascii="宋体" w:hAnsi="宋体" w:cs="宋体"/>
          <w:kern w:val="24"/>
          <w:szCs w:val="24"/>
        </w:rPr>
        <w:t>7.3对竞争性磋商文件的澄清和修改，将书面通知已领取竞争性磋商文件的潜在供应商，并在刊登本次磋商公告的媒体上发布变更公告。供应商应于收到补充文件的当日以书面形式回复确认。</w:t>
      </w:r>
    </w:p>
    <w:p>
      <w:pPr>
        <w:spacing w:line="360" w:lineRule="auto"/>
        <w:rPr>
          <w:rFonts w:ascii="宋体" w:hAnsi="宋体" w:cs="宋体"/>
          <w:kern w:val="24"/>
          <w:szCs w:val="24"/>
        </w:rPr>
      </w:pPr>
      <w:r>
        <w:rPr>
          <w:rFonts w:hint="eastAsia" w:ascii="宋体" w:hAnsi="宋体" w:cs="宋体"/>
          <w:kern w:val="24"/>
          <w:szCs w:val="24"/>
        </w:rPr>
        <w:t>7.4采购人、采购代理机构可以视采购项目的具体情况，组织供应商进行现场考察或召开磋商前答疑会，但不得单独或分别组织只有一个供应商参加的现场考察和答疑会。如果召开答疑会，采购人或采购代理机构将通知已领取了磋商采购文件的供应商。</w:t>
      </w:r>
    </w:p>
    <w:p>
      <w:pPr>
        <w:spacing w:line="360" w:lineRule="auto"/>
        <w:jc w:val="center"/>
        <w:rPr>
          <w:rFonts w:ascii="宋体" w:hAnsi="宋体" w:cs="宋体"/>
          <w:b/>
          <w:szCs w:val="21"/>
        </w:rPr>
      </w:pPr>
      <w:bookmarkStart w:id="108" w:name="_Toc492955418"/>
      <w:bookmarkStart w:id="109" w:name="_Toc389620174"/>
      <w:bookmarkStart w:id="110" w:name="_Toc503063425"/>
      <w:bookmarkStart w:id="111" w:name="_Toc239740354"/>
      <w:bookmarkStart w:id="112" w:name="_Toc230013635"/>
      <w:bookmarkStart w:id="113" w:name="_Toc496324582"/>
      <w:bookmarkStart w:id="114" w:name="_Toc176882545"/>
      <w:bookmarkStart w:id="115" w:name="_Toc500747065"/>
      <w:bookmarkStart w:id="116" w:name="_Toc265738863"/>
      <w:bookmarkStart w:id="117" w:name="_Toc230099800"/>
      <w:bookmarkStart w:id="118" w:name="_Toc177995476"/>
      <w:bookmarkStart w:id="119" w:name="_Toc499711887"/>
      <w:bookmarkStart w:id="120" w:name="_Toc235518469"/>
      <w:bookmarkStart w:id="121" w:name="_Toc230583544"/>
      <w:bookmarkStart w:id="122" w:name="_Toc500746969"/>
      <w:bookmarkStart w:id="123" w:name="_Toc499711046"/>
      <w:bookmarkStart w:id="124" w:name="_Toc177189238"/>
      <w:bookmarkStart w:id="125" w:name="_Toc184043022"/>
      <w:bookmarkStart w:id="126" w:name="_Toc232176275"/>
      <w:bookmarkStart w:id="127" w:name="_Toc385992335"/>
      <w:bookmarkStart w:id="128" w:name="_Toc53722843"/>
      <w:bookmarkStart w:id="129" w:name="_Toc177817337"/>
      <w:bookmarkStart w:id="130" w:name="_Toc70687149"/>
      <w:bookmarkStart w:id="131" w:name="_Toc232395215"/>
      <w:bookmarkStart w:id="132" w:name="_Toc500747192"/>
    </w:p>
    <w:p>
      <w:pPr>
        <w:spacing w:line="360" w:lineRule="auto"/>
        <w:jc w:val="center"/>
        <w:rPr>
          <w:rFonts w:ascii="宋体" w:hAnsi="宋体" w:cs="宋体"/>
          <w:b/>
          <w:sz w:val="32"/>
          <w:szCs w:val="32"/>
        </w:rPr>
      </w:pPr>
      <w:r>
        <w:rPr>
          <w:rFonts w:hint="eastAsia" w:ascii="宋体" w:hAnsi="宋体" w:cs="宋体"/>
          <w:b/>
          <w:sz w:val="32"/>
          <w:szCs w:val="32"/>
        </w:rPr>
        <w:t>三、响应文件的编写</w:t>
      </w:r>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p>
    <w:p>
      <w:pPr>
        <w:spacing w:line="360" w:lineRule="auto"/>
        <w:rPr>
          <w:rFonts w:ascii="宋体" w:hAnsi="宋体" w:cs="宋体"/>
          <w:b/>
          <w:szCs w:val="21"/>
        </w:rPr>
      </w:pPr>
      <w:bookmarkStart w:id="133" w:name="_Toc184043023"/>
      <w:bookmarkStart w:id="134" w:name="_Toc70687150"/>
      <w:bookmarkStart w:id="135" w:name="_Toc389620176"/>
      <w:bookmarkStart w:id="136" w:name="_Toc385992337"/>
      <w:r>
        <w:rPr>
          <w:rFonts w:hint="eastAsia" w:ascii="宋体" w:hAnsi="宋体" w:cs="宋体"/>
          <w:b/>
          <w:szCs w:val="21"/>
        </w:rPr>
        <w:t>8. 响应语言</w:t>
      </w:r>
      <w:bookmarkEnd w:id="133"/>
      <w:bookmarkEnd w:id="134"/>
    </w:p>
    <w:p>
      <w:pPr>
        <w:tabs>
          <w:tab w:val="left" w:pos="588"/>
        </w:tabs>
        <w:adjustRightInd/>
        <w:spacing w:line="360" w:lineRule="auto"/>
        <w:jc w:val="both"/>
        <w:textAlignment w:val="auto"/>
        <w:rPr>
          <w:rFonts w:ascii="宋体" w:hAnsi="宋体" w:cs="宋体"/>
        </w:rPr>
      </w:pPr>
      <w:r>
        <w:rPr>
          <w:rFonts w:hint="eastAsia" w:ascii="宋体" w:hAnsi="宋体" w:cs="宋体"/>
        </w:rPr>
        <w:t>8.1响应文件及与响应相关的所有文件均应以中文书写。</w:t>
      </w:r>
    </w:p>
    <w:p>
      <w:pPr>
        <w:spacing w:line="360" w:lineRule="auto"/>
        <w:rPr>
          <w:rFonts w:ascii="宋体" w:hAnsi="宋体" w:cs="宋体"/>
          <w:b/>
          <w:szCs w:val="21"/>
        </w:rPr>
      </w:pPr>
      <w:bookmarkStart w:id="137" w:name="_Toc70687151"/>
      <w:bookmarkStart w:id="138" w:name="_Toc184043024"/>
      <w:r>
        <w:rPr>
          <w:rFonts w:hint="eastAsia" w:ascii="宋体" w:hAnsi="宋体" w:cs="宋体"/>
          <w:b/>
          <w:szCs w:val="21"/>
        </w:rPr>
        <w:t>9. 计量单位</w:t>
      </w:r>
      <w:bookmarkEnd w:id="135"/>
      <w:bookmarkEnd w:id="136"/>
      <w:bookmarkEnd w:id="137"/>
      <w:bookmarkEnd w:id="138"/>
    </w:p>
    <w:p>
      <w:pPr>
        <w:spacing w:line="360" w:lineRule="auto"/>
        <w:rPr>
          <w:rFonts w:ascii="宋体" w:hAnsi="宋体" w:cs="宋体"/>
          <w:kern w:val="24"/>
          <w:szCs w:val="24"/>
        </w:rPr>
      </w:pPr>
      <w:r>
        <w:rPr>
          <w:rFonts w:hint="eastAsia" w:ascii="宋体" w:hAnsi="宋体" w:cs="宋体"/>
          <w:kern w:val="24"/>
          <w:szCs w:val="24"/>
        </w:rPr>
        <w:t>9.1除在竞争性磋商文件的技术规格中另有规定外，计量单位应使用中华人民共和国法定计量单位。</w:t>
      </w:r>
    </w:p>
    <w:p>
      <w:pPr>
        <w:spacing w:line="360" w:lineRule="auto"/>
        <w:rPr>
          <w:rFonts w:ascii="宋体" w:hAnsi="宋体" w:cs="宋体"/>
          <w:b/>
          <w:bCs/>
          <w:kern w:val="24"/>
          <w:szCs w:val="24"/>
        </w:rPr>
      </w:pPr>
      <w:bookmarkStart w:id="139" w:name="_Toc389620177"/>
      <w:bookmarkStart w:id="140" w:name="_Toc70687152"/>
      <w:bookmarkStart w:id="141" w:name="_Toc184043025"/>
      <w:bookmarkStart w:id="142" w:name="_Toc385992338"/>
      <w:r>
        <w:rPr>
          <w:rFonts w:hint="eastAsia" w:ascii="宋体" w:hAnsi="宋体" w:cs="宋体"/>
          <w:b/>
          <w:bCs/>
          <w:kern w:val="24"/>
          <w:szCs w:val="24"/>
        </w:rPr>
        <w:t>10. 响应文件的组成</w:t>
      </w:r>
      <w:bookmarkEnd w:id="139"/>
      <w:bookmarkEnd w:id="140"/>
      <w:bookmarkEnd w:id="141"/>
      <w:bookmarkEnd w:id="142"/>
    </w:p>
    <w:p>
      <w:pPr>
        <w:spacing w:line="360" w:lineRule="auto"/>
        <w:rPr>
          <w:rFonts w:ascii="宋体" w:hAnsi="宋体" w:cs="宋体"/>
          <w:kern w:val="24"/>
          <w:szCs w:val="24"/>
        </w:rPr>
      </w:pPr>
      <w:r>
        <w:rPr>
          <w:rFonts w:hint="eastAsia" w:ascii="宋体" w:hAnsi="宋体" w:cs="宋体"/>
          <w:kern w:val="24"/>
          <w:szCs w:val="24"/>
        </w:rPr>
        <w:t>供应商编写的响应文件由以下部分组成，应包括但不限于以下内容：</w:t>
      </w:r>
    </w:p>
    <w:p>
      <w:pPr>
        <w:tabs>
          <w:tab w:val="left" w:pos="5580"/>
        </w:tabs>
        <w:spacing w:line="360" w:lineRule="auto"/>
        <w:rPr>
          <w:rFonts w:ascii="宋体" w:hAnsi="宋体" w:cs="宋体"/>
        </w:rPr>
      </w:pPr>
      <w:r>
        <w:rPr>
          <w:rFonts w:hint="eastAsia" w:ascii="宋体" w:hAnsi="宋体" w:cs="宋体"/>
        </w:rPr>
        <w:t>附件1——响应函</w:t>
      </w:r>
    </w:p>
    <w:p>
      <w:pPr>
        <w:tabs>
          <w:tab w:val="left" w:pos="5580"/>
        </w:tabs>
        <w:spacing w:line="360" w:lineRule="auto"/>
        <w:rPr>
          <w:rFonts w:ascii="宋体" w:hAnsi="宋体" w:cs="宋体"/>
        </w:rPr>
      </w:pPr>
      <w:r>
        <w:rPr>
          <w:rFonts w:hint="eastAsia" w:ascii="宋体" w:hAnsi="宋体" w:cs="宋体"/>
        </w:rPr>
        <w:t>附件2——响应一览表</w:t>
      </w:r>
    </w:p>
    <w:p>
      <w:pPr>
        <w:tabs>
          <w:tab w:val="left" w:pos="5580"/>
        </w:tabs>
        <w:spacing w:line="360" w:lineRule="auto"/>
        <w:rPr>
          <w:rFonts w:ascii="宋体" w:hAnsi="宋体" w:cs="宋体"/>
        </w:rPr>
      </w:pPr>
      <w:r>
        <w:rPr>
          <w:rFonts w:hint="eastAsia" w:ascii="宋体" w:hAnsi="宋体" w:cs="宋体"/>
        </w:rPr>
        <w:t>附件3——分项报价表</w:t>
      </w:r>
    </w:p>
    <w:p>
      <w:pPr>
        <w:tabs>
          <w:tab w:val="left" w:pos="5580"/>
        </w:tabs>
        <w:spacing w:line="360" w:lineRule="auto"/>
        <w:rPr>
          <w:rFonts w:ascii="宋体" w:hAnsi="宋体" w:cs="宋体"/>
        </w:rPr>
      </w:pPr>
      <w:r>
        <w:rPr>
          <w:rFonts w:hint="eastAsia" w:ascii="宋体" w:hAnsi="宋体" w:cs="宋体"/>
        </w:rPr>
        <w:t>附件4——服务需求偏离表</w:t>
      </w:r>
    </w:p>
    <w:p>
      <w:pPr>
        <w:tabs>
          <w:tab w:val="left" w:pos="5580"/>
        </w:tabs>
        <w:spacing w:line="360" w:lineRule="auto"/>
        <w:rPr>
          <w:rFonts w:ascii="宋体" w:hAnsi="宋体" w:cs="宋体"/>
        </w:rPr>
      </w:pPr>
      <w:r>
        <w:rPr>
          <w:rFonts w:hint="eastAsia" w:ascii="宋体" w:hAnsi="宋体" w:cs="宋体"/>
        </w:rPr>
        <w:t>附件5——商务条款偏离表</w:t>
      </w:r>
    </w:p>
    <w:p>
      <w:pPr>
        <w:tabs>
          <w:tab w:val="left" w:pos="5580"/>
        </w:tabs>
        <w:spacing w:line="360" w:lineRule="auto"/>
        <w:rPr>
          <w:rFonts w:ascii="宋体" w:hAnsi="宋体" w:cs="宋体"/>
        </w:rPr>
      </w:pPr>
      <w:r>
        <w:rPr>
          <w:rFonts w:hint="eastAsia" w:ascii="宋体" w:hAnsi="宋体" w:cs="宋体"/>
        </w:rPr>
        <w:t>附件6——资格证明文件</w:t>
      </w:r>
    </w:p>
    <w:p>
      <w:pPr>
        <w:tabs>
          <w:tab w:val="left" w:pos="5580"/>
        </w:tabs>
        <w:spacing w:line="360" w:lineRule="auto"/>
        <w:rPr>
          <w:rFonts w:ascii="宋体" w:hAnsi="宋体" w:cs="宋体"/>
        </w:rPr>
      </w:pPr>
      <w:r>
        <w:rPr>
          <w:rFonts w:hint="eastAsia" w:ascii="宋体" w:hAnsi="宋体" w:cs="宋体"/>
        </w:rPr>
        <w:t>附件7——供应商综合情况一览表</w:t>
      </w:r>
    </w:p>
    <w:p>
      <w:pPr>
        <w:tabs>
          <w:tab w:val="left" w:pos="5580"/>
        </w:tabs>
        <w:spacing w:line="360" w:lineRule="auto"/>
        <w:rPr>
          <w:rFonts w:ascii="宋体" w:hAnsi="宋体" w:cs="宋体"/>
        </w:rPr>
      </w:pPr>
      <w:r>
        <w:rPr>
          <w:rFonts w:hint="eastAsia" w:ascii="宋体" w:hAnsi="宋体" w:cs="宋体"/>
        </w:rPr>
        <w:t>附件8——供应商同类业绩一览表</w:t>
      </w:r>
    </w:p>
    <w:p>
      <w:pPr>
        <w:tabs>
          <w:tab w:val="left" w:pos="5580"/>
        </w:tabs>
        <w:spacing w:line="360" w:lineRule="auto"/>
        <w:rPr>
          <w:rFonts w:ascii="宋体" w:hAnsi="宋体" w:cs="宋体"/>
        </w:rPr>
      </w:pPr>
      <w:r>
        <w:rPr>
          <w:rFonts w:hint="eastAsia" w:ascii="宋体" w:hAnsi="宋体" w:cs="宋体"/>
        </w:rPr>
        <w:t>附件9——工作实施方案及服务承诺</w:t>
      </w:r>
    </w:p>
    <w:p>
      <w:pPr>
        <w:tabs>
          <w:tab w:val="left" w:pos="5580"/>
        </w:tabs>
        <w:spacing w:line="360" w:lineRule="auto"/>
        <w:rPr>
          <w:rFonts w:ascii="宋体" w:hAnsi="宋体" w:cs="宋体"/>
        </w:rPr>
      </w:pPr>
      <w:r>
        <w:rPr>
          <w:rFonts w:hint="eastAsia" w:ascii="宋体" w:hAnsi="宋体" w:cs="宋体"/>
        </w:rPr>
        <w:t>附件10——保密承诺</w:t>
      </w:r>
    </w:p>
    <w:p>
      <w:pPr>
        <w:tabs>
          <w:tab w:val="left" w:pos="5580"/>
        </w:tabs>
        <w:spacing w:line="360" w:lineRule="auto"/>
        <w:rPr>
          <w:rFonts w:ascii="宋体" w:hAnsi="宋体" w:cs="宋体"/>
        </w:rPr>
      </w:pPr>
      <w:r>
        <w:rPr>
          <w:rFonts w:hint="eastAsia" w:ascii="宋体" w:hAnsi="宋体" w:cs="宋体"/>
        </w:rPr>
        <w:t>附件11——中小企业声明函</w:t>
      </w:r>
    </w:p>
    <w:p>
      <w:pPr>
        <w:tabs>
          <w:tab w:val="left" w:pos="5580"/>
        </w:tabs>
        <w:spacing w:line="360" w:lineRule="auto"/>
        <w:rPr>
          <w:rFonts w:ascii="宋体" w:hAnsi="宋体" w:cs="宋体"/>
        </w:rPr>
      </w:pPr>
      <w:r>
        <w:rPr>
          <w:rFonts w:hint="eastAsia" w:ascii="宋体" w:hAnsi="宋体" w:cs="宋体"/>
        </w:rPr>
        <w:t>附件12——供应商认为应附的其他材料</w:t>
      </w:r>
    </w:p>
    <w:p>
      <w:pPr>
        <w:tabs>
          <w:tab w:val="left" w:pos="588"/>
        </w:tabs>
        <w:spacing w:line="360" w:lineRule="auto"/>
        <w:rPr>
          <w:rFonts w:ascii="宋体" w:hAnsi="宋体" w:cs="宋体"/>
        </w:rPr>
      </w:pPr>
      <w:r>
        <w:rPr>
          <w:rFonts w:hint="eastAsia" w:ascii="宋体" w:hAnsi="宋体" w:cs="宋体"/>
        </w:rPr>
        <w:t xml:space="preserve">附件13——最后报价表  </w:t>
      </w:r>
    </w:p>
    <w:p>
      <w:pPr>
        <w:tabs>
          <w:tab w:val="left" w:pos="588"/>
        </w:tabs>
        <w:adjustRightInd/>
        <w:spacing w:line="360" w:lineRule="auto"/>
        <w:jc w:val="both"/>
        <w:textAlignment w:val="auto"/>
        <w:rPr>
          <w:rFonts w:ascii="宋体" w:hAnsi="宋体" w:cs="宋体"/>
          <w:b/>
        </w:rPr>
      </w:pPr>
      <w:r>
        <w:rPr>
          <w:rFonts w:hint="eastAsia" w:ascii="宋体" w:hAnsi="宋体" w:cs="宋体"/>
          <w:b/>
        </w:rPr>
        <w:t>供应商提供的以上材料必须真实有效，任何一项的虚假将导致其磋商被拒绝。</w:t>
      </w:r>
    </w:p>
    <w:p>
      <w:pPr>
        <w:spacing w:line="360" w:lineRule="auto"/>
        <w:rPr>
          <w:rFonts w:ascii="宋体" w:hAnsi="宋体" w:cs="宋体"/>
          <w:b/>
          <w:szCs w:val="21"/>
        </w:rPr>
      </w:pPr>
      <w:bookmarkStart w:id="143" w:name="_Toc385992339"/>
      <w:bookmarkStart w:id="144" w:name="_Toc70687153"/>
      <w:bookmarkStart w:id="145" w:name="_Toc184043026"/>
      <w:bookmarkStart w:id="146" w:name="_Toc389620178"/>
      <w:r>
        <w:rPr>
          <w:rFonts w:hint="eastAsia" w:ascii="宋体" w:hAnsi="宋体" w:cs="宋体"/>
          <w:b/>
        </w:rPr>
        <w:t>11. 响应文件格式</w:t>
      </w:r>
      <w:bookmarkEnd w:id="143"/>
      <w:bookmarkEnd w:id="144"/>
      <w:bookmarkEnd w:id="145"/>
      <w:bookmarkEnd w:id="146"/>
    </w:p>
    <w:p>
      <w:pPr>
        <w:tabs>
          <w:tab w:val="left" w:pos="588"/>
        </w:tabs>
        <w:adjustRightInd/>
        <w:spacing w:line="360" w:lineRule="auto"/>
        <w:jc w:val="both"/>
        <w:textAlignment w:val="auto"/>
        <w:rPr>
          <w:rFonts w:ascii="宋体" w:hAnsi="宋体" w:cs="宋体"/>
          <w:b/>
          <w:kern w:val="24"/>
          <w:szCs w:val="21"/>
        </w:rPr>
      </w:pPr>
      <w:r>
        <w:rPr>
          <w:rFonts w:hint="eastAsia" w:ascii="宋体" w:hAnsi="宋体" w:cs="宋体"/>
          <w:kern w:val="24"/>
          <w:szCs w:val="21"/>
        </w:rPr>
        <w:t>对于竞争性磋商文件第六章中已经提供了响应文件格式的，供应商须按提供的格式进行填写和编制，没有提供格式的可自行设计。</w:t>
      </w:r>
    </w:p>
    <w:p>
      <w:pPr>
        <w:spacing w:line="360" w:lineRule="auto"/>
        <w:rPr>
          <w:rFonts w:ascii="宋体" w:hAnsi="宋体" w:cs="宋体"/>
          <w:b/>
          <w:szCs w:val="21"/>
        </w:rPr>
      </w:pPr>
      <w:bookmarkStart w:id="147" w:name="_Toc70687154"/>
      <w:bookmarkStart w:id="148" w:name="_Toc389620179"/>
      <w:bookmarkStart w:id="149" w:name="_Toc385992340"/>
      <w:bookmarkStart w:id="150" w:name="_Toc184043027"/>
      <w:r>
        <w:rPr>
          <w:rFonts w:hint="eastAsia" w:ascii="宋体" w:hAnsi="宋体" w:cs="宋体"/>
          <w:b/>
          <w:szCs w:val="21"/>
        </w:rPr>
        <w:t>12. 磋商报价</w:t>
      </w:r>
      <w:bookmarkEnd w:id="147"/>
      <w:bookmarkEnd w:id="148"/>
      <w:bookmarkEnd w:id="149"/>
      <w:bookmarkEnd w:id="150"/>
    </w:p>
    <w:p>
      <w:pPr>
        <w:spacing w:line="360" w:lineRule="auto"/>
        <w:rPr>
          <w:rFonts w:ascii="宋体" w:hAnsi="宋体" w:cs="宋体"/>
          <w:kern w:val="24"/>
          <w:szCs w:val="21"/>
        </w:rPr>
      </w:pPr>
      <w:r>
        <w:rPr>
          <w:rFonts w:hint="eastAsia" w:ascii="宋体" w:hAnsi="宋体" w:cs="宋体"/>
        </w:rPr>
        <w:t>12.1本项目非一次性报价，供应商应在磋商后根据磋商小组的要求再次报价。报价应包含供应商完成本项目工作所需的全部费用。</w:t>
      </w:r>
      <w:r>
        <w:rPr>
          <w:rFonts w:hint="eastAsia" w:ascii="宋体" w:hAnsi="宋体" w:cs="宋体"/>
          <w:kern w:val="24"/>
          <w:szCs w:val="21"/>
        </w:rPr>
        <w:t>供应商对于因估算错误或漏项或设备/服务市场价格波动等导致的不可归责于采购人的风险一律由供应商承担。供应商填写的报价中如未加说明，则认为该报价已经按照本条款要求包含了上述全部费用。</w:t>
      </w:r>
    </w:p>
    <w:p>
      <w:pPr>
        <w:spacing w:line="360" w:lineRule="auto"/>
        <w:rPr>
          <w:rFonts w:ascii="宋体" w:hAnsi="宋体" w:cs="宋体"/>
        </w:rPr>
      </w:pPr>
      <w:r>
        <w:rPr>
          <w:rFonts w:hint="eastAsia" w:ascii="宋体" w:hAnsi="宋体" w:cs="宋体"/>
          <w:kern w:val="24"/>
          <w:szCs w:val="21"/>
        </w:rPr>
        <w:t>12.2供应商应在分项报价表中详细列出相关服务的报价，并由法定代表人或其授权代表签署。包括但不限于下述内容：</w:t>
      </w:r>
    </w:p>
    <w:p>
      <w:pPr>
        <w:spacing w:line="360" w:lineRule="auto"/>
        <w:rPr>
          <w:rFonts w:ascii="宋体" w:hAnsi="宋体" w:cs="宋体"/>
          <w:kern w:val="24"/>
          <w:szCs w:val="21"/>
        </w:rPr>
      </w:pPr>
      <w:r>
        <w:rPr>
          <w:rFonts w:hint="eastAsia" w:ascii="宋体" w:hAnsi="宋体" w:cs="宋体"/>
          <w:kern w:val="24"/>
          <w:szCs w:val="21"/>
        </w:rPr>
        <w:t>12.2.1按照磋商文件第四章服务需求为完成本项目的全部相关服务费用；</w:t>
      </w:r>
    </w:p>
    <w:p>
      <w:pPr>
        <w:spacing w:line="360" w:lineRule="auto"/>
        <w:rPr>
          <w:rFonts w:ascii="宋体" w:hAnsi="宋体" w:cs="宋体"/>
          <w:kern w:val="24"/>
          <w:szCs w:val="21"/>
        </w:rPr>
      </w:pPr>
      <w:r>
        <w:rPr>
          <w:rFonts w:hint="eastAsia" w:ascii="宋体" w:hAnsi="宋体" w:cs="宋体"/>
          <w:kern w:val="24"/>
          <w:szCs w:val="21"/>
        </w:rPr>
        <w:t>12.2.2项目涉及的服务人员等人工费；</w:t>
      </w:r>
    </w:p>
    <w:p>
      <w:pPr>
        <w:spacing w:line="360" w:lineRule="auto"/>
        <w:rPr>
          <w:rFonts w:ascii="宋体" w:hAnsi="宋体" w:cs="宋体"/>
          <w:kern w:val="24"/>
          <w:szCs w:val="21"/>
        </w:rPr>
      </w:pPr>
      <w:r>
        <w:rPr>
          <w:rFonts w:hint="eastAsia" w:ascii="宋体" w:hAnsi="宋体" w:cs="宋体"/>
          <w:kern w:val="24"/>
          <w:szCs w:val="21"/>
        </w:rPr>
        <w:t>12.2.3项目所需的其它所有费用（如有）；</w:t>
      </w:r>
    </w:p>
    <w:p>
      <w:pPr>
        <w:spacing w:line="360" w:lineRule="auto"/>
        <w:rPr>
          <w:rFonts w:ascii="宋体" w:hAnsi="宋体" w:cs="宋体"/>
          <w:kern w:val="24"/>
          <w:szCs w:val="21"/>
        </w:rPr>
      </w:pPr>
      <w:r>
        <w:rPr>
          <w:rFonts w:hint="eastAsia" w:ascii="宋体" w:hAnsi="宋体" w:cs="宋体"/>
          <w:kern w:val="24"/>
          <w:szCs w:val="21"/>
        </w:rPr>
        <w:t>12.2.4所有根据合同或其它原因应由供应商支付的税款和其它应交纳的费用都要包括在供应商提交的磋商价格中。</w:t>
      </w:r>
    </w:p>
    <w:p>
      <w:pPr>
        <w:spacing w:line="360" w:lineRule="auto"/>
        <w:rPr>
          <w:rFonts w:ascii="宋体" w:hAnsi="宋体" w:cs="宋体"/>
          <w:kern w:val="24"/>
          <w:szCs w:val="21"/>
        </w:rPr>
      </w:pPr>
      <w:r>
        <w:rPr>
          <w:rFonts w:hint="eastAsia" w:ascii="宋体" w:hAnsi="宋体" w:cs="宋体"/>
        </w:rPr>
        <w:t>12.3分项报价表上的价格应按竞争性磋商文件第六章的格式填写。</w:t>
      </w:r>
      <w:r>
        <w:rPr>
          <w:rFonts w:hint="eastAsia" w:ascii="宋体" w:hAnsi="宋体" w:cs="宋体"/>
          <w:kern w:val="24"/>
          <w:szCs w:val="21"/>
        </w:rPr>
        <w:t>分项报价表的报价应和响应一览表中的报价相一致。若分项报价表的报价和响应一览表的报价不一致，则供应商的报价应以[响应一览表的报价]为准。</w:t>
      </w:r>
    </w:p>
    <w:p>
      <w:pPr>
        <w:tabs>
          <w:tab w:val="left" w:pos="0"/>
        </w:tabs>
        <w:adjustRightInd/>
        <w:spacing w:line="360" w:lineRule="auto"/>
        <w:jc w:val="both"/>
        <w:textAlignment w:val="auto"/>
        <w:rPr>
          <w:rFonts w:ascii="宋体" w:hAnsi="宋体" w:cs="宋体"/>
          <w:kern w:val="24"/>
          <w:szCs w:val="21"/>
        </w:rPr>
      </w:pPr>
      <w:r>
        <w:rPr>
          <w:rFonts w:hint="eastAsia" w:ascii="宋体" w:hAnsi="宋体" w:cs="宋体"/>
          <w:kern w:val="24"/>
          <w:szCs w:val="21"/>
        </w:rPr>
        <w:t>12.4供应商所报的报价在合同执行过程中是固定不变的，未经采购人许可不得以任何理由予以变更。以可调整的价格提交的响应文件将作为非实质性响应磋商而予以拒绝。</w:t>
      </w:r>
    </w:p>
    <w:p>
      <w:pPr>
        <w:tabs>
          <w:tab w:val="left" w:pos="588"/>
        </w:tabs>
        <w:adjustRightInd/>
        <w:spacing w:line="360" w:lineRule="auto"/>
        <w:jc w:val="both"/>
        <w:textAlignment w:val="auto"/>
        <w:rPr>
          <w:rFonts w:ascii="宋体" w:hAnsi="宋体" w:cs="宋体"/>
          <w:kern w:val="24"/>
          <w:szCs w:val="21"/>
        </w:rPr>
      </w:pPr>
      <w:r>
        <w:rPr>
          <w:rFonts w:hint="eastAsia" w:ascii="宋体" w:hAnsi="宋体" w:cs="宋体"/>
          <w:kern w:val="24"/>
          <w:szCs w:val="21"/>
        </w:rPr>
        <w:t>12.5供应商对每种服务只允许有一个报价，采购人不接受有任何选择的报价。</w:t>
      </w:r>
    </w:p>
    <w:p>
      <w:pPr>
        <w:tabs>
          <w:tab w:val="left" w:pos="0"/>
        </w:tabs>
        <w:adjustRightInd/>
        <w:spacing w:line="360" w:lineRule="auto"/>
        <w:jc w:val="both"/>
        <w:textAlignment w:val="auto"/>
        <w:rPr>
          <w:rFonts w:ascii="宋体" w:hAnsi="宋体" w:cs="宋体"/>
          <w:kern w:val="24"/>
          <w:szCs w:val="21"/>
        </w:rPr>
      </w:pPr>
      <w:r>
        <w:rPr>
          <w:rFonts w:hint="eastAsia" w:ascii="宋体" w:hAnsi="宋体" w:cs="宋体"/>
        </w:rPr>
        <w:t>12.6供应商根据本须知12.2条规定将报价分成几部分并按</w:t>
      </w:r>
      <w:r>
        <w:rPr>
          <w:rFonts w:hint="eastAsia" w:ascii="宋体" w:hAnsi="宋体" w:cs="宋体"/>
          <w:kern w:val="24"/>
          <w:szCs w:val="21"/>
        </w:rPr>
        <w:t>竞争性磋商文件第六章提供的格式填写“分项报价表”只是为了方便采购人对响应文件进行比较，并不限制采购人以其他方式签订合同的权利。</w:t>
      </w:r>
    </w:p>
    <w:p>
      <w:pPr>
        <w:spacing w:line="360" w:lineRule="auto"/>
        <w:rPr>
          <w:rFonts w:ascii="宋体" w:hAnsi="宋体" w:cs="宋体"/>
          <w:b/>
          <w:szCs w:val="21"/>
        </w:rPr>
      </w:pPr>
      <w:bookmarkStart w:id="151" w:name="_Toc70687155"/>
      <w:bookmarkStart w:id="152" w:name="_Toc184043028"/>
      <w:bookmarkStart w:id="153" w:name="_Toc389620180"/>
      <w:bookmarkStart w:id="154" w:name="_Toc385992341"/>
      <w:r>
        <w:rPr>
          <w:rFonts w:hint="eastAsia" w:ascii="宋体" w:hAnsi="宋体" w:cs="宋体"/>
          <w:b/>
          <w:szCs w:val="21"/>
        </w:rPr>
        <w:t>13. 报价货币</w:t>
      </w:r>
      <w:bookmarkEnd w:id="151"/>
      <w:bookmarkEnd w:id="152"/>
      <w:bookmarkEnd w:id="153"/>
      <w:bookmarkEnd w:id="154"/>
    </w:p>
    <w:p>
      <w:pPr>
        <w:tabs>
          <w:tab w:val="left" w:pos="0"/>
        </w:tabs>
        <w:adjustRightInd/>
        <w:spacing w:line="360" w:lineRule="auto"/>
        <w:jc w:val="both"/>
        <w:textAlignment w:val="auto"/>
        <w:rPr>
          <w:rFonts w:ascii="宋体" w:hAnsi="宋体" w:cs="宋体"/>
          <w:szCs w:val="22"/>
        </w:rPr>
      </w:pPr>
      <w:r>
        <w:rPr>
          <w:rFonts w:hint="eastAsia" w:ascii="宋体" w:hAnsi="宋体" w:cs="宋体"/>
          <w:szCs w:val="22"/>
        </w:rPr>
        <w:t>13.1响应函、响应一览表、分项报价表等所有报价一律用人民币填报。采购人不接受任何非人民币币种的响应报价。</w:t>
      </w:r>
      <w:bookmarkStart w:id="155" w:name="_Toc385992342"/>
      <w:bookmarkStart w:id="156" w:name="_Toc389620181"/>
    </w:p>
    <w:bookmarkEnd w:id="155"/>
    <w:bookmarkEnd w:id="156"/>
    <w:p>
      <w:pPr>
        <w:tabs>
          <w:tab w:val="left" w:pos="0"/>
        </w:tabs>
        <w:adjustRightInd/>
        <w:spacing w:line="360" w:lineRule="auto"/>
        <w:jc w:val="both"/>
        <w:textAlignment w:val="auto"/>
        <w:rPr>
          <w:rFonts w:ascii="宋体" w:hAnsi="宋体" w:cs="宋体"/>
          <w:b/>
          <w:bCs/>
          <w:szCs w:val="22"/>
        </w:rPr>
      </w:pPr>
      <w:bookmarkStart w:id="157" w:name="_Toc385992344"/>
      <w:bookmarkStart w:id="158" w:name="_Toc184043031"/>
      <w:bookmarkStart w:id="159" w:name="_Toc389620183"/>
      <w:bookmarkStart w:id="160" w:name="_Toc70687158"/>
      <w:r>
        <w:rPr>
          <w:rFonts w:hint="eastAsia" w:ascii="宋体" w:hAnsi="宋体" w:cs="宋体"/>
          <w:b/>
          <w:bCs/>
          <w:szCs w:val="22"/>
        </w:rPr>
        <w:t>14．保证金</w:t>
      </w:r>
      <w:bookmarkEnd w:id="157"/>
      <w:bookmarkEnd w:id="158"/>
      <w:bookmarkEnd w:id="159"/>
      <w:bookmarkEnd w:id="160"/>
    </w:p>
    <w:p>
      <w:pPr>
        <w:tabs>
          <w:tab w:val="left" w:pos="0"/>
        </w:tabs>
        <w:adjustRightInd/>
        <w:spacing w:line="360" w:lineRule="auto"/>
        <w:jc w:val="both"/>
        <w:textAlignment w:val="auto"/>
        <w:rPr>
          <w:rFonts w:ascii="宋体" w:hAnsi="宋体" w:cs="宋体"/>
          <w:szCs w:val="22"/>
        </w:rPr>
      </w:pPr>
      <w:r>
        <w:rPr>
          <w:rFonts w:hint="eastAsia" w:ascii="宋体" w:hAnsi="宋体" w:cs="宋体"/>
          <w:szCs w:val="22"/>
        </w:rPr>
        <w:t>14.1供应商应提交“供应商须知前附表”规定数额的保证金，并作为其响应的一部分。</w:t>
      </w:r>
    </w:p>
    <w:p>
      <w:pPr>
        <w:tabs>
          <w:tab w:val="left" w:pos="0"/>
        </w:tabs>
        <w:adjustRightInd/>
        <w:spacing w:line="360" w:lineRule="auto"/>
        <w:jc w:val="both"/>
        <w:textAlignment w:val="auto"/>
        <w:rPr>
          <w:rFonts w:ascii="宋体" w:hAnsi="宋体" w:cs="宋体"/>
          <w:szCs w:val="22"/>
        </w:rPr>
      </w:pPr>
      <w:r>
        <w:rPr>
          <w:rFonts w:hint="eastAsia" w:ascii="宋体" w:hAnsi="宋体" w:cs="宋体"/>
          <w:szCs w:val="22"/>
        </w:rPr>
        <w:t>14.2保证金是为了保护采购人免遭因供应商的行为而蒙受损失。采购人在因供应商的行为受到损害时可根据本须知第14.8条的规定没收供应商的保证金。保证金由采购代理机构代理收取并退回。</w:t>
      </w:r>
    </w:p>
    <w:p>
      <w:pPr>
        <w:tabs>
          <w:tab w:val="left" w:pos="0"/>
        </w:tabs>
        <w:adjustRightInd/>
        <w:spacing w:line="360" w:lineRule="auto"/>
        <w:jc w:val="both"/>
        <w:textAlignment w:val="auto"/>
        <w:rPr>
          <w:rFonts w:ascii="宋体" w:hAnsi="宋体" w:cs="宋体"/>
          <w:szCs w:val="22"/>
        </w:rPr>
      </w:pPr>
      <w:r>
        <w:rPr>
          <w:rFonts w:hint="eastAsia" w:ascii="宋体" w:hAnsi="宋体" w:cs="宋体"/>
          <w:szCs w:val="22"/>
        </w:rPr>
        <w:t>14.3保证金的货币为人民币，并采用下列任何一种形式：</w:t>
      </w:r>
    </w:p>
    <w:p>
      <w:pPr>
        <w:tabs>
          <w:tab w:val="left" w:pos="0"/>
        </w:tabs>
        <w:adjustRightInd/>
        <w:spacing w:line="360" w:lineRule="auto"/>
        <w:jc w:val="both"/>
        <w:textAlignment w:val="auto"/>
        <w:rPr>
          <w:rFonts w:ascii="宋体" w:hAnsi="宋体" w:cs="宋体"/>
          <w:szCs w:val="22"/>
        </w:rPr>
      </w:pPr>
      <w:r>
        <w:rPr>
          <w:rFonts w:hint="eastAsia" w:ascii="宋体" w:hAnsi="宋体" w:cs="宋体"/>
          <w:szCs w:val="22"/>
        </w:rPr>
        <w:t>（1）支票（仅限京津地区银行开具，凭密支付的须同时提供有效密码）；</w:t>
      </w:r>
    </w:p>
    <w:p>
      <w:pPr>
        <w:tabs>
          <w:tab w:val="left" w:pos="0"/>
        </w:tabs>
        <w:adjustRightInd/>
        <w:spacing w:line="360" w:lineRule="auto"/>
        <w:jc w:val="both"/>
        <w:textAlignment w:val="auto"/>
        <w:rPr>
          <w:rFonts w:ascii="宋体" w:hAnsi="宋体" w:cs="宋体"/>
          <w:szCs w:val="22"/>
        </w:rPr>
      </w:pPr>
      <w:r>
        <w:rPr>
          <w:rFonts w:hint="eastAsia" w:ascii="宋体" w:hAnsi="宋体" w:cs="宋体"/>
          <w:szCs w:val="22"/>
        </w:rPr>
        <w:t xml:space="preserve">（2）电汇（响应截止日前保证金电汇至采购代理机构账户并于响应截止时间前到账，付款凭证复印件于磋商当日、响应截止时间前与响应文件一同提交）； </w:t>
      </w:r>
    </w:p>
    <w:p>
      <w:pPr>
        <w:tabs>
          <w:tab w:val="left" w:pos="0"/>
        </w:tabs>
        <w:adjustRightInd/>
        <w:spacing w:line="360" w:lineRule="auto"/>
        <w:jc w:val="both"/>
        <w:textAlignment w:val="auto"/>
        <w:rPr>
          <w:rFonts w:ascii="宋体" w:hAnsi="宋体" w:cs="宋体"/>
          <w:szCs w:val="22"/>
        </w:rPr>
      </w:pPr>
      <w:r>
        <w:rPr>
          <w:rFonts w:hint="eastAsia" w:ascii="宋体" w:hAnsi="宋体" w:cs="宋体"/>
          <w:szCs w:val="22"/>
        </w:rPr>
        <w:t>（3）汇票（银行即期汇票）；</w:t>
      </w:r>
    </w:p>
    <w:p>
      <w:pPr>
        <w:tabs>
          <w:tab w:val="left" w:pos="0"/>
        </w:tabs>
        <w:adjustRightInd/>
        <w:spacing w:line="360" w:lineRule="auto"/>
        <w:jc w:val="both"/>
        <w:textAlignment w:val="auto"/>
        <w:rPr>
          <w:rFonts w:ascii="宋体" w:hAnsi="宋体" w:cs="宋体"/>
          <w:szCs w:val="22"/>
        </w:rPr>
      </w:pPr>
      <w:r>
        <w:rPr>
          <w:rFonts w:hint="eastAsia" w:ascii="宋体" w:hAnsi="宋体" w:cs="宋体"/>
          <w:szCs w:val="22"/>
        </w:rPr>
        <w:t>14.4保证金应在响应有效期内有效。</w:t>
      </w:r>
    </w:p>
    <w:p>
      <w:pPr>
        <w:tabs>
          <w:tab w:val="left" w:pos="0"/>
        </w:tabs>
        <w:adjustRightInd/>
        <w:spacing w:line="360" w:lineRule="auto"/>
        <w:jc w:val="both"/>
        <w:textAlignment w:val="auto"/>
        <w:rPr>
          <w:rFonts w:ascii="宋体" w:hAnsi="宋体" w:cs="宋体"/>
          <w:szCs w:val="22"/>
        </w:rPr>
      </w:pPr>
      <w:r>
        <w:rPr>
          <w:rFonts w:hint="eastAsia" w:ascii="宋体" w:hAnsi="宋体" w:cs="宋体"/>
          <w:szCs w:val="22"/>
        </w:rPr>
        <w:t>14.5凡没有根据本须知第14.1和14.3条的规定随附保证金的响应，将被视为非实质性响应予以拒绝。</w:t>
      </w:r>
    </w:p>
    <w:p>
      <w:pPr>
        <w:tabs>
          <w:tab w:val="left" w:pos="0"/>
        </w:tabs>
        <w:adjustRightInd/>
        <w:spacing w:line="360" w:lineRule="auto"/>
        <w:jc w:val="both"/>
        <w:textAlignment w:val="auto"/>
        <w:rPr>
          <w:rFonts w:ascii="宋体" w:hAnsi="宋体" w:cs="宋体"/>
          <w:kern w:val="24"/>
          <w:szCs w:val="21"/>
        </w:rPr>
      </w:pPr>
      <w:r>
        <w:rPr>
          <w:rFonts w:hint="eastAsia" w:ascii="宋体" w:hAnsi="宋体" w:cs="宋体"/>
        </w:rPr>
        <w:t>14.6未成交供应商的保证金，在《成交通知书》发出后五个工作日内退还；但本竞争性磋商文件规定不予退还的情形除外。</w:t>
      </w:r>
    </w:p>
    <w:p>
      <w:pPr>
        <w:tabs>
          <w:tab w:val="left" w:pos="588"/>
        </w:tabs>
        <w:adjustRightInd/>
        <w:spacing w:line="360" w:lineRule="auto"/>
        <w:jc w:val="both"/>
        <w:textAlignment w:val="auto"/>
        <w:rPr>
          <w:rFonts w:ascii="宋体" w:hAnsi="宋体" w:cs="宋体"/>
          <w:kern w:val="24"/>
          <w:szCs w:val="21"/>
        </w:rPr>
      </w:pPr>
      <w:r>
        <w:rPr>
          <w:rFonts w:hint="eastAsia" w:ascii="宋体" w:hAnsi="宋体" w:cs="宋体"/>
        </w:rPr>
        <w:t>14.7成交供应商的保证金，在采购合同签订后五个工作日内退还。</w:t>
      </w:r>
    </w:p>
    <w:p>
      <w:pPr>
        <w:tabs>
          <w:tab w:val="left" w:pos="588"/>
        </w:tabs>
        <w:adjustRightInd/>
        <w:spacing w:line="360" w:lineRule="auto"/>
        <w:jc w:val="both"/>
        <w:textAlignment w:val="auto"/>
        <w:rPr>
          <w:rFonts w:ascii="宋体" w:hAnsi="宋体" w:cs="宋体"/>
        </w:rPr>
      </w:pPr>
      <w:r>
        <w:rPr>
          <w:rFonts w:hint="eastAsia" w:ascii="宋体" w:hAnsi="宋体" w:cs="宋体"/>
        </w:rPr>
        <w:t>14.8发生以下情况之一的，保证金将被没收：</w:t>
      </w:r>
    </w:p>
    <w:p>
      <w:pPr>
        <w:numPr>
          <w:ilvl w:val="0"/>
          <w:numId w:val="3"/>
        </w:numPr>
        <w:adjustRightInd/>
        <w:spacing w:line="360" w:lineRule="auto"/>
        <w:jc w:val="both"/>
        <w:textAlignment w:val="auto"/>
        <w:rPr>
          <w:rFonts w:ascii="宋体" w:hAnsi="宋体" w:cs="宋体"/>
          <w:szCs w:val="21"/>
        </w:rPr>
      </w:pPr>
      <w:r>
        <w:rPr>
          <w:rFonts w:hint="eastAsia" w:ascii="宋体" w:hAnsi="宋体" w:cs="宋体"/>
          <w:szCs w:val="21"/>
        </w:rPr>
        <w:t>（1）供应商在提交响应文件截止时间后撤回响应文件的；</w:t>
      </w:r>
    </w:p>
    <w:p>
      <w:pPr>
        <w:numPr>
          <w:ilvl w:val="0"/>
          <w:numId w:val="3"/>
        </w:numPr>
        <w:adjustRightInd/>
        <w:spacing w:line="360" w:lineRule="auto"/>
        <w:jc w:val="both"/>
        <w:textAlignment w:val="auto"/>
        <w:rPr>
          <w:rFonts w:ascii="宋体" w:hAnsi="宋体" w:cs="宋体"/>
          <w:szCs w:val="21"/>
        </w:rPr>
      </w:pPr>
      <w:r>
        <w:rPr>
          <w:rFonts w:hint="eastAsia" w:ascii="宋体" w:hAnsi="宋体" w:cs="宋体"/>
          <w:szCs w:val="21"/>
        </w:rPr>
        <w:t>（2）供应商在响应文件中提供虚假材料的；</w:t>
      </w:r>
    </w:p>
    <w:p>
      <w:pPr>
        <w:numPr>
          <w:ilvl w:val="0"/>
          <w:numId w:val="3"/>
        </w:numPr>
        <w:adjustRightInd/>
        <w:spacing w:line="360" w:lineRule="auto"/>
        <w:jc w:val="both"/>
        <w:textAlignment w:val="auto"/>
        <w:rPr>
          <w:rFonts w:ascii="宋体" w:hAnsi="宋体" w:cs="宋体"/>
          <w:szCs w:val="21"/>
        </w:rPr>
      </w:pPr>
      <w:r>
        <w:rPr>
          <w:rFonts w:hint="eastAsia" w:ascii="宋体" w:hAnsi="宋体" w:cs="宋体"/>
          <w:szCs w:val="21"/>
        </w:rPr>
        <w:t>（3）除因不可抗力或磋商文件认可的情形以外，成交供应商不与采购人签订合同的；</w:t>
      </w:r>
    </w:p>
    <w:p>
      <w:pPr>
        <w:numPr>
          <w:ilvl w:val="0"/>
          <w:numId w:val="3"/>
        </w:numPr>
        <w:adjustRightInd/>
        <w:spacing w:line="360" w:lineRule="auto"/>
        <w:jc w:val="both"/>
        <w:textAlignment w:val="auto"/>
        <w:rPr>
          <w:rFonts w:ascii="宋体" w:hAnsi="宋体" w:cs="宋体"/>
          <w:szCs w:val="21"/>
        </w:rPr>
      </w:pPr>
      <w:r>
        <w:rPr>
          <w:rFonts w:hint="eastAsia" w:ascii="宋体" w:hAnsi="宋体" w:cs="宋体"/>
          <w:szCs w:val="21"/>
        </w:rPr>
        <w:t>（4）成交供应商在规定期限内应提交履约保证金而未提交；</w:t>
      </w:r>
    </w:p>
    <w:p>
      <w:pPr>
        <w:numPr>
          <w:ilvl w:val="0"/>
          <w:numId w:val="3"/>
        </w:numPr>
        <w:adjustRightInd/>
        <w:spacing w:line="360" w:lineRule="auto"/>
        <w:jc w:val="both"/>
        <w:textAlignment w:val="auto"/>
        <w:rPr>
          <w:rFonts w:ascii="宋体" w:hAnsi="宋体" w:cs="宋体"/>
          <w:szCs w:val="21"/>
        </w:rPr>
      </w:pPr>
      <w:r>
        <w:rPr>
          <w:rFonts w:hint="eastAsia" w:ascii="宋体" w:hAnsi="宋体" w:cs="宋体"/>
          <w:szCs w:val="21"/>
        </w:rPr>
        <w:t>（5）供应商与采购人、其他供应商或者采购代理机构恶意串通的；</w:t>
      </w:r>
    </w:p>
    <w:p>
      <w:pPr>
        <w:numPr>
          <w:ilvl w:val="0"/>
          <w:numId w:val="3"/>
        </w:numPr>
        <w:adjustRightInd/>
        <w:spacing w:line="360" w:lineRule="auto"/>
        <w:jc w:val="both"/>
        <w:textAlignment w:val="auto"/>
        <w:rPr>
          <w:rFonts w:ascii="宋体" w:hAnsi="宋体" w:cs="宋体"/>
          <w:szCs w:val="21"/>
        </w:rPr>
      </w:pPr>
      <w:r>
        <w:rPr>
          <w:rFonts w:hint="eastAsia" w:ascii="宋体" w:hAnsi="宋体" w:cs="宋体"/>
          <w:szCs w:val="21"/>
        </w:rPr>
        <w:t>（6）成交供应商在规定期限内应交纳采购代理服务费而未交纳；</w:t>
      </w:r>
    </w:p>
    <w:p>
      <w:pPr>
        <w:numPr>
          <w:ilvl w:val="0"/>
          <w:numId w:val="3"/>
        </w:numPr>
        <w:adjustRightInd/>
        <w:spacing w:line="360" w:lineRule="auto"/>
        <w:jc w:val="both"/>
        <w:textAlignment w:val="auto"/>
        <w:rPr>
          <w:rFonts w:ascii="宋体" w:hAnsi="宋体" w:cs="宋体"/>
          <w:szCs w:val="21"/>
        </w:rPr>
      </w:pPr>
      <w:r>
        <w:rPr>
          <w:rFonts w:hint="eastAsia" w:ascii="宋体" w:hAnsi="宋体" w:cs="宋体"/>
        </w:rPr>
        <w:t>（7）供应商或成交供应商有其他违反本竞争性磋商文件要求、损害采购人利益行为的</w:t>
      </w:r>
      <w:r>
        <w:rPr>
          <w:rFonts w:hint="eastAsia" w:ascii="宋体" w:hAnsi="宋体" w:cs="宋体"/>
          <w:szCs w:val="21"/>
        </w:rPr>
        <w:t>。</w:t>
      </w:r>
    </w:p>
    <w:p>
      <w:pPr>
        <w:adjustRightInd/>
        <w:spacing w:line="360" w:lineRule="auto"/>
        <w:ind w:firstLine="480" w:firstLineChars="200"/>
        <w:jc w:val="both"/>
        <w:textAlignment w:val="auto"/>
        <w:rPr>
          <w:rFonts w:ascii="宋体" w:hAnsi="宋体" w:cs="宋体"/>
          <w:szCs w:val="21"/>
        </w:rPr>
      </w:pPr>
      <w:r>
        <w:rPr>
          <w:rFonts w:hint="eastAsia" w:ascii="宋体" w:hAnsi="宋体" w:cs="宋体"/>
        </w:rPr>
        <w:t>若供应商或成交供应商的上述行为所造成的采购人的损失大于保证金金额的，采购人没收保证金的同时，有权要求供应商或成交供应商就保证金未能涵盖部分的损失承担赔偿责任。</w:t>
      </w:r>
    </w:p>
    <w:p>
      <w:pPr>
        <w:spacing w:line="360" w:lineRule="auto"/>
        <w:rPr>
          <w:rFonts w:ascii="宋体" w:hAnsi="宋体" w:cs="宋体"/>
          <w:b/>
          <w:szCs w:val="21"/>
        </w:rPr>
      </w:pPr>
      <w:bookmarkStart w:id="161" w:name="_Toc70687159"/>
      <w:bookmarkStart w:id="162" w:name="_Toc184043032"/>
      <w:bookmarkStart w:id="163" w:name="_Toc385992345"/>
      <w:bookmarkStart w:id="164" w:name="_Toc389620184"/>
      <w:r>
        <w:rPr>
          <w:rFonts w:hint="eastAsia" w:ascii="宋体" w:hAnsi="宋体" w:cs="宋体"/>
          <w:b/>
          <w:szCs w:val="21"/>
        </w:rPr>
        <w:t>15. 响应有效期</w:t>
      </w:r>
      <w:bookmarkEnd w:id="161"/>
      <w:bookmarkEnd w:id="162"/>
      <w:bookmarkEnd w:id="163"/>
      <w:bookmarkEnd w:id="164"/>
    </w:p>
    <w:p>
      <w:pPr>
        <w:tabs>
          <w:tab w:val="left" w:pos="0"/>
        </w:tabs>
        <w:adjustRightInd/>
        <w:spacing w:line="360" w:lineRule="auto"/>
        <w:jc w:val="both"/>
        <w:textAlignment w:val="auto"/>
        <w:rPr>
          <w:rFonts w:ascii="宋体" w:hAnsi="宋体" w:cs="宋体"/>
          <w:szCs w:val="22"/>
        </w:rPr>
      </w:pPr>
      <w:r>
        <w:rPr>
          <w:rFonts w:hint="eastAsia" w:ascii="宋体" w:hAnsi="宋体" w:cs="宋体"/>
          <w:szCs w:val="22"/>
        </w:rPr>
        <w:t>15.1响应有效期见本须知前附表。在响应有效期内，所有响应文件均保持有效。响应文件的有效期比本须知规定的有效期短的，将被视为非实质性响应，采购人有权拒绝。</w:t>
      </w:r>
    </w:p>
    <w:p>
      <w:pPr>
        <w:tabs>
          <w:tab w:val="left" w:pos="0"/>
        </w:tabs>
        <w:adjustRightInd/>
        <w:spacing w:line="360" w:lineRule="auto"/>
        <w:jc w:val="both"/>
        <w:textAlignment w:val="auto"/>
        <w:rPr>
          <w:rFonts w:ascii="宋体" w:hAnsi="宋体" w:cs="宋体"/>
          <w:szCs w:val="22"/>
        </w:rPr>
      </w:pPr>
      <w:r>
        <w:rPr>
          <w:rFonts w:hint="eastAsia" w:ascii="宋体" w:hAnsi="宋体" w:cs="宋体"/>
          <w:szCs w:val="22"/>
        </w:rPr>
        <w:t>15.2特殊情况下，采购人可于原响应有效期满之前要求供应商同意延长有效期，要求与答复均应为书面形式。供应商可以拒绝上述要求，其保证金不被没收。对于同意该要求的供应商，既不要求也不允许其修改响应文件，但将要求其相应延长保证金的有效期，有关退还和没收保证金的规定在响应有效期的延长期内继续有效。</w:t>
      </w:r>
    </w:p>
    <w:p>
      <w:pPr>
        <w:tabs>
          <w:tab w:val="left" w:pos="0"/>
        </w:tabs>
        <w:adjustRightInd/>
        <w:spacing w:line="360" w:lineRule="auto"/>
        <w:jc w:val="both"/>
        <w:textAlignment w:val="auto"/>
        <w:rPr>
          <w:rFonts w:ascii="宋体" w:hAnsi="宋体" w:cs="宋体"/>
          <w:b/>
          <w:bCs/>
          <w:szCs w:val="22"/>
        </w:rPr>
      </w:pPr>
      <w:bookmarkStart w:id="165" w:name="_Toc385992346"/>
      <w:bookmarkStart w:id="166" w:name="_Toc184043033"/>
      <w:bookmarkStart w:id="167" w:name="_Toc389620185"/>
      <w:bookmarkStart w:id="168" w:name="_Toc70687160"/>
      <w:r>
        <w:rPr>
          <w:rFonts w:hint="eastAsia" w:ascii="宋体" w:hAnsi="宋体" w:cs="宋体"/>
          <w:b/>
          <w:bCs/>
          <w:szCs w:val="22"/>
        </w:rPr>
        <w:t>16．响应文件的制作和签署</w:t>
      </w:r>
      <w:bookmarkEnd w:id="165"/>
      <w:bookmarkEnd w:id="166"/>
      <w:bookmarkEnd w:id="167"/>
      <w:bookmarkEnd w:id="168"/>
    </w:p>
    <w:p>
      <w:pPr>
        <w:tabs>
          <w:tab w:val="left" w:pos="0"/>
        </w:tabs>
        <w:adjustRightInd/>
        <w:spacing w:line="360" w:lineRule="auto"/>
        <w:jc w:val="both"/>
        <w:textAlignment w:val="auto"/>
        <w:rPr>
          <w:rFonts w:ascii="宋体" w:hAnsi="宋体" w:cs="宋体"/>
          <w:szCs w:val="22"/>
        </w:rPr>
      </w:pPr>
      <w:r>
        <w:rPr>
          <w:rFonts w:hint="eastAsia" w:ascii="宋体" w:hAnsi="宋体" w:cs="宋体"/>
          <w:szCs w:val="22"/>
        </w:rPr>
        <w:t>16.1供应商应准备一份响应文件正本和“供应商须知前附表”中规定数目的副本及电子版本，每套响应文件须清楚地标明“正本”“副本”“电子版本”。若正本和副本不符，以正本为准，电子版与纸质文件不符，以纸质文件为准。</w:t>
      </w:r>
    </w:p>
    <w:p>
      <w:pPr>
        <w:tabs>
          <w:tab w:val="left" w:pos="0"/>
        </w:tabs>
        <w:adjustRightInd/>
        <w:spacing w:line="360" w:lineRule="auto"/>
        <w:jc w:val="both"/>
        <w:textAlignment w:val="auto"/>
        <w:rPr>
          <w:rFonts w:ascii="宋体" w:hAnsi="宋体" w:cs="宋体"/>
          <w:szCs w:val="22"/>
        </w:rPr>
      </w:pPr>
      <w:r>
        <w:rPr>
          <w:rFonts w:hint="eastAsia" w:ascii="宋体" w:hAnsi="宋体" w:cs="宋体"/>
          <w:szCs w:val="22"/>
        </w:rPr>
        <w:t>16.2响应文件须用中文编写，并须有序地胶装成册，每一页都应标有连续页码，装订须牢固不易拆散和换页，不得采用活页方式装订，响应文件中不得留有空白页（如隔页纸）。</w:t>
      </w:r>
    </w:p>
    <w:p>
      <w:pPr>
        <w:tabs>
          <w:tab w:val="left" w:pos="0"/>
        </w:tabs>
        <w:adjustRightInd/>
        <w:spacing w:line="360" w:lineRule="auto"/>
        <w:jc w:val="both"/>
        <w:textAlignment w:val="auto"/>
        <w:rPr>
          <w:rFonts w:ascii="宋体" w:hAnsi="宋体" w:cs="宋体"/>
          <w:szCs w:val="22"/>
        </w:rPr>
      </w:pPr>
      <w:r>
        <w:rPr>
          <w:rFonts w:hint="eastAsia" w:ascii="宋体" w:hAnsi="宋体" w:cs="宋体"/>
          <w:szCs w:val="22"/>
        </w:rPr>
        <w:t>16.3响应文件的正本，一律用不褪色的墨水书写或打印，并由供应商的法定代表人或其授权的代理人签署并加盖供应商单位公章。授权代表须持有书面的“法定代表人授权书”（标准格式附后），并将其附在响应文件中。如对响应文件进行了修改，则应由供应商的法定代表人或经其正式授权的代表在修改的每一页上签字。响应文件的副本可采用正本的复印件。</w:t>
      </w:r>
    </w:p>
    <w:p>
      <w:pPr>
        <w:tabs>
          <w:tab w:val="left" w:pos="0"/>
        </w:tabs>
        <w:adjustRightInd/>
        <w:spacing w:line="360" w:lineRule="auto"/>
        <w:jc w:val="both"/>
        <w:textAlignment w:val="auto"/>
        <w:rPr>
          <w:rFonts w:ascii="宋体" w:hAnsi="宋体" w:cs="宋体"/>
          <w:szCs w:val="22"/>
        </w:rPr>
      </w:pPr>
      <w:r>
        <w:rPr>
          <w:rFonts w:hint="eastAsia" w:ascii="宋体" w:hAnsi="宋体" w:cs="宋体"/>
          <w:szCs w:val="22"/>
        </w:rPr>
        <w:t>16.4任何行间插字、涂改或增删，必须由供应商的法定代表人或经其正式授权的代表在响应文件上签字并加盖单位公章后才有效。</w:t>
      </w:r>
    </w:p>
    <w:p>
      <w:pPr>
        <w:tabs>
          <w:tab w:val="left" w:pos="0"/>
        </w:tabs>
        <w:adjustRightInd/>
        <w:spacing w:line="360" w:lineRule="auto"/>
        <w:jc w:val="both"/>
        <w:textAlignment w:val="auto"/>
        <w:rPr>
          <w:rFonts w:ascii="宋体" w:hAnsi="宋体" w:cs="宋体"/>
          <w:szCs w:val="22"/>
        </w:rPr>
      </w:pPr>
      <w:r>
        <w:rPr>
          <w:rFonts w:hint="eastAsia" w:ascii="宋体" w:hAnsi="宋体" w:cs="宋体"/>
          <w:szCs w:val="22"/>
        </w:rPr>
        <w:t>16.5采购人拒绝接受以电报、电话、传真、电子邮件形式递交的响应文件。</w:t>
      </w:r>
    </w:p>
    <w:p>
      <w:pPr>
        <w:tabs>
          <w:tab w:val="left" w:pos="0"/>
        </w:tabs>
        <w:adjustRightInd/>
        <w:spacing w:line="360" w:lineRule="auto"/>
        <w:jc w:val="both"/>
        <w:textAlignment w:val="auto"/>
        <w:rPr>
          <w:rFonts w:ascii="宋体" w:hAnsi="宋体" w:cs="宋体"/>
          <w:szCs w:val="22"/>
        </w:rPr>
      </w:pPr>
      <w:r>
        <w:rPr>
          <w:rFonts w:hint="eastAsia" w:ascii="宋体" w:hAnsi="宋体" w:cs="宋体"/>
          <w:szCs w:val="22"/>
        </w:rPr>
        <w:t>16.6</w:t>
      </w:r>
      <w:bookmarkStart w:id="169" w:name="_Hlt491765640"/>
      <w:bookmarkEnd w:id="169"/>
      <w:bookmarkStart w:id="170" w:name="_Toc265738864"/>
      <w:bookmarkStart w:id="171" w:name="_Toc230013636"/>
      <w:bookmarkStart w:id="172" w:name="_Toc492955419"/>
      <w:bookmarkStart w:id="173" w:name="_Toc500747193"/>
      <w:bookmarkStart w:id="174" w:name="_Toc499711047"/>
      <w:bookmarkStart w:id="175" w:name="_Toc53722844"/>
      <w:bookmarkStart w:id="176" w:name="_Toc500746970"/>
      <w:bookmarkStart w:id="177" w:name="_Toc177995477"/>
      <w:bookmarkStart w:id="178" w:name="_Toc177817338"/>
      <w:bookmarkStart w:id="179" w:name="_Toc232395216"/>
      <w:bookmarkStart w:id="180" w:name="_Toc230099801"/>
      <w:bookmarkStart w:id="181" w:name="_Toc389620186"/>
      <w:bookmarkStart w:id="182" w:name="_Toc503063426"/>
      <w:bookmarkStart w:id="183" w:name="_Toc230583545"/>
      <w:bookmarkStart w:id="184" w:name="_Toc500747066"/>
      <w:bookmarkStart w:id="185" w:name="_Toc235518470"/>
      <w:bookmarkStart w:id="186" w:name="_Toc232176276"/>
      <w:bookmarkStart w:id="187" w:name="_Toc176882546"/>
      <w:bookmarkStart w:id="188" w:name="_Toc70687161"/>
      <w:bookmarkStart w:id="189" w:name="_Toc184043034"/>
      <w:bookmarkStart w:id="190" w:name="_Toc499711888"/>
      <w:bookmarkStart w:id="191" w:name="_Toc239740355"/>
      <w:bookmarkStart w:id="192" w:name="_Toc385992347"/>
      <w:bookmarkStart w:id="193" w:name="_Toc177189239"/>
      <w:bookmarkStart w:id="194" w:name="_Toc496324583"/>
      <w:r>
        <w:rPr>
          <w:rFonts w:hint="eastAsia" w:ascii="宋体" w:hAnsi="宋体" w:cs="宋体"/>
          <w:szCs w:val="22"/>
        </w:rPr>
        <w:t>供应商在磋商过程中相关文件的签订、履行、通知等事项的书面文件中的单位盖章、印章、公章等处均仅指与供应商名称全称相一致的标准公章，不得使用其他形式（如带有“专用章”等字样）的印章。</w:t>
      </w:r>
    </w:p>
    <w:p>
      <w:pPr>
        <w:numPr>
          <w:ilvl w:val="0"/>
          <w:numId w:val="4"/>
        </w:numPr>
        <w:spacing w:line="440" w:lineRule="exact"/>
        <w:jc w:val="center"/>
        <w:rPr>
          <w:rFonts w:ascii="宋体" w:hAnsi="宋体" w:cs="宋体"/>
          <w:b/>
          <w:sz w:val="32"/>
          <w:szCs w:val="32"/>
        </w:rPr>
      </w:pPr>
      <w:r>
        <w:rPr>
          <w:rFonts w:hint="eastAsia" w:ascii="宋体" w:hAnsi="宋体" w:cs="宋体"/>
          <w:b/>
          <w:sz w:val="32"/>
          <w:szCs w:val="32"/>
        </w:rPr>
        <w:t>响应文件的递交</w:t>
      </w:r>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p>
    <w:p>
      <w:pPr>
        <w:adjustRightInd/>
        <w:snapToGrid w:val="0"/>
        <w:spacing w:line="360" w:lineRule="auto"/>
        <w:jc w:val="both"/>
        <w:textAlignment w:val="auto"/>
        <w:outlineLvl w:val="1"/>
        <w:rPr>
          <w:rFonts w:ascii="宋体" w:hAnsi="宋体" w:cs="宋体"/>
          <w:b/>
        </w:rPr>
      </w:pPr>
      <w:bookmarkStart w:id="195" w:name="_Toc151193705"/>
      <w:bookmarkStart w:id="196" w:name="_Toc226309779"/>
      <w:bookmarkStart w:id="197" w:name="_Toc226965725"/>
      <w:bookmarkStart w:id="198" w:name="_Toc264969225"/>
      <w:bookmarkStart w:id="199" w:name="_Toc226965808"/>
      <w:bookmarkStart w:id="200" w:name="_Toc164351629"/>
      <w:bookmarkStart w:id="201" w:name="_Toc318318318"/>
      <w:bookmarkStart w:id="202" w:name="_Toc316403210"/>
      <w:bookmarkStart w:id="203" w:name="_Toc305983648"/>
      <w:bookmarkStart w:id="204" w:name="_Toc127161449"/>
      <w:bookmarkStart w:id="205" w:name="_Toc164608804"/>
      <w:bookmarkStart w:id="206" w:name="_Toc149720828"/>
      <w:bookmarkStart w:id="207" w:name="_Toc265228373"/>
      <w:bookmarkStart w:id="208" w:name="_Toc164229230"/>
      <w:bookmarkStart w:id="209" w:name="_Toc151193633"/>
      <w:bookmarkStart w:id="210" w:name="_Toc373513358"/>
      <w:bookmarkStart w:id="211" w:name="_Toc520356160"/>
      <w:bookmarkStart w:id="212" w:name="_Toc318318688"/>
      <w:bookmarkStart w:id="213" w:name="_Toc142311037"/>
      <w:bookmarkStart w:id="214" w:name="_Toc150480773"/>
      <w:bookmarkStart w:id="215" w:name="_Toc151193923"/>
      <w:bookmarkStart w:id="216" w:name="_Toc305983802"/>
      <w:bookmarkStart w:id="217" w:name="_Toc127151736"/>
      <w:bookmarkStart w:id="218" w:name="_Toc150774740"/>
      <w:bookmarkStart w:id="219" w:name="_Toc127151535"/>
      <w:bookmarkStart w:id="220" w:name="_Toc150774635"/>
      <w:bookmarkStart w:id="221" w:name="_Toc164229376"/>
      <w:bookmarkStart w:id="222" w:name="_Toc316402992"/>
      <w:bookmarkStart w:id="223" w:name="_Toc9326"/>
      <w:bookmarkStart w:id="224" w:name="_Toc316402797"/>
      <w:bookmarkStart w:id="225" w:name="_Toc151193777"/>
      <w:bookmarkStart w:id="226" w:name="_Toc150509286"/>
      <w:bookmarkStart w:id="227" w:name="_Toc151193849"/>
      <w:bookmarkStart w:id="228" w:name="_Toc195842900"/>
      <w:bookmarkStart w:id="229" w:name="_Toc226337231"/>
      <w:bookmarkStart w:id="230" w:name="_Toc164608649"/>
      <w:bookmarkStart w:id="231" w:name="_Toc151190162"/>
      <w:bookmarkStart w:id="232" w:name="_Toc385992349"/>
      <w:bookmarkStart w:id="233" w:name="_Toc389620188"/>
      <w:bookmarkStart w:id="234" w:name="_Toc184043036"/>
      <w:bookmarkStart w:id="235" w:name="_Toc70687163"/>
      <w:r>
        <w:rPr>
          <w:rFonts w:hint="eastAsia" w:ascii="宋体" w:hAnsi="宋体" w:cs="宋体"/>
          <w:b/>
        </w:rPr>
        <w:t>17.响应文件的密封和标记</w:t>
      </w:r>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p>
    <w:p>
      <w:pPr>
        <w:tabs>
          <w:tab w:val="left" w:pos="1080"/>
        </w:tabs>
        <w:adjustRightInd/>
        <w:snapToGrid w:val="0"/>
        <w:spacing w:line="360" w:lineRule="auto"/>
        <w:jc w:val="both"/>
        <w:textAlignment w:val="auto"/>
        <w:rPr>
          <w:rFonts w:ascii="宋体" w:hAnsi="宋体" w:cs="宋体"/>
        </w:rPr>
      </w:pPr>
      <w:r>
        <w:rPr>
          <w:rFonts w:hint="eastAsia" w:ascii="宋体" w:hAnsi="宋体" w:cs="宋体"/>
        </w:rPr>
        <w:t>17.1磋商时，供应商应将响应文件正本、所有的副本、电子文档分开密封装在单独的信封中，且在信封正面标明“正本”“副本”“电子文档”字样（注：3份副本密封在同一个信封里）。</w:t>
      </w:r>
    </w:p>
    <w:p>
      <w:pPr>
        <w:tabs>
          <w:tab w:val="left" w:pos="1080"/>
        </w:tabs>
        <w:adjustRightInd/>
        <w:snapToGrid w:val="0"/>
        <w:spacing w:line="360" w:lineRule="auto"/>
        <w:jc w:val="both"/>
        <w:textAlignment w:val="auto"/>
        <w:rPr>
          <w:rFonts w:ascii="宋体" w:hAnsi="宋体" w:cs="宋体"/>
        </w:rPr>
      </w:pPr>
      <w:r>
        <w:rPr>
          <w:rFonts w:hint="eastAsia" w:ascii="宋体" w:hAnsi="宋体" w:cs="宋体"/>
        </w:rPr>
        <w:t>17.2为方便核查保证金，供应商应将“保证金缴纳凭证”单独密封，并在信封上标明“保证金”字样，在磋商时单独密封递交。</w:t>
      </w:r>
    </w:p>
    <w:p>
      <w:pPr>
        <w:tabs>
          <w:tab w:val="left" w:pos="1080"/>
        </w:tabs>
        <w:adjustRightInd/>
        <w:snapToGrid w:val="0"/>
        <w:spacing w:line="360" w:lineRule="auto"/>
        <w:jc w:val="both"/>
        <w:textAlignment w:val="auto"/>
        <w:rPr>
          <w:rFonts w:ascii="宋体" w:hAnsi="宋体" w:cs="宋体"/>
        </w:rPr>
      </w:pPr>
      <w:r>
        <w:rPr>
          <w:rFonts w:hint="eastAsia" w:ascii="宋体" w:hAnsi="宋体" w:cs="宋体"/>
        </w:rPr>
        <w:t>17.3所有信封上均应：</w:t>
      </w:r>
    </w:p>
    <w:p>
      <w:pPr>
        <w:pStyle w:val="22"/>
        <w:tabs>
          <w:tab w:val="left" w:pos="1365"/>
          <w:tab w:val="left" w:pos="1620"/>
        </w:tabs>
        <w:snapToGrid w:val="0"/>
        <w:spacing w:line="360" w:lineRule="auto"/>
        <w:rPr>
          <w:rFonts w:hAnsi="宋体" w:cs="宋体"/>
          <w:sz w:val="24"/>
        </w:rPr>
      </w:pPr>
      <w:r>
        <w:rPr>
          <w:rFonts w:hint="eastAsia" w:hAnsi="宋体" w:cs="宋体"/>
          <w:sz w:val="24"/>
        </w:rPr>
        <w:t>（1）清楚标明递交至竞争性磋商公告中指明的地址；</w:t>
      </w:r>
    </w:p>
    <w:p>
      <w:pPr>
        <w:pStyle w:val="22"/>
        <w:tabs>
          <w:tab w:val="left" w:pos="1365"/>
          <w:tab w:val="left" w:pos="1620"/>
        </w:tabs>
        <w:snapToGrid w:val="0"/>
        <w:spacing w:line="360" w:lineRule="auto"/>
        <w:rPr>
          <w:rFonts w:hAnsi="宋体" w:cs="宋体"/>
          <w:sz w:val="24"/>
        </w:rPr>
      </w:pPr>
      <w:r>
        <w:rPr>
          <w:rFonts w:hint="eastAsia" w:hAnsi="宋体" w:cs="宋体"/>
          <w:sz w:val="24"/>
        </w:rPr>
        <w:t>（2）注明竞争性磋商公告中指明的项目名称、项目编号和“在</w:t>
      </w:r>
      <w:r>
        <w:rPr>
          <w:rFonts w:hint="eastAsia" w:hAnsi="宋体" w:cs="宋体"/>
          <w:sz w:val="24"/>
          <w:u w:val="single"/>
        </w:rPr>
        <w:t xml:space="preserve">  （磋商日期、时间）    </w:t>
      </w:r>
      <w:r>
        <w:rPr>
          <w:rFonts w:hint="eastAsia" w:hAnsi="宋体" w:cs="宋体"/>
          <w:sz w:val="24"/>
        </w:rPr>
        <w:t>之前不得启封”的字样；</w:t>
      </w:r>
    </w:p>
    <w:p>
      <w:pPr>
        <w:pStyle w:val="22"/>
        <w:tabs>
          <w:tab w:val="left" w:pos="1365"/>
          <w:tab w:val="left" w:pos="1620"/>
        </w:tabs>
        <w:snapToGrid w:val="0"/>
        <w:spacing w:line="360" w:lineRule="auto"/>
        <w:rPr>
          <w:rFonts w:hAnsi="宋体" w:cs="宋体"/>
          <w:sz w:val="24"/>
        </w:rPr>
      </w:pPr>
      <w:r>
        <w:rPr>
          <w:rFonts w:hint="eastAsia" w:hAnsi="宋体" w:cs="宋体"/>
          <w:sz w:val="24"/>
        </w:rPr>
        <w:t>（3）在信封的封装处加盖供应商公章或密封章。</w:t>
      </w:r>
    </w:p>
    <w:p>
      <w:pPr>
        <w:tabs>
          <w:tab w:val="left" w:pos="1080"/>
        </w:tabs>
        <w:adjustRightInd/>
        <w:snapToGrid w:val="0"/>
        <w:spacing w:line="360" w:lineRule="auto"/>
        <w:jc w:val="both"/>
        <w:textAlignment w:val="auto"/>
        <w:rPr>
          <w:rFonts w:ascii="宋体" w:hAnsi="宋体" w:cs="宋体"/>
        </w:rPr>
      </w:pPr>
      <w:r>
        <w:rPr>
          <w:rFonts w:hint="eastAsia" w:ascii="宋体" w:hAnsi="宋体" w:cs="宋体"/>
        </w:rPr>
        <w:t>17.4所有信封上还应写明供应商名称和地址，以便若其响应被宣布为“迟到”响应时，能原封退回。</w:t>
      </w:r>
    </w:p>
    <w:p>
      <w:pPr>
        <w:tabs>
          <w:tab w:val="left" w:pos="1080"/>
        </w:tabs>
        <w:adjustRightInd/>
        <w:snapToGrid w:val="0"/>
        <w:spacing w:line="360" w:lineRule="auto"/>
        <w:jc w:val="both"/>
        <w:textAlignment w:val="auto"/>
        <w:rPr>
          <w:rFonts w:ascii="宋体" w:hAnsi="宋体" w:cs="宋体"/>
        </w:rPr>
      </w:pPr>
      <w:r>
        <w:rPr>
          <w:rFonts w:hint="eastAsia" w:ascii="宋体" w:hAnsi="宋体" w:cs="宋体"/>
        </w:rPr>
        <w:t>17.5如果供应商未按上述要求密封及加写标记，采购单位对响应文件的误投或过早启封概不负责。</w:t>
      </w:r>
    </w:p>
    <w:p>
      <w:pPr>
        <w:spacing w:line="360" w:lineRule="auto"/>
        <w:rPr>
          <w:rFonts w:ascii="宋体" w:hAnsi="宋体" w:cs="宋体"/>
          <w:b/>
          <w:szCs w:val="21"/>
        </w:rPr>
      </w:pPr>
      <w:r>
        <w:rPr>
          <w:rFonts w:hint="eastAsia" w:ascii="宋体" w:hAnsi="宋体" w:cs="宋体"/>
          <w:b/>
          <w:szCs w:val="21"/>
        </w:rPr>
        <w:t>18. 响应截止</w:t>
      </w:r>
      <w:bookmarkEnd w:id="232"/>
      <w:bookmarkEnd w:id="233"/>
      <w:r>
        <w:rPr>
          <w:rFonts w:hint="eastAsia" w:ascii="宋体" w:hAnsi="宋体" w:cs="宋体"/>
          <w:b/>
          <w:szCs w:val="21"/>
        </w:rPr>
        <w:t>时间</w:t>
      </w:r>
      <w:bookmarkEnd w:id="234"/>
      <w:bookmarkEnd w:id="235"/>
    </w:p>
    <w:p>
      <w:pPr>
        <w:tabs>
          <w:tab w:val="left" w:pos="1080"/>
        </w:tabs>
        <w:adjustRightInd/>
        <w:snapToGrid w:val="0"/>
        <w:spacing w:line="360" w:lineRule="auto"/>
        <w:jc w:val="both"/>
        <w:textAlignment w:val="auto"/>
        <w:rPr>
          <w:rFonts w:ascii="宋体" w:hAnsi="宋体" w:cs="宋体"/>
          <w:szCs w:val="22"/>
        </w:rPr>
      </w:pPr>
      <w:bookmarkStart w:id="236" w:name="_Toc385992350"/>
      <w:bookmarkStart w:id="237" w:name="_Toc184043037"/>
      <w:bookmarkStart w:id="238" w:name="_Toc389620189"/>
      <w:bookmarkStart w:id="239" w:name="_Toc70687164"/>
      <w:r>
        <w:rPr>
          <w:rFonts w:hint="eastAsia" w:ascii="宋体" w:hAnsi="宋体" w:cs="宋体"/>
          <w:szCs w:val="22"/>
        </w:rPr>
        <w:t>18.1供应商应在竞争性磋商文件规定的首次响应文件提交截止时间之前由法定代表人或授权代表携带本人身份证原件将响应文件递交至采购代理机构。响应截止时间和响应文件递交地点详见前附表。</w:t>
      </w:r>
    </w:p>
    <w:p>
      <w:pPr>
        <w:tabs>
          <w:tab w:val="left" w:pos="1080"/>
        </w:tabs>
        <w:adjustRightInd/>
        <w:snapToGrid w:val="0"/>
        <w:spacing w:line="360" w:lineRule="auto"/>
        <w:jc w:val="both"/>
        <w:textAlignment w:val="auto"/>
        <w:rPr>
          <w:rFonts w:ascii="宋体" w:hAnsi="宋体" w:cs="宋体"/>
          <w:szCs w:val="22"/>
        </w:rPr>
      </w:pPr>
      <w:r>
        <w:rPr>
          <w:rFonts w:hint="eastAsia" w:ascii="宋体" w:hAnsi="宋体" w:cs="宋体"/>
          <w:szCs w:val="22"/>
        </w:rPr>
        <w:t>18.2采购代理机构可以按本须知第7条规定，通知修改竞争性磋商文件适当延长响应截止期。在此情况下，采购代理机构、采购人和供应商受响应文件递交截止时间制约的所有权利和义务均应延长至新的截止时间。</w:t>
      </w:r>
    </w:p>
    <w:p>
      <w:pPr>
        <w:tabs>
          <w:tab w:val="left" w:pos="1080"/>
        </w:tabs>
        <w:adjustRightInd/>
        <w:snapToGrid w:val="0"/>
        <w:spacing w:line="360" w:lineRule="auto"/>
        <w:jc w:val="both"/>
        <w:textAlignment w:val="auto"/>
        <w:rPr>
          <w:rFonts w:ascii="宋体" w:hAnsi="宋体" w:cs="宋体"/>
          <w:szCs w:val="22"/>
        </w:rPr>
      </w:pPr>
      <w:r>
        <w:rPr>
          <w:rFonts w:hint="eastAsia" w:ascii="宋体" w:hAnsi="宋体" w:cs="宋体"/>
          <w:szCs w:val="22"/>
        </w:rPr>
        <w:t>18.3</w:t>
      </w:r>
      <w:bookmarkEnd w:id="236"/>
      <w:bookmarkEnd w:id="237"/>
      <w:bookmarkEnd w:id="238"/>
      <w:bookmarkEnd w:id="239"/>
      <w:r>
        <w:rPr>
          <w:rFonts w:hint="eastAsia" w:ascii="宋体" w:hAnsi="宋体" w:cs="宋体"/>
          <w:szCs w:val="22"/>
        </w:rPr>
        <w:t>在规定的响应截止时间后收到的任何响应文件，采购代理机构将拒绝接收并原封退回。</w:t>
      </w:r>
    </w:p>
    <w:p>
      <w:pPr>
        <w:spacing w:line="360" w:lineRule="auto"/>
        <w:rPr>
          <w:rFonts w:ascii="宋体" w:hAnsi="宋体" w:cs="宋体"/>
          <w:b/>
          <w:szCs w:val="21"/>
        </w:rPr>
      </w:pPr>
      <w:bookmarkStart w:id="240" w:name="_Toc385992351"/>
      <w:bookmarkStart w:id="241" w:name="_Toc70687165"/>
      <w:bookmarkStart w:id="242" w:name="_Toc389620190"/>
      <w:bookmarkStart w:id="243" w:name="_Toc184043038"/>
      <w:r>
        <w:rPr>
          <w:rFonts w:hint="eastAsia" w:ascii="宋体" w:hAnsi="宋体" w:cs="宋体"/>
          <w:b/>
          <w:szCs w:val="21"/>
        </w:rPr>
        <w:t>19. 响应文件的补充、修改、撤回和撤销</w:t>
      </w:r>
      <w:bookmarkEnd w:id="240"/>
      <w:bookmarkEnd w:id="241"/>
      <w:bookmarkEnd w:id="242"/>
      <w:bookmarkEnd w:id="243"/>
    </w:p>
    <w:p>
      <w:pPr>
        <w:tabs>
          <w:tab w:val="left" w:pos="1080"/>
        </w:tabs>
        <w:adjustRightInd/>
        <w:snapToGrid w:val="0"/>
        <w:spacing w:line="360" w:lineRule="auto"/>
        <w:jc w:val="both"/>
        <w:textAlignment w:val="auto"/>
        <w:rPr>
          <w:rFonts w:ascii="宋体" w:hAnsi="宋体" w:cs="宋体"/>
          <w:szCs w:val="22"/>
        </w:rPr>
      </w:pPr>
      <w:r>
        <w:rPr>
          <w:rFonts w:hint="eastAsia" w:ascii="宋体" w:hAnsi="宋体" w:cs="宋体"/>
          <w:szCs w:val="22"/>
        </w:rPr>
        <w:t>19.1供应商在提交响应文件后可对其响应文件进行补充、修改或撤回，但该补充、修改或撤回的书面通知须在响应截止时间之前送达开标地点，该通知需经正式授权的供应商代表签字且有采购人签收方为有效。</w:t>
      </w:r>
    </w:p>
    <w:p>
      <w:pPr>
        <w:tabs>
          <w:tab w:val="left" w:pos="1080"/>
        </w:tabs>
        <w:adjustRightInd/>
        <w:snapToGrid w:val="0"/>
        <w:spacing w:line="360" w:lineRule="auto"/>
        <w:jc w:val="both"/>
        <w:textAlignment w:val="auto"/>
        <w:rPr>
          <w:rFonts w:ascii="宋体" w:hAnsi="宋体" w:cs="宋体"/>
          <w:szCs w:val="22"/>
        </w:rPr>
      </w:pPr>
      <w:r>
        <w:rPr>
          <w:rFonts w:hint="eastAsia" w:ascii="宋体" w:hAnsi="宋体" w:cs="宋体"/>
          <w:szCs w:val="22"/>
        </w:rPr>
        <w:t>19.2供应商对响应文件补充、修改的书面材料或撤回的通知应按第16和17条规定进行编写、密封、标注和递送，并注明“修改响应文件”或“撤回磋商”字样。</w:t>
      </w:r>
    </w:p>
    <w:p>
      <w:pPr>
        <w:tabs>
          <w:tab w:val="left" w:pos="1080"/>
        </w:tabs>
        <w:adjustRightInd/>
        <w:snapToGrid w:val="0"/>
        <w:spacing w:line="360" w:lineRule="auto"/>
        <w:jc w:val="both"/>
        <w:textAlignment w:val="auto"/>
        <w:rPr>
          <w:rFonts w:ascii="宋体" w:hAnsi="宋体" w:cs="宋体"/>
          <w:szCs w:val="22"/>
        </w:rPr>
      </w:pPr>
      <w:r>
        <w:rPr>
          <w:rFonts w:hint="eastAsia" w:ascii="宋体" w:hAnsi="宋体" w:cs="宋体"/>
          <w:szCs w:val="22"/>
        </w:rPr>
        <w:t>19.3在响应截止时间之后，供应商不得对其响应文件做任何修改。</w:t>
      </w:r>
    </w:p>
    <w:p>
      <w:pPr>
        <w:tabs>
          <w:tab w:val="left" w:pos="1080"/>
        </w:tabs>
        <w:adjustRightInd/>
        <w:snapToGrid w:val="0"/>
        <w:spacing w:line="360" w:lineRule="auto"/>
        <w:jc w:val="both"/>
        <w:textAlignment w:val="auto"/>
        <w:rPr>
          <w:rFonts w:ascii="宋体" w:hAnsi="宋体" w:cs="宋体"/>
          <w:szCs w:val="22"/>
        </w:rPr>
      </w:pPr>
      <w:r>
        <w:rPr>
          <w:rFonts w:hint="eastAsia" w:ascii="宋体" w:hAnsi="宋体" w:cs="宋体"/>
          <w:szCs w:val="22"/>
        </w:rPr>
        <w:t>19.4供应商不得在响应截止时间起至响应文件有效期期满前撤销其响应文件，否则其保证金将按14.8款的规定被没收。</w:t>
      </w:r>
    </w:p>
    <w:p>
      <w:pPr>
        <w:spacing w:line="360" w:lineRule="auto"/>
        <w:jc w:val="center"/>
        <w:rPr>
          <w:rFonts w:ascii="宋体" w:hAnsi="宋体" w:cs="宋体"/>
          <w:b/>
          <w:sz w:val="32"/>
          <w:szCs w:val="32"/>
        </w:rPr>
      </w:pPr>
      <w:bookmarkStart w:id="244" w:name="_Hlt491765712"/>
      <w:bookmarkEnd w:id="244"/>
      <w:bookmarkStart w:id="245" w:name="_Hlt497729441"/>
      <w:bookmarkEnd w:id="245"/>
      <w:bookmarkStart w:id="246" w:name="_Toc214357452"/>
      <w:bookmarkStart w:id="247" w:name="_Toc232176277"/>
      <w:bookmarkStart w:id="248" w:name="_Toc239740356"/>
      <w:bookmarkStart w:id="249" w:name="_Toc232395217"/>
      <w:bookmarkStart w:id="250" w:name="_Toc235518471"/>
      <w:bookmarkStart w:id="251" w:name="_Toc265738865"/>
      <w:bookmarkStart w:id="252" w:name="_Toc184043039"/>
      <w:bookmarkStart w:id="253" w:name="_Toc499711048"/>
      <w:bookmarkStart w:id="254" w:name="_Toc389620191"/>
      <w:bookmarkStart w:id="255" w:name="_Toc177995478"/>
      <w:bookmarkStart w:id="256" w:name="_Toc500747194"/>
      <w:bookmarkStart w:id="257" w:name="_Toc70687166"/>
      <w:bookmarkStart w:id="258" w:name="_Toc503063427"/>
      <w:bookmarkStart w:id="259" w:name="_Toc177189240"/>
      <w:bookmarkStart w:id="260" w:name="_Toc176882547"/>
      <w:bookmarkStart w:id="261" w:name="_Toc500746971"/>
      <w:bookmarkStart w:id="262" w:name="_Toc492955420"/>
      <w:bookmarkStart w:id="263" w:name="_Toc177817339"/>
      <w:bookmarkStart w:id="264" w:name="_Toc500747067"/>
      <w:bookmarkStart w:id="265" w:name="_Toc496324584"/>
      <w:bookmarkStart w:id="266" w:name="_Toc385992352"/>
      <w:bookmarkStart w:id="267" w:name="_Toc53722845"/>
      <w:bookmarkStart w:id="268" w:name="_Toc499711889"/>
    </w:p>
    <w:p>
      <w:pPr>
        <w:spacing w:line="360" w:lineRule="auto"/>
        <w:jc w:val="center"/>
        <w:rPr>
          <w:rFonts w:ascii="宋体" w:hAnsi="宋体" w:cs="宋体"/>
          <w:b/>
          <w:sz w:val="32"/>
          <w:szCs w:val="32"/>
        </w:rPr>
      </w:pPr>
      <w:r>
        <w:rPr>
          <w:rFonts w:hint="eastAsia" w:ascii="宋体" w:hAnsi="宋体" w:cs="宋体"/>
          <w:b/>
          <w:sz w:val="32"/>
          <w:szCs w:val="32"/>
        </w:rPr>
        <w:t>五、</w:t>
      </w:r>
      <w:bookmarkEnd w:id="246"/>
      <w:bookmarkEnd w:id="247"/>
      <w:bookmarkEnd w:id="248"/>
      <w:bookmarkEnd w:id="249"/>
      <w:bookmarkEnd w:id="250"/>
      <w:bookmarkEnd w:id="251"/>
      <w:r>
        <w:rPr>
          <w:rFonts w:hint="eastAsia" w:ascii="宋体" w:hAnsi="宋体" w:cs="宋体"/>
          <w:b/>
          <w:bCs/>
          <w:sz w:val="32"/>
          <w:szCs w:val="32"/>
        </w:rPr>
        <w:t>响应文件的评估和比较</w:t>
      </w:r>
    </w:p>
    <w:p>
      <w:pPr>
        <w:adjustRightInd/>
        <w:snapToGrid w:val="0"/>
        <w:spacing w:line="360" w:lineRule="auto"/>
        <w:jc w:val="both"/>
        <w:textAlignment w:val="auto"/>
        <w:outlineLvl w:val="1"/>
        <w:rPr>
          <w:rFonts w:ascii="宋体" w:hAnsi="宋体" w:cs="宋体"/>
          <w:b/>
        </w:rPr>
      </w:pPr>
      <w:bookmarkStart w:id="269" w:name="_Toc5980"/>
      <w:r>
        <w:rPr>
          <w:rFonts w:hint="eastAsia" w:ascii="宋体" w:hAnsi="宋体" w:cs="宋体"/>
          <w:b/>
        </w:rPr>
        <w:t>20. 磋商开启</w:t>
      </w:r>
      <w:bookmarkEnd w:id="269"/>
    </w:p>
    <w:p>
      <w:pPr>
        <w:tabs>
          <w:tab w:val="left" w:pos="1080"/>
        </w:tabs>
        <w:adjustRightInd/>
        <w:snapToGrid w:val="0"/>
        <w:spacing w:line="360" w:lineRule="auto"/>
        <w:jc w:val="both"/>
        <w:textAlignment w:val="auto"/>
        <w:rPr>
          <w:rFonts w:ascii="宋体" w:hAnsi="宋体" w:cs="宋体"/>
          <w:szCs w:val="22"/>
        </w:rPr>
      </w:pPr>
      <w:r>
        <w:rPr>
          <w:rFonts w:hint="eastAsia" w:ascii="宋体" w:hAnsi="宋体" w:cs="宋体"/>
          <w:szCs w:val="22"/>
        </w:rPr>
        <w:t>20.1采购单位应当按竞争性磋商公告的规定，在响应截止时间的同一时间在竞争性磋商公告预先确定的地点组织磋商。磋商时邀请供应商代表、采购人和有关方面代表参加。参加磋商的代表应签名报到以证明其出席。</w:t>
      </w:r>
    </w:p>
    <w:p>
      <w:pPr>
        <w:tabs>
          <w:tab w:val="left" w:pos="1080"/>
        </w:tabs>
        <w:adjustRightInd/>
        <w:snapToGrid w:val="0"/>
        <w:spacing w:line="360" w:lineRule="auto"/>
        <w:jc w:val="both"/>
        <w:textAlignment w:val="auto"/>
        <w:rPr>
          <w:rFonts w:ascii="宋体" w:hAnsi="宋体" w:cs="宋体"/>
          <w:szCs w:val="22"/>
        </w:rPr>
      </w:pPr>
      <w:r>
        <w:rPr>
          <w:rFonts w:hint="eastAsia" w:ascii="宋体" w:hAnsi="宋体" w:cs="宋体"/>
          <w:szCs w:val="22"/>
        </w:rPr>
        <w:t>20.2按供应商递交响应文件的顺序决定磋商顺序。</w:t>
      </w:r>
    </w:p>
    <w:p>
      <w:pPr>
        <w:tabs>
          <w:tab w:val="left" w:pos="1080"/>
        </w:tabs>
        <w:adjustRightInd/>
        <w:snapToGrid w:val="0"/>
        <w:spacing w:line="360" w:lineRule="auto"/>
        <w:jc w:val="both"/>
        <w:textAlignment w:val="auto"/>
        <w:rPr>
          <w:rFonts w:ascii="宋体" w:hAnsi="宋体" w:cs="宋体"/>
          <w:b/>
          <w:bCs/>
          <w:szCs w:val="22"/>
        </w:rPr>
      </w:pPr>
      <w:bookmarkStart w:id="270" w:name="_Toc151193782"/>
      <w:bookmarkStart w:id="271" w:name="_Toc226965730"/>
      <w:bookmarkStart w:id="272" w:name="_Toc164608654"/>
      <w:bookmarkStart w:id="273" w:name="_Toc318318323"/>
      <w:bookmarkStart w:id="274" w:name="_Toc149720833"/>
      <w:bookmarkStart w:id="275" w:name="_Toc127161454"/>
      <w:bookmarkStart w:id="276" w:name="_Toc164229235"/>
      <w:bookmarkStart w:id="277" w:name="_Toc151193710"/>
      <w:bookmarkStart w:id="278" w:name="_Toc373513363"/>
      <w:bookmarkStart w:id="279" w:name="_Toc127151741"/>
      <w:bookmarkStart w:id="280" w:name="_Toc318318693"/>
      <w:bookmarkStart w:id="281" w:name="_Toc164229381"/>
      <w:bookmarkStart w:id="282" w:name="_Toc151193854"/>
      <w:bookmarkStart w:id="283" w:name="_Toc142311042"/>
      <w:bookmarkStart w:id="284" w:name="_Toc226337236"/>
      <w:bookmarkStart w:id="285" w:name="_Toc150509291"/>
      <w:bookmarkStart w:id="286" w:name="_Toc150774745"/>
      <w:bookmarkStart w:id="287" w:name="_Toc164608809"/>
      <w:bookmarkStart w:id="288" w:name="_Toc264969230"/>
      <w:bookmarkStart w:id="289" w:name="_Toc226965813"/>
      <w:bookmarkStart w:id="290" w:name="_Toc150480778"/>
      <w:bookmarkStart w:id="291" w:name="_Toc151190167"/>
      <w:bookmarkStart w:id="292" w:name="_Toc150774640"/>
      <w:bookmarkStart w:id="293" w:name="_Toc151193928"/>
      <w:bookmarkStart w:id="294" w:name="_Toc195842905"/>
      <w:bookmarkStart w:id="295" w:name="_Toc265228378"/>
      <w:bookmarkStart w:id="296" w:name="_Toc151193638"/>
      <w:bookmarkStart w:id="297" w:name="_Toc316402997"/>
      <w:bookmarkStart w:id="298" w:name="_Toc316402802"/>
      <w:bookmarkStart w:id="299" w:name="_Toc316403215"/>
      <w:bookmarkStart w:id="300" w:name="_Toc127151540"/>
      <w:bookmarkStart w:id="301" w:name="_Toc164351634"/>
      <w:bookmarkStart w:id="302" w:name="_Toc305983653"/>
      <w:bookmarkStart w:id="303" w:name="_Toc226309784"/>
      <w:bookmarkStart w:id="304" w:name="_Toc305983807"/>
      <w:r>
        <w:rPr>
          <w:rFonts w:hint="eastAsia" w:ascii="宋体" w:hAnsi="宋体" w:cs="宋体"/>
          <w:b/>
          <w:bCs/>
          <w:szCs w:val="22"/>
        </w:rPr>
        <w:t>21.组建</w:t>
      </w:r>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r>
        <w:rPr>
          <w:rFonts w:hint="eastAsia" w:ascii="宋体" w:hAnsi="宋体" w:cs="宋体"/>
          <w:b/>
          <w:bCs/>
          <w:szCs w:val="22"/>
        </w:rPr>
        <w:t>磋商小组</w:t>
      </w:r>
    </w:p>
    <w:p>
      <w:pPr>
        <w:tabs>
          <w:tab w:val="left" w:pos="1080"/>
        </w:tabs>
        <w:adjustRightInd/>
        <w:snapToGrid w:val="0"/>
        <w:spacing w:line="360" w:lineRule="auto"/>
        <w:jc w:val="both"/>
        <w:textAlignment w:val="auto"/>
        <w:rPr>
          <w:rFonts w:ascii="宋体" w:hAnsi="宋体" w:cs="宋体"/>
          <w:szCs w:val="22"/>
        </w:rPr>
      </w:pPr>
      <w:bookmarkStart w:id="305" w:name="_Toc520356166"/>
      <w:bookmarkStart w:id="306" w:name="_Toc150509292"/>
      <w:bookmarkStart w:id="307" w:name="_Toc149720834"/>
      <w:bookmarkStart w:id="308" w:name="_Toc318318324"/>
      <w:bookmarkStart w:id="309" w:name="_Toc127151541"/>
      <w:bookmarkStart w:id="310" w:name="_Toc151193639"/>
      <w:bookmarkStart w:id="311" w:name="_Toc316402803"/>
      <w:bookmarkStart w:id="312" w:name="_Toc226965814"/>
      <w:bookmarkStart w:id="313" w:name="_Toc164229382"/>
      <w:bookmarkStart w:id="314" w:name="_Toc164229236"/>
      <w:bookmarkStart w:id="315" w:name="_Toc151193855"/>
      <w:bookmarkStart w:id="316" w:name="_Toc264969231"/>
      <w:bookmarkStart w:id="317" w:name="_Toc151193929"/>
      <w:bookmarkStart w:id="318" w:name="_Toc127151742"/>
      <w:bookmarkStart w:id="319" w:name="_Toc127161455"/>
      <w:bookmarkStart w:id="320" w:name="_Toc305983808"/>
      <w:bookmarkStart w:id="321" w:name="_Toc226965731"/>
      <w:bookmarkStart w:id="322" w:name="_Toc151193711"/>
      <w:bookmarkStart w:id="323" w:name="_Toc164608810"/>
      <w:bookmarkStart w:id="324" w:name="_Toc316402998"/>
      <w:bookmarkStart w:id="325" w:name="_Toc142311043"/>
      <w:bookmarkStart w:id="326" w:name="_Toc226309785"/>
      <w:bookmarkStart w:id="327" w:name="_Toc150774641"/>
      <w:bookmarkStart w:id="328" w:name="_Toc305983654"/>
      <w:bookmarkStart w:id="329" w:name="_Toc316403216"/>
      <w:bookmarkStart w:id="330" w:name="_Toc150774746"/>
      <w:bookmarkStart w:id="331" w:name="_Toc164608655"/>
      <w:bookmarkStart w:id="332" w:name="_Toc265228379"/>
      <w:bookmarkStart w:id="333" w:name="_Toc318318694"/>
      <w:bookmarkStart w:id="334" w:name="_Toc226337237"/>
      <w:bookmarkStart w:id="335" w:name="_Toc151190168"/>
      <w:bookmarkStart w:id="336" w:name="_Toc373513364"/>
      <w:bookmarkStart w:id="337" w:name="_Toc195842906"/>
      <w:bookmarkStart w:id="338" w:name="_Toc151193783"/>
      <w:bookmarkStart w:id="339" w:name="_Toc164351635"/>
      <w:bookmarkStart w:id="340" w:name="_Toc150480779"/>
      <w:r>
        <w:rPr>
          <w:rFonts w:hint="eastAsia" w:ascii="宋体" w:hAnsi="宋体" w:cs="宋体"/>
          <w:szCs w:val="22"/>
        </w:rPr>
        <w:t>21.1采购代理机构应当根据项目情况依法组建磋商小组。</w:t>
      </w:r>
    </w:p>
    <w:p>
      <w:pPr>
        <w:tabs>
          <w:tab w:val="left" w:pos="1080"/>
        </w:tabs>
        <w:adjustRightInd/>
        <w:snapToGrid w:val="0"/>
        <w:spacing w:line="360" w:lineRule="auto"/>
        <w:jc w:val="both"/>
        <w:textAlignment w:val="auto"/>
        <w:rPr>
          <w:rFonts w:ascii="宋体" w:hAnsi="宋体" w:cs="宋体"/>
          <w:szCs w:val="22"/>
        </w:rPr>
      </w:pPr>
      <w:r>
        <w:rPr>
          <w:rFonts w:hint="eastAsia" w:ascii="宋体" w:hAnsi="宋体" w:cs="宋体"/>
          <w:szCs w:val="22"/>
        </w:rPr>
        <w:t>21.2磋商小组成员应当按照客观、公正、审慎的原则，根据磋商文件规定的评审程序、评审方法和评审标准进行独立评审。</w:t>
      </w:r>
    </w:p>
    <w:p>
      <w:pPr>
        <w:tabs>
          <w:tab w:val="left" w:pos="1080"/>
        </w:tabs>
        <w:adjustRightInd/>
        <w:snapToGrid w:val="0"/>
        <w:spacing w:line="360" w:lineRule="auto"/>
        <w:jc w:val="both"/>
        <w:textAlignment w:val="auto"/>
        <w:rPr>
          <w:rFonts w:ascii="宋体" w:hAnsi="宋体" w:cs="宋体"/>
          <w:szCs w:val="22"/>
        </w:rPr>
      </w:pPr>
      <w:r>
        <w:rPr>
          <w:rFonts w:hint="eastAsia" w:ascii="宋体" w:hAnsi="宋体" w:cs="宋体"/>
          <w:szCs w:val="22"/>
        </w:rPr>
        <w:t>21.3磋商小组由采购人代表和评审专家共3人（含）以上单数组成，其中评审专家人数不得少于磋商小组成员总数的2/3。采购人代表不得以评审专家身份参加本部门或本单位采购项目的评审。采购代理机构人员不得参加本机构代理的采购项目的评审。采用竞争性磋商方式的政府采购项目，评审专家应当从政府采购评审专家库内相关专业的专家名单中随机抽取。</w:t>
      </w:r>
    </w:p>
    <w:p>
      <w:pPr>
        <w:adjustRightInd/>
        <w:snapToGrid w:val="0"/>
        <w:spacing w:line="360" w:lineRule="auto"/>
        <w:jc w:val="both"/>
        <w:textAlignment w:val="auto"/>
        <w:outlineLvl w:val="1"/>
        <w:rPr>
          <w:rFonts w:ascii="宋体" w:hAnsi="宋体" w:cs="宋体"/>
          <w:b/>
        </w:rPr>
      </w:pPr>
      <w:bookmarkStart w:id="341" w:name="_Toc15243"/>
      <w:r>
        <w:rPr>
          <w:rFonts w:hint="eastAsia" w:ascii="宋体" w:hAnsi="宋体" w:cs="宋体"/>
          <w:b/>
        </w:rPr>
        <w:t>22.响应文件的初审</w:t>
      </w:r>
      <w:bookmarkEnd w:id="305"/>
      <w:r>
        <w:rPr>
          <w:rFonts w:hint="eastAsia" w:ascii="宋体" w:hAnsi="宋体" w:cs="宋体"/>
          <w:b/>
        </w:rPr>
        <w:t>与澄清</w:t>
      </w:r>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p>
    <w:p>
      <w:pPr>
        <w:tabs>
          <w:tab w:val="left" w:pos="1080"/>
        </w:tabs>
        <w:adjustRightInd/>
        <w:snapToGrid w:val="0"/>
        <w:spacing w:line="360" w:lineRule="auto"/>
        <w:jc w:val="both"/>
        <w:textAlignment w:val="auto"/>
        <w:rPr>
          <w:rFonts w:ascii="宋体" w:hAnsi="宋体" w:cs="宋体"/>
          <w:szCs w:val="22"/>
        </w:rPr>
      </w:pPr>
      <w:r>
        <w:rPr>
          <w:rFonts w:hint="eastAsia" w:ascii="宋体" w:hAnsi="宋体" w:cs="宋体"/>
          <w:szCs w:val="22"/>
        </w:rPr>
        <w:t>22.1 响应文件的初审</w:t>
      </w:r>
      <w:r>
        <w:rPr>
          <w:rFonts w:hint="eastAsia" w:ascii="宋体" w:hAnsi="宋体" w:cs="宋体"/>
          <w:kern w:val="0"/>
          <w:szCs w:val="21"/>
        </w:rPr>
        <w:t>为有效性、完整性和响应程度评审</w:t>
      </w:r>
      <w:r>
        <w:rPr>
          <w:rFonts w:hint="eastAsia" w:ascii="宋体" w:hAnsi="宋体" w:cs="宋体"/>
          <w:szCs w:val="22"/>
        </w:rPr>
        <w:t>。</w:t>
      </w:r>
    </w:p>
    <w:p>
      <w:pPr>
        <w:adjustRightInd w:val="0"/>
        <w:spacing w:line="360" w:lineRule="auto"/>
        <w:ind w:firstLine="0" w:firstLineChars="0"/>
        <w:jc w:val="left"/>
        <w:textAlignment w:val="baseline"/>
        <w:rPr>
          <w:rFonts w:ascii="宋体" w:hAnsi="宋体" w:cs="宋体"/>
          <w:kern w:val="0"/>
          <w:szCs w:val="21"/>
        </w:rPr>
      </w:pPr>
      <w:r>
        <w:rPr>
          <w:rFonts w:hint="eastAsia" w:ascii="宋体" w:hAnsi="宋体" w:cs="宋体"/>
          <w:kern w:val="0"/>
          <w:szCs w:val="21"/>
        </w:rPr>
        <w:t>2</w:t>
      </w:r>
      <w:r>
        <w:rPr>
          <w:rFonts w:hint="eastAsia" w:ascii="宋体" w:hAnsi="宋体" w:cs="宋体"/>
          <w:kern w:val="0"/>
          <w:szCs w:val="21"/>
          <w:lang w:val="en-US" w:eastAsia="zh-CN"/>
        </w:rPr>
        <w:t>2</w:t>
      </w:r>
      <w:r>
        <w:rPr>
          <w:rFonts w:hint="eastAsia" w:ascii="宋体" w:hAnsi="宋体" w:cs="宋体"/>
          <w:kern w:val="0"/>
          <w:szCs w:val="21"/>
        </w:rPr>
        <w:t>.1.1磋商小组依据竞争性磋商文件，对响应文件的有效性、完整性和对竞争性磋商文件的响应程度进行审查，以确定供应商是否对竞争性磋商文件的实质性要求做出响应。</w:t>
      </w:r>
    </w:p>
    <w:p>
      <w:pPr>
        <w:tabs>
          <w:tab w:val="left" w:pos="1080"/>
        </w:tabs>
        <w:adjustRightInd/>
        <w:snapToGrid w:val="0"/>
        <w:spacing w:line="360" w:lineRule="auto"/>
        <w:jc w:val="both"/>
        <w:textAlignment w:val="auto"/>
        <w:rPr>
          <w:rFonts w:ascii="宋体" w:hAnsi="宋体" w:cs="宋体"/>
          <w:szCs w:val="22"/>
        </w:rPr>
      </w:pPr>
      <w:bookmarkStart w:id="342" w:name="_Toc520356167"/>
      <w:r>
        <w:rPr>
          <w:rFonts w:hint="eastAsia" w:ascii="宋体" w:hAnsi="宋体" w:cs="宋体"/>
          <w:szCs w:val="22"/>
        </w:rPr>
        <w:t>22.2 响应文件的澄清</w:t>
      </w:r>
    </w:p>
    <w:p>
      <w:pPr>
        <w:tabs>
          <w:tab w:val="left" w:pos="1080"/>
        </w:tabs>
        <w:adjustRightInd/>
        <w:snapToGrid w:val="0"/>
        <w:spacing w:line="360" w:lineRule="auto"/>
        <w:jc w:val="both"/>
        <w:textAlignment w:val="auto"/>
        <w:rPr>
          <w:rFonts w:ascii="宋体" w:hAnsi="宋体" w:cs="宋体"/>
          <w:szCs w:val="22"/>
        </w:rPr>
      </w:pPr>
      <w:r>
        <w:rPr>
          <w:rFonts w:hint="eastAsia" w:ascii="宋体" w:hAnsi="宋体" w:cs="宋体"/>
          <w:szCs w:val="22"/>
        </w:rPr>
        <w:t>22.2.1 在磋商期间，竞争性磋商小组有权以书面方式要求供应商对其响应文件中含义不明确、对同类问题表述不一致或者有明显文字和计算错误的内容作必要的澄清、说明或者更正。供应商澄清应在竞争性磋商小组规定的时间内以书面方式进行，并不得超出响应文件范围或者改变响应文件的实质性内容。</w:t>
      </w:r>
    </w:p>
    <w:p>
      <w:pPr>
        <w:tabs>
          <w:tab w:val="left" w:pos="1080"/>
        </w:tabs>
        <w:adjustRightInd/>
        <w:snapToGrid w:val="0"/>
        <w:spacing w:line="360" w:lineRule="auto"/>
        <w:jc w:val="both"/>
        <w:textAlignment w:val="auto"/>
        <w:rPr>
          <w:rFonts w:ascii="宋体" w:hAnsi="宋体" w:cs="宋体"/>
          <w:szCs w:val="22"/>
        </w:rPr>
      </w:pPr>
      <w:r>
        <w:rPr>
          <w:rFonts w:hint="eastAsia" w:ascii="宋体" w:hAnsi="宋体" w:cs="宋体"/>
          <w:szCs w:val="22"/>
        </w:rPr>
        <w:t>22.2.2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pPr>
        <w:tabs>
          <w:tab w:val="left" w:pos="1080"/>
        </w:tabs>
        <w:adjustRightInd/>
        <w:snapToGrid w:val="0"/>
        <w:spacing w:line="360" w:lineRule="auto"/>
        <w:jc w:val="both"/>
        <w:textAlignment w:val="auto"/>
        <w:rPr>
          <w:rFonts w:ascii="宋体" w:hAnsi="宋体" w:cs="宋体"/>
          <w:szCs w:val="22"/>
        </w:rPr>
      </w:pPr>
      <w:r>
        <w:rPr>
          <w:rFonts w:hint="eastAsia" w:ascii="宋体" w:hAnsi="宋体" w:cs="宋体"/>
          <w:szCs w:val="22"/>
        </w:rPr>
        <w:t>22.2.3澄清文件将作为响应文件内容的一部分。</w:t>
      </w:r>
    </w:p>
    <w:p>
      <w:pPr>
        <w:tabs>
          <w:tab w:val="left" w:pos="1080"/>
        </w:tabs>
        <w:adjustRightInd/>
        <w:snapToGrid w:val="0"/>
        <w:spacing w:line="360" w:lineRule="auto"/>
        <w:jc w:val="both"/>
        <w:textAlignment w:val="auto"/>
        <w:rPr>
          <w:rFonts w:ascii="宋体" w:hAnsi="宋体" w:cs="宋体"/>
          <w:szCs w:val="22"/>
        </w:rPr>
      </w:pPr>
      <w:r>
        <w:rPr>
          <w:rFonts w:hint="eastAsia" w:ascii="宋体" w:hAnsi="宋体" w:cs="宋体"/>
          <w:szCs w:val="22"/>
        </w:rPr>
        <w:t>22.2.4算术错误将按以下方法更正：磋商时，响应文件中“响应一览表”（报价表）内容与响应文件中明细表内容不一致的，以“响应一览表”（报价表）为准。若单价计算的结果与总价不一致，以单价为准修改总价，但单价金额小数点有明显错位的，应以总价为准并修改单价；若用文字（大写）表示的数值与数字（小写）表示的数值不一致，以文字表示的数值为准。</w:t>
      </w:r>
      <w:bookmarkStart w:id="343" w:name="_Toc151193856"/>
      <w:bookmarkStart w:id="344" w:name="_Toc226309786"/>
      <w:bookmarkStart w:id="345" w:name="_Toc226965815"/>
      <w:bookmarkStart w:id="346" w:name="_Toc164608811"/>
      <w:bookmarkStart w:id="347" w:name="_Toc150774642"/>
      <w:bookmarkStart w:id="348" w:name="_Toc142311044"/>
      <w:bookmarkStart w:id="349" w:name="_Toc195842907"/>
      <w:bookmarkStart w:id="350" w:name="_Toc151193640"/>
      <w:bookmarkStart w:id="351" w:name="_Toc150480780"/>
      <w:bookmarkStart w:id="352" w:name="_Toc150509293"/>
      <w:bookmarkStart w:id="353" w:name="_Toc149720835"/>
      <w:bookmarkStart w:id="354" w:name="_Toc164351636"/>
      <w:bookmarkStart w:id="355" w:name="_Toc318318695"/>
      <w:bookmarkStart w:id="356" w:name="_Toc151190169"/>
      <w:bookmarkStart w:id="357" w:name="_Toc318318325"/>
      <w:bookmarkStart w:id="358" w:name="_Toc127151542"/>
      <w:bookmarkStart w:id="359" w:name="_Toc305983655"/>
      <w:bookmarkStart w:id="360" w:name="_Toc127151743"/>
      <w:bookmarkStart w:id="361" w:name="_Toc151193784"/>
      <w:bookmarkStart w:id="362" w:name="_Toc151193712"/>
      <w:bookmarkStart w:id="363" w:name="_Toc226337238"/>
      <w:bookmarkStart w:id="364" w:name="_Toc305983809"/>
      <w:bookmarkStart w:id="365" w:name="_Toc316402999"/>
      <w:bookmarkStart w:id="366" w:name="_Toc151193930"/>
      <w:bookmarkStart w:id="367" w:name="_Toc164229237"/>
      <w:bookmarkStart w:id="368" w:name="_Toc373513365"/>
      <w:bookmarkStart w:id="369" w:name="_Toc316403217"/>
      <w:bookmarkStart w:id="370" w:name="_Toc226965732"/>
      <w:bookmarkStart w:id="371" w:name="_Toc316402804"/>
      <w:bookmarkStart w:id="372" w:name="_Toc164608656"/>
      <w:bookmarkStart w:id="373" w:name="_Toc150774747"/>
      <w:bookmarkStart w:id="374" w:name="_Toc265228380"/>
      <w:bookmarkStart w:id="375" w:name="_Toc164229383"/>
      <w:bookmarkStart w:id="376" w:name="_Toc264969232"/>
      <w:bookmarkStart w:id="377" w:name="_Toc127161456"/>
    </w:p>
    <w:p>
      <w:pPr>
        <w:adjustRightInd/>
        <w:snapToGrid w:val="0"/>
        <w:spacing w:line="360" w:lineRule="auto"/>
        <w:jc w:val="both"/>
        <w:textAlignment w:val="auto"/>
        <w:outlineLvl w:val="1"/>
        <w:rPr>
          <w:rFonts w:ascii="宋体" w:hAnsi="宋体" w:cs="宋体"/>
          <w:b/>
        </w:rPr>
      </w:pPr>
      <w:bookmarkStart w:id="378" w:name="_Toc16387"/>
      <w:r>
        <w:rPr>
          <w:rFonts w:hint="eastAsia" w:ascii="宋体" w:hAnsi="宋体" w:cs="宋体"/>
          <w:b/>
        </w:rPr>
        <w:t>23.磋商偏离与非实质性响应</w:t>
      </w:r>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p>
    <w:p>
      <w:pPr>
        <w:tabs>
          <w:tab w:val="left" w:pos="360"/>
          <w:tab w:val="left" w:pos="1080"/>
        </w:tabs>
        <w:adjustRightInd/>
        <w:snapToGrid w:val="0"/>
        <w:spacing w:line="360" w:lineRule="auto"/>
        <w:jc w:val="both"/>
        <w:textAlignment w:val="auto"/>
        <w:rPr>
          <w:rFonts w:ascii="宋体" w:hAnsi="宋体" w:cs="宋体"/>
        </w:rPr>
      </w:pPr>
      <w:r>
        <w:rPr>
          <w:rFonts w:hint="eastAsia" w:ascii="宋体" w:hAnsi="宋体" w:cs="宋体"/>
        </w:rPr>
        <w:t>23.1对于响应文件中不构成实质性偏差的不正规、不一致或不规则，竞争性磋商小组可以接受，但这种接受不能损坏或影响任何报价人的相对排序。</w:t>
      </w:r>
    </w:p>
    <w:p>
      <w:pPr>
        <w:tabs>
          <w:tab w:val="left" w:pos="360"/>
          <w:tab w:val="left" w:pos="1080"/>
        </w:tabs>
        <w:adjustRightInd/>
        <w:snapToGrid w:val="0"/>
        <w:spacing w:line="360" w:lineRule="auto"/>
        <w:jc w:val="both"/>
        <w:textAlignment w:val="auto"/>
        <w:rPr>
          <w:rFonts w:ascii="宋体" w:hAnsi="宋体" w:cs="宋体"/>
        </w:rPr>
      </w:pPr>
      <w:r>
        <w:rPr>
          <w:rFonts w:hint="eastAsia" w:ascii="宋体" w:hAnsi="宋体" w:cs="宋体"/>
        </w:rPr>
        <w:t>23.2在比较和评价之前，根据本须知的规定，竞争性磋商小组要审查响应文件是否实质上响应了竞争性磋商文件的要求。实质上响应的磋商应该是与竞争性磋商文件要求的全部条款、条件和规格相符，没有重大偏离的磋商。对关键条款，例如关于保证金、适用法律、缴税等内容的偏离、保留和反对，将被认为是实质上的偏离。竞争性磋商小组决定响应文件的响应性只根据响应文件本身的内容，而不寻求外部的证据。</w:t>
      </w:r>
    </w:p>
    <w:p>
      <w:pPr>
        <w:tabs>
          <w:tab w:val="left" w:pos="360"/>
          <w:tab w:val="left" w:pos="1080"/>
        </w:tabs>
        <w:adjustRightInd/>
        <w:snapToGrid w:val="0"/>
        <w:spacing w:line="360" w:lineRule="auto"/>
        <w:jc w:val="both"/>
        <w:textAlignment w:val="auto"/>
        <w:rPr>
          <w:rFonts w:ascii="宋体" w:hAnsi="宋体" w:cs="宋体"/>
        </w:rPr>
      </w:pPr>
      <w:r>
        <w:rPr>
          <w:rFonts w:hint="eastAsia" w:ascii="宋体" w:hAnsi="宋体" w:cs="宋体"/>
        </w:rPr>
        <w:t>23.3实质上没有响应竞争性磋商文件要求的磋商将被拒绝。供应商不得通过修正或撤销不符合要求的偏离或保留从而使其磋商成为实质上响应的磋商。如发现下列情况之一的，其磋商将被拒绝：</w:t>
      </w:r>
    </w:p>
    <w:bookmarkEnd w:id="342"/>
    <w:p>
      <w:pPr>
        <w:numPr>
          <w:ilvl w:val="0"/>
          <w:numId w:val="5"/>
        </w:numPr>
        <w:spacing w:line="360" w:lineRule="auto"/>
        <w:ind w:left="0" w:firstLine="0"/>
        <w:rPr>
          <w:rFonts w:ascii="宋体" w:hAnsi="宋体" w:cs="宋体"/>
        </w:rPr>
      </w:pPr>
      <w:bookmarkStart w:id="379" w:name="_Toc318318696"/>
      <w:bookmarkStart w:id="380" w:name="_Toc127151744"/>
      <w:bookmarkStart w:id="381" w:name="_Toc142311045"/>
      <w:bookmarkStart w:id="382" w:name="_Toc305983656"/>
      <w:bookmarkStart w:id="383" w:name="_Toc265228381"/>
      <w:bookmarkStart w:id="384" w:name="_Toc151193857"/>
      <w:bookmarkStart w:id="385" w:name="_Toc164229238"/>
      <w:bookmarkStart w:id="386" w:name="_Toc127151543"/>
      <w:bookmarkStart w:id="387" w:name="_Toc164608812"/>
      <w:bookmarkStart w:id="388" w:name="_Toc316403000"/>
      <w:bookmarkStart w:id="389" w:name="_Toc226965816"/>
      <w:bookmarkStart w:id="390" w:name="_Toc150774643"/>
      <w:bookmarkStart w:id="391" w:name="_Toc150509294"/>
      <w:bookmarkStart w:id="392" w:name="_Toc264969233"/>
      <w:bookmarkStart w:id="393" w:name="_Toc149720836"/>
      <w:bookmarkStart w:id="394" w:name="_Toc164608657"/>
      <w:bookmarkStart w:id="395" w:name="_Toc150774748"/>
      <w:bookmarkStart w:id="396" w:name="_Toc127161457"/>
      <w:bookmarkStart w:id="397" w:name="_Toc316402805"/>
      <w:bookmarkStart w:id="398" w:name="_Toc316403218"/>
      <w:bookmarkStart w:id="399" w:name="_Toc164229384"/>
      <w:bookmarkStart w:id="400" w:name="_Toc151190170"/>
      <w:bookmarkStart w:id="401" w:name="_Toc226309787"/>
      <w:bookmarkStart w:id="402" w:name="_Toc226965733"/>
      <w:bookmarkStart w:id="403" w:name="_Toc195842908"/>
      <w:bookmarkStart w:id="404" w:name="_Toc318318326"/>
      <w:bookmarkStart w:id="405" w:name="_Toc151193931"/>
      <w:bookmarkStart w:id="406" w:name="_Toc164351637"/>
      <w:bookmarkStart w:id="407" w:name="_Toc151193713"/>
      <w:bookmarkStart w:id="408" w:name="_Toc151193641"/>
      <w:bookmarkStart w:id="409" w:name="_Toc226337239"/>
      <w:bookmarkStart w:id="410" w:name="_Toc305983810"/>
      <w:bookmarkStart w:id="411" w:name="_Toc150480781"/>
      <w:bookmarkStart w:id="412" w:name="_Toc151193785"/>
      <w:r>
        <w:rPr>
          <w:rFonts w:hint="eastAsia" w:ascii="宋体" w:hAnsi="宋体" w:cs="宋体"/>
        </w:rPr>
        <w:t>最后报价超出项目采购预算；</w:t>
      </w:r>
    </w:p>
    <w:p>
      <w:pPr>
        <w:numPr>
          <w:ilvl w:val="0"/>
          <w:numId w:val="5"/>
        </w:numPr>
        <w:spacing w:line="360" w:lineRule="auto"/>
        <w:ind w:left="0" w:firstLine="0"/>
        <w:rPr>
          <w:rFonts w:ascii="宋体" w:hAnsi="宋体" w:cs="宋体"/>
        </w:rPr>
      </w:pPr>
      <w:r>
        <w:rPr>
          <w:rFonts w:hint="eastAsia" w:ascii="宋体" w:hAnsi="宋体" w:cs="宋体"/>
        </w:rPr>
        <w:t>未按照竞争性磋商文件要求递交保证金的；</w:t>
      </w:r>
    </w:p>
    <w:p>
      <w:pPr>
        <w:numPr>
          <w:ilvl w:val="0"/>
          <w:numId w:val="5"/>
        </w:numPr>
        <w:spacing w:line="360" w:lineRule="auto"/>
        <w:ind w:left="0" w:firstLine="0"/>
        <w:rPr>
          <w:rFonts w:ascii="宋体" w:hAnsi="宋体" w:cs="宋体"/>
        </w:rPr>
      </w:pPr>
      <w:r>
        <w:rPr>
          <w:rFonts w:hint="eastAsia" w:ascii="宋体" w:hAnsi="宋体" w:cs="宋体"/>
        </w:rPr>
        <w:t>未按照竞争性磋商文件规定要求签署、盖章的；</w:t>
      </w:r>
    </w:p>
    <w:p>
      <w:pPr>
        <w:numPr>
          <w:ilvl w:val="0"/>
          <w:numId w:val="5"/>
        </w:numPr>
        <w:spacing w:line="360" w:lineRule="auto"/>
        <w:ind w:left="0" w:firstLine="0"/>
        <w:rPr>
          <w:rFonts w:ascii="宋体" w:hAnsi="宋体" w:cs="宋体"/>
        </w:rPr>
      </w:pPr>
      <w:r>
        <w:rPr>
          <w:rFonts w:hint="eastAsia" w:ascii="宋体" w:hAnsi="宋体" w:cs="宋体"/>
        </w:rPr>
        <w:t>不具备竞争性磋商文件中规定资格要求的；</w:t>
      </w:r>
    </w:p>
    <w:p>
      <w:pPr>
        <w:numPr>
          <w:ilvl w:val="0"/>
          <w:numId w:val="5"/>
        </w:numPr>
        <w:spacing w:line="360" w:lineRule="auto"/>
        <w:ind w:left="0" w:firstLine="0"/>
        <w:rPr>
          <w:rFonts w:ascii="宋体" w:hAnsi="宋体" w:cs="宋体"/>
        </w:rPr>
      </w:pPr>
      <w:r>
        <w:rPr>
          <w:rFonts w:hint="eastAsia" w:ascii="宋体" w:hAnsi="宋体" w:cs="宋体"/>
        </w:rPr>
        <w:t xml:space="preserve">资格证明文件不符合竞争性磋商文件要求的； </w:t>
      </w:r>
    </w:p>
    <w:p>
      <w:pPr>
        <w:numPr>
          <w:ilvl w:val="0"/>
          <w:numId w:val="5"/>
        </w:numPr>
        <w:spacing w:line="360" w:lineRule="auto"/>
        <w:ind w:left="0" w:firstLine="0"/>
        <w:rPr>
          <w:rFonts w:ascii="宋体" w:hAnsi="宋体" w:cs="宋体"/>
        </w:rPr>
      </w:pPr>
      <w:r>
        <w:rPr>
          <w:rFonts w:hint="eastAsia" w:ascii="宋体" w:hAnsi="宋体" w:cs="宋体"/>
        </w:rPr>
        <w:t>磋商有效期不足的；</w:t>
      </w:r>
    </w:p>
    <w:p>
      <w:pPr>
        <w:numPr>
          <w:ilvl w:val="0"/>
          <w:numId w:val="5"/>
        </w:numPr>
        <w:spacing w:line="360" w:lineRule="auto"/>
        <w:ind w:left="0" w:firstLine="0"/>
        <w:rPr>
          <w:rFonts w:ascii="宋体" w:hAnsi="宋体" w:cs="宋体"/>
        </w:rPr>
      </w:pPr>
      <w:r>
        <w:rPr>
          <w:rFonts w:hint="eastAsia" w:ascii="宋体" w:hAnsi="宋体" w:cs="宋体"/>
        </w:rPr>
        <w:t>不满足竞争性磋商文件（*号条款）的；</w:t>
      </w:r>
    </w:p>
    <w:p>
      <w:pPr>
        <w:numPr>
          <w:ilvl w:val="0"/>
          <w:numId w:val="5"/>
        </w:numPr>
        <w:spacing w:line="360" w:lineRule="auto"/>
        <w:ind w:left="0" w:firstLine="0"/>
        <w:rPr>
          <w:rFonts w:ascii="宋体" w:hAnsi="宋体" w:cs="宋体"/>
        </w:rPr>
      </w:pPr>
      <w:r>
        <w:rPr>
          <w:rFonts w:hint="eastAsia" w:ascii="宋体" w:hAnsi="宋体" w:cs="宋体"/>
        </w:rPr>
        <w:t>竞争性磋商文件附有采购人不能接受的条件的；</w:t>
      </w:r>
    </w:p>
    <w:p>
      <w:pPr>
        <w:numPr>
          <w:ilvl w:val="0"/>
          <w:numId w:val="5"/>
        </w:numPr>
        <w:spacing w:line="360" w:lineRule="auto"/>
        <w:ind w:left="0" w:firstLine="0"/>
        <w:rPr>
          <w:rFonts w:ascii="宋体" w:hAnsi="宋体" w:cs="宋体"/>
        </w:rPr>
      </w:pPr>
      <w:r>
        <w:rPr>
          <w:rFonts w:hint="eastAsia" w:ascii="宋体" w:hAnsi="宋体" w:cs="宋体"/>
        </w:rPr>
        <w:t>不符合法律、法规和竞争性磋商文件中规定的其他实质性要求的。</w:t>
      </w:r>
    </w:p>
    <w:p>
      <w:pPr>
        <w:tabs>
          <w:tab w:val="left" w:pos="360"/>
        </w:tabs>
        <w:adjustRightInd/>
        <w:snapToGrid w:val="0"/>
        <w:spacing w:line="360" w:lineRule="auto"/>
        <w:jc w:val="both"/>
        <w:textAlignment w:val="auto"/>
        <w:outlineLvl w:val="1"/>
        <w:rPr>
          <w:rFonts w:ascii="宋体" w:hAnsi="宋体" w:cs="宋体"/>
          <w:b/>
        </w:rPr>
      </w:pPr>
      <w:bookmarkStart w:id="413" w:name="_Toc26560"/>
      <w:bookmarkStart w:id="414" w:name="_Toc373513366"/>
      <w:r>
        <w:rPr>
          <w:rFonts w:hint="eastAsia" w:ascii="宋体" w:hAnsi="宋体" w:cs="宋体"/>
          <w:b/>
        </w:rPr>
        <w:t>24.磋商</w:t>
      </w:r>
      <w:bookmarkEnd w:id="413"/>
    </w:p>
    <w:p>
      <w:pPr>
        <w:tabs>
          <w:tab w:val="left" w:pos="360"/>
          <w:tab w:val="left" w:pos="1080"/>
        </w:tabs>
        <w:adjustRightInd/>
        <w:snapToGrid w:val="0"/>
        <w:spacing w:line="360" w:lineRule="auto"/>
        <w:jc w:val="both"/>
        <w:textAlignment w:val="auto"/>
        <w:rPr>
          <w:rFonts w:ascii="宋体" w:hAnsi="宋体" w:cs="宋体"/>
          <w:szCs w:val="22"/>
        </w:rPr>
      </w:pPr>
      <w:r>
        <w:rPr>
          <w:rFonts w:hint="eastAsia" w:ascii="宋体" w:hAnsi="宋体" w:cs="宋体"/>
          <w:szCs w:val="22"/>
        </w:rPr>
        <w:t>24.1对实质性响应磋商文件的供应商，磋商小组进行评审时采用“一对一磋商的形式”。本次磋商的顺序，以递交磋商响应文件顺序确定磋商顺序。在磋商中，磋商的任何一方不得透露与磋商有关的信息，为明确本次采购项目的各项技术要求，各供应商应接受磋商小组可能多次的询问、质疑和磋商，如供应商不接受磋商小组的询问、质疑和磋商，其磋商无效。</w:t>
      </w:r>
    </w:p>
    <w:p>
      <w:pPr>
        <w:tabs>
          <w:tab w:val="left" w:pos="360"/>
          <w:tab w:val="left" w:pos="1080"/>
        </w:tabs>
        <w:adjustRightInd/>
        <w:snapToGrid w:val="0"/>
        <w:spacing w:line="360" w:lineRule="auto"/>
        <w:jc w:val="both"/>
        <w:textAlignment w:val="auto"/>
        <w:rPr>
          <w:rFonts w:ascii="宋体" w:hAnsi="宋体" w:cs="宋体"/>
          <w:szCs w:val="22"/>
        </w:rPr>
      </w:pPr>
      <w:r>
        <w:rPr>
          <w:rFonts w:hint="eastAsia" w:ascii="宋体" w:hAnsi="宋体" w:cs="宋体"/>
          <w:szCs w:val="22"/>
        </w:rPr>
        <w:t>24.2在磋商过程中，磋商小组可以根据磋商文件和磋商情况实质性变动采购需求中的技术、服务要求以及合同草案条款。对磋商文件作出的实质性变动是磋商文件的有效组成部分，磋商小组将以书面形式同时通知所有参加磋商的供应商。供应商应当按照磋商文件的变动情况和磋商小组的要求重新提交响应文件，并由其法定代表人或授权代表签字或者加盖公章。</w:t>
      </w:r>
    </w:p>
    <w:p>
      <w:pPr>
        <w:tabs>
          <w:tab w:val="left" w:pos="360"/>
          <w:tab w:val="left" w:pos="1080"/>
        </w:tabs>
        <w:adjustRightInd/>
        <w:snapToGrid w:val="0"/>
        <w:spacing w:line="360" w:lineRule="auto"/>
        <w:jc w:val="both"/>
        <w:textAlignment w:val="auto"/>
        <w:rPr>
          <w:rFonts w:ascii="宋体" w:hAnsi="宋体" w:cs="宋体"/>
          <w:szCs w:val="22"/>
        </w:rPr>
      </w:pPr>
      <w:r>
        <w:rPr>
          <w:rFonts w:hint="eastAsia" w:ascii="宋体" w:hAnsi="宋体" w:cs="宋体"/>
          <w:szCs w:val="22"/>
        </w:rPr>
        <w:t>24.3磋商结束后，磋商小组将要求所有参加磋商的供应商在规定的时间内进行最后报价。最后报价是供应商响应文件的有效组成部分。（供应商需提前准备空白签署盖章的最后报价表，以便最后报价填写）</w:t>
      </w:r>
    </w:p>
    <w:p>
      <w:pPr>
        <w:adjustRightInd/>
        <w:snapToGrid w:val="0"/>
        <w:spacing w:line="360" w:lineRule="auto"/>
        <w:jc w:val="both"/>
        <w:textAlignment w:val="auto"/>
        <w:outlineLvl w:val="1"/>
        <w:rPr>
          <w:rFonts w:ascii="宋体" w:hAnsi="宋体" w:cs="宋体"/>
          <w:b/>
        </w:rPr>
      </w:pPr>
      <w:bookmarkStart w:id="415" w:name="_Toc30863"/>
      <w:r>
        <w:rPr>
          <w:rFonts w:hint="eastAsia" w:ascii="宋体" w:hAnsi="宋体" w:cs="宋体"/>
          <w:b/>
        </w:rPr>
        <w:t>25.</w:t>
      </w:r>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4"/>
      <w:bookmarkEnd w:id="415"/>
      <w:r>
        <w:rPr>
          <w:rFonts w:hint="eastAsia" w:ascii="宋体" w:hAnsi="宋体" w:cs="宋体"/>
          <w:b/>
        </w:rPr>
        <w:t>评审</w:t>
      </w:r>
    </w:p>
    <w:p>
      <w:pPr>
        <w:tabs>
          <w:tab w:val="left" w:pos="360"/>
          <w:tab w:val="left" w:pos="1080"/>
        </w:tabs>
        <w:adjustRightInd/>
        <w:snapToGrid w:val="0"/>
        <w:spacing w:line="360" w:lineRule="auto"/>
        <w:jc w:val="both"/>
        <w:textAlignment w:val="auto"/>
        <w:rPr>
          <w:rFonts w:ascii="宋体" w:hAnsi="宋体" w:cs="宋体"/>
          <w:szCs w:val="22"/>
        </w:rPr>
      </w:pPr>
      <w:r>
        <w:rPr>
          <w:rFonts w:hint="eastAsia" w:ascii="宋体" w:hAnsi="宋体" w:cs="宋体"/>
          <w:szCs w:val="22"/>
        </w:rPr>
        <w:t>25.1磋商小组将根据竞争性磋商文件确定的评审标准和方法，对所有经过磋商并按要求重新提交响应文件（如有）及最后报价的供应商，就其响应文件技术部分和商务部分作进一步的比较和评价。</w:t>
      </w:r>
    </w:p>
    <w:p>
      <w:pPr>
        <w:tabs>
          <w:tab w:val="left" w:pos="360"/>
          <w:tab w:val="left" w:pos="1080"/>
        </w:tabs>
        <w:adjustRightInd/>
        <w:snapToGrid w:val="0"/>
        <w:spacing w:line="360" w:lineRule="auto"/>
        <w:jc w:val="both"/>
        <w:textAlignment w:val="auto"/>
        <w:rPr>
          <w:rFonts w:ascii="宋体" w:hAnsi="宋体" w:cs="宋体"/>
          <w:szCs w:val="22"/>
        </w:rPr>
      </w:pPr>
      <w:r>
        <w:rPr>
          <w:rFonts w:hint="eastAsia" w:ascii="宋体" w:hAnsi="宋体" w:cs="宋体"/>
          <w:szCs w:val="22"/>
        </w:rPr>
        <w:t>25.2评审方法：本项目评审采用综合评分法确定成交供应商，即在最大限度地满足磋商文件实质性要求前提下，按照磋商文件中规定的各项因素进行综合评审后，按照总得分高低顺序推荐的供应商作为成交候选供应商或成交供应商的评审方法。</w:t>
      </w:r>
    </w:p>
    <w:p>
      <w:pPr>
        <w:pStyle w:val="63"/>
        <w:tabs>
          <w:tab w:val="left" w:pos="-1080"/>
          <w:tab w:val="left" w:pos="180"/>
          <w:tab w:val="left" w:pos="851"/>
          <w:tab w:val="left" w:pos="993"/>
        </w:tabs>
        <w:snapToGrid w:val="0"/>
        <w:spacing w:line="360" w:lineRule="auto"/>
        <w:ind w:firstLine="0" w:firstLineChars="0"/>
        <w:rPr>
          <w:rFonts w:ascii="宋体" w:hAnsi="宋体" w:cs="宋体"/>
          <w:sz w:val="24"/>
          <w:szCs w:val="22"/>
        </w:rPr>
      </w:pPr>
      <w:r>
        <w:rPr>
          <w:rFonts w:hint="eastAsia" w:ascii="宋体" w:hAnsi="宋体" w:cs="宋体"/>
          <w:sz w:val="24"/>
          <w:szCs w:val="22"/>
        </w:rPr>
        <w:t>25.3符合《政府采购竞争性磋商采购方式管理暂行办法》第三条第四项情形的，提交最后报价的供应商可以为2家。</w:t>
      </w:r>
    </w:p>
    <w:p>
      <w:pPr>
        <w:pStyle w:val="63"/>
        <w:tabs>
          <w:tab w:val="left" w:pos="-1080"/>
          <w:tab w:val="left" w:pos="180"/>
          <w:tab w:val="left" w:pos="851"/>
          <w:tab w:val="left" w:pos="993"/>
        </w:tabs>
        <w:snapToGrid w:val="0"/>
        <w:spacing w:line="360" w:lineRule="auto"/>
        <w:ind w:firstLine="0" w:firstLineChars="0"/>
        <w:rPr>
          <w:rFonts w:hint="eastAsia" w:ascii="宋体" w:hAnsi="宋体" w:eastAsia="宋体" w:cs="宋体"/>
          <w:sz w:val="24"/>
          <w:szCs w:val="22"/>
        </w:rPr>
      </w:pPr>
      <w:r>
        <w:rPr>
          <w:rFonts w:hint="eastAsia" w:ascii="宋体" w:hAnsi="宋体" w:cs="宋体"/>
          <w:sz w:val="24"/>
          <w:szCs w:val="22"/>
        </w:rPr>
        <w:t>25.4参加磋商的中小企业应当提供有效的《中小企业声明函》（格式见磋商文件</w:t>
      </w:r>
      <w:r>
        <w:rPr>
          <w:rFonts w:hint="eastAsia" w:ascii="宋体" w:hAnsi="宋体" w:eastAsia="宋体" w:cs="宋体"/>
          <w:sz w:val="24"/>
          <w:szCs w:val="22"/>
        </w:rPr>
        <w:t>第六章），否则评审时不得被认定为中小企业。</w:t>
      </w:r>
      <w:bookmarkStart w:id="416" w:name="_Toc195842909"/>
      <w:bookmarkStart w:id="417" w:name="_Toc150774644"/>
      <w:bookmarkStart w:id="418" w:name="_Toc226965817"/>
      <w:bookmarkStart w:id="419" w:name="_Toc226965734"/>
      <w:bookmarkStart w:id="420" w:name="_Toc151193932"/>
      <w:bookmarkStart w:id="421" w:name="_Toc164351638"/>
      <w:bookmarkStart w:id="422" w:name="_Toc151193642"/>
      <w:bookmarkStart w:id="423" w:name="_Toc226309788"/>
      <w:bookmarkStart w:id="424" w:name="_Toc316402806"/>
      <w:bookmarkStart w:id="425" w:name="_Toc316403001"/>
      <w:bookmarkStart w:id="426" w:name="_Toc142311046"/>
      <w:bookmarkStart w:id="427" w:name="_Toc305983657"/>
      <w:bookmarkStart w:id="428" w:name="_Toc164229239"/>
      <w:bookmarkStart w:id="429" w:name="_Toc150480782"/>
      <w:bookmarkStart w:id="430" w:name="_Toc264969234"/>
      <w:bookmarkStart w:id="431" w:name="_Toc318318327"/>
      <w:bookmarkStart w:id="432" w:name="_Toc150774749"/>
      <w:bookmarkStart w:id="433" w:name="_Toc305983811"/>
      <w:bookmarkStart w:id="434" w:name="_Toc164608813"/>
      <w:bookmarkStart w:id="435" w:name="_Toc164229385"/>
      <w:bookmarkStart w:id="436" w:name="_Toc149720837"/>
      <w:bookmarkStart w:id="437" w:name="_Toc318318697"/>
      <w:bookmarkStart w:id="438" w:name="_Toc127151745"/>
      <w:bookmarkStart w:id="439" w:name="_Toc151190171"/>
      <w:bookmarkStart w:id="440" w:name="_Toc265228382"/>
      <w:bookmarkStart w:id="441" w:name="_Toc151193858"/>
      <w:bookmarkStart w:id="442" w:name="_Toc164608658"/>
      <w:bookmarkStart w:id="443" w:name="_Toc150509295"/>
      <w:bookmarkStart w:id="444" w:name="_Toc151193714"/>
      <w:bookmarkStart w:id="445" w:name="_Toc373513367"/>
      <w:bookmarkStart w:id="446" w:name="_Toc316403219"/>
      <w:bookmarkStart w:id="447" w:name="_Toc151193786"/>
      <w:bookmarkStart w:id="448" w:name="_Toc127151544"/>
      <w:bookmarkStart w:id="449" w:name="_Toc226337240"/>
      <w:bookmarkStart w:id="450" w:name="_Toc127161458"/>
    </w:p>
    <w:p>
      <w:pPr>
        <w:pStyle w:val="63"/>
        <w:widowControl/>
        <w:adjustRightInd/>
        <w:snapToGrid w:val="0"/>
        <w:spacing w:before="164" w:beforeLines="50" w:after="164" w:afterLines="50" w:line="360" w:lineRule="auto"/>
        <w:ind w:firstLine="0" w:firstLineChars="0"/>
        <w:jc w:val="both"/>
        <w:textAlignment w:val="auto"/>
        <w:rPr>
          <w:rFonts w:ascii="宋体" w:hAnsi="宋体" w:cs="宋体"/>
          <w:kern w:val="2"/>
          <w:szCs w:val="24"/>
        </w:rPr>
      </w:pPr>
      <w:r>
        <w:rPr>
          <w:rFonts w:hint="eastAsia" w:ascii="宋体" w:hAnsi="宋体" w:eastAsia="宋体" w:cs="宋体"/>
          <w:kern w:val="0"/>
          <w:sz w:val="24"/>
          <w:szCs w:val="22"/>
        </w:rPr>
        <w:t>25.5本项目将根据《政府采购促进中小企业发展管理办法》（财库[2020]46号）</w:t>
      </w:r>
      <w:r>
        <w:rPr>
          <w:rFonts w:hint="eastAsia" w:ascii="宋体" w:hAnsi="宋体" w:eastAsia="宋体" w:cs="宋体"/>
          <w:kern w:val="0"/>
          <w:sz w:val="24"/>
          <w:szCs w:val="22"/>
          <w:lang w:eastAsia="zh-CN"/>
        </w:rPr>
        <w:t>、《财政部关于进一步加大政府采购支持中小企业力度的通知》（财库〔2022〕19号）</w:t>
      </w:r>
      <w:r>
        <w:rPr>
          <w:rFonts w:hint="eastAsia" w:ascii="宋体" w:hAnsi="宋体" w:eastAsia="宋体" w:cs="宋体"/>
          <w:kern w:val="0"/>
          <w:sz w:val="24"/>
          <w:szCs w:val="22"/>
        </w:rPr>
        <w:t>的规定，本项目将</w:t>
      </w:r>
      <w:r>
        <w:rPr>
          <w:rFonts w:hint="eastAsia" w:ascii="宋体" w:hAnsi="宋体" w:eastAsia="宋体" w:cs="宋体"/>
          <w:kern w:val="0"/>
          <w:sz w:val="24"/>
          <w:szCs w:val="22"/>
          <w:lang w:val="en-US" w:eastAsia="zh-CN"/>
        </w:rPr>
        <w:t>对承接服务单位为</w:t>
      </w:r>
      <w:r>
        <w:rPr>
          <w:rFonts w:hint="eastAsia" w:ascii="宋体" w:hAnsi="宋体" w:eastAsia="宋体" w:cs="宋体"/>
          <w:kern w:val="0"/>
          <w:sz w:val="24"/>
          <w:szCs w:val="22"/>
        </w:rPr>
        <w:t>小型</w:t>
      </w:r>
      <w:r>
        <w:rPr>
          <w:rFonts w:hint="eastAsia" w:ascii="宋体" w:hAnsi="宋体" w:eastAsia="宋体" w:cs="宋体"/>
          <w:kern w:val="0"/>
          <w:sz w:val="24"/>
          <w:szCs w:val="22"/>
          <w:lang w:val="en-US" w:eastAsia="zh-CN"/>
        </w:rPr>
        <w:t>或</w:t>
      </w:r>
      <w:r>
        <w:rPr>
          <w:rFonts w:hint="eastAsia" w:ascii="宋体" w:hAnsi="宋体" w:eastAsia="宋体" w:cs="宋体"/>
          <w:kern w:val="0"/>
          <w:sz w:val="24"/>
          <w:szCs w:val="22"/>
        </w:rPr>
        <w:t>微型企业的价格给予</w:t>
      </w:r>
      <w:r>
        <w:rPr>
          <w:rFonts w:hint="eastAsia" w:ascii="宋体" w:hAnsi="宋体" w:eastAsia="宋体" w:cs="宋体"/>
          <w:kern w:val="0"/>
          <w:sz w:val="24"/>
          <w:szCs w:val="22"/>
          <w:lang w:val="en-US" w:eastAsia="zh-CN"/>
        </w:rPr>
        <w:t>10</w:t>
      </w:r>
      <w:r>
        <w:rPr>
          <w:rFonts w:hint="eastAsia" w:ascii="宋体" w:hAnsi="宋体" w:eastAsia="宋体" w:cs="宋体"/>
          <w:kern w:val="0"/>
          <w:sz w:val="24"/>
          <w:szCs w:val="22"/>
        </w:rPr>
        <w:t>%的扣除，用扣除后的价格参与评审打分。监狱企业视同小型、微型企业，享受评审中价格扣除等政府采购促进中小企业发展的相关政策。监狱企业参加政府采购活动时，应当在磋商文件中提供由省级以上监狱管理局、戒毒管理局（含新疆生产建设兵团）出具的属于监狱企业的证明文件；</w:t>
      </w:r>
      <w:r>
        <w:rPr>
          <w:rFonts w:hint="eastAsia" w:ascii="宋体" w:hAnsi="宋体" w:eastAsia="宋体" w:cs="宋体"/>
          <w:sz w:val="24"/>
          <w:szCs w:val="22"/>
        </w:rPr>
        <w:t>根据《财政部 民政部 中国残疾人联合会关于促进残疾人就业政府采购政策的通知》（财库〔2017〕 141号）的规定，残疾人福利性单位视为小型、微型企业享受价格扣除，用扣除后的价格作为评审价格参与评审。残疾人福利性单位需出具相关的证明文件。</w:t>
      </w:r>
    </w:p>
    <w:p>
      <w:pPr>
        <w:pStyle w:val="63"/>
        <w:tabs>
          <w:tab w:val="left" w:pos="-1080"/>
          <w:tab w:val="left" w:pos="180"/>
          <w:tab w:val="left" w:pos="851"/>
          <w:tab w:val="left" w:pos="993"/>
        </w:tabs>
        <w:snapToGrid w:val="0"/>
        <w:spacing w:line="360" w:lineRule="auto"/>
        <w:ind w:firstLine="0" w:firstLineChars="0"/>
        <w:rPr>
          <w:rFonts w:ascii="宋体" w:hAnsi="宋体" w:cs="宋体"/>
          <w:sz w:val="24"/>
        </w:rPr>
      </w:pPr>
      <w:r>
        <w:rPr>
          <w:rFonts w:hint="eastAsia" w:ascii="宋体" w:hAnsi="宋体" w:cs="宋体"/>
          <w:sz w:val="24"/>
        </w:rPr>
        <w:t>25.6</w:t>
      </w:r>
      <w:r>
        <w:rPr>
          <w:rFonts w:hint="eastAsia" w:ascii="宋体" w:hAnsi="宋体" w:cs="宋体"/>
          <w:sz w:val="24"/>
          <w:lang w:val="en-US" w:eastAsia="zh-CN"/>
        </w:rPr>
        <w:t>符合25.5条政策要求的</w:t>
      </w:r>
      <w:r>
        <w:rPr>
          <w:rFonts w:hint="eastAsia" w:ascii="宋体" w:hAnsi="宋体" w:cs="宋体"/>
          <w:sz w:val="24"/>
        </w:rPr>
        <w:t>供应商</w:t>
      </w:r>
      <w:r>
        <w:rPr>
          <w:rFonts w:hint="eastAsia" w:ascii="宋体" w:hAnsi="宋体" w:cs="宋体"/>
          <w:sz w:val="24"/>
          <w:lang w:val="en-US" w:eastAsia="zh-CN"/>
        </w:rPr>
        <w:t>可按照响应文件商务技术册附件8的格式要求</w:t>
      </w:r>
      <w:r>
        <w:rPr>
          <w:rFonts w:hint="eastAsia" w:ascii="宋体" w:hAnsi="宋体" w:cs="宋体"/>
          <w:sz w:val="24"/>
        </w:rPr>
        <w:t>提供《中小企业声明函》，否则不得被认定为小微企业，评审时其磋商价格不予扣除。未提供有效的《中小企业声明函》和附件的，评审时其报价不予扣除。监狱企业提供了由省级以上监狱管理局（北京市含教育矫治局）、戒毒管理局(含新疆生产建设兵团)出具的属于监狱企业的证明文件的，视同小型和微型企业。残疾人福利性单位出具声明函及相关的证明文件的，视同小型和微型企业。</w:t>
      </w:r>
    </w:p>
    <w:p>
      <w:pPr>
        <w:tabs>
          <w:tab w:val="left" w:pos="360"/>
          <w:tab w:val="left" w:pos="1080"/>
        </w:tabs>
        <w:adjustRightInd/>
        <w:snapToGrid w:val="0"/>
        <w:spacing w:line="360" w:lineRule="auto"/>
        <w:jc w:val="both"/>
        <w:textAlignment w:val="auto"/>
        <w:rPr>
          <w:rFonts w:ascii="宋体" w:hAnsi="宋体" w:cs="宋体"/>
        </w:rPr>
      </w:pPr>
      <w:r>
        <w:rPr>
          <w:rFonts w:hint="eastAsia" w:ascii="宋体" w:hAnsi="宋体" w:cs="宋体"/>
        </w:rPr>
        <w:t>25.7本项目采用的评审方法：</w:t>
      </w:r>
    </w:p>
    <w:p>
      <w:pPr>
        <w:snapToGrid w:val="0"/>
        <w:spacing w:line="360" w:lineRule="auto"/>
        <w:rPr>
          <w:rFonts w:ascii="宋体" w:hAnsi="宋体" w:cs="宋体"/>
        </w:rPr>
      </w:pPr>
      <w:r>
        <w:rPr>
          <w:rFonts w:hint="eastAsia" w:ascii="宋体" w:hAnsi="宋体" w:cs="宋体"/>
          <w:b/>
        </w:rPr>
        <w:t>综合评分法，</w:t>
      </w:r>
      <w:r>
        <w:rPr>
          <w:rFonts w:hint="eastAsia" w:ascii="宋体" w:hAnsi="宋体" w:cs="宋体"/>
        </w:rPr>
        <w:t>是指响应文件满足磋商文件全部实质性要求且按评审因素的量化指标评审得分最高的供应商为成交候选供应商的评审方法。</w:t>
      </w:r>
    </w:p>
    <w:p>
      <w:pPr>
        <w:adjustRightInd/>
        <w:snapToGrid w:val="0"/>
        <w:spacing w:line="360" w:lineRule="auto"/>
        <w:jc w:val="both"/>
        <w:textAlignment w:val="auto"/>
        <w:outlineLvl w:val="1"/>
        <w:rPr>
          <w:rFonts w:ascii="宋体" w:hAnsi="宋体" w:cs="宋体"/>
          <w:b/>
        </w:rPr>
      </w:pPr>
      <w:bookmarkStart w:id="451" w:name="_Toc30653"/>
      <w:r>
        <w:rPr>
          <w:rFonts w:hint="eastAsia" w:ascii="宋体" w:hAnsi="宋体" w:cs="宋体"/>
          <w:b/>
        </w:rPr>
        <w:t>26.磋商过程及保密原则</w:t>
      </w:r>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p>
    <w:p>
      <w:pPr>
        <w:pStyle w:val="63"/>
        <w:tabs>
          <w:tab w:val="left" w:pos="-1080"/>
          <w:tab w:val="left" w:pos="180"/>
          <w:tab w:val="left" w:pos="851"/>
          <w:tab w:val="left" w:pos="993"/>
        </w:tabs>
        <w:snapToGrid w:val="0"/>
        <w:spacing w:line="360" w:lineRule="auto"/>
        <w:ind w:firstLine="0" w:firstLineChars="0"/>
        <w:rPr>
          <w:rFonts w:ascii="宋体" w:hAnsi="宋体" w:cs="宋体"/>
          <w:sz w:val="24"/>
          <w:szCs w:val="22"/>
        </w:rPr>
      </w:pPr>
      <w:r>
        <w:rPr>
          <w:rFonts w:hint="eastAsia" w:ascii="宋体" w:hAnsi="宋体" w:cs="宋体"/>
          <w:sz w:val="24"/>
          <w:szCs w:val="22"/>
        </w:rPr>
        <w:t>26.1磋商之后，直到授予成交供应商合同止，凡与本次磋商有关人员对属于审查、澄清、评价和磋商的有关资料以及授标意向等，均不得向供应商或其他无关的人员透露。</w:t>
      </w:r>
    </w:p>
    <w:p>
      <w:pPr>
        <w:pStyle w:val="63"/>
        <w:tabs>
          <w:tab w:val="left" w:pos="-1080"/>
          <w:tab w:val="left" w:pos="180"/>
          <w:tab w:val="left" w:pos="851"/>
          <w:tab w:val="left" w:pos="993"/>
        </w:tabs>
        <w:snapToGrid w:val="0"/>
        <w:spacing w:line="360" w:lineRule="auto"/>
        <w:ind w:firstLine="0" w:firstLineChars="0"/>
        <w:rPr>
          <w:rFonts w:ascii="宋体" w:hAnsi="宋体" w:cs="宋体"/>
          <w:sz w:val="24"/>
          <w:szCs w:val="22"/>
        </w:rPr>
      </w:pPr>
      <w:r>
        <w:rPr>
          <w:rFonts w:hint="eastAsia" w:ascii="宋体" w:hAnsi="宋体" w:cs="宋体"/>
          <w:sz w:val="24"/>
          <w:szCs w:val="22"/>
        </w:rPr>
        <w:t>26.2在磋商期间，供应商试图影响采购单位和竞争性磋商的任何活动，将导致其磋商被拒绝，并承担相应的法律责任。</w:t>
      </w:r>
    </w:p>
    <w:p>
      <w:pPr>
        <w:pStyle w:val="63"/>
        <w:tabs>
          <w:tab w:val="left" w:pos="-1080"/>
          <w:tab w:val="left" w:pos="180"/>
          <w:tab w:val="left" w:pos="851"/>
          <w:tab w:val="left" w:pos="993"/>
        </w:tabs>
        <w:snapToGrid w:val="0"/>
        <w:spacing w:line="360" w:lineRule="auto"/>
        <w:ind w:firstLine="0" w:firstLineChars="0"/>
        <w:rPr>
          <w:rFonts w:ascii="宋体" w:hAnsi="宋体" w:cs="宋体"/>
          <w:sz w:val="24"/>
          <w:szCs w:val="22"/>
        </w:rPr>
      </w:pPr>
      <w:r>
        <w:rPr>
          <w:rFonts w:hint="eastAsia" w:ascii="宋体" w:hAnsi="宋体" w:cs="宋体"/>
          <w:sz w:val="24"/>
          <w:szCs w:val="22"/>
        </w:rPr>
        <w:t>26.3采购单位不退还响应文件。</w:t>
      </w:r>
    </w:p>
    <w:p>
      <w:pPr>
        <w:spacing w:line="360" w:lineRule="auto"/>
        <w:rPr>
          <w:rFonts w:ascii="宋体" w:hAnsi="宋体" w:cs="宋体"/>
          <w:b/>
          <w:szCs w:val="21"/>
        </w:rPr>
      </w:pPr>
      <w:bookmarkStart w:id="452" w:name="_Toc150774646"/>
      <w:bookmarkStart w:id="453" w:name="_Toc520356170"/>
      <w:bookmarkStart w:id="454" w:name="_Toc151193644"/>
      <w:bookmarkStart w:id="455" w:name="_Toc164229241"/>
      <w:bookmarkStart w:id="456" w:name="_Toc151193716"/>
      <w:bookmarkStart w:id="457" w:name="_Toc151193860"/>
      <w:bookmarkStart w:id="458" w:name="_Toc127151747"/>
      <w:bookmarkStart w:id="459" w:name="_Toc164229387"/>
      <w:bookmarkStart w:id="460" w:name="_Toc150774751"/>
      <w:bookmarkStart w:id="461" w:name="_Toc127161460"/>
      <w:bookmarkStart w:id="462" w:name="_Toc142311048"/>
      <w:bookmarkStart w:id="463" w:name="_Toc150509297"/>
      <w:bookmarkStart w:id="464" w:name="_Toc195842911"/>
      <w:bookmarkStart w:id="465" w:name="_Toc151193934"/>
      <w:bookmarkStart w:id="466" w:name="_Toc149720839"/>
      <w:bookmarkStart w:id="467" w:name="_Toc150480784"/>
      <w:bookmarkStart w:id="468" w:name="_Toc164608660"/>
      <w:bookmarkStart w:id="469" w:name="_Toc151190173"/>
      <w:bookmarkStart w:id="470" w:name="_Ref467307010"/>
      <w:bookmarkStart w:id="471" w:name="_Toc164351640"/>
      <w:bookmarkStart w:id="472" w:name="_Toc127151546"/>
      <w:bookmarkStart w:id="473" w:name="_Toc151193788"/>
      <w:bookmarkStart w:id="474" w:name="_Toc164608815"/>
      <w:r>
        <w:rPr>
          <w:rFonts w:hint="eastAsia" w:ascii="宋体" w:hAnsi="宋体" w:cs="宋体"/>
          <w:b/>
          <w:szCs w:val="21"/>
        </w:rPr>
        <w:t>27.成交供应商候选人的推荐</w:t>
      </w:r>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r>
        <w:rPr>
          <w:rFonts w:hint="eastAsia" w:ascii="宋体" w:hAnsi="宋体" w:cs="宋体"/>
          <w:b/>
          <w:szCs w:val="21"/>
        </w:rPr>
        <w:t>原则</w:t>
      </w:r>
    </w:p>
    <w:p>
      <w:pPr>
        <w:adjustRightInd/>
        <w:snapToGrid w:val="0"/>
        <w:spacing w:line="360" w:lineRule="auto"/>
        <w:jc w:val="both"/>
        <w:textAlignment w:val="auto"/>
        <w:rPr>
          <w:rFonts w:ascii="宋体" w:hAnsi="宋体" w:cs="宋体"/>
        </w:rPr>
      </w:pPr>
      <w:r>
        <w:rPr>
          <w:rFonts w:hint="eastAsia" w:ascii="宋体" w:hAnsi="宋体" w:cs="宋体"/>
        </w:rPr>
        <w:t>27.1磋商小组将根据评审结果，对实质上响应磋商文件、且进入最后报价阶段的供应商按综合评审得分由高到低的顺序进行成交供应商候选人顺序排序。综合得分相同的，按最后报价由低到高顺序排列，综合得分与最后报价均相同的，按技术指标优劣（技术得分由高到低）顺序排列。</w:t>
      </w:r>
    </w:p>
    <w:p>
      <w:pPr>
        <w:adjustRightInd/>
        <w:snapToGrid w:val="0"/>
        <w:spacing w:line="360" w:lineRule="auto"/>
        <w:jc w:val="both"/>
        <w:textAlignment w:val="auto"/>
        <w:rPr>
          <w:rFonts w:ascii="宋体" w:hAnsi="宋体" w:cs="宋体"/>
        </w:rPr>
      </w:pPr>
      <w:r>
        <w:rPr>
          <w:rFonts w:hint="eastAsia" w:ascii="宋体" w:hAnsi="宋体" w:cs="宋体"/>
        </w:rPr>
        <w:t>27.2磋商小组根据上述原则，依次推荐排序前三名的供应商为成交供应商候选人。</w:t>
      </w:r>
    </w:p>
    <w:p>
      <w:pPr>
        <w:spacing w:line="360" w:lineRule="auto"/>
        <w:rPr>
          <w:rFonts w:ascii="宋体" w:hAnsi="宋体" w:cs="宋体"/>
          <w:b/>
          <w:szCs w:val="21"/>
        </w:rPr>
      </w:pPr>
      <w:r>
        <w:rPr>
          <w:rFonts w:hint="eastAsia" w:ascii="宋体" w:hAnsi="宋体" w:cs="宋体"/>
          <w:b/>
          <w:szCs w:val="21"/>
        </w:rPr>
        <w:t>28.串通响应</w:t>
      </w:r>
    </w:p>
    <w:p>
      <w:pPr>
        <w:tabs>
          <w:tab w:val="left" w:pos="588"/>
        </w:tabs>
        <w:adjustRightInd/>
        <w:spacing w:line="360" w:lineRule="auto"/>
        <w:jc w:val="both"/>
        <w:textAlignment w:val="auto"/>
        <w:rPr>
          <w:rFonts w:ascii="宋体" w:hAnsi="宋体" w:cs="宋体"/>
        </w:rPr>
      </w:pPr>
      <w:r>
        <w:rPr>
          <w:rFonts w:hint="eastAsia" w:ascii="宋体" w:hAnsi="宋体" w:cs="宋体"/>
        </w:rPr>
        <w:t>28.1供应商存在以下情形的，认定为串通响应行为，并按无效响应处理：</w:t>
      </w:r>
    </w:p>
    <w:p>
      <w:pPr>
        <w:numPr>
          <w:ilvl w:val="0"/>
          <w:numId w:val="6"/>
        </w:numPr>
        <w:tabs>
          <w:tab w:val="left" w:pos="588"/>
        </w:tabs>
        <w:adjustRightInd/>
        <w:spacing w:line="440" w:lineRule="exact"/>
        <w:jc w:val="both"/>
        <w:textAlignment w:val="auto"/>
        <w:rPr>
          <w:rFonts w:ascii="宋体" w:hAnsi="宋体" w:cs="宋体"/>
        </w:rPr>
      </w:pPr>
      <w:r>
        <w:rPr>
          <w:rFonts w:hint="eastAsia" w:ascii="宋体" w:hAnsi="宋体" w:cs="宋体"/>
        </w:rPr>
        <w:t>不同供应商的响应文件内容雷同或错、漏之处一致且不能合理解释的；</w:t>
      </w:r>
    </w:p>
    <w:p>
      <w:pPr>
        <w:tabs>
          <w:tab w:val="left" w:pos="588"/>
        </w:tabs>
        <w:adjustRightInd/>
        <w:spacing w:line="440" w:lineRule="exact"/>
        <w:jc w:val="both"/>
        <w:textAlignment w:val="auto"/>
        <w:rPr>
          <w:rFonts w:ascii="宋体" w:hAnsi="宋体" w:cs="宋体"/>
        </w:rPr>
      </w:pPr>
      <w:r>
        <w:rPr>
          <w:rFonts w:hint="eastAsia" w:ascii="宋体" w:hAnsi="宋体" w:cs="宋体"/>
        </w:rPr>
        <w:t>（2） 不同供应商的法定代表人、委托代理人等由同一个单位缴纳社会保险的；</w:t>
      </w:r>
    </w:p>
    <w:p>
      <w:pPr>
        <w:tabs>
          <w:tab w:val="left" w:pos="588"/>
        </w:tabs>
        <w:adjustRightInd/>
        <w:spacing w:line="440" w:lineRule="exact"/>
        <w:jc w:val="both"/>
        <w:textAlignment w:val="auto"/>
        <w:rPr>
          <w:rFonts w:ascii="宋体" w:hAnsi="宋体" w:cs="宋体"/>
        </w:rPr>
      </w:pPr>
      <w:r>
        <w:rPr>
          <w:rFonts w:hint="eastAsia" w:ascii="宋体" w:hAnsi="宋体" w:cs="宋体"/>
        </w:rPr>
        <w:t>（3）由同一人携带两个及以上供应商的企业资料参与磋商的（包括资格审查、领取磋商资料、参加磋商答疑会、交纳或退还保证金、出席磋商仪式）；</w:t>
      </w:r>
    </w:p>
    <w:p>
      <w:pPr>
        <w:tabs>
          <w:tab w:val="left" w:pos="588"/>
        </w:tabs>
        <w:adjustRightInd/>
        <w:spacing w:line="440" w:lineRule="exact"/>
        <w:jc w:val="both"/>
        <w:textAlignment w:val="auto"/>
        <w:rPr>
          <w:rFonts w:ascii="宋体" w:hAnsi="宋体" w:cs="宋体"/>
        </w:rPr>
      </w:pPr>
      <w:r>
        <w:rPr>
          <w:rFonts w:hint="eastAsia" w:ascii="宋体" w:hAnsi="宋体" w:cs="宋体"/>
        </w:rPr>
        <w:t>（4）有关法律、法规或规章规定的其他串通行为。</w:t>
      </w:r>
    </w:p>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p>
      <w:pPr>
        <w:spacing w:line="360" w:lineRule="auto"/>
        <w:jc w:val="center"/>
        <w:rPr>
          <w:rFonts w:ascii="宋体" w:hAnsi="宋体" w:cs="宋体"/>
          <w:b/>
          <w:szCs w:val="21"/>
        </w:rPr>
      </w:pPr>
      <w:bookmarkStart w:id="475" w:name="_Hlt491765714"/>
      <w:bookmarkEnd w:id="475"/>
      <w:bookmarkStart w:id="476" w:name="_Hlt497729446"/>
      <w:bookmarkEnd w:id="476"/>
      <w:bookmarkStart w:id="477" w:name="_Toc239740357"/>
      <w:bookmarkStart w:id="478" w:name="_Toc232176278"/>
      <w:bookmarkStart w:id="479" w:name="_Toc232395218"/>
      <w:bookmarkStart w:id="480" w:name="_Toc265738866"/>
      <w:bookmarkStart w:id="481" w:name="_Toc235518472"/>
      <w:bookmarkStart w:id="482" w:name="_Toc70687174"/>
      <w:bookmarkStart w:id="483" w:name="_Toc500747068"/>
      <w:bookmarkStart w:id="484" w:name="_Toc184043047"/>
      <w:bookmarkStart w:id="485" w:name="_Toc389620199"/>
      <w:bookmarkStart w:id="486" w:name="_Toc53722846"/>
      <w:bookmarkStart w:id="487" w:name="_Toc499711049"/>
      <w:bookmarkStart w:id="488" w:name="_Toc503063428"/>
      <w:bookmarkStart w:id="489" w:name="_Toc177817340"/>
      <w:bookmarkStart w:id="490" w:name="_Toc177995479"/>
      <w:bookmarkStart w:id="491" w:name="_Toc177189241"/>
      <w:bookmarkStart w:id="492" w:name="_Toc499711890"/>
      <w:bookmarkStart w:id="493" w:name="_Toc176882548"/>
      <w:bookmarkStart w:id="494" w:name="_Toc496324585"/>
      <w:bookmarkStart w:id="495" w:name="_Toc385992360"/>
      <w:bookmarkStart w:id="496" w:name="_Toc500747195"/>
      <w:bookmarkStart w:id="497" w:name="_Toc500746972"/>
      <w:bookmarkStart w:id="498" w:name="_Toc492955421"/>
    </w:p>
    <w:p>
      <w:pPr>
        <w:spacing w:line="360" w:lineRule="auto"/>
        <w:jc w:val="center"/>
        <w:rPr>
          <w:rFonts w:ascii="宋体" w:hAnsi="宋体" w:cs="宋体"/>
          <w:b/>
          <w:sz w:val="32"/>
          <w:szCs w:val="32"/>
        </w:rPr>
      </w:pPr>
      <w:r>
        <w:rPr>
          <w:rFonts w:hint="eastAsia" w:ascii="宋体" w:hAnsi="宋体" w:cs="宋体"/>
          <w:b/>
          <w:sz w:val="32"/>
          <w:szCs w:val="32"/>
        </w:rPr>
        <w:t>六、</w:t>
      </w:r>
      <w:bookmarkEnd w:id="477"/>
      <w:bookmarkEnd w:id="478"/>
      <w:bookmarkEnd w:id="479"/>
      <w:bookmarkEnd w:id="480"/>
      <w:bookmarkEnd w:id="481"/>
      <w:r>
        <w:rPr>
          <w:rFonts w:hint="eastAsia" w:ascii="宋体" w:hAnsi="宋体" w:cs="宋体"/>
          <w:b/>
          <w:sz w:val="32"/>
          <w:szCs w:val="32"/>
        </w:rPr>
        <w:t>确定成交</w:t>
      </w:r>
    </w:p>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p>
      <w:pPr>
        <w:spacing w:line="360" w:lineRule="auto"/>
        <w:rPr>
          <w:rFonts w:ascii="宋体" w:hAnsi="宋体" w:cs="宋体"/>
          <w:b/>
          <w:szCs w:val="21"/>
        </w:rPr>
      </w:pPr>
      <w:bookmarkStart w:id="499" w:name="_Toc318318699"/>
      <w:bookmarkStart w:id="500" w:name="_Toc226337242"/>
      <w:bookmarkStart w:id="501" w:name="_Toc265228384"/>
      <w:bookmarkStart w:id="502" w:name="_Toc305983813"/>
      <w:bookmarkStart w:id="503" w:name="_Toc264969236"/>
      <w:bookmarkStart w:id="504" w:name="_Toc373513369"/>
      <w:bookmarkStart w:id="505" w:name="_Toc226965819"/>
      <w:bookmarkStart w:id="506" w:name="_Toc305983659"/>
      <w:bookmarkStart w:id="507" w:name="_Toc226309790"/>
      <w:bookmarkStart w:id="508" w:name="_Toc318318329"/>
      <w:bookmarkStart w:id="509" w:name="_Toc226965736"/>
      <w:bookmarkStart w:id="510" w:name="_Toc316402808"/>
      <w:bookmarkStart w:id="511" w:name="_Toc316403003"/>
      <w:bookmarkStart w:id="512" w:name="_Toc316403221"/>
      <w:r>
        <w:rPr>
          <w:rFonts w:hint="eastAsia" w:ascii="宋体" w:hAnsi="宋体" w:cs="宋体"/>
          <w:b/>
          <w:szCs w:val="21"/>
        </w:rPr>
        <w:t>29.成交供应商候选人的确定原则</w:t>
      </w:r>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p>
    <w:p>
      <w:pPr>
        <w:tabs>
          <w:tab w:val="left" w:pos="1080"/>
          <w:tab w:val="left" w:pos="1447"/>
        </w:tabs>
        <w:adjustRightInd/>
        <w:snapToGrid w:val="0"/>
        <w:spacing w:line="360" w:lineRule="auto"/>
        <w:jc w:val="both"/>
        <w:textAlignment w:val="auto"/>
        <w:rPr>
          <w:rFonts w:ascii="宋体" w:hAnsi="宋体" w:cs="宋体"/>
        </w:rPr>
      </w:pPr>
      <w:r>
        <w:rPr>
          <w:rFonts w:hint="eastAsia" w:ascii="宋体" w:hAnsi="宋体" w:cs="宋体"/>
        </w:rPr>
        <w:t>除第30条规定外，按27条的要求确定成交供应商候选人。</w:t>
      </w:r>
    </w:p>
    <w:p>
      <w:pPr>
        <w:adjustRightInd/>
        <w:snapToGrid w:val="0"/>
        <w:spacing w:line="360" w:lineRule="auto"/>
        <w:jc w:val="both"/>
        <w:textAlignment w:val="auto"/>
        <w:outlineLvl w:val="1"/>
        <w:rPr>
          <w:rFonts w:ascii="宋体" w:hAnsi="宋体" w:cs="宋体"/>
          <w:b/>
        </w:rPr>
      </w:pPr>
      <w:bookmarkStart w:id="513" w:name="_Toc226337243"/>
      <w:bookmarkStart w:id="514" w:name="_Toc164608661"/>
      <w:bookmarkStart w:id="515" w:name="_Toc305983660"/>
      <w:bookmarkStart w:id="516" w:name="_Toc316403222"/>
      <w:bookmarkStart w:id="517" w:name="_Toc195842912"/>
      <w:bookmarkStart w:id="518" w:name="_Toc150509298"/>
      <w:bookmarkStart w:id="519" w:name="_Toc373513370"/>
      <w:bookmarkStart w:id="520" w:name="_Toc316403004"/>
      <w:bookmarkStart w:id="521" w:name="_Toc150774647"/>
      <w:bookmarkStart w:id="522" w:name="_Toc149720840"/>
      <w:bookmarkStart w:id="523" w:name="_Toc164608816"/>
      <w:bookmarkStart w:id="524" w:name="_Toc265228385"/>
      <w:bookmarkStart w:id="525" w:name="_Toc305983814"/>
      <w:bookmarkStart w:id="526" w:name="_Toc151193789"/>
      <w:bookmarkStart w:id="527" w:name="_Toc151193861"/>
      <w:bookmarkStart w:id="528" w:name="_Toc151193717"/>
      <w:bookmarkStart w:id="529" w:name="_Toc226965737"/>
      <w:bookmarkStart w:id="530" w:name="_Toc151190174"/>
      <w:bookmarkStart w:id="531" w:name="_Toc318318330"/>
      <w:bookmarkStart w:id="532" w:name="_Toc226965820"/>
      <w:bookmarkStart w:id="533" w:name="_Toc127151547"/>
      <w:bookmarkStart w:id="534" w:name="_Toc150480785"/>
      <w:bookmarkStart w:id="535" w:name="_Toc127161461"/>
      <w:bookmarkStart w:id="536" w:name="_Toc142311049"/>
      <w:bookmarkStart w:id="537" w:name="_Toc164229388"/>
      <w:bookmarkStart w:id="538" w:name="_Toc316402809"/>
      <w:bookmarkStart w:id="539" w:name="_Toc151193935"/>
      <w:bookmarkStart w:id="540" w:name="_Toc150774752"/>
      <w:bookmarkStart w:id="541" w:name="_Toc151193645"/>
      <w:bookmarkStart w:id="542" w:name="_Toc18512"/>
      <w:bookmarkStart w:id="543" w:name="_Toc127151748"/>
      <w:bookmarkStart w:id="544" w:name="_Toc164229242"/>
      <w:bookmarkStart w:id="545" w:name="_Toc226309791"/>
      <w:bookmarkStart w:id="546" w:name="_Toc318318700"/>
      <w:bookmarkStart w:id="547" w:name="_Toc264969237"/>
      <w:bookmarkStart w:id="548" w:name="_Toc164351641"/>
      <w:r>
        <w:rPr>
          <w:rFonts w:hint="eastAsia" w:ascii="宋体" w:hAnsi="宋体" w:cs="宋体"/>
          <w:b/>
        </w:rPr>
        <w:t>30.确定成交服务商</w:t>
      </w:r>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p>
    <w:p>
      <w:pPr>
        <w:tabs>
          <w:tab w:val="left" w:pos="851"/>
        </w:tabs>
        <w:adjustRightInd/>
        <w:snapToGrid w:val="0"/>
        <w:spacing w:line="360" w:lineRule="auto"/>
        <w:jc w:val="both"/>
        <w:textAlignment w:val="auto"/>
        <w:rPr>
          <w:rFonts w:ascii="宋体" w:hAnsi="宋体" w:cs="宋体"/>
        </w:rPr>
      </w:pPr>
      <w:r>
        <w:rPr>
          <w:rFonts w:hint="eastAsia" w:ascii="宋体" w:hAnsi="宋体" w:cs="宋体"/>
        </w:rPr>
        <w:t>30.1竞争性磋商将根据评审标准，推荐成交供应商候选人。</w:t>
      </w:r>
    </w:p>
    <w:p>
      <w:pPr>
        <w:tabs>
          <w:tab w:val="left" w:pos="851"/>
        </w:tabs>
        <w:adjustRightInd/>
        <w:snapToGrid w:val="0"/>
        <w:spacing w:line="360" w:lineRule="auto"/>
        <w:jc w:val="both"/>
        <w:textAlignment w:val="auto"/>
        <w:rPr>
          <w:rFonts w:ascii="宋体" w:hAnsi="宋体" w:cs="宋体"/>
        </w:rPr>
      </w:pPr>
      <w:r>
        <w:rPr>
          <w:rFonts w:hint="eastAsia" w:ascii="宋体" w:hAnsi="宋体" w:cs="宋体"/>
        </w:rPr>
        <w:t>30.2审查将根据供应商按照本须知规定递交的资格证明文件和竞争性磋商小组认为其它必要的、合适的资料，对服务商的财务、技术和生产能力等进行审查。</w:t>
      </w:r>
    </w:p>
    <w:p>
      <w:pPr>
        <w:tabs>
          <w:tab w:val="left" w:pos="851"/>
        </w:tabs>
        <w:adjustRightInd/>
        <w:spacing w:line="360" w:lineRule="auto"/>
        <w:jc w:val="both"/>
        <w:textAlignment w:val="auto"/>
        <w:rPr>
          <w:rFonts w:ascii="宋体" w:hAnsi="宋体" w:cs="宋体"/>
          <w:szCs w:val="24"/>
        </w:rPr>
      </w:pPr>
      <w:r>
        <w:rPr>
          <w:rFonts w:hint="eastAsia" w:ascii="宋体" w:hAnsi="宋体" w:cs="宋体"/>
        </w:rPr>
        <w:t>30.3如果审查未通过，采购人将拒绝其成交供应商候选人资格，</w:t>
      </w:r>
      <w:r>
        <w:rPr>
          <w:rFonts w:hint="eastAsia" w:ascii="宋体" w:hAnsi="宋体" w:cs="宋体"/>
          <w:szCs w:val="24"/>
        </w:rPr>
        <w:t>并按顺序对下一个成交供应商候选人进行能否满意地履行合同作类似的审查；如果审查通过，采购人将把合同授予该供应商。</w:t>
      </w:r>
    </w:p>
    <w:p>
      <w:pPr>
        <w:adjustRightInd/>
        <w:snapToGrid w:val="0"/>
        <w:spacing w:line="360" w:lineRule="auto"/>
        <w:jc w:val="both"/>
        <w:textAlignment w:val="auto"/>
        <w:outlineLvl w:val="1"/>
        <w:rPr>
          <w:rFonts w:ascii="宋体" w:hAnsi="宋体" w:cs="宋体"/>
          <w:b/>
        </w:rPr>
      </w:pPr>
      <w:bookmarkStart w:id="549" w:name="_Toc226309792"/>
      <w:bookmarkStart w:id="550" w:name="_Toc316403223"/>
      <w:bookmarkStart w:id="551" w:name="_Toc164608817"/>
      <w:bookmarkStart w:id="552" w:name="_Toc264969238"/>
      <w:bookmarkStart w:id="553" w:name="_Toc150774648"/>
      <w:bookmarkStart w:id="554" w:name="_Toc316402810"/>
      <w:bookmarkStart w:id="555" w:name="_Toc373513371"/>
      <w:bookmarkStart w:id="556" w:name="_Toc151193646"/>
      <w:bookmarkStart w:id="557" w:name="_Toc226337244"/>
      <w:bookmarkStart w:id="558" w:name="_Toc318318701"/>
      <w:bookmarkStart w:id="559" w:name="_Toc127151548"/>
      <w:bookmarkStart w:id="560" w:name="_Toc164608662"/>
      <w:bookmarkStart w:id="561" w:name="_Toc151193790"/>
      <w:bookmarkStart w:id="562" w:name="_Toc142311050"/>
      <w:bookmarkStart w:id="563" w:name="_Toc164229243"/>
      <w:bookmarkStart w:id="564" w:name="_Toc265228386"/>
      <w:bookmarkStart w:id="565" w:name="_Toc316403005"/>
      <w:bookmarkStart w:id="566" w:name="_Toc520356173"/>
      <w:bookmarkStart w:id="567" w:name="_Toc164351642"/>
      <w:bookmarkStart w:id="568" w:name="_Toc226965821"/>
      <w:bookmarkStart w:id="569" w:name="_Toc151193936"/>
      <w:bookmarkStart w:id="570" w:name="_Toc226965738"/>
      <w:bookmarkStart w:id="571" w:name="_Toc164229389"/>
      <w:bookmarkStart w:id="572" w:name="_Toc150480786"/>
      <w:bookmarkStart w:id="573" w:name="_Toc884"/>
      <w:bookmarkStart w:id="574" w:name="_Toc318318331"/>
      <w:bookmarkStart w:id="575" w:name="_Toc150774753"/>
      <w:bookmarkStart w:id="576" w:name="_Toc195842913"/>
      <w:bookmarkStart w:id="577" w:name="_Toc305983815"/>
      <w:bookmarkStart w:id="578" w:name="_Toc305983661"/>
      <w:bookmarkStart w:id="579" w:name="_Toc151193862"/>
      <w:bookmarkStart w:id="580" w:name="_Toc151193718"/>
      <w:bookmarkStart w:id="581" w:name="_Ref467306874"/>
      <w:bookmarkStart w:id="582" w:name="_Toc150509299"/>
      <w:bookmarkStart w:id="583" w:name="_Toc127161462"/>
      <w:bookmarkStart w:id="584" w:name="_Toc151190175"/>
      <w:bookmarkStart w:id="585" w:name="_Toc149720841"/>
      <w:bookmarkStart w:id="586" w:name="_Toc127151749"/>
      <w:r>
        <w:rPr>
          <w:rFonts w:hint="eastAsia" w:ascii="宋体" w:hAnsi="宋体" w:cs="宋体"/>
          <w:b/>
        </w:rPr>
        <w:t>31.接受和拒绝任何或所有磋商的权利</w:t>
      </w:r>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p>
    <w:p>
      <w:pPr>
        <w:tabs>
          <w:tab w:val="left" w:pos="1080"/>
          <w:tab w:val="left" w:pos="1447"/>
        </w:tabs>
        <w:adjustRightInd/>
        <w:snapToGrid w:val="0"/>
        <w:spacing w:line="360" w:lineRule="auto"/>
        <w:jc w:val="both"/>
        <w:textAlignment w:val="auto"/>
        <w:rPr>
          <w:rFonts w:ascii="宋体" w:hAnsi="宋体" w:cs="宋体"/>
        </w:rPr>
      </w:pPr>
      <w:r>
        <w:rPr>
          <w:rFonts w:hint="eastAsia" w:ascii="宋体" w:hAnsi="宋体" w:cs="宋体"/>
        </w:rPr>
        <w:t>31.1 为维护国家和社会公共利益，采购单位保留在授标之前任何时候接受或拒绝任何供应商的权利，且对受影响的供应商不承担任何责任。</w:t>
      </w:r>
    </w:p>
    <w:p>
      <w:pPr>
        <w:tabs>
          <w:tab w:val="left" w:pos="1080"/>
          <w:tab w:val="left" w:pos="1447"/>
          <w:tab w:val="left" w:pos="1561"/>
        </w:tabs>
        <w:adjustRightInd/>
        <w:snapToGrid w:val="0"/>
        <w:spacing w:line="360" w:lineRule="auto"/>
        <w:jc w:val="both"/>
        <w:textAlignment w:val="auto"/>
        <w:rPr>
          <w:rFonts w:ascii="宋体" w:hAnsi="宋体" w:cs="宋体"/>
        </w:rPr>
      </w:pPr>
      <w:bookmarkStart w:id="587" w:name="_Toc520356174"/>
      <w:r>
        <w:rPr>
          <w:rFonts w:hint="eastAsia" w:ascii="宋体" w:hAnsi="宋体" w:cs="宋体"/>
        </w:rPr>
        <w:t>3</w:t>
      </w:r>
      <w:r>
        <w:rPr>
          <w:rFonts w:ascii="宋体" w:hAnsi="宋体" w:cs="宋体"/>
        </w:rPr>
        <w:t>1.2</w:t>
      </w:r>
      <w:r>
        <w:rPr>
          <w:rFonts w:hint="eastAsia" w:ascii="宋体" w:hAnsi="宋体" w:cs="宋体"/>
        </w:rPr>
        <w:t>在采购中，出现下列情形之一的，应予终止磋商：</w:t>
      </w:r>
    </w:p>
    <w:p>
      <w:pPr>
        <w:adjustRightInd/>
        <w:snapToGrid w:val="0"/>
        <w:spacing w:line="360" w:lineRule="auto"/>
        <w:jc w:val="both"/>
        <w:textAlignment w:val="auto"/>
        <w:rPr>
          <w:rFonts w:ascii="宋体" w:hAnsi="宋体" w:cs="宋体"/>
        </w:rPr>
      </w:pPr>
      <w:r>
        <w:rPr>
          <w:rFonts w:hint="eastAsia" w:ascii="宋体" w:hAnsi="宋体" w:cs="宋体"/>
        </w:rPr>
        <w:t>（1）出现影响采购公正的违法、违规行为的；</w:t>
      </w:r>
    </w:p>
    <w:p>
      <w:pPr>
        <w:adjustRightInd/>
        <w:snapToGrid w:val="0"/>
        <w:spacing w:line="360" w:lineRule="auto"/>
        <w:jc w:val="both"/>
        <w:textAlignment w:val="auto"/>
        <w:rPr>
          <w:rFonts w:ascii="宋体" w:hAnsi="宋体" w:cs="宋体"/>
        </w:rPr>
      </w:pPr>
      <w:r>
        <w:rPr>
          <w:rFonts w:hint="eastAsia" w:ascii="宋体" w:hAnsi="宋体" w:cs="宋体"/>
        </w:rPr>
        <w:t>（2）供应商的报价均超过了项目采购预算，采购人不能支付的；</w:t>
      </w:r>
    </w:p>
    <w:p>
      <w:pPr>
        <w:adjustRightInd/>
        <w:snapToGrid w:val="0"/>
        <w:spacing w:line="360" w:lineRule="auto"/>
        <w:jc w:val="both"/>
        <w:textAlignment w:val="auto"/>
        <w:rPr>
          <w:rFonts w:ascii="宋体" w:hAnsi="宋体" w:cs="宋体"/>
        </w:rPr>
      </w:pPr>
      <w:r>
        <w:rPr>
          <w:rFonts w:hint="eastAsia" w:ascii="宋体" w:hAnsi="宋体" w:cs="宋体"/>
        </w:rPr>
        <w:t>（3）因重大变故，采购任务取消的。</w:t>
      </w:r>
    </w:p>
    <w:p>
      <w:pPr>
        <w:adjustRightInd/>
        <w:snapToGrid w:val="0"/>
        <w:spacing w:line="360" w:lineRule="auto"/>
        <w:jc w:val="both"/>
        <w:textAlignment w:val="auto"/>
        <w:outlineLvl w:val="1"/>
        <w:rPr>
          <w:rFonts w:ascii="宋体" w:hAnsi="宋体" w:cs="宋体"/>
          <w:b/>
        </w:rPr>
      </w:pPr>
      <w:bookmarkStart w:id="588" w:name="_Toc17891"/>
      <w:bookmarkStart w:id="589" w:name="_Toc305983816"/>
      <w:bookmarkStart w:id="590" w:name="_Toc318318332"/>
      <w:bookmarkStart w:id="591" w:name="_Toc316403224"/>
      <w:bookmarkStart w:id="592" w:name="_Toc318318702"/>
      <w:bookmarkStart w:id="593" w:name="_Toc305983662"/>
      <w:bookmarkStart w:id="594" w:name="_Toc373513372"/>
      <w:bookmarkStart w:id="595" w:name="_Toc316402811"/>
      <w:bookmarkStart w:id="596" w:name="_Toc316403006"/>
      <w:bookmarkStart w:id="597" w:name="_Toc150480787"/>
      <w:bookmarkStart w:id="598" w:name="_Toc151193791"/>
      <w:bookmarkStart w:id="599" w:name="_Toc150774754"/>
      <w:bookmarkStart w:id="600" w:name="_Toc127161463"/>
      <w:bookmarkStart w:id="601" w:name="_Toc264969239"/>
      <w:bookmarkStart w:id="602" w:name="_Toc226965739"/>
      <w:bookmarkStart w:id="603" w:name="_Toc150509300"/>
      <w:bookmarkStart w:id="604" w:name="_Toc150774649"/>
      <w:bookmarkStart w:id="605" w:name="_Toc151193863"/>
      <w:bookmarkStart w:id="606" w:name="_Toc149720842"/>
      <w:bookmarkStart w:id="607" w:name="_Toc151190176"/>
      <w:bookmarkStart w:id="608" w:name="_Toc226337245"/>
      <w:bookmarkStart w:id="609" w:name="_Toc226309793"/>
      <w:bookmarkStart w:id="610" w:name="_Toc127151750"/>
      <w:bookmarkStart w:id="611" w:name="_Toc164351643"/>
      <w:bookmarkStart w:id="612" w:name="_Toc164608818"/>
      <w:bookmarkStart w:id="613" w:name="_Toc226965822"/>
      <w:bookmarkStart w:id="614" w:name="_Toc265228387"/>
      <w:bookmarkStart w:id="615" w:name="_Toc195842914"/>
      <w:bookmarkStart w:id="616" w:name="_Toc164229390"/>
      <w:bookmarkStart w:id="617" w:name="_Toc151193647"/>
      <w:bookmarkStart w:id="618" w:name="_Toc127151549"/>
      <w:bookmarkStart w:id="619" w:name="_Toc164229244"/>
      <w:bookmarkStart w:id="620" w:name="_Toc164608663"/>
      <w:bookmarkStart w:id="621" w:name="_Toc142311051"/>
      <w:bookmarkStart w:id="622" w:name="_Toc151193937"/>
      <w:bookmarkStart w:id="623" w:name="_Toc151193719"/>
      <w:r>
        <w:rPr>
          <w:rFonts w:hint="eastAsia" w:ascii="宋体" w:hAnsi="宋体" w:cs="宋体"/>
          <w:b/>
        </w:rPr>
        <w:t>32.成交通知书</w:t>
      </w:r>
      <w:bookmarkEnd w:id="588"/>
      <w:bookmarkEnd w:id="589"/>
      <w:bookmarkEnd w:id="590"/>
      <w:bookmarkEnd w:id="591"/>
      <w:bookmarkEnd w:id="592"/>
      <w:bookmarkEnd w:id="593"/>
      <w:bookmarkEnd w:id="594"/>
      <w:bookmarkEnd w:id="595"/>
      <w:bookmarkEnd w:id="596"/>
    </w:p>
    <w:p>
      <w:pPr>
        <w:tabs>
          <w:tab w:val="left" w:pos="1080"/>
          <w:tab w:val="left" w:pos="1447"/>
          <w:tab w:val="left" w:pos="1561"/>
        </w:tabs>
        <w:adjustRightInd/>
        <w:snapToGrid w:val="0"/>
        <w:spacing w:line="360" w:lineRule="auto"/>
        <w:jc w:val="both"/>
        <w:textAlignment w:val="auto"/>
        <w:rPr>
          <w:rFonts w:ascii="宋体" w:hAnsi="宋体" w:cs="宋体"/>
        </w:rPr>
      </w:pPr>
      <w:r>
        <w:rPr>
          <w:rFonts w:hint="eastAsia" w:ascii="宋体" w:hAnsi="宋体" w:cs="宋体"/>
        </w:rPr>
        <w:t>32.1 在磋商有效期内，成交供应商确定后，采购单位应当在财政部门指定的政府采购信息发布媒体上发布成交结果，并以书面形式向成交供应商发出成交通知书。</w:t>
      </w:r>
    </w:p>
    <w:p>
      <w:pPr>
        <w:tabs>
          <w:tab w:val="left" w:pos="1080"/>
          <w:tab w:val="left" w:pos="1447"/>
          <w:tab w:val="left" w:pos="1561"/>
        </w:tabs>
        <w:adjustRightInd/>
        <w:snapToGrid w:val="0"/>
        <w:spacing w:line="360" w:lineRule="auto"/>
        <w:jc w:val="both"/>
        <w:textAlignment w:val="auto"/>
        <w:rPr>
          <w:rFonts w:ascii="宋体" w:hAnsi="宋体" w:cs="宋体"/>
        </w:rPr>
      </w:pPr>
      <w:r>
        <w:rPr>
          <w:rFonts w:hint="eastAsia" w:ascii="宋体" w:hAnsi="宋体" w:cs="宋体"/>
        </w:rPr>
        <w:t>32.2 成交通知书是合同的组成部分，对采购人和成交供应商具有同等法律效力。</w:t>
      </w:r>
    </w:p>
    <w:p>
      <w:pPr>
        <w:tabs>
          <w:tab w:val="left" w:pos="1080"/>
          <w:tab w:val="left" w:pos="1447"/>
          <w:tab w:val="left" w:pos="1561"/>
        </w:tabs>
        <w:adjustRightInd/>
        <w:snapToGrid w:val="0"/>
        <w:spacing w:line="360" w:lineRule="auto"/>
        <w:jc w:val="both"/>
        <w:textAlignment w:val="auto"/>
        <w:rPr>
          <w:rFonts w:ascii="宋体" w:hAnsi="宋体" w:cs="宋体"/>
        </w:rPr>
      </w:pPr>
      <w:r>
        <w:rPr>
          <w:rFonts w:hint="eastAsia" w:ascii="宋体" w:hAnsi="宋体" w:cs="宋体"/>
        </w:rPr>
        <w:t>32.3 供应商对成交公告有异议的，应当在成交公告发布之日起七个工作日内，以书面形式向采购单位提出质疑。采购单位应当在收到供应商书面质疑后七个工作日内，对质疑内容作出答复。公告期限为1个工作日。</w:t>
      </w:r>
    </w:p>
    <w:bookmarkEnd w:id="587"/>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p>
      <w:pPr>
        <w:adjustRightInd/>
        <w:snapToGrid w:val="0"/>
        <w:spacing w:line="360" w:lineRule="auto"/>
        <w:jc w:val="both"/>
        <w:textAlignment w:val="auto"/>
        <w:outlineLvl w:val="1"/>
        <w:rPr>
          <w:rFonts w:ascii="宋体" w:hAnsi="宋体" w:cs="宋体"/>
          <w:b/>
        </w:rPr>
      </w:pPr>
      <w:bookmarkStart w:id="624" w:name="_Toc316402812"/>
      <w:bookmarkStart w:id="625" w:name="_Toc151193720"/>
      <w:bookmarkStart w:id="626" w:name="_Toc164229245"/>
      <w:bookmarkStart w:id="627" w:name="_Toc226337246"/>
      <w:bookmarkStart w:id="628" w:name="_Toc264969240"/>
      <w:bookmarkStart w:id="629" w:name="_Toc150774650"/>
      <w:bookmarkStart w:id="630" w:name="_Ref467307062"/>
      <w:bookmarkStart w:id="631" w:name="_Toc164608664"/>
      <w:bookmarkStart w:id="632" w:name="_Toc151193648"/>
      <w:bookmarkStart w:id="633" w:name="_Toc226309794"/>
      <w:bookmarkStart w:id="634" w:name="_Toc373513373"/>
      <w:bookmarkStart w:id="635" w:name="_Toc150509301"/>
      <w:bookmarkStart w:id="636" w:name="_Toc127151550"/>
      <w:bookmarkStart w:id="637" w:name="_Toc127151751"/>
      <w:bookmarkStart w:id="638" w:name="_Toc318318333"/>
      <w:bookmarkStart w:id="639" w:name="_Toc150774755"/>
      <w:bookmarkStart w:id="640" w:name="_Toc149720843"/>
      <w:bookmarkStart w:id="641" w:name="_Toc127161464"/>
      <w:bookmarkStart w:id="642" w:name="_Toc164229391"/>
      <w:bookmarkStart w:id="643" w:name="_Toc164351644"/>
      <w:bookmarkStart w:id="644" w:name="_Toc305983817"/>
      <w:bookmarkStart w:id="645" w:name="_Toc318318703"/>
      <w:bookmarkStart w:id="646" w:name="_Toc150480788"/>
      <w:bookmarkStart w:id="647" w:name="_Toc29617"/>
      <w:bookmarkStart w:id="648" w:name="_Toc520356175"/>
      <w:bookmarkStart w:id="649" w:name="_Ref467306377"/>
      <w:bookmarkStart w:id="650" w:name="_Toc151190177"/>
      <w:bookmarkStart w:id="651" w:name="_Toc316403007"/>
      <w:bookmarkStart w:id="652" w:name="_Toc226965823"/>
      <w:bookmarkStart w:id="653" w:name="_Toc265228388"/>
      <w:bookmarkStart w:id="654" w:name="_Toc316403225"/>
      <w:bookmarkStart w:id="655" w:name="_Ref467306978"/>
      <w:bookmarkStart w:id="656" w:name="_Ref467307204"/>
      <w:bookmarkStart w:id="657" w:name="_Toc164608819"/>
      <w:bookmarkStart w:id="658" w:name="_Toc305983663"/>
      <w:bookmarkStart w:id="659" w:name="_Toc151193938"/>
      <w:bookmarkStart w:id="660" w:name="_Toc151193792"/>
      <w:bookmarkStart w:id="661" w:name="_Toc195842915"/>
      <w:bookmarkStart w:id="662" w:name="_Toc151193864"/>
      <w:bookmarkStart w:id="663" w:name="_Toc142311052"/>
      <w:bookmarkStart w:id="664" w:name="_Toc226965740"/>
      <w:r>
        <w:rPr>
          <w:rFonts w:hint="eastAsia" w:ascii="宋体" w:hAnsi="宋体" w:cs="宋体"/>
          <w:b/>
        </w:rPr>
        <w:t>33.签订合同</w:t>
      </w:r>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p>
    <w:p>
      <w:pPr>
        <w:tabs>
          <w:tab w:val="left" w:pos="1080"/>
          <w:tab w:val="left" w:pos="1447"/>
        </w:tabs>
        <w:adjustRightInd/>
        <w:snapToGrid w:val="0"/>
        <w:spacing w:line="360" w:lineRule="auto"/>
        <w:jc w:val="both"/>
        <w:textAlignment w:val="auto"/>
        <w:rPr>
          <w:rFonts w:ascii="宋体" w:hAnsi="宋体" w:cs="宋体"/>
        </w:rPr>
      </w:pPr>
      <w:r>
        <w:rPr>
          <w:rFonts w:hint="eastAsia" w:ascii="宋体" w:hAnsi="宋体" w:cs="宋体"/>
        </w:rPr>
        <w:t>33.1 成交供应商应当自成交通知书发出之日起30日内，与采购人签订合同，否则按磋商后撤回响应处理。</w:t>
      </w:r>
    </w:p>
    <w:p>
      <w:pPr>
        <w:tabs>
          <w:tab w:val="left" w:pos="1080"/>
          <w:tab w:val="left" w:pos="1447"/>
        </w:tabs>
        <w:adjustRightInd/>
        <w:snapToGrid w:val="0"/>
        <w:spacing w:line="360" w:lineRule="auto"/>
        <w:jc w:val="both"/>
        <w:textAlignment w:val="auto"/>
        <w:rPr>
          <w:rFonts w:ascii="宋体" w:hAnsi="宋体" w:cs="宋体"/>
          <w:spacing w:val="-4"/>
        </w:rPr>
      </w:pPr>
      <w:bookmarkStart w:id="665" w:name="_Ref467307090"/>
      <w:bookmarkStart w:id="666" w:name="_Toc520356176"/>
      <w:bookmarkStart w:id="667" w:name="_Ref467306425"/>
      <w:r>
        <w:rPr>
          <w:rFonts w:hint="eastAsia" w:ascii="宋体" w:hAnsi="宋体" w:cs="宋体"/>
          <w:spacing w:val="-4"/>
        </w:rPr>
        <w:t>33.2 竞争性磋商文件、成交供应商的响应文件及其澄清文件等，均为签订合同的依据。</w:t>
      </w:r>
    </w:p>
    <w:bookmarkEnd w:id="665"/>
    <w:bookmarkEnd w:id="666"/>
    <w:bookmarkEnd w:id="667"/>
    <w:p>
      <w:pPr>
        <w:adjustRightInd/>
        <w:snapToGrid w:val="0"/>
        <w:spacing w:line="360" w:lineRule="auto"/>
        <w:jc w:val="both"/>
        <w:textAlignment w:val="auto"/>
        <w:outlineLvl w:val="1"/>
        <w:rPr>
          <w:rFonts w:ascii="宋体" w:hAnsi="宋体" w:cs="宋体"/>
          <w:b/>
        </w:rPr>
      </w:pPr>
      <w:bookmarkStart w:id="668" w:name="_Toc316402813"/>
      <w:bookmarkStart w:id="669" w:name="_Toc318318704"/>
      <w:bookmarkStart w:id="670" w:name="_Toc318318334"/>
      <w:bookmarkStart w:id="671" w:name="_Toc316403226"/>
      <w:bookmarkStart w:id="672" w:name="_Toc316403008"/>
      <w:bookmarkStart w:id="673" w:name="_Toc22757"/>
      <w:bookmarkStart w:id="674" w:name="_Toc373513374"/>
      <w:r>
        <w:rPr>
          <w:rFonts w:hint="eastAsia" w:ascii="宋体" w:hAnsi="宋体" w:cs="宋体"/>
          <w:b/>
        </w:rPr>
        <w:t>34.履约</w:t>
      </w:r>
      <w:bookmarkEnd w:id="668"/>
      <w:bookmarkEnd w:id="669"/>
      <w:bookmarkEnd w:id="670"/>
      <w:bookmarkEnd w:id="671"/>
      <w:bookmarkEnd w:id="672"/>
      <w:r>
        <w:rPr>
          <w:rFonts w:hint="eastAsia" w:ascii="宋体" w:hAnsi="宋体" w:cs="宋体"/>
          <w:b/>
        </w:rPr>
        <w:t>保证金</w:t>
      </w:r>
      <w:bookmarkEnd w:id="673"/>
      <w:bookmarkEnd w:id="674"/>
    </w:p>
    <w:p>
      <w:pPr>
        <w:tabs>
          <w:tab w:val="left" w:pos="1080"/>
          <w:tab w:val="left" w:pos="1447"/>
        </w:tabs>
        <w:adjustRightInd/>
        <w:snapToGrid w:val="0"/>
        <w:spacing w:line="360" w:lineRule="auto"/>
        <w:jc w:val="both"/>
        <w:textAlignment w:val="auto"/>
        <w:rPr>
          <w:rFonts w:ascii="宋体" w:hAnsi="宋体" w:cs="宋体"/>
        </w:rPr>
      </w:pPr>
      <w:r>
        <w:rPr>
          <w:rFonts w:hint="eastAsia" w:ascii="宋体" w:hAnsi="宋体" w:cs="宋体"/>
        </w:rPr>
        <w:t>34.1 成交供应商在签订合同后7天内，向采购人提交本磋商文件第二章《供应商须知资料表》规定的履约保证金（如有）。</w:t>
      </w:r>
    </w:p>
    <w:p>
      <w:pPr>
        <w:tabs>
          <w:tab w:val="left" w:pos="1080"/>
          <w:tab w:val="left" w:pos="1447"/>
        </w:tabs>
        <w:adjustRightInd/>
        <w:snapToGrid w:val="0"/>
        <w:spacing w:line="360" w:lineRule="auto"/>
        <w:jc w:val="both"/>
        <w:textAlignment w:val="auto"/>
        <w:rPr>
          <w:rFonts w:ascii="宋体" w:hAnsi="宋体" w:cs="宋体"/>
        </w:rPr>
      </w:pPr>
      <w:r>
        <w:rPr>
          <w:rFonts w:hint="eastAsia" w:ascii="宋体" w:hAnsi="宋体" w:cs="宋体"/>
        </w:rPr>
        <w:t>34.2 如果成交供应商没有按照上述第32条或第33.1条的规定执行，采购人将取消该成交决定。</w:t>
      </w:r>
    </w:p>
    <w:bookmarkEnd w:id="45"/>
    <w:bookmarkEnd w:id="61"/>
    <w:bookmarkEnd w:id="62"/>
    <w:p>
      <w:pPr>
        <w:spacing w:line="360" w:lineRule="auto"/>
        <w:rPr>
          <w:rFonts w:ascii="宋体" w:hAnsi="宋体" w:cs="宋体"/>
          <w:b/>
          <w:bCs/>
          <w:color w:val="000000"/>
          <w:szCs w:val="24"/>
        </w:rPr>
      </w:pPr>
      <w:bookmarkStart w:id="675" w:name="_Toc241827247"/>
      <w:bookmarkStart w:id="676" w:name="_Toc201632872"/>
      <w:r>
        <w:rPr>
          <w:rFonts w:hint="eastAsia" w:ascii="宋体" w:hAnsi="宋体" w:cs="宋体"/>
          <w:color w:val="000000"/>
          <w:szCs w:val="24"/>
        </w:rPr>
        <w:t>31.</w:t>
      </w:r>
      <w:r>
        <w:rPr>
          <w:rFonts w:hint="eastAsia" w:ascii="宋体" w:hAnsi="宋体" w:cs="宋体"/>
          <w:b/>
          <w:bCs/>
          <w:color w:val="000000"/>
          <w:szCs w:val="24"/>
        </w:rPr>
        <w:t xml:space="preserve">供应商质疑 </w:t>
      </w:r>
    </w:p>
    <w:p>
      <w:pPr>
        <w:spacing w:line="360" w:lineRule="auto"/>
        <w:rPr>
          <w:rFonts w:ascii="宋体" w:hAnsi="宋体" w:cs="宋体"/>
          <w:color w:val="000000"/>
          <w:szCs w:val="24"/>
        </w:rPr>
      </w:pPr>
      <w:r>
        <w:rPr>
          <w:rFonts w:hint="eastAsia" w:ascii="宋体" w:hAnsi="宋体" w:cs="宋体"/>
          <w:color w:val="000000"/>
          <w:szCs w:val="24"/>
        </w:rPr>
        <w:t>31.1 供应商认为竞争性磋商文件、采购过程和中标结果使自己的权益受到损害的，可以在知道或者</w:t>
      </w:r>
      <w:r>
        <w:rPr>
          <w:rFonts w:hint="eastAsia" w:ascii="宋体" w:hAnsi="宋体" w:cs="宋体"/>
          <w:b/>
          <w:bCs/>
          <w:color w:val="000000"/>
          <w:szCs w:val="24"/>
        </w:rPr>
        <w:t>应知其权益受到损害之日起七个工作日内</w:t>
      </w:r>
      <w:r>
        <w:rPr>
          <w:rFonts w:hint="eastAsia" w:ascii="宋体" w:hAnsi="宋体" w:cs="宋体"/>
          <w:color w:val="000000"/>
          <w:szCs w:val="24"/>
        </w:rPr>
        <w:t xml:space="preserve">，以书面形式向采购人、采购代理机构提出质疑； </w:t>
      </w:r>
    </w:p>
    <w:p>
      <w:pPr>
        <w:spacing w:line="360" w:lineRule="auto"/>
        <w:rPr>
          <w:rFonts w:ascii="宋体" w:hAnsi="宋体" w:cs="宋体"/>
          <w:color w:val="000000"/>
          <w:szCs w:val="24"/>
        </w:rPr>
      </w:pPr>
      <w:r>
        <w:rPr>
          <w:rFonts w:hint="eastAsia" w:ascii="宋体" w:hAnsi="宋体" w:cs="宋体"/>
          <w:color w:val="000000"/>
          <w:szCs w:val="24"/>
        </w:rPr>
        <w:t xml:space="preserve">备注：供应商应知其权益受到损害之日，是指： </w:t>
      </w:r>
    </w:p>
    <w:p>
      <w:pPr>
        <w:spacing w:line="360" w:lineRule="auto"/>
        <w:rPr>
          <w:rFonts w:ascii="宋体" w:hAnsi="宋体" w:cs="宋体"/>
          <w:color w:val="000000"/>
          <w:szCs w:val="24"/>
        </w:rPr>
      </w:pPr>
      <w:r>
        <w:rPr>
          <w:rFonts w:hint="eastAsia" w:ascii="宋体" w:hAnsi="宋体" w:cs="宋体"/>
          <w:color w:val="000000"/>
          <w:szCs w:val="24"/>
        </w:rPr>
        <w:t xml:space="preserve">①对可以质疑的竞争性磋商文件提出质疑的，为收到竞争性磋商文件之日或者招标公告期限届满之日； </w:t>
      </w:r>
    </w:p>
    <w:p>
      <w:pPr>
        <w:spacing w:line="360" w:lineRule="auto"/>
        <w:rPr>
          <w:rFonts w:ascii="宋体" w:hAnsi="宋体" w:cs="宋体"/>
          <w:color w:val="000000"/>
          <w:szCs w:val="24"/>
        </w:rPr>
      </w:pPr>
      <w:r>
        <w:rPr>
          <w:rFonts w:hint="eastAsia" w:ascii="宋体" w:hAnsi="宋体" w:cs="宋体"/>
          <w:color w:val="000000"/>
          <w:szCs w:val="24"/>
        </w:rPr>
        <w:t xml:space="preserve">②对采购过程提出质疑的，为各采购程序环节结束之日； </w:t>
      </w:r>
    </w:p>
    <w:p>
      <w:pPr>
        <w:spacing w:line="360" w:lineRule="auto"/>
        <w:rPr>
          <w:rFonts w:ascii="宋体" w:hAnsi="宋体" w:cs="宋体"/>
          <w:color w:val="000000"/>
          <w:szCs w:val="24"/>
        </w:rPr>
      </w:pPr>
      <w:r>
        <w:rPr>
          <w:rFonts w:hint="eastAsia" w:ascii="宋体" w:hAnsi="宋体" w:cs="宋体"/>
          <w:color w:val="000000"/>
          <w:szCs w:val="24"/>
        </w:rPr>
        <w:t xml:space="preserve">③对中标结果提出质疑的，为中标结果公告期限届满之日。 </w:t>
      </w:r>
    </w:p>
    <w:p>
      <w:pPr>
        <w:spacing w:line="360" w:lineRule="auto"/>
        <w:rPr>
          <w:rFonts w:ascii="宋体" w:hAnsi="宋体" w:cs="宋体"/>
          <w:color w:val="000000"/>
          <w:szCs w:val="24"/>
        </w:rPr>
      </w:pPr>
      <w:r>
        <w:rPr>
          <w:rFonts w:hint="eastAsia" w:ascii="宋体" w:hAnsi="宋体" w:cs="宋体"/>
          <w:color w:val="000000"/>
          <w:szCs w:val="24"/>
        </w:rPr>
        <w:t xml:space="preserve">31.2 供应商在知道或者应知其权益受到损害之日起七个工作日内，一次性提出针对同一采购程序环节的质疑； </w:t>
      </w:r>
    </w:p>
    <w:p>
      <w:pPr>
        <w:spacing w:line="360" w:lineRule="auto"/>
        <w:rPr>
          <w:rFonts w:ascii="宋体" w:hAnsi="宋体" w:cs="宋体"/>
          <w:color w:val="000000"/>
          <w:szCs w:val="24"/>
        </w:rPr>
      </w:pPr>
      <w:r>
        <w:rPr>
          <w:rFonts w:hint="eastAsia" w:ascii="宋体" w:hAnsi="宋体" w:cs="宋体"/>
          <w:color w:val="000000"/>
          <w:szCs w:val="24"/>
        </w:rPr>
        <w:t xml:space="preserve">31.3 采购人、采购代理机构将在收到供应商的书面质疑后七个工作日内作出答复，并以书面形式通知质疑供应商和其他有关供应商，如质疑答复的内容涉及其他相关当事人商业秘密的，不在答复范围之内。 </w:t>
      </w:r>
    </w:p>
    <w:p>
      <w:pPr>
        <w:spacing w:line="360" w:lineRule="auto"/>
        <w:rPr>
          <w:rFonts w:ascii="宋体" w:hAnsi="宋体" w:cs="宋体"/>
          <w:color w:val="000000"/>
          <w:szCs w:val="24"/>
        </w:rPr>
      </w:pPr>
      <w:r>
        <w:rPr>
          <w:rFonts w:hint="eastAsia" w:ascii="宋体" w:hAnsi="宋体" w:cs="宋体"/>
          <w:color w:val="000000"/>
          <w:szCs w:val="24"/>
        </w:rPr>
        <w:t xml:space="preserve">31.4 供应商质疑应当提交质疑函和必要的证明材料。提交的质疑函应当采用财政部发布的质疑函范本。 </w:t>
      </w:r>
    </w:p>
    <w:p>
      <w:pPr>
        <w:spacing w:line="360" w:lineRule="auto"/>
        <w:rPr>
          <w:rFonts w:ascii="宋体" w:hAnsi="宋体" w:cs="宋体"/>
          <w:color w:val="000000"/>
          <w:szCs w:val="24"/>
        </w:rPr>
      </w:pPr>
      <w:r>
        <w:rPr>
          <w:rFonts w:hint="eastAsia" w:ascii="宋体" w:hAnsi="宋体" w:cs="宋体"/>
          <w:color w:val="000000"/>
          <w:szCs w:val="24"/>
        </w:rPr>
        <w:t xml:space="preserve">31.5 供应商进行质疑时，应当书面提交质疑函正本一份、副本一份及电子版一份（word版）。 </w:t>
      </w:r>
    </w:p>
    <w:p>
      <w:pPr>
        <w:spacing w:line="360" w:lineRule="auto"/>
        <w:rPr>
          <w:rFonts w:ascii="宋体" w:hAnsi="宋体" w:cs="宋体"/>
          <w:color w:val="000000"/>
          <w:szCs w:val="24"/>
        </w:rPr>
      </w:pPr>
      <w:r>
        <w:rPr>
          <w:rFonts w:hint="eastAsia" w:ascii="宋体" w:hAnsi="宋体" w:cs="宋体"/>
          <w:color w:val="000000"/>
          <w:szCs w:val="24"/>
        </w:rPr>
        <w:t xml:space="preserve">31.6 质疑函应当包括下列主要内容： </w:t>
      </w:r>
    </w:p>
    <w:p>
      <w:pPr>
        <w:spacing w:line="360" w:lineRule="auto"/>
        <w:rPr>
          <w:rFonts w:ascii="宋体" w:hAnsi="宋体" w:cs="宋体"/>
          <w:color w:val="000000"/>
          <w:szCs w:val="24"/>
        </w:rPr>
      </w:pPr>
      <w:r>
        <w:rPr>
          <w:rFonts w:hint="eastAsia" w:ascii="宋体" w:hAnsi="宋体" w:cs="宋体"/>
          <w:color w:val="000000"/>
          <w:szCs w:val="24"/>
        </w:rPr>
        <w:t xml:space="preserve">(1)供应商的姓名或者名称、地址、邮编、联系人及联系电话； </w:t>
      </w:r>
    </w:p>
    <w:p>
      <w:pPr>
        <w:spacing w:line="360" w:lineRule="auto"/>
        <w:rPr>
          <w:rFonts w:ascii="宋体" w:hAnsi="宋体" w:cs="宋体"/>
          <w:color w:val="000000"/>
          <w:szCs w:val="24"/>
        </w:rPr>
      </w:pPr>
      <w:r>
        <w:rPr>
          <w:rFonts w:hint="eastAsia" w:ascii="宋体" w:hAnsi="宋体" w:cs="宋体"/>
          <w:color w:val="000000"/>
          <w:szCs w:val="24"/>
        </w:rPr>
        <w:t xml:space="preserve">(2)质疑项目的名称、编号； </w:t>
      </w:r>
    </w:p>
    <w:p>
      <w:pPr>
        <w:spacing w:line="360" w:lineRule="auto"/>
        <w:rPr>
          <w:rFonts w:ascii="宋体" w:hAnsi="宋体" w:cs="宋体"/>
          <w:color w:val="000000"/>
          <w:szCs w:val="24"/>
        </w:rPr>
      </w:pPr>
      <w:r>
        <w:rPr>
          <w:rFonts w:hint="eastAsia" w:ascii="宋体" w:hAnsi="宋体" w:cs="宋体"/>
          <w:color w:val="000000"/>
          <w:szCs w:val="24"/>
        </w:rPr>
        <w:t xml:space="preserve">(3)具体、明确的质疑事项和与质疑事项相关的请求； </w:t>
      </w:r>
    </w:p>
    <w:p>
      <w:pPr>
        <w:spacing w:line="360" w:lineRule="auto"/>
        <w:rPr>
          <w:rFonts w:ascii="宋体" w:hAnsi="宋体" w:cs="宋体"/>
          <w:color w:val="000000"/>
          <w:szCs w:val="24"/>
        </w:rPr>
      </w:pPr>
      <w:r>
        <w:rPr>
          <w:rFonts w:hint="eastAsia" w:ascii="宋体" w:hAnsi="宋体" w:cs="宋体"/>
          <w:color w:val="000000"/>
          <w:szCs w:val="24"/>
        </w:rPr>
        <w:t xml:space="preserve">(4)事实依据； </w:t>
      </w:r>
    </w:p>
    <w:p>
      <w:pPr>
        <w:spacing w:line="360" w:lineRule="auto"/>
        <w:rPr>
          <w:rFonts w:ascii="宋体" w:hAnsi="宋体" w:cs="宋体"/>
          <w:color w:val="000000"/>
          <w:szCs w:val="24"/>
        </w:rPr>
      </w:pPr>
      <w:r>
        <w:rPr>
          <w:rFonts w:hint="eastAsia" w:ascii="宋体" w:hAnsi="宋体" w:cs="宋体"/>
          <w:color w:val="000000"/>
          <w:szCs w:val="24"/>
        </w:rPr>
        <w:t xml:space="preserve">(5)必要的法律依据； </w:t>
      </w:r>
    </w:p>
    <w:p>
      <w:pPr>
        <w:spacing w:line="360" w:lineRule="auto"/>
        <w:rPr>
          <w:rFonts w:ascii="宋体" w:hAnsi="宋体" w:cs="宋体"/>
          <w:color w:val="000000"/>
          <w:szCs w:val="24"/>
        </w:rPr>
      </w:pPr>
      <w:r>
        <w:rPr>
          <w:rFonts w:hint="eastAsia" w:ascii="宋体" w:hAnsi="宋体" w:cs="宋体"/>
          <w:color w:val="000000"/>
          <w:szCs w:val="24"/>
        </w:rPr>
        <w:t xml:space="preserve">(6)提出质疑的日期（该日期为书面送达到我公司项目负责人的日期）。 </w:t>
      </w:r>
    </w:p>
    <w:p>
      <w:pPr>
        <w:spacing w:line="360" w:lineRule="auto"/>
        <w:rPr>
          <w:rFonts w:ascii="宋体" w:hAnsi="宋体" w:cs="宋体"/>
          <w:color w:val="000000"/>
          <w:szCs w:val="24"/>
        </w:rPr>
      </w:pPr>
      <w:r>
        <w:rPr>
          <w:rFonts w:hint="eastAsia" w:ascii="宋体" w:hAnsi="宋体" w:cs="宋体"/>
          <w:color w:val="000000"/>
          <w:szCs w:val="24"/>
        </w:rPr>
        <w:t xml:space="preserve">31.7 质疑人为法人或其他组织的，应当由法定代表人（负责人）或其授权代理人签字并加盖单位公章。（备注：供应商可以委托代理人进行质疑，代理人提出质疑，应当提交供应商签署的授权委托书。其授权委托书应当载明代理人的姓名或者名称、代理事项、具体权限、期限和相关事项。供应商为自然人的，应当由本人签字；供应商为法人或者其他组织的，应当由法定代表人、主要负责人签字或者盖章，并加盖公章。） </w:t>
      </w:r>
    </w:p>
    <w:p>
      <w:pPr>
        <w:spacing w:line="360" w:lineRule="auto"/>
        <w:rPr>
          <w:rFonts w:ascii="宋体" w:hAnsi="宋体" w:cs="宋体"/>
          <w:color w:val="000000"/>
          <w:szCs w:val="24"/>
        </w:rPr>
      </w:pPr>
      <w:r>
        <w:rPr>
          <w:rFonts w:hint="eastAsia" w:ascii="宋体" w:hAnsi="宋体" w:cs="宋体"/>
          <w:color w:val="000000"/>
          <w:szCs w:val="24"/>
        </w:rPr>
        <w:t xml:space="preserve">31.8 以联合体形式参加政府采购活动的，其质疑应当由组成联合体的所有供应商共同提出。 </w:t>
      </w:r>
    </w:p>
    <w:p>
      <w:pPr>
        <w:spacing w:line="360" w:lineRule="auto"/>
        <w:rPr>
          <w:rFonts w:ascii="宋体" w:hAnsi="宋体" w:cs="宋体"/>
          <w:color w:val="000000"/>
          <w:szCs w:val="24"/>
        </w:rPr>
      </w:pPr>
      <w:r>
        <w:rPr>
          <w:rFonts w:hint="eastAsia" w:ascii="宋体" w:hAnsi="宋体" w:cs="宋体"/>
          <w:color w:val="000000"/>
          <w:szCs w:val="24"/>
        </w:rPr>
        <w:t xml:space="preserve">31.9 依照《政府采购质疑和投诉办法》第三十七条 投诉人在全国范围12个月内三次以上投诉查无实据的，由财政部门列入不良行为记录名单。投诉人有下列行为之一的，属于虚假、恶意投诉，由财政部门列入不良行为记录名单，禁止其1至3年内参加政府采购活动： </w:t>
      </w:r>
    </w:p>
    <w:p>
      <w:pPr>
        <w:spacing w:line="360" w:lineRule="auto"/>
        <w:rPr>
          <w:rFonts w:ascii="宋体" w:hAnsi="宋体" w:cs="宋体"/>
          <w:color w:val="000000"/>
          <w:szCs w:val="24"/>
        </w:rPr>
      </w:pPr>
      <w:r>
        <w:rPr>
          <w:rFonts w:hint="eastAsia" w:ascii="宋体" w:hAnsi="宋体" w:cs="宋体"/>
          <w:color w:val="000000"/>
          <w:szCs w:val="24"/>
        </w:rPr>
        <w:t xml:space="preserve">（1）捏造事实； </w:t>
      </w:r>
    </w:p>
    <w:p>
      <w:pPr>
        <w:spacing w:line="360" w:lineRule="auto"/>
        <w:rPr>
          <w:rFonts w:ascii="宋体" w:hAnsi="宋体" w:cs="宋体"/>
          <w:color w:val="000000"/>
          <w:szCs w:val="24"/>
        </w:rPr>
      </w:pPr>
      <w:r>
        <w:rPr>
          <w:rFonts w:hint="eastAsia" w:ascii="宋体" w:hAnsi="宋体" w:cs="宋体"/>
          <w:color w:val="000000"/>
          <w:szCs w:val="24"/>
        </w:rPr>
        <w:t xml:space="preserve">（2）提供虚假材料； </w:t>
      </w:r>
    </w:p>
    <w:p>
      <w:pPr>
        <w:spacing w:line="360" w:lineRule="auto"/>
        <w:rPr>
          <w:rFonts w:ascii="宋体" w:hAnsi="宋体" w:cs="宋体"/>
          <w:color w:val="000000"/>
          <w:szCs w:val="24"/>
        </w:rPr>
      </w:pPr>
      <w:r>
        <w:rPr>
          <w:rFonts w:hint="eastAsia" w:ascii="宋体" w:hAnsi="宋体" w:cs="宋体"/>
          <w:color w:val="000000"/>
          <w:szCs w:val="24"/>
        </w:rPr>
        <w:t xml:space="preserve">（3）以非法手段取得证明材料。证据来源的合法性存在明显疑问，投诉人无法证明其取得方式合法的，视为以非法手段取得证明材料。 </w:t>
      </w:r>
    </w:p>
    <w:p>
      <w:pPr>
        <w:spacing w:line="360" w:lineRule="auto"/>
        <w:rPr>
          <w:rFonts w:ascii="宋体" w:hAnsi="宋体" w:cs="宋体"/>
          <w:color w:val="000000"/>
          <w:szCs w:val="24"/>
        </w:rPr>
      </w:pPr>
      <w:r>
        <w:rPr>
          <w:rFonts w:hint="eastAsia" w:ascii="宋体" w:hAnsi="宋体" w:cs="宋体"/>
          <w:color w:val="000000"/>
          <w:szCs w:val="24"/>
        </w:rPr>
        <w:t xml:space="preserve">31.10 供应商撤销质疑的，需要提交有效签署的书面撤销材料。 </w:t>
      </w:r>
    </w:p>
    <w:p>
      <w:pPr>
        <w:spacing w:line="360" w:lineRule="auto"/>
        <w:rPr>
          <w:rFonts w:ascii="宋体" w:hAnsi="宋体" w:cs="宋体"/>
          <w:color w:val="000000"/>
          <w:szCs w:val="24"/>
        </w:rPr>
      </w:pPr>
      <w:r>
        <w:rPr>
          <w:rFonts w:hint="eastAsia" w:ascii="宋体" w:hAnsi="宋体" w:cs="宋体"/>
          <w:color w:val="000000"/>
          <w:szCs w:val="24"/>
        </w:rPr>
        <w:t xml:space="preserve">31.11 质疑供应商进行虚假、恶意质疑的，采购代理机构将向财政主管部门进行汇报。 </w:t>
      </w:r>
    </w:p>
    <w:p>
      <w:pPr>
        <w:tabs>
          <w:tab w:val="left" w:pos="588"/>
        </w:tabs>
        <w:adjustRightInd/>
        <w:spacing w:line="360" w:lineRule="auto"/>
        <w:jc w:val="both"/>
        <w:textAlignment w:val="auto"/>
        <w:rPr>
          <w:rFonts w:ascii="宋体" w:hAnsi="宋体" w:cs="宋体"/>
        </w:rPr>
        <w:sectPr>
          <w:pgSz w:w="11907" w:h="16840"/>
          <w:pgMar w:top="1361" w:right="1797" w:bottom="1440" w:left="1797" w:header="851" w:footer="992" w:gutter="0"/>
          <w:cols w:space="720" w:num="1"/>
          <w:docGrid w:linePitch="326" w:charSpace="0"/>
        </w:sectPr>
      </w:pPr>
      <w:r>
        <w:rPr>
          <w:rFonts w:hint="eastAsia" w:ascii="宋体" w:hAnsi="宋体" w:cs="宋体"/>
          <w:color w:val="000000"/>
          <w:szCs w:val="24"/>
        </w:rPr>
        <w:t>31.12 接收询问、质疑函联系人为采购代理机构本项目的联系人，联系电话为文件第一章中采购代理机构本项目联系人的联系电话，地址为获取竞争性磋商文件的地址。</w:t>
      </w:r>
    </w:p>
    <w:bookmarkEnd w:id="675"/>
    <w:bookmarkEnd w:id="676"/>
    <w:p>
      <w:pPr>
        <w:pStyle w:val="4"/>
        <w:jc w:val="center"/>
      </w:pPr>
      <w:bookmarkStart w:id="677" w:name="_Toc17172"/>
      <w:bookmarkStart w:id="678" w:name="_Toc1485"/>
      <w:bookmarkStart w:id="679" w:name="_Toc27907"/>
      <w:bookmarkStart w:id="680" w:name="_Toc17436"/>
      <w:bookmarkStart w:id="681" w:name="_Toc24310"/>
      <w:bookmarkStart w:id="682" w:name="_Toc12731"/>
      <w:r>
        <w:rPr>
          <w:rFonts w:hint="eastAsia"/>
        </w:rPr>
        <w:t xml:space="preserve">第三章  </w:t>
      </w:r>
      <w:bookmarkEnd w:id="677"/>
      <w:r>
        <w:rPr>
          <w:rFonts w:hint="eastAsia"/>
        </w:rPr>
        <w:t>合同样本</w:t>
      </w:r>
      <w:bookmarkEnd w:id="678"/>
      <w:bookmarkEnd w:id="679"/>
      <w:bookmarkEnd w:id="680"/>
      <w:bookmarkEnd w:id="681"/>
      <w:bookmarkEnd w:id="682"/>
    </w:p>
    <w:p>
      <w:pPr>
        <w:jc w:val="center"/>
      </w:pPr>
      <w:bookmarkStart w:id="683" w:name="_Toc13667"/>
      <w:bookmarkStart w:id="684" w:name="_Toc19042"/>
      <w:bookmarkStart w:id="685" w:name="_Toc31160"/>
      <w:bookmarkStart w:id="686" w:name="_Toc30373"/>
      <w:bookmarkStart w:id="687" w:name="_Toc241827248"/>
      <w:bookmarkStart w:id="688" w:name="_Toc25619"/>
      <w:r>
        <w:rPr>
          <w:rFonts w:hint="eastAsia"/>
        </w:rPr>
        <w:t>（以实际签订的合同为准）</w:t>
      </w:r>
      <w:bookmarkEnd w:id="683"/>
      <w:bookmarkEnd w:id="684"/>
      <w:bookmarkEnd w:id="685"/>
      <w:bookmarkEnd w:id="686"/>
    </w:p>
    <w:p>
      <w:pPr>
        <w:pStyle w:val="118"/>
        <w:autoSpaceDE w:val="0"/>
        <w:autoSpaceDN w:val="0"/>
        <w:adjustRightInd w:val="0"/>
        <w:jc w:val="center"/>
        <w:rPr>
          <w:rFonts w:ascii="宋体" w:hAnsi="宋体" w:cs="宋体"/>
          <w:b/>
          <w:bCs/>
          <w:kern w:val="0"/>
          <w:sz w:val="44"/>
          <w:szCs w:val="44"/>
        </w:rPr>
      </w:pPr>
    </w:p>
    <w:bookmarkEnd w:id="687"/>
    <w:bookmarkEnd w:id="688"/>
    <w:p>
      <w:pPr>
        <w:spacing w:after="240" w:afterLines="100" w:line="560" w:lineRule="exact"/>
        <w:jc w:val="center"/>
        <w:rPr>
          <w:rFonts w:ascii="宋体" w:hAnsi="宋体" w:cs="宋体"/>
          <w:sz w:val="40"/>
          <w:szCs w:val="36"/>
        </w:rPr>
      </w:pPr>
      <w:bookmarkStart w:id="689" w:name="_Toc22871"/>
      <w:bookmarkStart w:id="690" w:name="_Toc29212"/>
      <w:r>
        <w:rPr>
          <w:rFonts w:hint="eastAsia" w:ascii="宋体" w:hAnsi="宋体" w:cs="宋体"/>
          <w:sz w:val="40"/>
          <w:szCs w:val="36"/>
        </w:rPr>
        <w:t>委托服务合同</w:t>
      </w:r>
    </w:p>
    <w:tbl>
      <w:tblPr>
        <w:tblStyle w:val="43"/>
        <w:tblpPr w:leftFromText="180" w:rightFromText="180" w:vertAnchor="text" w:horzAnchor="page" w:tblpX="1562" w:tblpY="394"/>
        <w:tblOverlap w:val="never"/>
        <w:tblW w:w="91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576"/>
        <w:gridCol w:w="458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576" w:type="dxa"/>
            <w:vAlign w:val="center"/>
          </w:tcPr>
          <w:p>
            <w:pPr>
              <w:spacing w:before="48" w:beforeLines="20" w:after="72" w:afterLines="30" w:line="560" w:lineRule="exact"/>
              <w:ind w:left="0" w:leftChars="-1" w:hanging="2" w:hangingChars="1"/>
              <w:jc w:val="both"/>
              <w:rPr>
                <w:rFonts w:ascii="宋体" w:hAnsi="宋体" w:cs="宋体"/>
                <w:sz w:val="28"/>
                <w:szCs w:val="32"/>
              </w:rPr>
            </w:pPr>
            <w:r>
              <w:rPr>
                <w:rFonts w:hint="eastAsia" w:ascii="宋体" w:hAnsi="宋体" w:cs="宋体"/>
                <w:sz w:val="28"/>
                <w:szCs w:val="32"/>
              </w:rPr>
              <w:t>甲方</w:t>
            </w:r>
          </w:p>
        </w:tc>
        <w:tc>
          <w:tcPr>
            <w:tcW w:w="4588" w:type="dxa"/>
            <w:vAlign w:val="center"/>
          </w:tcPr>
          <w:p>
            <w:pPr>
              <w:spacing w:before="48" w:beforeLines="20" w:after="72" w:afterLines="30" w:line="560" w:lineRule="exact"/>
              <w:jc w:val="both"/>
              <w:rPr>
                <w:rFonts w:ascii="宋体" w:hAnsi="宋体" w:cs="宋体"/>
                <w:sz w:val="28"/>
                <w:szCs w:val="32"/>
              </w:rPr>
            </w:pPr>
            <w:r>
              <w:rPr>
                <w:rFonts w:hint="eastAsia" w:ascii="宋体" w:hAnsi="宋体" w:cs="宋体"/>
                <w:sz w:val="28"/>
                <w:szCs w:val="32"/>
              </w:rPr>
              <w:t xml:space="preserve">乙方：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3" w:hRule="atLeast"/>
        </w:trPr>
        <w:tc>
          <w:tcPr>
            <w:tcW w:w="4576" w:type="dxa"/>
            <w:vAlign w:val="center"/>
          </w:tcPr>
          <w:p>
            <w:pPr>
              <w:spacing w:before="48" w:beforeLines="20" w:after="72" w:afterLines="30" w:line="560" w:lineRule="exact"/>
              <w:jc w:val="both"/>
              <w:rPr>
                <w:rFonts w:ascii="宋体" w:hAnsi="宋体" w:cs="宋体"/>
                <w:sz w:val="28"/>
                <w:szCs w:val="32"/>
              </w:rPr>
            </w:pPr>
            <w:r>
              <w:rPr>
                <w:rFonts w:hint="eastAsia" w:ascii="宋体" w:hAnsi="宋体" w:cs="宋体"/>
                <w:sz w:val="28"/>
                <w:szCs w:val="32"/>
              </w:rPr>
              <w:t>地址：</w:t>
            </w:r>
          </w:p>
        </w:tc>
        <w:tc>
          <w:tcPr>
            <w:tcW w:w="4588" w:type="dxa"/>
            <w:vAlign w:val="center"/>
          </w:tcPr>
          <w:p>
            <w:pPr>
              <w:spacing w:before="48" w:beforeLines="20" w:after="72" w:afterLines="30" w:line="560" w:lineRule="exact"/>
              <w:ind w:left="-2" w:leftChars="-1" w:firstLine="1"/>
              <w:jc w:val="both"/>
              <w:rPr>
                <w:rFonts w:ascii="宋体" w:hAnsi="宋体" w:cs="宋体"/>
                <w:sz w:val="28"/>
                <w:szCs w:val="32"/>
              </w:rPr>
            </w:pPr>
            <w:r>
              <w:rPr>
                <w:rFonts w:hint="eastAsia" w:ascii="宋体" w:hAnsi="宋体" w:cs="宋体"/>
                <w:sz w:val="28"/>
                <w:szCs w:val="32"/>
              </w:rPr>
              <w:t>地址：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576" w:type="dxa"/>
            <w:vAlign w:val="center"/>
          </w:tcPr>
          <w:p>
            <w:pPr>
              <w:spacing w:before="48" w:beforeLines="20" w:after="72" w:afterLines="30" w:line="560" w:lineRule="exact"/>
              <w:ind w:left="-17" w:firstLine="17"/>
              <w:jc w:val="both"/>
              <w:rPr>
                <w:rFonts w:ascii="宋体" w:hAnsi="宋体" w:cs="宋体"/>
                <w:sz w:val="28"/>
                <w:szCs w:val="32"/>
              </w:rPr>
            </w:pPr>
            <w:r>
              <w:rPr>
                <w:rFonts w:hint="eastAsia" w:ascii="宋体" w:hAnsi="宋体" w:cs="宋体"/>
                <w:sz w:val="28"/>
                <w:szCs w:val="32"/>
              </w:rPr>
              <w:t>联系人：</w:t>
            </w:r>
          </w:p>
        </w:tc>
        <w:tc>
          <w:tcPr>
            <w:tcW w:w="4588" w:type="dxa"/>
            <w:vAlign w:val="center"/>
          </w:tcPr>
          <w:p>
            <w:pPr>
              <w:spacing w:before="48" w:beforeLines="20" w:after="72" w:afterLines="30" w:line="560" w:lineRule="exact"/>
              <w:ind w:left="-2" w:leftChars="-1" w:firstLine="1"/>
              <w:jc w:val="both"/>
              <w:rPr>
                <w:rFonts w:ascii="宋体" w:hAnsi="宋体" w:cs="宋体"/>
                <w:sz w:val="28"/>
                <w:szCs w:val="32"/>
              </w:rPr>
            </w:pPr>
            <w:r>
              <w:rPr>
                <w:rFonts w:hint="eastAsia" w:ascii="宋体" w:hAnsi="宋体" w:cs="宋体"/>
                <w:sz w:val="28"/>
                <w:szCs w:val="32"/>
              </w:rPr>
              <w:t xml:space="preserve">联系人：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576" w:type="dxa"/>
            <w:vAlign w:val="center"/>
          </w:tcPr>
          <w:p>
            <w:pPr>
              <w:spacing w:before="48" w:beforeLines="20" w:after="72" w:afterLines="30" w:line="560" w:lineRule="exact"/>
              <w:ind w:left="-17" w:firstLine="17"/>
              <w:jc w:val="both"/>
              <w:rPr>
                <w:rFonts w:ascii="宋体" w:hAnsi="宋体" w:cs="宋体"/>
                <w:sz w:val="28"/>
                <w:szCs w:val="32"/>
              </w:rPr>
            </w:pPr>
            <w:r>
              <w:rPr>
                <w:rFonts w:hint="eastAsia" w:ascii="宋体" w:hAnsi="宋体" w:cs="宋体"/>
                <w:sz w:val="28"/>
                <w:szCs w:val="32"/>
              </w:rPr>
              <w:t>电话：</w:t>
            </w:r>
          </w:p>
        </w:tc>
        <w:tc>
          <w:tcPr>
            <w:tcW w:w="4588" w:type="dxa"/>
            <w:vAlign w:val="center"/>
          </w:tcPr>
          <w:p>
            <w:pPr>
              <w:spacing w:before="48" w:beforeLines="20" w:after="72" w:afterLines="30" w:line="560" w:lineRule="exact"/>
              <w:ind w:left="-2" w:leftChars="-1" w:firstLine="1"/>
              <w:jc w:val="both"/>
              <w:rPr>
                <w:rFonts w:ascii="宋体" w:hAnsi="宋体" w:cs="宋体"/>
                <w:sz w:val="28"/>
                <w:szCs w:val="32"/>
              </w:rPr>
            </w:pPr>
            <w:r>
              <w:rPr>
                <w:rFonts w:hint="eastAsia" w:ascii="宋体" w:hAnsi="宋体" w:cs="宋体"/>
                <w:sz w:val="28"/>
                <w:szCs w:val="32"/>
              </w:rPr>
              <w:t>电话：</w:t>
            </w:r>
          </w:p>
        </w:tc>
      </w:tr>
    </w:tbl>
    <w:p>
      <w:pPr>
        <w:tabs>
          <w:tab w:val="left" w:pos="3463"/>
        </w:tabs>
        <w:spacing w:after="240" w:afterLines="100" w:line="560" w:lineRule="exact"/>
        <w:ind w:firstLine="707" w:firstLineChars="221"/>
        <w:rPr>
          <w:rFonts w:ascii="仿宋_GB2312" w:hAnsi="仿宋_GB2312" w:eastAsia="仿宋_GB2312" w:cs="仿宋_GB2312"/>
          <w:color w:val="000000"/>
          <w:sz w:val="32"/>
          <w:szCs w:val="32"/>
        </w:rPr>
      </w:pPr>
    </w:p>
    <w:p>
      <w:pPr>
        <w:tabs>
          <w:tab w:val="left" w:pos="3463"/>
        </w:tabs>
        <w:spacing w:after="240" w:afterLines="100" w:line="560" w:lineRule="exact"/>
        <w:ind w:firstLine="770" w:firstLineChars="321"/>
        <w:jc w:val="both"/>
        <w:rPr>
          <w:rFonts w:ascii="宋体" w:hAnsi="宋体" w:cs="宋体"/>
          <w:color w:val="000000"/>
          <w:szCs w:val="24"/>
        </w:rPr>
      </w:pPr>
      <w:r>
        <w:rPr>
          <w:rFonts w:hint="eastAsia" w:ascii="宋体" w:hAnsi="宋体" w:cs="宋体"/>
          <w:color w:val="000000"/>
          <w:szCs w:val="24"/>
        </w:rPr>
        <w:t>为给科研工作者提供优美、整洁、安全、方便的办公及日常休息环境，_______（甲方）特委托</w:t>
      </w:r>
      <w:r>
        <w:rPr>
          <w:rFonts w:hint="eastAsia" w:ascii="宋体" w:hAnsi="宋体" w:cs="宋体"/>
          <w:color w:val="000000"/>
          <w:szCs w:val="24"/>
          <w:u w:val="single"/>
        </w:rPr>
        <w:t xml:space="preserve">                       </w:t>
      </w:r>
      <w:r>
        <w:rPr>
          <w:rFonts w:hint="eastAsia" w:ascii="宋体" w:hAnsi="宋体" w:cs="宋体"/>
          <w:color w:val="000000"/>
          <w:szCs w:val="24"/>
        </w:rPr>
        <w:t xml:space="preserve">（乙方，以下简称酒管公司）对甲方的会议、专家办公室提供服务。双方依据平等互利的原则，经过友好协商，特订立本协议。 </w:t>
      </w:r>
    </w:p>
    <w:p>
      <w:pPr>
        <w:numPr>
          <w:ilvl w:val="0"/>
          <w:numId w:val="7"/>
        </w:numPr>
        <w:tabs>
          <w:tab w:val="left" w:pos="3463"/>
        </w:tabs>
        <w:spacing w:line="560" w:lineRule="exact"/>
        <w:ind w:firstLine="640"/>
        <w:rPr>
          <w:rFonts w:ascii="宋体" w:hAnsi="宋体" w:cs="宋体"/>
          <w:bCs/>
          <w:color w:val="000000"/>
          <w:szCs w:val="24"/>
        </w:rPr>
      </w:pPr>
      <w:r>
        <w:rPr>
          <w:rFonts w:hint="eastAsia" w:ascii="宋体" w:hAnsi="宋体" w:cs="宋体"/>
          <w:bCs/>
          <w:color w:val="000000"/>
          <w:szCs w:val="24"/>
        </w:rPr>
        <w:t>委托服务内容</w:t>
      </w:r>
    </w:p>
    <w:p>
      <w:pPr>
        <w:pStyle w:val="113"/>
        <w:tabs>
          <w:tab w:val="left" w:pos="3463"/>
        </w:tabs>
        <w:spacing w:line="560" w:lineRule="exact"/>
        <w:ind w:left="560" w:firstLine="0" w:firstLineChars="0"/>
        <w:jc w:val="left"/>
        <w:rPr>
          <w:rFonts w:ascii="宋体" w:hAnsi="宋体" w:cs="宋体"/>
          <w:b/>
          <w:color w:val="000000"/>
          <w:sz w:val="24"/>
        </w:rPr>
      </w:pPr>
      <w:r>
        <w:rPr>
          <w:rFonts w:hint="eastAsia" w:ascii="宋体" w:hAnsi="宋体" w:cs="宋体"/>
          <w:b/>
          <w:color w:val="000000"/>
          <w:sz w:val="24"/>
        </w:rPr>
        <w:t>1.委托服务事项：</w:t>
      </w:r>
    </w:p>
    <w:p>
      <w:pPr>
        <w:spacing w:line="560" w:lineRule="exact"/>
        <w:ind w:firstLine="477" w:firstLineChars="199"/>
        <w:jc w:val="both"/>
        <w:rPr>
          <w:rFonts w:ascii="宋体" w:hAnsi="宋体" w:cs="宋体"/>
          <w:bCs/>
          <w:color w:val="000000"/>
          <w:szCs w:val="24"/>
        </w:rPr>
      </w:pPr>
      <w:r>
        <w:rPr>
          <w:rFonts w:hint="eastAsia" w:ascii="宋体" w:hAnsi="宋体" w:cs="宋体"/>
          <w:bCs/>
          <w:color w:val="000000"/>
          <w:szCs w:val="24"/>
        </w:rPr>
        <w:t>日常管理服务: 会议室服务、专家办公室清洁服务，</w:t>
      </w:r>
      <w:r>
        <w:rPr>
          <w:rFonts w:hint="eastAsia" w:ascii="宋体" w:hAnsi="宋体" w:cs="宋体"/>
          <w:bCs/>
          <w:szCs w:val="24"/>
        </w:rPr>
        <w:t>预计</w:t>
      </w:r>
      <w:r>
        <w:rPr>
          <w:rFonts w:ascii="宋体" w:hAnsi="宋体" w:cs="宋体"/>
          <w:bCs/>
          <w:szCs w:val="24"/>
        </w:rPr>
        <w:t>2</w:t>
      </w:r>
      <w:r>
        <w:rPr>
          <w:rFonts w:hint="eastAsia" w:ascii="宋体" w:hAnsi="宋体" w:cs="宋体"/>
          <w:bCs/>
          <w:szCs w:val="24"/>
        </w:rPr>
        <w:t>栋楼共有约2</w:t>
      </w:r>
      <w:r>
        <w:rPr>
          <w:rFonts w:ascii="宋体" w:hAnsi="宋体" w:cs="宋体"/>
          <w:bCs/>
          <w:szCs w:val="24"/>
        </w:rPr>
        <w:t>6</w:t>
      </w:r>
      <w:r>
        <w:rPr>
          <w:rFonts w:hint="eastAsia" w:ascii="宋体" w:hAnsi="宋体" w:cs="宋体"/>
          <w:bCs/>
          <w:szCs w:val="24"/>
        </w:rPr>
        <w:t>个专家办公室、</w:t>
      </w:r>
      <w:r>
        <w:rPr>
          <w:rFonts w:ascii="宋体" w:hAnsi="宋体" w:cs="宋体"/>
          <w:bCs/>
          <w:szCs w:val="24"/>
        </w:rPr>
        <w:t>3</w:t>
      </w:r>
      <w:r>
        <w:rPr>
          <w:rFonts w:hint="eastAsia" w:ascii="宋体" w:hAnsi="宋体" w:cs="宋体"/>
          <w:bCs/>
          <w:szCs w:val="24"/>
        </w:rPr>
        <w:t>0个会议室及</w:t>
      </w:r>
      <w:r>
        <w:rPr>
          <w:rFonts w:hint="eastAsia" w:ascii="宋体" w:hAnsi="宋体" w:cs="宋体"/>
          <w:bCs/>
          <w:color w:val="000000"/>
          <w:szCs w:val="24"/>
        </w:rPr>
        <w:t>13个员工休息室（以上房间数为预估间数，具体以甲方实际情况为准），服务期间乙方根据甲方房间及会议室具体使用情况，安排相应的服务人员，非特殊情况一般不会同时进行会议。</w:t>
      </w:r>
    </w:p>
    <w:p>
      <w:pPr>
        <w:spacing w:line="560" w:lineRule="exact"/>
        <w:ind w:firstLine="479" w:firstLineChars="199"/>
        <w:rPr>
          <w:rFonts w:ascii="宋体" w:hAnsi="宋体" w:cs="宋体"/>
          <w:b/>
          <w:color w:val="000000"/>
          <w:szCs w:val="24"/>
        </w:rPr>
      </w:pPr>
      <w:r>
        <w:rPr>
          <w:rFonts w:hint="eastAsia" w:ascii="宋体" w:hAnsi="宋体" w:cs="宋体"/>
          <w:b/>
          <w:color w:val="000000"/>
          <w:szCs w:val="24"/>
        </w:rPr>
        <w:t xml:space="preserve">2.专家办公室清洁服务要求： </w:t>
      </w:r>
      <w:r>
        <w:rPr>
          <w:rFonts w:ascii="宋体" w:hAnsi="宋体" w:cs="宋体"/>
          <w:b/>
          <w:color w:val="000000"/>
          <w:szCs w:val="24"/>
        </w:rPr>
        <w:t xml:space="preserve">   </w:t>
      </w:r>
    </w:p>
    <w:p>
      <w:pPr>
        <w:pStyle w:val="113"/>
        <w:numPr>
          <w:ilvl w:val="0"/>
          <w:numId w:val="8"/>
        </w:numPr>
        <w:spacing w:line="560" w:lineRule="exact"/>
        <w:ind w:left="0" w:firstLine="480"/>
        <w:rPr>
          <w:rFonts w:ascii="宋体" w:hAnsi="宋体" w:cs="宋体"/>
          <w:color w:val="000000"/>
          <w:sz w:val="24"/>
        </w:rPr>
      </w:pPr>
      <w:bookmarkStart w:id="691" w:name="_Hlk99736502"/>
      <w:r>
        <w:rPr>
          <w:rFonts w:hint="eastAsia" w:ascii="宋体" w:hAnsi="宋体" w:cs="宋体"/>
          <w:color w:val="000000"/>
          <w:sz w:val="24"/>
        </w:rPr>
        <w:t>所有工作人员均与乙方签署劳动合同并办理了五险一金，上岗前均需经过相关政治审查，提供无犯罪记录证明，并签订实验室保密协议。</w:t>
      </w:r>
    </w:p>
    <w:bookmarkEnd w:id="691"/>
    <w:p>
      <w:pPr>
        <w:pStyle w:val="113"/>
        <w:numPr>
          <w:ilvl w:val="0"/>
          <w:numId w:val="8"/>
        </w:numPr>
        <w:spacing w:line="560" w:lineRule="exact"/>
        <w:ind w:left="0" w:firstLine="480"/>
        <w:rPr>
          <w:rFonts w:ascii="宋体" w:hAnsi="宋体" w:cs="宋体"/>
          <w:color w:val="000000"/>
          <w:sz w:val="24"/>
        </w:rPr>
      </w:pPr>
      <w:r>
        <w:rPr>
          <w:rFonts w:hint="eastAsia" w:ascii="宋体" w:hAnsi="宋体" w:cs="宋体"/>
          <w:color w:val="000000"/>
          <w:sz w:val="24"/>
        </w:rPr>
        <w:t>所有工作人员符合上岗要求，持健康证上岗，每年一次体检。</w:t>
      </w:r>
    </w:p>
    <w:p>
      <w:pPr>
        <w:pStyle w:val="113"/>
        <w:numPr>
          <w:ilvl w:val="0"/>
          <w:numId w:val="8"/>
        </w:numPr>
        <w:spacing w:line="560" w:lineRule="exact"/>
        <w:ind w:left="0" w:firstLine="480"/>
        <w:rPr>
          <w:rFonts w:ascii="宋体" w:hAnsi="宋体" w:cs="宋体"/>
          <w:color w:val="000000"/>
          <w:sz w:val="24"/>
        </w:rPr>
      </w:pPr>
      <w:r>
        <w:rPr>
          <w:rFonts w:hint="eastAsia" w:ascii="宋体" w:hAnsi="宋体" w:cs="宋体"/>
          <w:color w:val="000000"/>
          <w:sz w:val="24"/>
        </w:rPr>
        <w:t>检查工作车、吸尘器等设施，检查楼层内的所有专家办公室状况。</w:t>
      </w:r>
    </w:p>
    <w:p>
      <w:pPr>
        <w:pStyle w:val="113"/>
        <w:numPr>
          <w:ilvl w:val="0"/>
          <w:numId w:val="8"/>
        </w:numPr>
        <w:spacing w:line="560" w:lineRule="exact"/>
        <w:ind w:left="0" w:firstLine="480"/>
        <w:rPr>
          <w:rFonts w:ascii="宋体" w:hAnsi="宋体" w:cs="宋体"/>
          <w:color w:val="000000"/>
          <w:sz w:val="24"/>
        </w:rPr>
      </w:pPr>
      <w:r>
        <w:rPr>
          <w:rFonts w:hint="eastAsia" w:ascii="宋体" w:hAnsi="宋体" w:cs="宋体"/>
          <w:color w:val="000000"/>
          <w:sz w:val="24"/>
        </w:rPr>
        <w:t>准备工作车、各种布巾、备品及清洁用品。</w:t>
      </w:r>
    </w:p>
    <w:p>
      <w:pPr>
        <w:pStyle w:val="113"/>
        <w:numPr>
          <w:ilvl w:val="0"/>
          <w:numId w:val="8"/>
        </w:numPr>
        <w:spacing w:line="560" w:lineRule="exact"/>
        <w:ind w:left="0" w:firstLine="480"/>
        <w:rPr>
          <w:rFonts w:ascii="宋体" w:hAnsi="宋体" w:cs="宋体"/>
          <w:color w:val="000000"/>
          <w:sz w:val="24"/>
        </w:rPr>
      </w:pPr>
      <w:r>
        <w:rPr>
          <w:rFonts w:hint="eastAsia" w:ascii="宋体" w:hAnsi="宋体" w:cs="宋体"/>
          <w:color w:val="000000"/>
          <w:sz w:val="24"/>
        </w:rPr>
        <w:t>负责清扫专家办公室，确保卫生达到标准。</w:t>
      </w:r>
    </w:p>
    <w:p>
      <w:pPr>
        <w:pStyle w:val="113"/>
        <w:numPr>
          <w:ilvl w:val="0"/>
          <w:numId w:val="8"/>
        </w:numPr>
        <w:spacing w:line="560" w:lineRule="exact"/>
        <w:ind w:left="0" w:firstLine="480"/>
        <w:rPr>
          <w:rFonts w:ascii="宋体" w:hAnsi="宋体" w:cs="宋体"/>
          <w:color w:val="000000"/>
          <w:sz w:val="24"/>
        </w:rPr>
      </w:pPr>
      <w:r>
        <w:rPr>
          <w:rFonts w:hint="eastAsia" w:ascii="宋体" w:hAnsi="宋体" w:cs="宋体"/>
          <w:color w:val="000000"/>
          <w:sz w:val="24"/>
        </w:rPr>
        <w:t>正确使用各种清洁剂和清洁用品。</w:t>
      </w:r>
    </w:p>
    <w:p>
      <w:pPr>
        <w:pStyle w:val="113"/>
        <w:numPr>
          <w:ilvl w:val="0"/>
          <w:numId w:val="8"/>
        </w:numPr>
        <w:spacing w:line="560" w:lineRule="exact"/>
        <w:ind w:left="0" w:firstLine="480"/>
        <w:rPr>
          <w:rFonts w:ascii="宋体" w:hAnsi="宋体" w:cs="宋体"/>
          <w:color w:val="000000"/>
          <w:sz w:val="24"/>
        </w:rPr>
      </w:pPr>
      <w:r>
        <w:rPr>
          <w:rFonts w:hint="eastAsia" w:ascii="宋体" w:hAnsi="宋体" w:cs="宋体"/>
          <w:color w:val="000000"/>
          <w:sz w:val="24"/>
        </w:rPr>
        <w:t>确保房间内各类设施正常使用。</w:t>
      </w:r>
    </w:p>
    <w:p>
      <w:pPr>
        <w:pStyle w:val="113"/>
        <w:numPr>
          <w:ilvl w:val="0"/>
          <w:numId w:val="8"/>
        </w:numPr>
        <w:spacing w:line="560" w:lineRule="exact"/>
        <w:ind w:left="0" w:firstLine="480"/>
        <w:rPr>
          <w:rFonts w:ascii="宋体" w:hAnsi="宋体" w:cs="宋体"/>
          <w:color w:val="000000"/>
          <w:sz w:val="24"/>
        </w:rPr>
      </w:pPr>
      <w:r>
        <w:rPr>
          <w:rFonts w:hint="eastAsia" w:ascii="宋体" w:hAnsi="宋体" w:cs="宋体"/>
          <w:color w:val="000000"/>
          <w:sz w:val="24"/>
        </w:rPr>
        <w:t>负责补充专家办公室内用品。</w:t>
      </w:r>
    </w:p>
    <w:p>
      <w:pPr>
        <w:pStyle w:val="113"/>
        <w:numPr>
          <w:ilvl w:val="0"/>
          <w:numId w:val="8"/>
        </w:numPr>
        <w:spacing w:line="560" w:lineRule="exact"/>
        <w:ind w:left="0" w:firstLine="480"/>
        <w:rPr>
          <w:rFonts w:ascii="宋体" w:hAnsi="宋体" w:cs="宋体"/>
          <w:color w:val="000000"/>
          <w:sz w:val="24"/>
        </w:rPr>
      </w:pPr>
      <w:r>
        <w:rPr>
          <w:rFonts w:hint="eastAsia" w:ascii="宋体" w:hAnsi="宋体" w:cs="宋体"/>
          <w:color w:val="000000"/>
          <w:sz w:val="24"/>
        </w:rPr>
        <w:t>服从区域管理者的工作安排。</w:t>
      </w:r>
    </w:p>
    <w:p>
      <w:pPr>
        <w:spacing w:line="560" w:lineRule="exact"/>
        <w:ind w:firstLine="472" w:firstLineChars="196"/>
        <w:rPr>
          <w:rFonts w:ascii="宋体" w:hAnsi="宋体" w:cs="宋体"/>
          <w:b/>
          <w:color w:val="000000"/>
          <w:szCs w:val="24"/>
        </w:rPr>
      </w:pPr>
      <w:r>
        <w:rPr>
          <w:rFonts w:hint="eastAsia" w:ascii="宋体" w:hAnsi="宋体" w:cs="宋体"/>
          <w:b/>
          <w:color w:val="000000"/>
          <w:szCs w:val="24"/>
        </w:rPr>
        <w:t>3.会议服务要求:</w:t>
      </w:r>
    </w:p>
    <w:p>
      <w:pPr>
        <w:pStyle w:val="113"/>
        <w:numPr>
          <w:ilvl w:val="0"/>
          <w:numId w:val="9"/>
        </w:numPr>
        <w:spacing w:line="560" w:lineRule="exact"/>
        <w:ind w:left="0" w:firstLine="480"/>
        <w:rPr>
          <w:rFonts w:ascii="宋体" w:hAnsi="宋体" w:cs="宋体"/>
          <w:color w:val="000000"/>
          <w:sz w:val="24"/>
        </w:rPr>
      </w:pPr>
      <w:r>
        <w:rPr>
          <w:rFonts w:hint="eastAsia" w:ascii="宋体" w:hAnsi="宋体" w:cs="宋体"/>
          <w:color w:val="000000"/>
          <w:sz w:val="24"/>
        </w:rPr>
        <w:t>所有工作人员，上岗前均需经过相关政治审查，提供无犯罪记录证明，并签订实验室保密协议。</w:t>
      </w:r>
    </w:p>
    <w:p>
      <w:pPr>
        <w:pStyle w:val="113"/>
        <w:numPr>
          <w:ilvl w:val="0"/>
          <w:numId w:val="9"/>
        </w:numPr>
        <w:spacing w:line="560" w:lineRule="exact"/>
        <w:ind w:left="0" w:firstLine="480"/>
        <w:rPr>
          <w:rFonts w:ascii="宋体" w:hAnsi="宋体" w:cs="宋体"/>
          <w:color w:val="000000"/>
          <w:sz w:val="24"/>
        </w:rPr>
      </w:pPr>
      <w:r>
        <w:rPr>
          <w:rFonts w:hint="eastAsia" w:ascii="宋体" w:hAnsi="宋体" w:cs="宋体"/>
          <w:color w:val="000000"/>
          <w:sz w:val="24"/>
        </w:rPr>
        <w:t>所有工作人员符合上岗要求，持健康证上岗，每年一次体检。</w:t>
      </w:r>
    </w:p>
    <w:p>
      <w:pPr>
        <w:pStyle w:val="113"/>
        <w:numPr>
          <w:ilvl w:val="0"/>
          <w:numId w:val="9"/>
        </w:numPr>
        <w:spacing w:line="560" w:lineRule="exact"/>
        <w:ind w:left="0" w:firstLine="480"/>
        <w:rPr>
          <w:rFonts w:ascii="宋体" w:hAnsi="宋体" w:cs="宋体"/>
          <w:color w:val="000000"/>
          <w:sz w:val="24"/>
        </w:rPr>
      </w:pPr>
      <w:r>
        <w:rPr>
          <w:rFonts w:hint="eastAsia" w:ascii="宋体" w:hAnsi="宋体" w:cs="宋体"/>
          <w:color w:val="000000"/>
          <w:sz w:val="24"/>
        </w:rPr>
        <w:t>严格按照卫生标准保持会议室的卫生质量和各种设施设备的完好无缺。</w:t>
      </w:r>
    </w:p>
    <w:p>
      <w:pPr>
        <w:pStyle w:val="113"/>
        <w:numPr>
          <w:ilvl w:val="0"/>
          <w:numId w:val="9"/>
        </w:numPr>
        <w:spacing w:line="560" w:lineRule="exact"/>
        <w:ind w:left="0" w:firstLine="480"/>
        <w:rPr>
          <w:rFonts w:ascii="宋体" w:hAnsi="宋体" w:cs="宋体"/>
          <w:color w:val="000000"/>
          <w:sz w:val="24"/>
        </w:rPr>
      </w:pPr>
      <w:r>
        <w:rPr>
          <w:rFonts w:hint="eastAsia" w:ascii="宋体" w:hAnsi="宋体" w:cs="宋体"/>
          <w:color w:val="000000"/>
          <w:sz w:val="24"/>
        </w:rPr>
        <w:t>根据会议要求做好会议的准备工作，包括会前对客人的迎接、会中的服务和会后的送别，并做好重要客人的服务接待工作。</w:t>
      </w:r>
    </w:p>
    <w:p>
      <w:pPr>
        <w:pStyle w:val="113"/>
        <w:numPr>
          <w:ilvl w:val="0"/>
          <w:numId w:val="9"/>
        </w:numPr>
        <w:spacing w:line="560" w:lineRule="exact"/>
        <w:ind w:left="0" w:firstLine="480"/>
        <w:rPr>
          <w:rFonts w:ascii="宋体" w:hAnsi="宋体" w:cs="宋体"/>
          <w:color w:val="000000"/>
          <w:sz w:val="24"/>
        </w:rPr>
      </w:pPr>
      <w:r>
        <w:rPr>
          <w:rFonts w:hint="eastAsia" w:ascii="宋体" w:hAnsi="宋体" w:cs="宋体"/>
          <w:color w:val="000000"/>
          <w:sz w:val="24"/>
        </w:rPr>
        <w:t>负责清扫会议室卫生，并对使用过的杯具进行清洗和消毒。</w:t>
      </w:r>
    </w:p>
    <w:p>
      <w:pPr>
        <w:pStyle w:val="113"/>
        <w:numPr>
          <w:ilvl w:val="0"/>
          <w:numId w:val="9"/>
        </w:numPr>
        <w:spacing w:line="560" w:lineRule="exact"/>
        <w:ind w:left="0" w:firstLine="480"/>
        <w:rPr>
          <w:rFonts w:ascii="宋体" w:hAnsi="宋体" w:cs="宋体"/>
          <w:color w:val="000000"/>
          <w:sz w:val="24"/>
        </w:rPr>
      </w:pPr>
      <w:r>
        <w:rPr>
          <w:rFonts w:hint="eastAsia" w:ascii="宋体" w:hAnsi="宋体" w:cs="宋体"/>
          <w:color w:val="000000"/>
          <w:sz w:val="24"/>
        </w:rPr>
        <w:t>认真完成上级交给的其它工作任务，服从区域管理者的工作安排。</w:t>
      </w:r>
    </w:p>
    <w:p>
      <w:pPr>
        <w:tabs>
          <w:tab w:val="left" w:pos="3463"/>
        </w:tabs>
        <w:spacing w:line="560" w:lineRule="exact"/>
        <w:ind w:firstLine="480" w:firstLineChars="200"/>
        <w:rPr>
          <w:rFonts w:ascii="宋体" w:hAnsi="宋体" w:cs="宋体"/>
          <w:color w:val="000000"/>
          <w:szCs w:val="24"/>
        </w:rPr>
      </w:pPr>
      <w:r>
        <w:rPr>
          <w:rFonts w:hint="eastAsia" w:ascii="宋体" w:hAnsi="宋体" w:cs="宋体"/>
          <w:color w:val="000000"/>
          <w:szCs w:val="24"/>
        </w:rPr>
        <w:t>如甲方在上述服务范围外有新增需求的，则由甲乙双方另行协商，并通过补充协议的形式明确。</w:t>
      </w:r>
    </w:p>
    <w:p>
      <w:pPr>
        <w:pStyle w:val="113"/>
        <w:spacing w:before="120" w:beforeLines="50" w:line="360" w:lineRule="auto"/>
        <w:ind w:firstLine="480"/>
        <w:rPr>
          <w:rFonts w:ascii="宋体" w:hAnsi="宋体" w:cs="宋体"/>
          <w:color w:val="000000"/>
          <w:sz w:val="24"/>
        </w:rPr>
      </w:pPr>
      <w:r>
        <w:rPr>
          <w:rFonts w:hint="eastAsia" w:ascii="宋体" w:hAnsi="宋体" w:cs="宋体"/>
          <w:color w:val="000000"/>
          <w:sz w:val="24"/>
        </w:rPr>
        <w:t>备注：专家办公室和会议服务所需要的相关工具和设备需甲方提供。</w:t>
      </w:r>
    </w:p>
    <w:p>
      <w:pPr>
        <w:spacing w:line="360" w:lineRule="auto"/>
        <w:ind w:firstLine="472" w:firstLineChars="196"/>
        <w:rPr>
          <w:rFonts w:ascii="宋体" w:hAnsi="宋体" w:cs="宋体"/>
          <w:b/>
          <w:color w:val="000000"/>
          <w:szCs w:val="24"/>
        </w:rPr>
      </w:pPr>
      <w:r>
        <w:rPr>
          <w:rFonts w:hint="eastAsia" w:ascii="宋体" w:hAnsi="宋体" w:cs="宋体"/>
          <w:b/>
          <w:color w:val="000000"/>
          <w:szCs w:val="24"/>
        </w:rPr>
        <w:t>4、人员要求：</w:t>
      </w:r>
    </w:p>
    <w:p>
      <w:pPr>
        <w:spacing w:line="360" w:lineRule="auto"/>
        <w:ind w:firstLine="480" w:firstLineChars="200"/>
        <w:rPr>
          <w:rFonts w:ascii="宋体" w:hAnsi="宋体" w:cs="宋体"/>
          <w:color w:val="000000"/>
          <w:szCs w:val="24"/>
        </w:rPr>
      </w:pPr>
      <w:r>
        <w:rPr>
          <w:rFonts w:hint="eastAsia" w:ascii="宋体" w:hAnsi="宋体" w:cs="宋体"/>
          <w:color w:val="000000"/>
          <w:szCs w:val="24"/>
        </w:rPr>
        <w:t>*</w:t>
      </w:r>
      <w:r>
        <w:rPr>
          <w:rFonts w:ascii="宋体" w:hAnsi="宋体" w:cs="宋体"/>
          <w:color w:val="000000"/>
          <w:szCs w:val="24"/>
        </w:rPr>
        <w:t>1</w:t>
      </w:r>
      <w:r>
        <w:rPr>
          <w:rFonts w:hint="eastAsia" w:ascii="宋体" w:hAnsi="宋体" w:cs="宋体"/>
          <w:color w:val="000000"/>
          <w:szCs w:val="24"/>
        </w:rPr>
        <w:t>）派驻本项目人员应当不少于</w:t>
      </w:r>
      <w:r>
        <w:rPr>
          <w:rFonts w:ascii="宋体" w:hAnsi="宋体" w:cs="宋体"/>
          <w:color w:val="000000"/>
          <w:szCs w:val="24"/>
        </w:rPr>
        <w:t>10</w:t>
      </w:r>
      <w:r>
        <w:rPr>
          <w:rFonts w:hint="eastAsia" w:ascii="宋体" w:hAnsi="宋体" w:cs="宋体"/>
          <w:color w:val="000000"/>
          <w:szCs w:val="24"/>
        </w:rPr>
        <w:t>人，根据实际工作时间提供服务，具体服务人员需配合甲方实际情况安排。</w:t>
      </w:r>
    </w:p>
    <w:p>
      <w:pPr>
        <w:spacing w:line="360" w:lineRule="auto"/>
        <w:ind w:firstLine="480" w:firstLineChars="200"/>
        <w:rPr>
          <w:rFonts w:ascii="宋体" w:hAnsi="宋体" w:cs="宋体"/>
          <w:color w:val="000000"/>
          <w:szCs w:val="24"/>
        </w:rPr>
      </w:pPr>
      <w:r>
        <w:rPr>
          <w:rFonts w:ascii="宋体" w:hAnsi="宋体" w:cs="宋体"/>
          <w:color w:val="000000"/>
          <w:szCs w:val="24"/>
        </w:rPr>
        <w:t>2</w:t>
      </w:r>
      <w:r>
        <w:rPr>
          <w:rFonts w:hint="eastAsia" w:ascii="宋体" w:hAnsi="宋体" w:cs="宋体"/>
          <w:color w:val="000000"/>
          <w:szCs w:val="24"/>
        </w:rPr>
        <w:t>）供应商需派驻一名项目负责人，由此人专门与采购人对接相关工作。</w:t>
      </w:r>
    </w:p>
    <w:p>
      <w:pPr>
        <w:spacing w:line="360" w:lineRule="auto"/>
        <w:ind w:firstLine="480" w:firstLineChars="200"/>
        <w:rPr>
          <w:szCs w:val="24"/>
        </w:rPr>
      </w:pPr>
      <w:r>
        <w:rPr>
          <w:rFonts w:hint="eastAsia"/>
          <w:szCs w:val="24"/>
        </w:rPr>
        <w:t xml:space="preserve">  项目负责人：        </w:t>
      </w:r>
    </w:p>
    <w:p>
      <w:pPr>
        <w:spacing w:line="360" w:lineRule="auto"/>
        <w:ind w:firstLine="480" w:firstLineChars="200"/>
        <w:rPr>
          <w:szCs w:val="24"/>
        </w:rPr>
      </w:pPr>
      <w:r>
        <w:rPr>
          <w:rFonts w:hint="eastAsia"/>
          <w:szCs w:val="24"/>
        </w:rPr>
        <w:t xml:space="preserve">  身份证号码：                 联系电话：</w:t>
      </w:r>
    </w:p>
    <w:p>
      <w:pPr>
        <w:spacing w:line="360" w:lineRule="auto"/>
        <w:ind w:right="-578" w:rightChars="-241" w:firstLine="480" w:firstLineChars="200"/>
        <w:rPr>
          <w:rFonts w:ascii="宋体" w:hAnsi="宋体" w:cs="宋体"/>
          <w:szCs w:val="24"/>
        </w:rPr>
      </w:pPr>
      <w:r>
        <w:rPr>
          <w:rFonts w:ascii="宋体" w:hAnsi="宋体" w:cs="宋体"/>
          <w:color w:val="000000"/>
          <w:szCs w:val="24"/>
        </w:rPr>
        <w:t>3</w:t>
      </w:r>
      <w:r>
        <w:rPr>
          <w:rFonts w:hint="eastAsia" w:ascii="宋体" w:hAnsi="宋体" w:cs="宋体"/>
          <w:color w:val="000000"/>
          <w:szCs w:val="24"/>
        </w:rPr>
        <w:t>）合理保障采购人原有工作人员的工作岗位安排，纳入统一的管理体系。</w:t>
      </w:r>
    </w:p>
    <w:p>
      <w:pPr>
        <w:spacing w:line="360" w:lineRule="auto"/>
        <w:ind w:firstLine="480" w:firstLineChars="200"/>
        <w:rPr>
          <w:rFonts w:ascii="宋体" w:hAnsi="宋体" w:cs="宋体"/>
          <w:color w:val="000000"/>
          <w:szCs w:val="24"/>
        </w:rPr>
      </w:pPr>
      <w:r>
        <w:rPr>
          <w:rFonts w:ascii="宋体" w:hAnsi="宋体" w:cs="宋体"/>
          <w:color w:val="000000"/>
          <w:szCs w:val="24"/>
        </w:rPr>
        <w:t>4</w:t>
      </w:r>
      <w:r>
        <w:rPr>
          <w:rFonts w:hint="eastAsia" w:ascii="宋体" w:hAnsi="宋体" w:cs="宋体"/>
          <w:color w:val="000000"/>
          <w:szCs w:val="24"/>
        </w:rPr>
        <w:t>）所有工作人员岗位应服从采购人各部门要求并接受人员调动安排。</w:t>
      </w:r>
    </w:p>
    <w:p>
      <w:pPr>
        <w:spacing w:line="360" w:lineRule="auto"/>
        <w:ind w:firstLine="480" w:firstLineChars="200"/>
        <w:rPr>
          <w:rFonts w:ascii="宋体" w:hAnsi="宋体" w:cs="宋体"/>
          <w:szCs w:val="24"/>
        </w:rPr>
      </w:pPr>
      <w:r>
        <w:rPr>
          <w:rFonts w:ascii="宋体" w:hAnsi="宋体" w:cs="宋体"/>
          <w:color w:val="000000"/>
          <w:szCs w:val="24"/>
        </w:rPr>
        <w:t>5</w:t>
      </w:r>
      <w:r>
        <w:rPr>
          <w:rFonts w:hint="eastAsia" w:ascii="宋体" w:hAnsi="宋体" w:cs="宋体"/>
          <w:color w:val="000000"/>
          <w:szCs w:val="24"/>
        </w:rPr>
        <w:t>）对项目负责人的要求</w:t>
      </w:r>
    </w:p>
    <w:p>
      <w:pPr>
        <w:numPr>
          <w:ilvl w:val="0"/>
          <w:numId w:val="10"/>
        </w:numPr>
        <w:spacing w:line="360" w:lineRule="auto"/>
        <w:ind w:firstLine="480" w:firstLineChars="200"/>
        <w:rPr>
          <w:rFonts w:ascii="宋体" w:hAnsi="宋体" w:cs="宋体"/>
          <w:szCs w:val="24"/>
        </w:rPr>
      </w:pPr>
      <w:r>
        <w:rPr>
          <w:rFonts w:hint="eastAsia" w:ascii="宋体" w:hAnsi="宋体" w:cs="宋体"/>
          <w:color w:val="000000"/>
          <w:szCs w:val="24"/>
        </w:rPr>
        <w:t>具有良好的思想政治素质和服务意识，爱岗敬业；</w:t>
      </w:r>
    </w:p>
    <w:p>
      <w:pPr>
        <w:numPr>
          <w:ilvl w:val="0"/>
          <w:numId w:val="10"/>
        </w:numPr>
        <w:spacing w:line="360" w:lineRule="auto"/>
        <w:ind w:firstLine="480" w:firstLineChars="200"/>
        <w:rPr>
          <w:rFonts w:ascii="宋体" w:hAnsi="宋体" w:cs="宋体"/>
          <w:szCs w:val="24"/>
        </w:rPr>
      </w:pPr>
      <w:r>
        <w:rPr>
          <w:rFonts w:hint="eastAsia" w:ascii="宋体" w:hAnsi="宋体" w:cs="宋体"/>
          <w:color w:val="000000"/>
          <w:szCs w:val="24"/>
        </w:rPr>
        <w:t>年龄：45岁以下；</w:t>
      </w:r>
    </w:p>
    <w:p>
      <w:pPr>
        <w:numPr>
          <w:ilvl w:val="0"/>
          <w:numId w:val="10"/>
        </w:numPr>
        <w:spacing w:line="360" w:lineRule="auto"/>
        <w:ind w:firstLine="480" w:firstLineChars="200"/>
        <w:rPr>
          <w:rFonts w:ascii="宋体" w:hAnsi="宋体" w:cs="宋体"/>
          <w:szCs w:val="24"/>
        </w:rPr>
      </w:pPr>
      <w:r>
        <w:rPr>
          <w:rFonts w:hint="eastAsia" w:ascii="宋体" w:hAnsi="宋体" w:cs="宋体"/>
          <w:color w:val="000000"/>
          <w:szCs w:val="24"/>
        </w:rPr>
        <w:t>有类似项目3年以上管理经验，有组织协调能力及服务专业管理能力；</w:t>
      </w:r>
    </w:p>
    <w:p>
      <w:pPr>
        <w:numPr>
          <w:ilvl w:val="0"/>
          <w:numId w:val="10"/>
        </w:numPr>
        <w:spacing w:line="360" w:lineRule="auto"/>
        <w:ind w:firstLine="480" w:firstLineChars="200"/>
        <w:rPr>
          <w:rFonts w:ascii="宋体" w:hAnsi="宋体" w:cs="宋体"/>
          <w:szCs w:val="24"/>
        </w:rPr>
      </w:pPr>
      <w:r>
        <w:rPr>
          <w:rFonts w:hint="eastAsia" w:ascii="宋体" w:hAnsi="宋体" w:cs="宋体"/>
          <w:color w:val="000000"/>
          <w:szCs w:val="24"/>
        </w:rPr>
        <w:t>五官端正、举止大方，上岗前需通过采购人面试；</w:t>
      </w:r>
    </w:p>
    <w:p>
      <w:pPr>
        <w:numPr>
          <w:ilvl w:val="0"/>
          <w:numId w:val="10"/>
        </w:numPr>
        <w:spacing w:line="360" w:lineRule="auto"/>
        <w:ind w:firstLine="480" w:firstLineChars="200"/>
        <w:rPr>
          <w:rFonts w:ascii="宋体" w:hAnsi="宋体" w:cs="宋体"/>
          <w:szCs w:val="24"/>
        </w:rPr>
      </w:pPr>
      <w:r>
        <w:rPr>
          <w:rFonts w:hint="eastAsia" w:ascii="宋体" w:hAnsi="宋体" w:cs="宋体"/>
          <w:color w:val="000000"/>
          <w:szCs w:val="24"/>
        </w:rPr>
        <w:t>政治上可靠，党员优先录取。由供应商负责进行审查须严把政治关，不能为刑事和经济犯罪嫌疑人，并且无劳动教养、收容教育、强制戒毒或者被开除公职、开除军籍的记录。同时要注意所聘人员的品行，须符合采购人提出的标准和要求，并经过采购人的面试。须向采购人提供服务人员名单和本人的身份证复印件。一旦发生问题，由供应商承担一切责任。</w:t>
      </w:r>
    </w:p>
    <w:p>
      <w:pPr>
        <w:spacing w:line="360" w:lineRule="auto"/>
        <w:ind w:firstLine="480" w:firstLineChars="200"/>
        <w:rPr>
          <w:rFonts w:ascii="宋体" w:hAnsi="宋体" w:cs="宋体"/>
          <w:szCs w:val="24"/>
        </w:rPr>
      </w:pPr>
      <w:r>
        <w:rPr>
          <w:rFonts w:ascii="宋体" w:hAnsi="宋体" w:cs="宋体"/>
          <w:color w:val="000000"/>
          <w:szCs w:val="24"/>
        </w:rPr>
        <w:t>6</w:t>
      </w:r>
      <w:r>
        <w:rPr>
          <w:rFonts w:hint="eastAsia" w:ascii="宋体" w:hAnsi="宋体" w:cs="宋体"/>
          <w:color w:val="000000"/>
          <w:szCs w:val="24"/>
        </w:rPr>
        <w:t>、会议服务人员的要求</w:t>
      </w:r>
    </w:p>
    <w:p>
      <w:pPr>
        <w:spacing w:line="360" w:lineRule="auto"/>
        <w:ind w:firstLine="480" w:firstLineChars="200"/>
        <w:rPr>
          <w:rFonts w:ascii="宋体" w:hAnsi="宋体" w:cs="宋体"/>
          <w:szCs w:val="24"/>
        </w:rPr>
      </w:pPr>
      <w:r>
        <w:rPr>
          <w:rFonts w:hint="eastAsia" w:ascii="宋体" w:hAnsi="宋体" w:cs="宋体"/>
          <w:color w:val="000000"/>
          <w:szCs w:val="24"/>
        </w:rPr>
        <w:t>（1）身高：女性身高在1.58-1.7米，男性身高不得低于1</w:t>
      </w:r>
      <w:r>
        <w:rPr>
          <w:rFonts w:ascii="宋体" w:hAnsi="宋体" w:cs="宋体"/>
          <w:color w:val="000000"/>
          <w:szCs w:val="24"/>
        </w:rPr>
        <w:t>.7</w:t>
      </w:r>
      <w:r>
        <w:rPr>
          <w:rFonts w:hint="eastAsia" w:ascii="宋体" w:hAnsi="宋体" w:cs="宋体"/>
          <w:color w:val="000000"/>
          <w:szCs w:val="24"/>
        </w:rPr>
        <w:t>米</w:t>
      </w:r>
    </w:p>
    <w:p>
      <w:pPr>
        <w:spacing w:line="360" w:lineRule="auto"/>
        <w:ind w:firstLine="480" w:firstLineChars="200"/>
        <w:rPr>
          <w:rFonts w:ascii="宋体" w:hAnsi="宋体" w:cs="宋体"/>
          <w:szCs w:val="24"/>
        </w:rPr>
      </w:pPr>
      <w:r>
        <w:rPr>
          <w:rFonts w:hint="eastAsia" w:ascii="宋体" w:hAnsi="宋体" w:cs="宋体"/>
          <w:color w:val="000000"/>
          <w:szCs w:val="24"/>
        </w:rPr>
        <w:t>（2）性别：男女不限</w:t>
      </w:r>
    </w:p>
    <w:p>
      <w:pPr>
        <w:spacing w:line="360" w:lineRule="auto"/>
        <w:ind w:firstLine="480" w:firstLineChars="200"/>
        <w:rPr>
          <w:rFonts w:ascii="宋体" w:hAnsi="宋体" w:cs="宋体"/>
          <w:szCs w:val="24"/>
        </w:rPr>
      </w:pPr>
      <w:r>
        <w:rPr>
          <w:rFonts w:hint="eastAsia" w:ascii="宋体" w:hAnsi="宋体" w:cs="宋体"/>
          <w:color w:val="000000"/>
          <w:szCs w:val="24"/>
        </w:rPr>
        <w:t>（3）相貌：五官端正、举止大方，上岗前采购人进行面试。</w:t>
      </w:r>
    </w:p>
    <w:p>
      <w:pPr>
        <w:spacing w:line="360" w:lineRule="auto"/>
        <w:ind w:firstLine="480" w:firstLineChars="200"/>
        <w:jc w:val="both"/>
        <w:rPr>
          <w:rFonts w:ascii="宋体" w:hAnsi="宋体" w:cs="宋体"/>
          <w:szCs w:val="24"/>
        </w:rPr>
      </w:pPr>
      <w:r>
        <w:rPr>
          <w:rFonts w:hint="eastAsia" w:ascii="宋体" w:hAnsi="宋体" w:cs="宋体"/>
          <w:color w:val="000000"/>
          <w:szCs w:val="24"/>
        </w:rPr>
        <w:t>（</w:t>
      </w:r>
      <w:r>
        <w:rPr>
          <w:rFonts w:ascii="宋体" w:hAnsi="宋体" w:cs="宋体"/>
          <w:color w:val="000000"/>
          <w:szCs w:val="24"/>
        </w:rPr>
        <w:t>4</w:t>
      </w:r>
      <w:r>
        <w:rPr>
          <w:rFonts w:hint="eastAsia" w:ascii="宋体" w:hAnsi="宋体" w:cs="宋体"/>
          <w:color w:val="000000"/>
          <w:szCs w:val="24"/>
        </w:rPr>
        <w:t>）具有一定的表达能力，普通话标准。身体健康，无传染疾病。上岗前须到体检中心进行健康体检（胸部X光透视、抽血化验为必查项目），采购人将查验服务人员的健康体检报告并备案留存。一旦发生问题，由供应商承担一切责任。</w:t>
      </w:r>
    </w:p>
    <w:p>
      <w:pPr>
        <w:spacing w:line="360" w:lineRule="auto"/>
        <w:ind w:firstLine="480" w:firstLineChars="200"/>
        <w:jc w:val="both"/>
        <w:rPr>
          <w:rFonts w:ascii="宋体" w:hAnsi="宋体" w:cs="宋体"/>
          <w:szCs w:val="24"/>
        </w:rPr>
      </w:pPr>
      <w:r>
        <w:rPr>
          <w:rFonts w:hint="eastAsia" w:ascii="宋体" w:hAnsi="宋体" w:cs="宋体"/>
          <w:color w:val="000000"/>
          <w:szCs w:val="24"/>
        </w:rPr>
        <w:t>（</w:t>
      </w:r>
      <w:r>
        <w:rPr>
          <w:rFonts w:ascii="宋体" w:hAnsi="宋体" w:cs="宋体"/>
          <w:color w:val="000000"/>
          <w:szCs w:val="24"/>
        </w:rPr>
        <w:t>5</w:t>
      </w:r>
      <w:r>
        <w:rPr>
          <w:rFonts w:hint="eastAsia" w:ascii="宋体" w:hAnsi="宋体" w:cs="宋体"/>
          <w:color w:val="000000"/>
          <w:szCs w:val="24"/>
        </w:rPr>
        <w:t>）政治上可靠，党员优先录取。由供应商负责进行审查须严把政治关，不能有刑事和经济犯罪嫌疑人，并且无劳动教养、收容教育、强制戒毒或者被开除公职、开除军籍的记录。同时要注意所聘人员的品行，须符合采购人提出的标准和要求，并经过供应商的面试。须向采购人提供服务人员名单和本人的身份证复印件。一旦发生问题，由供应商承担一切责任。</w:t>
      </w:r>
    </w:p>
    <w:p>
      <w:pPr>
        <w:pStyle w:val="113"/>
        <w:spacing w:line="360" w:lineRule="auto"/>
        <w:ind w:firstLine="480"/>
        <w:rPr>
          <w:rFonts w:ascii="宋体" w:hAnsi="宋体" w:cs="宋体"/>
          <w:color w:val="000000"/>
          <w:sz w:val="24"/>
        </w:rPr>
      </w:pPr>
      <w:r>
        <w:rPr>
          <w:rFonts w:hint="eastAsia" w:ascii="宋体" w:hAnsi="宋体" w:cs="宋体"/>
          <w:color w:val="000000"/>
          <w:sz w:val="24"/>
        </w:rPr>
        <w:t>（</w:t>
      </w:r>
      <w:r>
        <w:rPr>
          <w:rFonts w:ascii="宋体" w:hAnsi="宋体" w:cs="宋体"/>
          <w:color w:val="000000"/>
          <w:sz w:val="24"/>
        </w:rPr>
        <w:t>6</w:t>
      </w:r>
      <w:r>
        <w:rPr>
          <w:rFonts w:hint="eastAsia" w:ascii="宋体" w:hAnsi="宋体" w:cs="宋体"/>
          <w:color w:val="000000"/>
          <w:sz w:val="24"/>
        </w:rPr>
        <w:t>）会场服务人员工作时间必须着制服，制服不准与便服混穿，不同季节的制服不能混穿，制服应干净整洁，不准披衣、敞怀、挽袖、卷裤腿、歪戴帽子、穿拖鞋或赤足。</w:t>
      </w:r>
    </w:p>
    <w:p>
      <w:pPr>
        <w:numPr>
          <w:ilvl w:val="0"/>
          <w:numId w:val="7"/>
        </w:numPr>
        <w:tabs>
          <w:tab w:val="left" w:pos="3463"/>
        </w:tabs>
        <w:spacing w:line="360" w:lineRule="auto"/>
        <w:ind w:firstLine="640"/>
        <w:rPr>
          <w:rFonts w:ascii="宋体" w:hAnsi="宋体" w:cs="宋体"/>
          <w:bCs/>
          <w:color w:val="000000"/>
          <w:szCs w:val="24"/>
        </w:rPr>
      </w:pPr>
      <w:r>
        <w:rPr>
          <w:rFonts w:hint="eastAsia" w:ascii="宋体" w:hAnsi="宋体" w:cs="宋体"/>
          <w:bCs/>
          <w:color w:val="000000"/>
          <w:szCs w:val="24"/>
        </w:rPr>
        <w:t>费用支付</w:t>
      </w:r>
    </w:p>
    <w:p>
      <w:pPr>
        <w:numPr>
          <w:ilvl w:val="0"/>
          <w:numId w:val="11"/>
        </w:numPr>
        <w:tabs>
          <w:tab w:val="left" w:pos="3463"/>
        </w:tabs>
        <w:spacing w:line="360" w:lineRule="auto"/>
        <w:ind w:firstLine="480" w:firstLineChars="200"/>
        <w:jc w:val="both"/>
        <w:rPr>
          <w:rFonts w:ascii="宋体" w:hAnsi="宋体" w:cs="宋体"/>
          <w:color w:val="000000"/>
          <w:szCs w:val="24"/>
        </w:rPr>
      </w:pPr>
      <w:r>
        <w:rPr>
          <w:rFonts w:hint="eastAsia" w:ascii="宋体" w:hAnsi="宋体" w:cs="宋体"/>
          <w:color w:val="000000"/>
          <w:szCs w:val="24"/>
        </w:rPr>
        <w:t>乙方根据甲方运营实际情况安排专家办公室清洁、会议所需工作人员，派驻在甲方委托服务的地点。本合同项下乙方服务费用为固定费用，合计人民币</w:t>
      </w:r>
      <w:r>
        <w:rPr>
          <w:rFonts w:hint="eastAsia" w:ascii="宋体" w:hAnsi="宋体" w:cs="宋体"/>
          <w:color w:val="000000"/>
          <w:szCs w:val="24"/>
          <w:u w:val="single"/>
        </w:rPr>
        <w:t xml:space="preserve">   </w:t>
      </w:r>
      <w:r>
        <w:rPr>
          <w:rFonts w:hint="eastAsia" w:ascii="宋体" w:hAnsi="宋体" w:cs="宋体"/>
          <w:color w:val="000000"/>
          <w:szCs w:val="24"/>
        </w:rPr>
        <w:t>万元/年（大写：每年人民币</w:t>
      </w:r>
      <w:r>
        <w:rPr>
          <w:rFonts w:hint="eastAsia" w:ascii="宋体" w:hAnsi="宋体" w:cs="宋体"/>
          <w:color w:val="000000"/>
          <w:szCs w:val="24"/>
          <w:u w:val="single"/>
        </w:rPr>
        <w:t xml:space="preserve">         </w:t>
      </w:r>
      <w:r>
        <w:rPr>
          <w:rFonts w:hint="eastAsia" w:ascii="宋体" w:hAnsi="宋体" w:cs="宋体"/>
          <w:color w:val="000000"/>
          <w:szCs w:val="24"/>
        </w:rPr>
        <w:t>）。</w:t>
      </w:r>
    </w:p>
    <w:p>
      <w:pPr>
        <w:numPr>
          <w:ilvl w:val="0"/>
          <w:numId w:val="11"/>
        </w:numPr>
        <w:tabs>
          <w:tab w:val="left" w:pos="3463"/>
        </w:tabs>
        <w:spacing w:line="560" w:lineRule="exact"/>
        <w:ind w:firstLine="480" w:firstLineChars="200"/>
        <w:jc w:val="both"/>
        <w:rPr>
          <w:rFonts w:ascii="宋体" w:hAnsi="宋体" w:cs="宋体"/>
          <w:color w:val="000000"/>
          <w:szCs w:val="24"/>
        </w:rPr>
      </w:pPr>
      <w:r>
        <w:rPr>
          <w:rFonts w:hint="eastAsia" w:ascii="宋体" w:hAnsi="宋体" w:cs="宋体"/>
          <w:color w:val="000000"/>
          <w:szCs w:val="24"/>
        </w:rPr>
        <w:t>付款方式为每6个月支付一次。甲方应当在本合同签订之日起【5】日内向乙方支付首期服务费【6个月为一期】人民币__万元（大写：人民币</w:t>
      </w:r>
      <w:r>
        <w:rPr>
          <w:rFonts w:hint="eastAsia" w:ascii="宋体" w:hAnsi="宋体" w:cs="宋体"/>
          <w:color w:val="000000"/>
          <w:szCs w:val="24"/>
          <w:u w:val="single"/>
        </w:rPr>
        <w:t xml:space="preserve">         </w:t>
      </w:r>
      <w:r>
        <w:rPr>
          <w:rFonts w:hint="eastAsia" w:ascii="宋体" w:hAnsi="宋体" w:cs="宋体"/>
          <w:color w:val="000000"/>
          <w:szCs w:val="24"/>
        </w:rPr>
        <w:t>），甲方应当于第一期管理服务费对应的期限到期前10日内向乙方支付第二期管理服务费人民币__万元（大写：人民币</w:t>
      </w:r>
      <w:r>
        <w:rPr>
          <w:rFonts w:hint="eastAsia" w:ascii="宋体" w:hAnsi="宋体" w:cs="宋体"/>
          <w:color w:val="000000"/>
          <w:szCs w:val="24"/>
          <w:u w:val="single"/>
        </w:rPr>
        <w:t xml:space="preserve">         </w:t>
      </w:r>
      <w:r>
        <w:rPr>
          <w:rFonts w:hint="eastAsia" w:ascii="宋体" w:hAnsi="宋体" w:cs="宋体"/>
          <w:color w:val="000000"/>
          <w:szCs w:val="24"/>
        </w:rPr>
        <w:t>）。乙方收到甲方支付的服务费用后20个工作日内向甲方开具等额发票。</w:t>
      </w:r>
    </w:p>
    <w:p>
      <w:pPr>
        <w:tabs>
          <w:tab w:val="left" w:pos="3463"/>
        </w:tabs>
        <w:spacing w:line="560" w:lineRule="exact"/>
        <w:ind w:firstLine="480" w:firstLineChars="200"/>
        <w:rPr>
          <w:rFonts w:ascii="宋体" w:hAnsi="宋体" w:cs="宋体"/>
          <w:color w:val="000000"/>
          <w:szCs w:val="24"/>
        </w:rPr>
      </w:pPr>
      <w:r>
        <w:rPr>
          <w:rFonts w:hint="eastAsia" w:ascii="宋体" w:hAnsi="宋体" w:cs="宋体"/>
          <w:color w:val="000000"/>
          <w:szCs w:val="24"/>
        </w:rPr>
        <w:t>乙方指定账户信息如下：</w:t>
      </w:r>
    </w:p>
    <w:p>
      <w:pPr>
        <w:tabs>
          <w:tab w:val="left" w:pos="3463"/>
        </w:tabs>
        <w:spacing w:line="560" w:lineRule="exact"/>
        <w:ind w:firstLine="480" w:firstLineChars="200"/>
        <w:rPr>
          <w:rFonts w:ascii="宋体" w:hAnsi="宋体" w:cs="宋体"/>
          <w:color w:val="000000"/>
          <w:szCs w:val="24"/>
        </w:rPr>
      </w:pPr>
      <w:r>
        <w:rPr>
          <w:rFonts w:hint="eastAsia" w:ascii="宋体" w:hAnsi="宋体" w:cs="宋体"/>
          <w:color w:val="000000"/>
          <w:szCs w:val="24"/>
        </w:rPr>
        <w:t xml:space="preserve">开户行： </w:t>
      </w:r>
    </w:p>
    <w:p>
      <w:pPr>
        <w:tabs>
          <w:tab w:val="left" w:pos="3463"/>
        </w:tabs>
        <w:spacing w:line="560" w:lineRule="exact"/>
        <w:ind w:firstLine="480" w:firstLineChars="200"/>
        <w:rPr>
          <w:rFonts w:ascii="宋体" w:hAnsi="宋体" w:cs="宋体"/>
          <w:bCs/>
          <w:color w:val="000000"/>
          <w:szCs w:val="24"/>
        </w:rPr>
      </w:pPr>
      <w:r>
        <w:rPr>
          <w:rFonts w:hint="eastAsia" w:ascii="宋体" w:hAnsi="宋体" w:cs="宋体"/>
          <w:color w:val="000000"/>
          <w:szCs w:val="24"/>
        </w:rPr>
        <w:t>账号：</w:t>
      </w:r>
      <w:r>
        <w:rPr>
          <w:rFonts w:hint="eastAsia" w:ascii="宋体" w:hAnsi="宋体" w:cs="宋体"/>
          <w:bCs/>
          <w:color w:val="000000"/>
          <w:szCs w:val="24"/>
        </w:rPr>
        <w:t xml:space="preserve"> </w:t>
      </w:r>
    </w:p>
    <w:p>
      <w:pPr>
        <w:tabs>
          <w:tab w:val="left" w:pos="3463"/>
        </w:tabs>
        <w:spacing w:line="560" w:lineRule="exact"/>
        <w:ind w:firstLine="480" w:firstLineChars="200"/>
        <w:jc w:val="both"/>
        <w:rPr>
          <w:rFonts w:ascii="宋体" w:hAnsi="宋体" w:cs="宋体"/>
          <w:color w:val="000000"/>
          <w:szCs w:val="24"/>
        </w:rPr>
      </w:pPr>
      <w:r>
        <w:rPr>
          <w:rFonts w:hint="eastAsia" w:ascii="宋体" w:hAnsi="宋体" w:cs="宋体"/>
          <w:color w:val="000000"/>
          <w:szCs w:val="24"/>
        </w:rPr>
        <w:t>在本协议第一条约定的服务内容之外，甲方需要临时增加新的专家办公室或者会议室服务的，收费标准为：临时会议保障服务人员费用为</w:t>
      </w:r>
      <w:r>
        <w:rPr>
          <w:rFonts w:hint="eastAsia" w:ascii="宋体" w:hAnsi="宋体" w:cs="宋体"/>
          <w:color w:val="000000"/>
          <w:szCs w:val="24"/>
          <w:u w:val="single"/>
        </w:rPr>
        <w:t xml:space="preserve">   </w:t>
      </w:r>
      <w:r>
        <w:rPr>
          <w:rFonts w:hint="eastAsia" w:ascii="宋体" w:hAnsi="宋体" w:cs="宋体"/>
          <w:color w:val="000000"/>
          <w:szCs w:val="24"/>
        </w:rPr>
        <w:t>元/小时，专家办公室保障服务人员费用为</w:t>
      </w:r>
      <w:r>
        <w:rPr>
          <w:rFonts w:hint="eastAsia" w:ascii="宋体" w:hAnsi="宋体" w:cs="宋体"/>
          <w:color w:val="000000"/>
          <w:szCs w:val="24"/>
          <w:u w:val="single"/>
        </w:rPr>
        <w:t xml:space="preserve">   </w:t>
      </w:r>
      <w:r>
        <w:rPr>
          <w:rFonts w:hint="eastAsia" w:ascii="宋体" w:hAnsi="宋体" w:cs="宋体"/>
          <w:color w:val="000000"/>
          <w:szCs w:val="24"/>
        </w:rPr>
        <w:t>元/间/天，具体以甲乙双方书面确认的实际产生费用按月结算。</w:t>
      </w:r>
    </w:p>
    <w:p>
      <w:pPr>
        <w:numPr>
          <w:ilvl w:val="0"/>
          <w:numId w:val="11"/>
        </w:numPr>
        <w:tabs>
          <w:tab w:val="left" w:pos="3463"/>
        </w:tabs>
        <w:spacing w:line="560" w:lineRule="exact"/>
        <w:ind w:firstLine="480" w:firstLineChars="200"/>
        <w:jc w:val="both"/>
        <w:rPr>
          <w:rFonts w:ascii="宋体" w:hAnsi="宋体" w:cs="宋体"/>
          <w:color w:val="000000"/>
          <w:szCs w:val="24"/>
        </w:rPr>
      </w:pPr>
      <w:r>
        <w:rPr>
          <w:rFonts w:hint="eastAsia" w:ascii="宋体" w:hAnsi="宋体" w:cs="宋体"/>
          <w:color w:val="000000"/>
          <w:szCs w:val="24"/>
        </w:rPr>
        <w:t>结算规则：甲方按照实际到岗情况、检查考核情况，按期支付实际发生的费用。如实际到岗人数经过核算后支付乙方的金额超过合同总价，则乙方和甲方需签订补充合同，补充合同金额不超过原合同价的10%。</w:t>
      </w:r>
    </w:p>
    <w:p>
      <w:pPr>
        <w:numPr>
          <w:ilvl w:val="0"/>
          <w:numId w:val="11"/>
        </w:numPr>
        <w:tabs>
          <w:tab w:val="left" w:pos="3463"/>
        </w:tabs>
        <w:spacing w:line="560" w:lineRule="exact"/>
        <w:ind w:firstLine="480" w:firstLineChars="200"/>
        <w:rPr>
          <w:rFonts w:ascii="宋体" w:hAnsi="宋体" w:cs="宋体"/>
          <w:bCs/>
          <w:color w:val="000000"/>
          <w:szCs w:val="24"/>
        </w:rPr>
      </w:pPr>
      <w:r>
        <w:rPr>
          <w:rFonts w:hint="eastAsia" w:ascii="宋体" w:hAnsi="宋体" w:cs="宋体"/>
          <w:bCs/>
          <w:color w:val="000000"/>
          <w:szCs w:val="24"/>
        </w:rPr>
        <w:t>委托管理期限</w:t>
      </w:r>
    </w:p>
    <w:p>
      <w:pPr>
        <w:tabs>
          <w:tab w:val="left" w:pos="3463"/>
        </w:tabs>
        <w:spacing w:line="560" w:lineRule="exact"/>
        <w:ind w:firstLine="480" w:firstLineChars="200"/>
        <w:rPr>
          <w:rFonts w:ascii="宋体" w:hAnsi="宋体" w:cs="宋体"/>
          <w:color w:val="000000"/>
          <w:szCs w:val="24"/>
        </w:rPr>
      </w:pPr>
      <w:r>
        <w:rPr>
          <w:rFonts w:hint="eastAsia" w:ascii="宋体" w:hAnsi="宋体" w:cs="宋体"/>
          <w:color w:val="000000"/>
          <w:szCs w:val="24"/>
        </w:rPr>
        <w:t>委托管理期限自</w:t>
      </w:r>
      <w:r>
        <w:rPr>
          <w:rFonts w:hint="eastAsia" w:ascii="宋体" w:hAnsi="宋体" w:cs="宋体"/>
          <w:color w:val="000000"/>
          <w:szCs w:val="24"/>
          <w:u w:val="single"/>
        </w:rPr>
        <w:t xml:space="preserve">     </w:t>
      </w:r>
      <w:r>
        <w:rPr>
          <w:rFonts w:hint="eastAsia" w:ascii="宋体" w:hAnsi="宋体" w:cs="宋体"/>
          <w:color w:val="000000"/>
          <w:szCs w:val="24"/>
        </w:rPr>
        <w:t>年</w:t>
      </w:r>
      <w:r>
        <w:rPr>
          <w:rFonts w:hint="eastAsia" w:ascii="宋体" w:hAnsi="宋体" w:cs="宋体"/>
          <w:color w:val="000000"/>
          <w:szCs w:val="24"/>
          <w:u w:val="single"/>
        </w:rPr>
        <w:t xml:space="preserve">   </w:t>
      </w:r>
      <w:r>
        <w:rPr>
          <w:rFonts w:hint="eastAsia" w:ascii="宋体" w:hAnsi="宋体" w:cs="宋体"/>
          <w:color w:val="000000"/>
          <w:szCs w:val="24"/>
        </w:rPr>
        <w:t>月</w:t>
      </w:r>
      <w:r>
        <w:rPr>
          <w:rFonts w:hint="eastAsia" w:ascii="宋体" w:hAnsi="宋体" w:cs="宋体"/>
          <w:color w:val="000000"/>
          <w:szCs w:val="24"/>
          <w:u w:val="single"/>
        </w:rPr>
        <w:t xml:space="preserve">   </w:t>
      </w:r>
      <w:r>
        <w:rPr>
          <w:rFonts w:hint="eastAsia" w:ascii="宋体" w:hAnsi="宋体" w:cs="宋体"/>
          <w:color w:val="000000"/>
          <w:szCs w:val="24"/>
        </w:rPr>
        <w:t>日起，至</w:t>
      </w:r>
      <w:r>
        <w:rPr>
          <w:rFonts w:hint="eastAsia" w:ascii="宋体" w:hAnsi="宋体" w:cs="宋体"/>
          <w:color w:val="000000"/>
          <w:szCs w:val="24"/>
          <w:u w:val="single"/>
        </w:rPr>
        <w:t xml:space="preserve">     </w:t>
      </w:r>
      <w:r>
        <w:rPr>
          <w:rFonts w:hint="eastAsia" w:ascii="宋体" w:hAnsi="宋体" w:cs="宋体"/>
          <w:color w:val="000000"/>
          <w:szCs w:val="24"/>
        </w:rPr>
        <w:t>年</w:t>
      </w:r>
      <w:r>
        <w:rPr>
          <w:rFonts w:hint="eastAsia" w:ascii="宋体" w:hAnsi="宋体" w:cs="宋体"/>
          <w:color w:val="000000"/>
          <w:szCs w:val="24"/>
          <w:u w:val="single"/>
        </w:rPr>
        <w:t xml:space="preserve">   </w:t>
      </w:r>
      <w:r>
        <w:rPr>
          <w:rFonts w:hint="eastAsia" w:ascii="宋体" w:hAnsi="宋体" w:cs="宋体"/>
          <w:color w:val="000000"/>
          <w:szCs w:val="24"/>
        </w:rPr>
        <w:t>月</w:t>
      </w:r>
      <w:r>
        <w:rPr>
          <w:rFonts w:hint="eastAsia" w:ascii="宋体" w:hAnsi="宋体" w:cs="宋体"/>
          <w:color w:val="000000"/>
          <w:szCs w:val="24"/>
          <w:u w:val="single"/>
        </w:rPr>
        <w:t xml:space="preserve">   </w:t>
      </w:r>
      <w:r>
        <w:rPr>
          <w:rFonts w:hint="eastAsia" w:ascii="宋体" w:hAnsi="宋体" w:cs="宋体"/>
          <w:color w:val="000000"/>
          <w:szCs w:val="24"/>
        </w:rPr>
        <w:t>日止。</w:t>
      </w:r>
    </w:p>
    <w:p>
      <w:pPr>
        <w:numPr>
          <w:ilvl w:val="0"/>
          <w:numId w:val="7"/>
        </w:numPr>
        <w:tabs>
          <w:tab w:val="left" w:pos="3463"/>
        </w:tabs>
        <w:spacing w:line="560" w:lineRule="exact"/>
        <w:ind w:firstLine="640"/>
        <w:rPr>
          <w:rFonts w:ascii="宋体" w:hAnsi="宋体" w:cs="宋体"/>
          <w:bCs/>
          <w:color w:val="000000"/>
          <w:szCs w:val="24"/>
        </w:rPr>
      </w:pPr>
      <w:r>
        <w:rPr>
          <w:rFonts w:hint="eastAsia" w:ascii="宋体" w:hAnsi="宋体" w:cs="宋体"/>
          <w:bCs/>
          <w:color w:val="000000"/>
          <w:szCs w:val="24"/>
        </w:rPr>
        <w:t>违约责任</w:t>
      </w:r>
    </w:p>
    <w:p>
      <w:pPr>
        <w:tabs>
          <w:tab w:val="left" w:pos="3463"/>
        </w:tabs>
        <w:spacing w:line="560" w:lineRule="exact"/>
        <w:ind w:firstLine="480" w:firstLineChars="200"/>
        <w:jc w:val="both"/>
        <w:rPr>
          <w:rFonts w:ascii="宋体" w:hAnsi="宋体" w:cs="宋体"/>
          <w:color w:val="000000"/>
          <w:szCs w:val="24"/>
        </w:rPr>
      </w:pPr>
      <w:r>
        <w:rPr>
          <w:rFonts w:hint="eastAsia" w:ascii="宋体" w:hAnsi="宋体" w:cs="宋体"/>
          <w:color w:val="000000"/>
          <w:szCs w:val="24"/>
        </w:rPr>
        <w:t>1.甲方违约责任</w:t>
      </w:r>
    </w:p>
    <w:p>
      <w:pPr>
        <w:tabs>
          <w:tab w:val="left" w:pos="3463"/>
        </w:tabs>
        <w:spacing w:line="560" w:lineRule="exact"/>
        <w:ind w:firstLine="480" w:firstLineChars="200"/>
        <w:jc w:val="both"/>
        <w:rPr>
          <w:rFonts w:ascii="宋体" w:hAnsi="宋体" w:cs="宋体"/>
          <w:color w:val="000000"/>
          <w:szCs w:val="24"/>
        </w:rPr>
      </w:pPr>
      <w:r>
        <w:rPr>
          <w:rFonts w:hint="eastAsia" w:ascii="宋体" w:hAnsi="宋体" w:cs="宋体"/>
          <w:color w:val="000000"/>
          <w:szCs w:val="24"/>
        </w:rPr>
        <w:t xml:space="preserve">甲方逾期付款的，每逾期一日应当向乙方支付该期应付款额万分之五的违约金，逾期达到 </w:t>
      </w:r>
      <w:r>
        <w:rPr>
          <w:rFonts w:hint="eastAsia" w:ascii="宋体" w:hAnsi="宋体" w:cs="宋体"/>
          <w:color w:val="000000"/>
          <w:szCs w:val="24"/>
          <w:u w:val="single"/>
        </w:rPr>
        <w:t xml:space="preserve">     </w:t>
      </w:r>
      <w:r>
        <w:rPr>
          <w:rFonts w:hint="eastAsia" w:ascii="宋体" w:hAnsi="宋体" w:cs="宋体"/>
          <w:color w:val="000000"/>
          <w:szCs w:val="24"/>
        </w:rPr>
        <w:t>日以上的，乙方有权解除本合同并有权要求甲方结清已提供服务期间的服务费。</w:t>
      </w:r>
    </w:p>
    <w:p>
      <w:pPr>
        <w:tabs>
          <w:tab w:val="left" w:pos="3463"/>
        </w:tabs>
        <w:spacing w:line="560" w:lineRule="exact"/>
        <w:ind w:firstLine="480" w:firstLineChars="200"/>
        <w:jc w:val="both"/>
      </w:pPr>
      <w:r>
        <w:rPr>
          <w:rFonts w:hint="eastAsia" w:ascii="宋体" w:hAnsi="宋体"/>
        </w:rPr>
        <w:t>2.</w:t>
      </w:r>
      <w:r>
        <w:rPr>
          <w:rFonts w:hint="eastAsia"/>
        </w:rPr>
        <w:t>乙方违约责任</w:t>
      </w:r>
    </w:p>
    <w:p>
      <w:pPr>
        <w:tabs>
          <w:tab w:val="left" w:pos="3463"/>
        </w:tabs>
        <w:spacing w:line="560" w:lineRule="exact"/>
        <w:ind w:firstLine="480" w:firstLineChars="200"/>
        <w:jc w:val="both"/>
      </w:pPr>
      <w:r>
        <w:rPr>
          <w:rFonts w:hint="eastAsia"/>
        </w:rPr>
        <w:t>（1）乙方未足额安排工作人员驻场提供服务的，或乙方人员擅自离岗，甲方有权要求乙方立即消除影响，按照本合同约定的要求和标准在甲方指定的时间提供合格工作人员；且乙方应当按不足额或缺额人次为标准，向甲方承担合同总价款3%的违约金。</w:t>
      </w:r>
    </w:p>
    <w:p>
      <w:pPr>
        <w:tabs>
          <w:tab w:val="left" w:pos="3463"/>
        </w:tabs>
        <w:spacing w:line="560" w:lineRule="exact"/>
        <w:ind w:firstLine="480" w:firstLineChars="200"/>
        <w:jc w:val="both"/>
      </w:pPr>
      <w:r>
        <w:rPr>
          <w:rFonts w:hint="eastAsia"/>
        </w:rPr>
        <w:t>（2）甲方专家日常工作或会议进行期间，因乙方原因造成专家办公室或会场服务未达本合同约定的专家办公室清洁服务要求和会议服务要求标准的，甲方有权向乙方收取每间天不少于     元的违约金。</w:t>
      </w:r>
    </w:p>
    <w:p>
      <w:pPr>
        <w:tabs>
          <w:tab w:val="left" w:pos="3463"/>
        </w:tabs>
        <w:spacing w:line="560" w:lineRule="exact"/>
        <w:ind w:firstLine="480" w:firstLineChars="200"/>
        <w:jc w:val="both"/>
      </w:pPr>
      <w:r>
        <w:rPr>
          <w:rFonts w:hint="eastAsia"/>
        </w:rPr>
        <w:t>（3）甲方对乙方服务不满意并经三次书面要求乙方仍未改进的，甲方有权单方解除本合同。</w:t>
      </w:r>
    </w:p>
    <w:p>
      <w:pPr>
        <w:tabs>
          <w:tab w:val="left" w:pos="3463"/>
        </w:tabs>
        <w:spacing w:line="560" w:lineRule="exact"/>
        <w:ind w:firstLine="480" w:firstLineChars="200"/>
        <w:jc w:val="both"/>
        <w:rPr>
          <w:rFonts w:ascii="宋体" w:hAnsi="宋体" w:cs="宋体"/>
          <w:color w:val="000000"/>
          <w:szCs w:val="24"/>
        </w:rPr>
      </w:pPr>
      <w:r>
        <w:rPr>
          <w:rFonts w:hint="eastAsia" w:ascii="宋体" w:hAnsi="宋体" w:cs="宋体"/>
          <w:color w:val="000000"/>
          <w:szCs w:val="24"/>
        </w:rPr>
        <w:t>（4）由于疫情等非因乙方原因导致乙方无法按照本合同约定派驻人员到甲方地点完成管理服务的，乙方不承担违约责任，相关服务可顺延至不可抗力结束后继续提供，甲方仍应按照本协议约定的费用和支付方式全额向乙方支付服务顺延后的相应款项。</w:t>
      </w:r>
    </w:p>
    <w:p>
      <w:pPr>
        <w:numPr>
          <w:ilvl w:val="0"/>
          <w:numId w:val="7"/>
        </w:numPr>
        <w:tabs>
          <w:tab w:val="left" w:pos="3463"/>
        </w:tabs>
        <w:spacing w:line="560" w:lineRule="exact"/>
        <w:ind w:firstLine="640"/>
        <w:rPr>
          <w:rFonts w:ascii="宋体" w:hAnsi="宋体" w:cs="宋体"/>
          <w:bCs/>
          <w:color w:val="000000"/>
          <w:szCs w:val="24"/>
        </w:rPr>
      </w:pPr>
      <w:r>
        <w:rPr>
          <w:rFonts w:hint="eastAsia" w:ascii="宋体" w:hAnsi="宋体" w:cs="宋体"/>
          <w:bCs/>
          <w:color w:val="000000"/>
          <w:szCs w:val="24"/>
        </w:rPr>
        <w:t>其他</w:t>
      </w:r>
    </w:p>
    <w:p>
      <w:pPr>
        <w:numPr>
          <w:ilvl w:val="0"/>
          <w:numId w:val="12"/>
        </w:numPr>
        <w:tabs>
          <w:tab w:val="left" w:pos="3463"/>
        </w:tabs>
        <w:spacing w:line="560" w:lineRule="exact"/>
        <w:ind w:firstLine="480" w:firstLineChars="200"/>
        <w:jc w:val="both"/>
        <w:rPr>
          <w:rFonts w:ascii="宋体" w:hAnsi="宋体" w:cs="宋体"/>
          <w:color w:val="000000"/>
          <w:szCs w:val="24"/>
        </w:rPr>
      </w:pPr>
      <w:r>
        <w:rPr>
          <w:rFonts w:hint="eastAsia" w:ascii="宋体" w:hAnsi="宋体" w:cs="宋体"/>
          <w:color w:val="000000"/>
          <w:szCs w:val="24"/>
        </w:rPr>
        <w:t xml:space="preserve">协议各方保证对在讨论、签订、履行本协议过程中所获悉的属于其他方的且无法自公开渠道的文件及资料（包括但不限于商业秘密、公司计划、运营活动、财务信息、技术信息、经营信息及其他商业秘密）予以保密。未经该资料和文件的原提供方同意，其他方不得向任何第三方泄露该商业秘密的全部或部分内容。双方承诺保守在履行本协议过程中得知的对方的商业秘密；该保密义务在本协议终止或解除（无论何种原因）之后仍需履行。 </w:t>
      </w:r>
    </w:p>
    <w:p>
      <w:pPr>
        <w:numPr>
          <w:ilvl w:val="0"/>
          <w:numId w:val="12"/>
        </w:numPr>
        <w:tabs>
          <w:tab w:val="left" w:pos="3463"/>
        </w:tabs>
        <w:spacing w:line="560" w:lineRule="exact"/>
        <w:ind w:firstLine="480" w:firstLineChars="200"/>
        <w:rPr>
          <w:rFonts w:ascii="宋体" w:hAnsi="宋体" w:cs="宋体"/>
          <w:color w:val="000000"/>
          <w:szCs w:val="24"/>
        </w:rPr>
      </w:pPr>
      <w:r>
        <w:rPr>
          <w:rFonts w:hint="eastAsia" w:ascii="宋体" w:hAnsi="宋体" w:cs="宋体"/>
          <w:color w:val="000000"/>
          <w:szCs w:val="24"/>
        </w:rPr>
        <w:t>凡因执行本协议所发生的一切争议，双方应通过友好协商解决。如协商不能解决，双方可向北京市海淀区人民法院起诉。</w:t>
      </w:r>
    </w:p>
    <w:p>
      <w:pPr>
        <w:numPr>
          <w:ilvl w:val="0"/>
          <w:numId w:val="12"/>
        </w:numPr>
        <w:tabs>
          <w:tab w:val="left" w:pos="3463"/>
        </w:tabs>
        <w:spacing w:line="560" w:lineRule="exact"/>
        <w:ind w:firstLine="480" w:firstLineChars="200"/>
        <w:rPr>
          <w:rFonts w:ascii="宋体" w:hAnsi="宋体" w:cs="宋体"/>
          <w:color w:val="000000"/>
          <w:szCs w:val="24"/>
        </w:rPr>
      </w:pPr>
      <w:r>
        <w:rPr>
          <w:rFonts w:hint="eastAsia" w:ascii="宋体" w:hAnsi="宋体" w:cs="宋体"/>
          <w:color w:val="000000"/>
          <w:szCs w:val="24"/>
        </w:rPr>
        <w:t>本协议到期后，如合同双方未提出终止申请，则协议期限自动延续一年；同等条件下，乙方有优先续约权。</w:t>
      </w:r>
    </w:p>
    <w:p>
      <w:pPr>
        <w:numPr>
          <w:ilvl w:val="0"/>
          <w:numId w:val="12"/>
        </w:numPr>
        <w:tabs>
          <w:tab w:val="left" w:pos="3463"/>
        </w:tabs>
        <w:spacing w:line="560" w:lineRule="exact"/>
        <w:ind w:firstLine="480" w:firstLineChars="200"/>
        <w:rPr>
          <w:rFonts w:ascii="宋体" w:hAnsi="宋体" w:cs="宋体"/>
          <w:color w:val="000000"/>
          <w:szCs w:val="24"/>
        </w:rPr>
      </w:pPr>
      <w:r>
        <w:rPr>
          <w:rFonts w:hint="eastAsia" w:ascii="宋体" w:hAnsi="宋体" w:cs="宋体"/>
          <w:color w:val="000000"/>
          <w:szCs w:val="24"/>
        </w:rPr>
        <w:t xml:space="preserve">本协议如有未尽事宜，经双方同意后，可以用书面形式进行补充与修改。协议修改文件与本协议具有同等法律效力。 </w:t>
      </w:r>
    </w:p>
    <w:p>
      <w:pPr>
        <w:numPr>
          <w:ilvl w:val="0"/>
          <w:numId w:val="12"/>
        </w:numPr>
        <w:tabs>
          <w:tab w:val="left" w:pos="3463"/>
        </w:tabs>
        <w:spacing w:line="560" w:lineRule="exact"/>
        <w:ind w:firstLine="480" w:firstLineChars="200"/>
        <w:rPr>
          <w:rFonts w:ascii="宋体" w:hAnsi="宋体" w:cs="宋体"/>
          <w:color w:val="000000"/>
          <w:szCs w:val="24"/>
        </w:rPr>
      </w:pPr>
      <w:r>
        <w:rPr>
          <w:rFonts w:hint="eastAsia" w:ascii="宋体" w:hAnsi="宋体" w:cs="宋体"/>
          <w:color w:val="000000"/>
          <w:szCs w:val="24"/>
        </w:rPr>
        <w:t xml:space="preserve">本协议自双方法定代表人或授权代表签字并盖章之日起生效。本协议一式四份，甲乙双方各执两份，具同等法律效力。 </w:t>
      </w:r>
    </w:p>
    <w:p>
      <w:pPr>
        <w:tabs>
          <w:tab w:val="left" w:pos="3463"/>
        </w:tabs>
        <w:spacing w:line="560" w:lineRule="exact"/>
        <w:jc w:val="center"/>
        <w:rPr>
          <w:rFonts w:ascii="宋体" w:hAnsi="宋体" w:cs="宋体"/>
          <w:color w:val="000000"/>
          <w:szCs w:val="24"/>
        </w:rPr>
      </w:pPr>
    </w:p>
    <w:p>
      <w:pPr>
        <w:tabs>
          <w:tab w:val="left" w:pos="3463"/>
        </w:tabs>
        <w:spacing w:line="560" w:lineRule="exact"/>
        <w:jc w:val="both"/>
        <w:rPr>
          <w:rFonts w:ascii="宋体" w:hAnsi="宋体" w:cs="宋体"/>
          <w:color w:val="000000"/>
          <w:szCs w:val="24"/>
        </w:rPr>
      </w:pPr>
      <w:r>
        <w:rPr>
          <w:rFonts w:hint="eastAsia" w:ascii="宋体" w:hAnsi="宋体" w:cs="宋体"/>
          <w:color w:val="000000"/>
          <w:szCs w:val="24"/>
        </w:rPr>
        <w:t>（以下无正文）</w:t>
      </w:r>
    </w:p>
    <w:p>
      <w:pPr>
        <w:autoSpaceDE w:val="0"/>
        <w:autoSpaceDN w:val="0"/>
        <w:rPr>
          <w:rFonts w:ascii="宋体" w:hAnsi="宋体" w:cs="宋体"/>
          <w:szCs w:val="24"/>
        </w:rPr>
      </w:pPr>
    </w:p>
    <w:tbl>
      <w:tblPr>
        <w:tblStyle w:val="43"/>
        <w:tblW w:w="892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187"/>
        <w:gridCol w:w="37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3" w:hRule="atLeast"/>
          <w:jc w:val="center"/>
        </w:trPr>
        <w:tc>
          <w:tcPr>
            <w:tcW w:w="5187" w:type="dxa"/>
            <w:vAlign w:val="center"/>
          </w:tcPr>
          <w:p>
            <w:pPr>
              <w:spacing w:before="48" w:beforeLines="20" w:after="72" w:afterLines="30" w:line="480" w:lineRule="exact"/>
              <w:jc w:val="both"/>
              <w:rPr>
                <w:rFonts w:ascii="宋体" w:hAnsi="宋体" w:cs="宋体"/>
                <w:szCs w:val="24"/>
              </w:rPr>
            </w:pPr>
            <w:r>
              <w:rPr>
                <w:rFonts w:hint="eastAsia" w:ascii="宋体" w:hAnsi="宋体" w:cs="宋体"/>
                <w:szCs w:val="24"/>
              </w:rPr>
              <w:t>甲方：（盖章）</w:t>
            </w:r>
          </w:p>
        </w:tc>
        <w:tc>
          <w:tcPr>
            <w:tcW w:w="3741" w:type="dxa"/>
            <w:vAlign w:val="center"/>
          </w:tcPr>
          <w:p>
            <w:pPr>
              <w:spacing w:before="48" w:beforeLines="20" w:after="72" w:afterLines="30" w:line="480" w:lineRule="exact"/>
              <w:jc w:val="both"/>
              <w:rPr>
                <w:rFonts w:ascii="宋体" w:hAnsi="宋体" w:cs="宋体"/>
                <w:szCs w:val="24"/>
              </w:rPr>
            </w:pPr>
            <w:r>
              <w:rPr>
                <w:rFonts w:hint="eastAsia" w:ascii="宋体" w:hAnsi="宋体" w:cs="宋体"/>
                <w:szCs w:val="24"/>
              </w:rPr>
              <w:t>乙方：（盖章）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jc w:val="center"/>
        </w:trPr>
        <w:tc>
          <w:tcPr>
            <w:tcW w:w="5187" w:type="dxa"/>
            <w:vAlign w:val="center"/>
          </w:tcPr>
          <w:p>
            <w:pPr>
              <w:spacing w:before="48" w:beforeLines="20" w:after="72" w:afterLines="30" w:line="480" w:lineRule="exact"/>
              <w:jc w:val="both"/>
              <w:rPr>
                <w:rFonts w:ascii="宋体" w:hAnsi="宋体" w:cs="宋体"/>
                <w:szCs w:val="24"/>
              </w:rPr>
            </w:pPr>
            <w:r>
              <w:rPr>
                <w:rFonts w:hint="eastAsia" w:ascii="宋体" w:hAnsi="宋体" w:cs="宋体"/>
                <w:szCs w:val="24"/>
              </w:rPr>
              <w:t>甲方授权代表签字：</w:t>
            </w:r>
          </w:p>
        </w:tc>
        <w:tc>
          <w:tcPr>
            <w:tcW w:w="3741" w:type="dxa"/>
            <w:vAlign w:val="center"/>
          </w:tcPr>
          <w:p>
            <w:pPr>
              <w:spacing w:before="48" w:beforeLines="20" w:after="72" w:afterLines="30" w:line="480" w:lineRule="exact"/>
              <w:jc w:val="both"/>
              <w:rPr>
                <w:rFonts w:ascii="宋体" w:hAnsi="宋体" w:cs="宋体"/>
                <w:szCs w:val="24"/>
              </w:rPr>
            </w:pPr>
            <w:r>
              <w:rPr>
                <w:rFonts w:hint="eastAsia" w:ascii="宋体" w:hAnsi="宋体" w:cs="宋体"/>
                <w:szCs w:val="24"/>
              </w:rPr>
              <w:t>乙方授权代表签字：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jc w:val="center"/>
        </w:trPr>
        <w:tc>
          <w:tcPr>
            <w:tcW w:w="5187" w:type="dxa"/>
            <w:vAlign w:val="center"/>
          </w:tcPr>
          <w:p>
            <w:pPr>
              <w:spacing w:before="48" w:beforeLines="20" w:after="72" w:afterLines="30" w:line="480" w:lineRule="exact"/>
              <w:ind w:right="1932" w:rightChars="805"/>
              <w:jc w:val="right"/>
              <w:rPr>
                <w:rFonts w:ascii="宋体" w:hAnsi="宋体" w:cs="宋体"/>
                <w:szCs w:val="24"/>
              </w:rPr>
            </w:pPr>
          </w:p>
          <w:p>
            <w:pPr>
              <w:spacing w:before="48" w:beforeLines="20" w:after="72" w:afterLines="30" w:line="480" w:lineRule="exact"/>
              <w:ind w:right="1932" w:rightChars="805"/>
              <w:jc w:val="right"/>
              <w:rPr>
                <w:rFonts w:ascii="宋体" w:hAnsi="宋体" w:cs="宋体"/>
                <w:szCs w:val="24"/>
              </w:rPr>
            </w:pPr>
          </w:p>
          <w:p>
            <w:pPr>
              <w:spacing w:before="48" w:beforeLines="20" w:after="72" w:afterLines="30" w:line="480" w:lineRule="exact"/>
              <w:ind w:right="1932" w:rightChars="805"/>
              <w:jc w:val="right"/>
              <w:rPr>
                <w:rFonts w:ascii="宋体" w:hAnsi="宋体" w:cs="宋体"/>
                <w:szCs w:val="24"/>
              </w:rPr>
            </w:pPr>
            <w:r>
              <w:rPr>
                <w:rFonts w:hint="eastAsia" w:ascii="宋体" w:hAnsi="宋体" w:cs="宋体"/>
                <w:szCs w:val="24"/>
              </w:rPr>
              <w:t>年  月  日</w:t>
            </w:r>
          </w:p>
        </w:tc>
        <w:tc>
          <w:tcPr>
            <w:tcW w:w="3741" w:type="dxa"/>
            <w:vAlign w:val="center"/>
          </w:tcPr>
          <w:p>
            <w:pPr>
              <w:spacing w:before="48" w:beforeLines="20" w:after="72" w:afterLines="30" w:line="480" w:lineRule="exact"/>
              <w:ind w:right="506" w:rightChars="211"/>
              <w:jc w:val="right"/>
              <w:rPr>
                <w:rFonts w:ascii="宋体" w:hAnsi="宋体" w:cs="宋体"/>
                <w:szCs w:val="24"/>
              </w:rPr>
            </w:pPr>
          </w:p>
          <w:p>
            <w:pPr>
              <w:spacing w:before="48" w:beforeLines="20" w:after="72" w:afterLines="30" w:line="480" w:lineRule="exact"/>
              <w:ind w:right="506" w:rightChars="211"/>
              <w:jc w:val="right"/>
              <w:rPr>
                <w:rFonts w:ascii="宋体" w:hAnsi="宋体" w:cs="宋体"/>
                <w:szCs w:val="24"/>
              </w:rPr>
            </w:pPr>
          </w:p>
          <w:p>
            <w:pPr>
              <w:spacing w:before="48" w:beforeLines="20" w:after="72" w:afterLines="30" w:line="480" w:lineRule="exact"/>
              <w:ind w:right="506" w:rightChars="211"/>
              <w:jc w:val="right"/>
              <w:rPr>
                <w:rFonts w:ascii="宋体" w:hAnsi="宋体" w:cs="宋体"/>
                <w:szCs w:val="24"/>
              </w:rPr>
            </w:pPr>
            <w:r>
              <w:rPr>
                <w:rFonts w:hint="eastAsia" w:ascii="宋体" w:hAnsi="宋体" w:cs="宋体"/>
                <w:szCs w:val="24"/>
              </w:rPr>
              <w:t>年  月  日</w:t>
            </w:r>
          </w:p>
        </w:tc>
      </w:tr>
    </w:tbl>
    <w:p>
      <w:pPr>
        <w:tabs>
          <w:tab w:val="left" w:pos="3463"/>
        </w:tabs>
        <w:spacing w:line="560" w:lineRule="exact"/>
        <w:rPr>
          <w:rFonts w:ascii="仿宋" w:hAnsi="仿宋" w:eastAsia="仿宋"/>
          <w:color w:val="000000"/>
          <w:sz w:val="32"/>
        </w:rPr>
      </w:pPr>
    </w:p>
    <w:p>
      <w:pPr>
        <w:widowControl/>
        <w:spacing w:line="560" w:lineRule="exact"/>
        <w:ind w:firstLine="512" w:firstLineChars="200"/>
        <w:rPr>
          <w:rFonts w:ascii="仿宋_GB2312" w:hAnsi="仿宋" w:eastAsia="仿宋_GB2312" w:cs="Arial"/>
          <w:bCs/>
          <w:w w:val="80"/>
          <w:sz w:val="32"/>
          <w:szCs w:val="32"/>
        </w:rPr>
      </w:pPr>
    </w:p>
    <w:p>
      <w:pPr>
        <w:pStyle w:val="3"/>
        <w:jc w:val="center"/>
        <w:rPr>
          <w:rFonts w:ascii="宋体" w:hAnsi="宋体" w:cs="宋体"/>
          <w:b w:val="0"/>
          <w:kern w:val="0"/>
          <w:sz w:val="28"/>
          <w:szCs w:val="28"/>
        </w:rPr>
      </w:pPr>
      <w:r>
        <w:rPr>
          <w:rFonts w:hint="eastAsia" w:ascii="宋体" w:hAnsi="宋体" w:cs="宋体"/>
          <w:sz w:val="32"/>
          <w:szCs w:val="32"/>
        </w:rPr>
        <w:br w:type="page"/>
      </w:r>
      <w:bookmarkStart w:id="692" w:name="_Toc14831"/>
      <w:bookmarkStart w:id="693" w:name="_Toc6567"/>
      <w:bookmarkStart w:id="694" w:name="_Toc26854"/>
      <w:bookmarkStart w:id="695" w:name="_Toc4255"/>
      <w:r>
        <w:rPr>
          <w:rFonts w:hint="eastAsia" w:ascii="Arial" w:hAnsi="Arial" w:eastAsia="黑体"/>
          <w:kern w:val="0"/>
          <w:sz w:val="32"/>
          <w:szCs w:val="32"/>
        </w:rPr>
        <w:t>第四章  服务需求书</w:t>
      </w:r>
      <w:bookmarkEnd w:id="692"/>
      <w:bookmarkEnd w:id="693"/>
      <w:bookmarkEnd w:id="694"/>
      <w:bookmarkEnd w:id="695"/>
    </w:p>
    <w:p>
      <w:pPr>
        <w:tabs>
          <w:tab w:val="left" w:pos="3780"/>
        </w:tabs>
        <w:adjustRightInd/>
        <w:spacing w:line="360" w:lineRule="auto"/>
        <w:ind w:firstLine="480" w:firstLineChars="200"/>
        <w:textAlignment w:val="auto"/>
        <w:rPr>
          <w:rFonts w:ascii="宋体" w:hAnsi="宋体" w:cs="宋体"/>
          <w:bCs/>
          <w:szCs w:val="24"/>
        </w:rPr>
      </w:pPr>
      <w:r>
        <w:rPr>
          <w:rFonts w:hint="eastAsia" w:ascii="宋体" w:hAnsi="宋体" w:cs="宋体"/>
          <w:bCs/>
          <w:szCs w:val="24"/>
        </w:rPr>
        <w:t>“*”标志的为实质性条款，如有不符合将按无效磋商响应处理。</w:t>
      </w:r>
    </w:p>
    <w:p>
      <w:pPr>
        <w:tabs>
          <w:tab w:val="left" w:pos="3780"/>
        </w:tabs>
        <w:adjustRightInd/>
        <w:spacing w:line="360" w:lineRule="auto"/>
        <w:ind w:firstLine="482" w:firstLineChars="200"/>
        <w:textAlignment w:val="auto"/>
        <w:rPr>
          <w:rFonts w:ascii="宋体" w:hAnsi="宋体" w:cs="宋体"/>
          <w:bCs/>
          <w:szCs w:val="24"/>
        </w:rPr>
      </w:pPr>
      <w:r>
        <w:rPr>
          <w:rFonts w:hint="eastAsia" w:ascii="宋体" w:hAnsi="宋体" w:cs="宋体"/>
          <w:b/>
          <w:szCs w:val="24"/>
        </w:rPr>
        <w:t>一、项目基本情况</w:t>
      </w:r>
      <w:r>
        <w:rPr>
          <w:rFonts w:hint="eastAsia" w:ascii="宋体" w:hAnsi="宋体" w:cs="宋体"/>
          <w:bCs/>
          <w:szCs w:val="24"/>
        </w:rPr>
        <w:t xml:space="preserve"> </w:t>
      </w:r>
    </w:p>
    <w:p>
      <w:pPr>
        <w:tabs>
          <w:tab w:val="left" w:pos="3780"/>
        </w:tabs>
        <w:adjustRightInd/>
        <w:spacing w:line="360" w:lineRule="auto"/>
        <w:ind w:firstLine="482" w:firstLineChars="200"/>
        <w:textAlignment w:val="auto"/>
        <w:rPr>
          <w:rFonts w:ascii="宋体" w:hAnsi="宋体" w:cs="宋体"/>
          <w:bCs/>
          <w:szCs w:val="24"/>
        </w:rPr>
      </w:pPr>
      <w:r>
        <w:rPr>
          <w:rFonts w:hint="eastAsia" w:ascii="宋体" w:hAnsi="宋体" w:cs="宋体"/>
          <w:b/>
          <w:szCs w:val="24"/>
        </w:rPr>
        <w:t>项目名称：</w:t>
      </w:r>
      <w:r>
        <w:rPr>
          <w:rFonts w:hint="eastAsia" w:ascii="宋体" w:hAnsi="宋体" w:cs="宋体"/>
          <w:bCs/>
          <w:szCs w:val="24"/>
        </w:rPr>
        <w:t>某实验室会议辅助服务项目</w:t>
      </w:r>
    </w:p>
    <w:p>
      <w:pPr>
        <w:tabs>
          <w:tab w:val="left" w:pos="3780"/>
        </w:tabs>
        <w:adjustRightInd/>
        <w:spacing w:line="360" w:lineRule="auto"/>
        <w:ind w:firstLine="482" w:firstLineChars="200"/>
        <w:textAlignment w:val="auto"/>
        <w:rPr>
          <w:rFonts w:ascii="宋体" w:hAnsi="宋体" w:cs="宋体"/>
          <w:bCs/>
          <w:szCs w:val="24"/>
        </w:rPr>
      </w:pPr>
      <w:r>
        <w:rPr>
          <w:rFonts w:hint="eastAsia" w:ascii="宋体" w:hAnsi="宋体" w:cs="宋体"/>
          <w:b/>
          <w:szCs w:val="24"/>
        </w:rPr>
        <w:t>预算金额：</w:t>
      </w:r>
      <w:r>
        <w:rPr>
          <w:rFonts w:ascii="宋体" w:hAnsi="宋体" w:cs="宋体"/>
          <w:bCs/>
          <w:szCs w:val="24"/>
          <w:u w:val="single"/>
        </w:rPr>
        <w:t>183</w:t>
      </w:r>
      <w:r>
        <w:rPr>
          <w:rFonts w:hint="eastAsia" w:ascii="宋体" w:hAnsi="宋体" w:cs="宋体"/>
          <w:bCs/>
          <w:szCs w:val="24"/>
          <w:u w:val="single"/>
        </w:rPr>
        <w:t>万元</w:t>
      </w:r>
    </w:p>
    <w:p>
      <w:pPr>
        <w:tabs>
          <w:tab w:val="left" w:pos="3780"/>
        </w:tabs>
        <w:adjustRightInd/>
        <w:spacing w:line="360" w:lineRule="auto"/>
        <w:ind w:firstLine="482" w:firstLineChars="200"/>
        <w:textAlignment w:val="auto"/>
        <w:rPr>
          <w:rFonts w:ascii="宋体" w:hAnsi="宋体" w:cs="宋体"/>
          <w:bCs/>
          <w:szCs w:val="24"/>
          <w:u w:val="single"/>
        </w:rPr>
      </w:pPr>
      <w:r>
        <w:rPr>
          <w:rFonts w:hint="eastAsia" w:ascii="宋体" w:hAnsi="宋体" w:cs="宋体"/>
          <w:b/>
          <w:szCs w:val="24"/>
        </w:rPr>
        <w:t>最高限价：</w:t>
      </w:r>
      <w:r>
        <w:rPr>
          <w:rFonts w:ascii="宋体" w:hAnsi="宋体" w:cs="宋体"/>
          <w:bCs/>
          <w:szCs w:val="24"/>
          <w:u w:val="single"/>
        </w:rPr>
        <w:t>183</w:t>
      </w:r>
      <w:r>
        <w:rPr>
          <w:rFonts w:hint="eastAsia" w:ascii="宋体" w:hAnsi="宋体" w:cs="宋体"/>
          <w:bCs/>
          <w:szCs w:val="24"/>
          <w:u w:val="single"/>
        </w:rPr>
        <w:t>万元</w:t>
      </w:r>
    </w:p>
    <w:p>
      <w:pPr>
        <w:tabs>
          <w:tab w:val="left" w:pos="3780"/>
        </w:tabs>
        <w:adjustRightInd/>
        <w:spacing w:line="360" w:lineRule="auto"/>
        <w:ind w:firstLine="482" w:firstLineChars="200"/>
        <w:textAlignment w:val="auto"/>
        <w:rPr>
          <w:rFonts w:ascii="宋体" w:hAnsi="宋体" w:cs="宋体"/>
          <w:bCs/>
          <w:szCs w:val="24"/>
          <w:u w:val="single"/>
        </w:rPr>
      </w:pPr>
      <w:r>
        <w:rPr>
          <w:rFonts w:hint="eastAsia" w:ascii="宋体" w:hAnsi="宋体" w:cs="宋体"/>
          <w:b/>
          <w:szCs w:val="24"/>
        </w:rPr>
        <w:t>服务期限：</w:t>
      </w:r>
      <w:r>
        <w:rPr>
          <w:rFonts w:hint="eastAsia" w:ascii="宋体" w:hAnsi="宋体" w:cs="宋体"/>
          <w:bCs/>
          <w:szCs w:val="24"/>
          <w:u w:val="single"/>
        </w:rPr>
        <w:t>1年</w:t>
      </w:r>
    </w:p>
    <w:p>
      <w:pPr>
        <w:tabs>
          <w:tab w:val="left" w:pos="3780"/>
        </w:tabs>
        <w:adjustRightInd/>
        <w:spacing w:line="360" w:lineRule="auto"/>
        <w:ind w:firstLine="482" w:firstLineChars="200"/>
        <w:textAlignment w:val="auto"/>
        <w:rPr>
          <w:rFonts w:ascii="宋体" w:hAnsi="宋体" w:cs="宋体"/>
          <w:bCs/>
          <w:szCs w:val="24"/>
          <w:u w:val="single"/>
        </w:rPr>
      </w:pPr>
      <w:r>
        <w:rPr>
          <w:rFonts w:hint="eastAsia" w:ascii="宋体" w:hAnsi="宋体" w:cs="宋体"/>
          <w:b/>
          <w:szCs w:val="24"/>
        </w:rPr>
        <w:t>服务地点：</w:t>
      </w:r>
      <w:r>
        <w:rPr>
          <w:rFonts w:hint="eastAsia" w:ascii="宋体" w:hAnsi="宋体" w:cs="宋体"/>
          <w:bCs/>
          <w:szCs w:val="24"/>
          <w:u w:val="single"/>
        </w:rPr>
        <w:t>实创科技园</w:t>
      </w:r>
    </w:p>
    <w:p>
      <w:pPr>
        <w:tabs>
          <w:tab w:val="left" w:pos="3780"/>
        </w:tabs>
        <w:adjustRightInd/>
        <w:spacing w:line="360" w:lineRule="auto"/>
        <w:ind w:firstLine="482" w:firstLineChars="200"/>
        <w:textAlignment w:val="auto"/>
        <w:rPr>
          <w:rFonts w:ascii="宋体" w:hAnsi="宋体" w:cs="宋体"/>
          <w:b/>
          <w:szCs w:val="24"/>
        </w:rPr>
      </w:pPr>
      <w:r>
        <w:rPr>
          <w:rFonts w:hint="eastAsia" w:ascii="宋体" w:hAnsi="宋体" w:cs="宋体"/>
          <w:b/>
          <w:szCs w:val="24"/>
        </w:rPr>
        <w:t>二、申请人的资格要求：</w:t>
      </w:r>
    </w:p>
    <w:p>
      <w:pPr>
        <w:tabs>
          <w:tab w:val="left" w:pos="3780"/>
        </w:tabs>
        <w:adjustRightInd/>
        <w:spacing w:line="360" w:lineRule="auto"/>
        <w:ind w:firstLine="480" w:firstLineChars="200"/>
        <w:textAlignment w:val="auto"/>
        <w:rPr>
          <w:rFonts w:ascii="宋体" w:hAnsi="宋体" w:cs="宋体"/>
          <w:bCs/>
          <w:szCs w:val="24"/>
        </w:rPr>
      </w:pPr>
      <w:r>
        <w:rPr>
          <w:rFonts w:hint="eastAsia" w:ascii="宋体" w:hAnsi="宋体" w:cs="宋体"/>
          <w:bCs/>
          <w:szCs w:val="24"/>
        </w:rPr>
        <w:t>1、满足《中华人民共和国政府采购法》第二十二条规定：</w:t>
      </w:r>
    </w:p>
    <w:p>
      <w:pPr>
        <w:tabs>
          <w:tab w:val="left" w:pos="3780"/>
        </w:tabs>
        <w:adjustRightInd/>
        <w:spacing w:line="360" w:lineRule="auto"/>
        <w:ind w:firstLine="480" w:firstLineChars="200"/>
        <w:textAlignment w:val="auto"/>
        <w:rPr>
          <w:rFonts w:ascii="宋体" w:hAnsi="宋体" w:cs="宋体"/>
          <w:bCs/>
          <w:szCs w:val="24"/>
        </w:rPr>
      </w:pPr>
      <w:r>
        <w:rPr>
          <w:rFonts w:hint="eastAsia" w:ascii="宋体" w:hAnsi="宋体" w:cs="宋体"/>
          <w:bCs/>
          <w:szCs w:val="24"/>
        </w:rPr>
        <w:t>（1）具有独立承担民事责任的能力；</w:t>
      </w:r>
    </w:p>
    <w:p>
      <w:pPr>
        <w:tabs>
          <w:tab w:val="left" w:pos="3780"/>
        </w:tabs>
        <w:adjustRightInd/>
        <w:spacing w:line="360" w:lineRule="auto"/>
        <w:ind w:firstLine="480" w:firstLineChars="200"/>
        <w:textAlignment w:val="auto"/>
        <w:rPr>
          <w:rFonts w:ascii="宋体" w:hAnsi="宋体" w:cs="宋体"/>
          <w:bCs/>
          <w:szCs w:val="24"/>
        </w:rPr>
      </w:pPr>
      <w:r>
        <w:rPr>
          <w:rFonts w:hint="eastAsia" w:ascii="宋体" w:hAnsi="宋体" w:cs="宋体"/>
          <w:bCs/>
          <w:szCs w:val="24"/>
        </w:rPr>
        <w:t>（2）具有良好的商业信誉和健全的财务会计制度；</w:t>
      </w:r>
    </w:p>
    <w:p>
      <w:pPr>
        <w:tabs>
          <w:tab w:val="left" w:pos="3780"/>
        </w:tabs>
        <w:adjustRightInd/>
        <w:spacing w:line="360" w:lineRule="auto"/>
        <w:ind w:firstLine="480" w:firstLineChars="200"/>
        <w:textAlignment w:val="auto"/>
        <w:rPr>
          <w:rFonts w:ascii="宋体" w:hAnsi="宋体" w:cs="宋体"/>
          <w:bCs/>
          <w:szCs w:val="24"/>
        </w:rPr>
      </w:pPr>
      <w:r>
        <w:rPr>
          <w:rFonts w:hint="eastAsia" w:ascii="宋体" w:hAnsi="宋体" w:cs="宋体"/>
          <w:bCs/>
          <w:szCs w:val="24"/>
        </w:rPr>
        <w:t>（3）具有履行合同所必需的设备和专业技术能力；</w:t>
      </w:r>
    </w:p>
    <w:p>
      <w:pPr>
        <w:tabs>
          <w:tab w:val="left" w:pos="3780"/>
        </w:tabs>
        <w:adjustRightInd/>
        <w:spacing w:line="360" w:lineRule="auto"/>
        <w:ind w:firstLine="480" w:firstLineChars="200"/>
        <w:textAlignment w:val="auto"/>
        <w:rPr>
          <w:rFonts w:ascii="宋体" w:hAnsi="宋体" w:cs="宋体"/>
          <w:bCs/>
          <w:szCs w:val="24"/>
        </w:rPr>
      </w:pPr>
      <w:r>
        <w:rPr>
          <w:rFonts w:hint="eastAsia" w:ascii="宋体" w:hAnsi="宋体" w:cs="宋体"/>
          <w:bCs/>
          <w:szCs w:val="24"/>
        </w:rPr>
        <w:t>（4）有依法缴纳税收和社会保障资金的良好记录；</w:t>
      </w:r>
    </w:p>
    <w:p>
      <w:pPr>
        <w:tabs>
          <w:tab w:val="left" w:pos="3780"/>
        </w:tabs>
        <w:adjustRightInd/>
        <w:spacing w:line="360" w:lineRule="auto"/>
        <w:ind w:firstLine="480" w:firstLineChars="200"/>
        <w:textAlignment w:val="auto"/>
        <w:rPr>
          <w:rFonts w:ascii="宋体" w:hAnsi="宋体" w:cs="宋体"/>
          <w:bCs/>
          <w:szCs w:val="24"/>
        </w:rPr>
      </w:pPr>
      <w:r>
        <w:rPr>
          <w:rFonts w:hint="eastAsia" w:ascii="宋体" w:hAnsi="宋体" w:cs="宋体"/>
          <w:bCs/>
          <w:szCs w:val="24"/>
        </w:rPr>
        <w:t>（5）参加政府采购活动前三年内，在经营活动中没有重大违法记录；</w:t>
      </w:r>
    </w:p>
    <w:p>
      <w:pPr>
        <w:tabs>
          <w:tab w:val="left" w:pos="3780"/>
        </w:tabs>
        <w:adjustRightInd/>
        <w:spacing w:line="360" w:lineRule="auto"/>
        <w:ind w:firstLine="480" w:firstLineChars="200"/>
        <w:textAlignment w:val="auto"/>
        <w:rPr>
          <w:rFonts w:ascii="宋体" w:hAnsi="宋体" w:cs="宋体"/>
          <w:bCs/>
          <w:szCs w:val="24"/>
        </w:rPr>
      </w:pPr>
      <w:r>
        <w:rPr>
          <w:rFonts w:hint="eastAsia" w:ascii="宋体" w:hAnsi="宋体" w:cs="宋体"/>
          <w:bCs/>
          <w:szCs w:val="24"/>
        </w:rPr>
        <w:t>（6）法律、行政法规规定的其他条件；</w:t>
      </w:r>
    </w:p>
    <w:p>
      <w:pPr>
        <w:tabs>
          <w:tab w:val="left" w:pos="3780"/>
        </w:tabs>
        <w:adjustRightInd/>
        <w:spacing w:line="360" w:lineRule="auto"/>
        <w:ind w:firstLine="480" w:firstLineChars="200"/>
        <w:textAlignment w:val="auto"/>
        <w:rPr>
          <w:rFonts w:ascii="宋体" w:hAnsi="宋体" w:cs="宋体"/>
          <w:bCs/>
          <w:szCs w:val="24"/>
        </w:rPr>
      </w:pPr>
      <w:r>
        <w:rPr>
          <w:rFonts w:hint="eastAsia" w:ascii="宋体" w:hAnsi="宋体" w:cs="宋体"/>
          <w:bCs/>
          <w:szCs w:val="24"/>
        </w:rPr>
        <w:t>2、落实政府采购政策需满足的资格要求：无</w:t>
      </w:r>
    </w:p>
    <w:p>
      <w:pPr>
        <w:tabs>
          <w:tab w:val="left" w:pos="3780"/>
        </w:tabs>
        <w:adjustRightInd/>
        <w:spacing w:line="360" w:lineRule="auto"/>
        <w:ind w:firstLine="480" w:firstLineChars="200"/>
        <w:textAlignment w:val="auto"/>
        <w:rPr>
          <w:rFonts w:ascii="宋体" w:hAnsi="宋体" w:cs="宋体"/>
          <w:bCs/>
          <w:szCs w:val="24"/>
        </w:rPr>
      </w:pPr>
      <w:r>
        <w:rPr>
          <w:rFonts w:hint="eastAsia" w:ascii="宋体" w:hAnsi="宋体" w:cs="宋体"/>
          <w:bCs/>
          <w:szCs w:val="24"/>
        </w:rPr>
        <w:t>3、供应商不得被列入“信用中国”网站（www.creditchina.gov.cn）信用记录失信被执行人、重大税收违法案件当事人名单和中国政府采购网（www.ccgp.gov.cn）政府采购严重违法失信行为记录名单。</w:t>
      </w:r>
    </w:p>
    <w:p>
      <w:pPr>
        <w:tabs>
          <w:tab w:val="left" w:pos="3780"/>
        </w:tabs>
        <w:adjustRightInd/>
        <w:spacing w:line="360" w:lineRule="auto"/>
        <w:ind w:firstLine="482" w:firstLineChars="200"/>
        <w:textAlignment w:val="auto"/>
        <w:rPr>
          <w:rFonts w:ascii="宋体" w:hAnsi="宋体" w:cs="宋体"/>
          <w:b/>
          <w:szCs w:val="24"/>
        </w:rPr>
      </w:pPr>
      <w:r>
        <w:rPr>
          <w:rFonts w:hint="eastAsia" w:ascii="宋体" w:hAnsi="宋体" w:cs="宋体"/>
          <w:b/>
          <w:szCs w:val="24"/>
        </w:rPr>
        <w:t>三、服务内容</w:t>
      </w:r>
    </w:p>
    <w:p>
      <w:pPr>
        <w:tabs>
          <w:tab w:val="left" w:pos="3780"/>
        </w:tabs>
        <w:adjustRightInd/>
        <w:spacing w:line="360" w:lineRule="auto"/>
        <w:ind w:firstLine="480" w:firstLineChars="200"/>
        <w:jc w:val="both"/>
        <w:textAlignment w:val="auto"/>
        <w:rPr>
          <w:rFonts w:ascii="宋体" w:hAnsi="宋体" w:cs="宋体"/>
          <w:bCs/>
          <w:szCs w:val="24"/>
        </w:rPr>
      </w:pPr>
      <w:r>
        <w:rPr>
          <w:rFonts w:hint="eastAsia" w:ascii="宋体" w:hAnsi="宋体" w:cs="宋体"/>
          <w:bCs/>
          <w:szCs w:val="24"/>
        </w:rPr>
        <w:t>日常管理服务:</w:t>
      </w:r>
      <w:r>
        <w:rPr>
          <w:rFonts w:hint="eastAsia" w:ascii="宋体" w:hAnsi="宋体" w:cs="宋体"/>
          <w:bCs/>
          <w:color w:val="000000"/>
          <w:szCs w:val="24"/>
        </w:rPr>
        <w:t xml:space="preserve"> 会议室服务、专家办公室清洁服务，</w:t>
      </w:r>
      <w:r>
        <w:rPr>
          <w:rFonts w:hint="eastAsia" w:ascii="宋体" w:hAnsi="宋体" w:cs="宋体"/>
          <w:bCs/>
          <w:szCs w:val="24"/>
        </w:rPr>
        <w:t>预计</w:t>
      </w:r>
      <w:r>
        <w:rPr>
          <w:rFonts w:ascii="宋体" w:hAnsi="宋体" w:cs="宋体"/>
          <w:bCs/>
          <w:szCs w:val="24"/>
        </w:rPr>
        <w:t>2</w:t>
      </w:r>
      <w:r>
        <w:rPr>
          <w:rFonts w:hint="eastAsia" w:ascii="宋体" w:hAnsi="宋体" w:cs="宋体"/>
          <w:bCs/>
          <w:szCs w:val="24"/>
        </w:rPr>
        <w:t>栋楼共有约2</w:t>
      </w:r>
      <w:r>
        <w:rPr>
          <w:rFonts w:ascii="宋体" w:hAnsi="宋体" w:cs="宋体"/>
          <w:bCs/>
          <w:szCs w:val="24"/>
        </w:rPr>
        <w:t>6</w:t>
      </w:r>
      <w:r>
        <w:rPr>
          <w:rFonts w:hint="eastAsia" w:ascii="宋体" w:hAnsi="宋体" w:cs="宋体"/>
          <w:bCs/>
          <w:szCs w:val="24"/>
        </w:rPr>
        <w:t>个专家办公室、</w:t>
      </w:r>
      <w:r>
        <w:rPr>
          <w:rFonts w:ascii="宋体" w:hAnsi="宋体" w:cs="宋体"/>
          <w:bCs/>
          <w:szCs w:val="24"/>
        </w:rPr>
        <w:t>3</w:t>
      </w:r>
      <w:r>
        <w:rPr>
          <w:rFonts w:hint="eastAsia" w:ascii="宋体" w:hAnsi="宋体" w:cs="宋体"/>
          <w:bCs/>
          <w:szCs w:val="24"/>
        </w:rPr>
        <w:t>0个会议室及</w:t>
      </w:r>
      <w:r>
        <w:rPr>
          <w:rFonts w:hint="eastAsia" w:ascii="宋体" w:hAnsi="宋体" w:cs="宋体"/>
          <w:bCs/>
          <w:color w:val="000000"/>
          <w:szCs w:val="24"/>
        </w:rPr>
        <w:t>13个员工休息室（以上房间数为预估间数，具体以甲方实际情况为准）</w:t>
      </w:r>
      <w:r>
        <w:rPr>
          <w:rFonts w:hint="eastAsia" w:ascii="宋体" w:hAnsi="宋体" w:cs="宋体"/>
          <w:bCs/>
          <w:szCs w:val="24"/>
        </w:rPr>
        <w:t>，服务期间供应商根据采购人房间及会议室具体使用情况，安排相应的服务人员，非特殊情况一般不会同时进行会议。</w:t>
      </w:r>
    </w:p>
    <w:p>
      <w:pPr>
        <w:tabs>
          <w:tab w:val="left" w:pos="3780"/>
        </w:tabs>
        <w:adjustRightInd/>
        <w:spacing w:line="360" w:lineRule="auto"/>
        <w:ind w:firstLine="482" w:firstLineChars="200"/>
        <w:textAlignment w:val="auto"/>
        <w:rPr>
          <w:rFonts w:ascii="宋体" w:hAnsi="宋体" w:cs="宋体"/>
          <w:b/>
          <w:szCs w:val="24"/>
        </w:rPr>
      </w:pPr>
      <w:r>
        <w:rPr>
          <w:rFonts w:hint="eastAsia" w:ascii="宋体" w:hAnsi="宋体" w:cs="宋体"/>
          <w:b/>
          <w:szCs w:val="24"/>
        </w:rPr>
        <w:t>四、人员要求</w:t>
      </w:r>
    </w:p>
    <w:p>
      <w:pPr>
        <w:spacing w:line="360" w:lineRule="auto"/>
        <w:ind w:firstLine="241" w:firstLineChars="100"/>
        <w:rPr>
          <w:rFonts w:ascii="宋体" w:hAnsi="宋体" w:cs="宋体"/>
          <w:color w:val="000000"/>
          <w:szCs w:val="24"/>
        </w:rPr>
      </w:pPr>
      <w:r>
        <w:rPr>
          <w:rFonts w:hint="eastAsia" w:ascii="宋体" w:hAnsi="宋体" w:cs="宋体"/>
          <w:b/>
          <w:bCs/>
          <w:color w:val="000000"/>
          <w:szCs w:val="24"/>
        </w:rPr>
        <w:t xml:space="preserve">* </w:t>
      </w:r>
      <w:r>
        <w:rPr>
          <w:rFonts w:ascii="宋体" w:hAnsi="宋体" w:cs="宋体"/>
          <w:color w:val="000000"/>
          <w:szCs w:val="24"/>
        </w:rPr>
        <w:t>1</w:t>
      </w:r>
      <w:r>
        <w:rPr>
          <w:rFonts w:hint="eastAsia" w:ascii="宋体" w:hAnsi="宋体" w:cs="宋体"/>
          <w:color w:val="000000"/>
          <w:szCs w:val="24"/>
        </w:rPr>
        <w:t>．派驻本项目人员应当不少于</w:t>
      </w:r>
      <w:r>
        <w:rPr>
          <w:rFonts w:ascii="宋体" w:hAnsi="宋体" w:cs="宋体"/>
          <w:color w:val="000000"/>
          <w:szCs w:val="24"/>
        </w:rPr>
        <w:t>10</w:t>
      </w:r>
      <w:r>
        <w:rPr>
          <w:rFonts w:hint="eastAsia" w:ascii="宋体" w:hAnsi="宋体" w:cs="宋体"/>
          <w:color w:val="000000"/>
          <w:szCs w:val="24"/>
        </w:rPr>
        <w:t>人根据实际工作时间提供服务，具体服务人员需配合甲方实际情况安排。</w:t>
      </w:r>
    </w:p>
    <w:p>
      <w:pPr>
        <w:spacing w:line="360" w:lineRule="auto"/>
        <w:ind w:firstLine="480" w:firstLineChars="200"/>
        <w:rPr>
          <w:rFonts w:ascii="宋体" w:hAnsi="宋体" w:cs="宋体"/>
          <w:szCs w:val="24"/>
        </w:rPr>
      </w:pPr>
      <w:r>
        <w:rPr>
          <w:rFonts w:ascii="宋体" w:hAnsi="宋体" w:cs="宋体"/>
          <w:color w:val="000000"/>
          <w:szCs w:val="24"/>
        </w:rPr>
        <w:t>2</w:t>
      </w:r>
      <w:r>
        <w:rPr>
          <w:rFonts w:hint="eastAsia" w:ascii="宋体" w:hAnsi="宋体" w:cs="宋体"/>
          <w:color w:val="000000"/>
          <w:szCs w:val="24"/>
        </w:rPr>
        <w:t>. 供应商需派驻一名项目负责人，由此人专门与采购人对接相关工作。</w:t>
      </w:r>
    </w:p>
    <w:p>
      <w:pPr>
        <w:spacing w:line="360" w:lineRule="auto"/>
        <w:ind w:right="-578" w:rightChars="-241" w:firstLine="480" w:firstLineChars="200"/>
        <w:rPr>
          <w:rFonts w:ascii="宋体" w:hAnsi="宋体" w:cs="宋体"/>
          <w:szCs w:val="24"/>
        </w:rPr>
      </w:pPr>
      <w:r>
        <w:rPr>
          <w:rFonts w:ascii="宋体" w:hAnsi="宋体" w:cs="宋体"/>
          <w:color w:val="000000"/>
          <w:szCs w:val="24"/>
        </w:rPr>
        <w:t>3</w:t>
      </w:r>
      <w:r>
        <w:rPr>
          <w:rFonts w:hint="eastAsia" w:ascii="宋体" w:hAnsi="宋体" w:cs="宋体"/>
          <w:color w:val="000000"/>
          <w:szCs w:val="24"/>
        </w:rPr>
        <w:t>．合理保障采购人原有工作人员的工作岗位安排，纳入统一的管理体系。</w:t>
      </w:r>
    </w:p>
    <w:p>
      <w:pPr>
        <w:spacing w:line="360" w:lineRule="auto"/>
        <w:ind w:firstLine="480" w:firstLineChars="200"/>
        <w:rPr>
          <w:rFonts w:ascii="宋体" w:hAnsi="宋体" w:cs="宋体"/>
          <w:color w:val="000000"/>
          <w:szCs w:val="24"/>
        </w:rPr>
      </w:pPr>
      <w:r>
        <w:rPr>
          <w:rFonts w:ascii="宋体" w:hAnsi="宋体" w:cs="宋体"/>
          <w:color w:val="000000"/>
          <w:szCs w:val="24"/>
        </w:rPr>
        <w:t>4</w:t>
      </w:r>
      <w:r>
        <w:rPr>
          <w:rFonts w:hint="eastAsia" w:ascii="宋体" w:hAnsi="宋体" w:cs="宋体"/>
          <w:color w:val="000000"/>
          <w:szCs w:val="24"/>
        </w:rPr>
        <w:t>．所有工作人员岗位应服从采购人各部门要求并接受人员调动安排。</w:t>
      </w:r>
    </w:p>
    <w:p>
      <w:pPr>
        <w:spacing w:line="360" w:lineRule="auto"/>
        <w:ind w:firstLine="480" w:firstLineChars="200"/>
        <w:rPr>
          <w:rFonts w:ascii="宋体" w:hAnsi="宋体" w:cs="宋体"/>
          <w:szCs w:val="24"/>
        </w:rPr>
      </w:pPr>
      <w:r>
        <w:rPr>
          <w:rFonts w:ascii="宋体" w:hAnsi="宋体" w:cs="宋体"/>
          <w:color w:val="000000"/>
          <w:szCs w:val="24"/>
        </w:rPr>
        <w:t>5</w:t>
      </w:r>
      <w:r>
        <w:rPr>
          <w:rFonts w:hint="eastAsia" w:ascii="宋体" w:hAnsi="宋体" w:cs="宋体"/>
          <w:color w:val="000000"/>
          <w:szCs w:val="24"/>
        </w:rPr>
        <w:t>、对项目负责人的要求</w:t>
      </w:r>
    </w:p>
    <w:p>
      <w:pPr>
        <w:spacing w:line="360" w:lineRule="auto"/>
        <w:ind w:firstLine="480" w:firstLineChars="200"/>
        <w:rPr>
          <w:rFonts w:ascii="宋体" w:hAnsi="宋体" w:cs="宋体"/>
          <w:szCs w:val="24"/>
        </w:rPr>
      </w:pPr>
      <w:r>
        <w:rPr>
          <w:rFonts w:hint="eastAsia" w:ascii="宋体" w:hAnsi="宋体" w:cs="宋体"/>
          <w:color w:val="000000"/>
          <w:szCs w:val="24"/>
        </w:rPr>
        <w:t>（1）具有良好的思想政治素质和服务意识，爱岗敬业；</w:t>
      </w:r>
    </w:p>
    <w:p>
      <w:pPr>
        <w:spacing w:line="360" w:lineRule="auto"/>
        <w:ind w:firstLine="480" w:firstLineChars="200"/>
        <w:rPr>
          <w:rFonts w:ascii="宋体" w:hAnsi="宋体" w:cs="宋体"/>
          <w:szCs w:val="24"/>
        </w:rPr>
      </w:pPr>
      <w:r>
        <w:rPr>
          <w:rFonts w:hint="eastAsia" w:ascii="宋体" w:hAnsi="宋体" w:cs="宋体"/>
          <w:color w:val="000000"/>
          <w:szCs w:val="24"/>
        </w:rPr>
        <w:t>（2）年龄：45岁以下；</w:t>
      </w:r>
    </w:p>
    <w:p>
      <w:pPr>
        <w:spacing w:line="360" w:lineRule="auto"/>
        <w:ind w:firstLine="480" w:firstLineChars="200"/>
        <w:rPr>
          <w:rFonts w:ascii="宋体" w:hAnsi="宋体" w:cs="宋体"/>
          <w:szCs w:val="24"/>
        </w:rPr>
      </w:pPr>
      <w:r>
        <w:rPr>
          <w:rFonts w:hint="eastAsia" w:ascii="宋体" w:hAnsi="宋体" w:cs="宋体"/>
          <w:color w:val="000000"/>
          <w:szCs w:val="24"/>
        </w:rPr>
        <w:t>（3）有类似项目3年以上管理经验，有组织协调能力及服务专业管理能力；</w:t>
      </w:r>
    </w:p>
    <w:p>
      <w:pPr>
        <w:spacing w:line="360" w:lineRule="auto"/>
        <w:ind w:firstLine="480" w:firstLineChars="200"/>
        <w:rPr>
          <w:rFonts w:ascii="宋体" w:hAnsi="宋体" w:cs="宋体"/>
          <w:szCs w:val="24"/>
        </w:rPr>
      </w:pPr>
      <w:r>
        <w:rPr>
          <w:rFonts w:hint="eastAsia" w:ascii="宋体" w:hAnsi="宋体" w:cs="宋体"/>
          <w:color w:val="000000"/>
          <w:szCs w:val="24"/>
        </w:rPr>
        <w:t>（4）五官端正、举止大方，上岗前需通过采购人面试；</w:t>
      </w:r>
    </w:p>
    <w:p>
      <w:pPr>
        <w:spacing w:line="360" w:lineRule="auto"/>
        <w:ind w:firstLine="480" w:firstLineChars="200"/>
        <w:rPr>
          <w:rFonts w:ascii="宋体" w:hAnsi="宋体" w:cs="宋体"/>
          <w:szCs w:val="24"/>
        </w:rPr>
      </w:pPr>
      <w:r>
        <w:rPr>
          <w:rFonts w:hint="eastAsia" w:ascii="宋体" w:hAnsi="宋体" w:cs="宋体"/>
          <w:color w:val="000000"/>
          <w:szCs w:val="24"/>
        </w:rPr>
        <w:t>（5）政治上可靠，党员优先录用。由供应商负责进行审查须严把政治关，不能有刑事和经济犯罪嫌疑人，并且无劳动教养、收容教育、强制戒毒或者被开除公职、开除军籍的记录。同时要注意所聘人员的品行，须符合采购人提出的标准和要求，并经过采购人的面试。须向采购人提供服务人员名单和本人的身份证复印件。一旦发生问题，由供应商承担一切责任。</w:t>
      </w:r>
    </w:p>
    <w:p>
      <w:pPr>
        <w:spacing w:line="360" w:lineRule="auto"/>
        <w:ind w:firstLine="480" w:firstLineChars="200"/>
        <w:rPr>
          <w:rFonts w:ascii="宋体" w:hAnsi="宋体" w:cs="宋体"/>
          <w:szCs w:val="24"/>
        </w:rPr>
      </w:pPr>
      <w:r>
        <w:rPr>
          <w:rFonts w:ascii="宋体" w:hAnsi="宋体" w:cs="宋体"/>
          <w:color w:val="000000"/>
          <w:szCs w:val="24"/>
        </w:rPr>
        <w:t>6</w:t>
      </w:r>
      <w:r>
        <w:rPr>
          <w:rFonts w:hint="eastAsia" w:ascii="宋体" w:hAnsi="宋体" w:cs="宋体"/>
          <w:color w:val="000000"/>
          <w:szCs w:val="24"/>
        </w:rPr>
        <w:t>、会议服务人员的要求</w:t>
      </w:r>
    </w:p>
    <w:p>
      <w:pPr>
        <w:spacing w:line="360" w:lineRule="auto"/>
        <w:ind w:firstLine="480" w:firstLineChars="200"/>
        <w:rPr>
          <w:rFonts w:ascii="宋体" w:hAnsi="宋体" w:cs="宋体"/>
          <w:szCs w:val="24"/>
        </w:rPr>
      </w:pPr>
      <w:r>
        <w:rPr>
          <w:rFonts w:hint="eastAsia" w:ascii="宋体" w:hAnsi="宋体" w:cs="宋体"/>
          <w:color w:val="000000"/>
          <w:szCs w:val="24"/>
        </w:rPr>
        <w:t>（1）身高：女性身高在1.58-1.7米，男性身高不得低于1</w:t>
      </w:r>
      <w:r>
        <w:rPr>
          <w:rFonts w:ascii="宋体" w:hAnsi="宋体" w:cs="宋体"/>
          <w:color w:val="000000"/>
          <w:szCs w:val="24"/>
        </w:rPr>
        <w:t>.7</w:t>
      </w:r>
      <w:r>
        <w:rPr>
          <w:rFonts w:hint="eastAsia" w:ascii="宋体" w:hAnsi="宋体" w:cs="宋体"/>
          <w:color w:val="000000"/>
          <w:szCs w:val="24"/>
        </w:rPr>
        <w:t>米</w:t>
      </w:r>
    </w:p>
    <w:p>
      <w:pPr>
        <w:spacing w:line="360" w:lineRule="auto"/>
        <w:ind w:firstLine="480" w:firstLineChars="200"/>
        <w:rPr>
          <w:rFonts w:ascii="宋体" w:hAnsi="宋体" w:cs="宋体"/>
          <w:szCs w:val="24"/>
        </w:rPr>
      </w:pPr>
      <w:r>
        <w:rPr>
          <w:rFonts w:hint="eastAsia" w:ascii="宋体" w:hAnsi="宋体" w:cs="宋体"/>
          <w:color w:val="000000"/>
          <w:szCs w:val="24"/>
        </w:rPr>
        <w:t>（2）性别：男女不限</w:t>
      </w:r>
    </w:p>
    <w:p>
      <w:pPr>
        <w:spacing w:line="360" w:lineRule="auto"/>
        <w:ind w:firstLine="480" w:firstLineChars="200"/>
        <w:rPr>
          <w:rFonts w:ascii="宋体" w:hAnsi="宋体" w:cs="宋体"/>
          <w:szCs w:val="24"/>
        </w:rPr>
      </w:pPr>
      <w:r>
        <w:rPr>
          <w:rFonts w:hint="eastAsia" w:ascii="宋体" w:hAnsi="宋体" w:cs="宋体"/>
          <w:color w:val="000000"/>
          <w:szCs w:val="24"/>
        </w:rPr>
        <w:t>（3）相貌：五官端正、举止大方。上岗前采购人进行面试。</w:t>
      </w:r>
    </w:p>
    <w:p>
      <w:pPr>
        <w:spacing w:line="360" w:lineRule="auto"/>
        <w:ind w:firstLine="480" w:firstLineChars="200"/>
        <w:jc w:val="both"/>
        <w:rPr>
          <w:rFonts w:ascii="宋体" w:hAnsi="宋体" w:cs="宋体"/>
          <w:szCs w:val="24"/>
        </w:rPr>
      </w:pPr>
      <w:r>
        <w:rPr>
          <w:rFonts w:hint="eastAsia" w:ascii="宋体" w:hAnsi="宋体" w:cs="宋体"/>
          <w:color w:val="000000"/>
          <w:szCs w:val="24"/>
        </w:rPr>
        <w:t>（</w:t>
      </w:r>
      <w:r>
        <w:rPr>
          <w:rFonts w:ascii="宋体" w:hAnsi="宋体" w:cs="宋体"/>
          <w:color w:val="000000"/>
          <w:szCs w:val="24"/>
        </w:rPr>
        <w:t>4</w:t>
      </w:r>
      <w:r>
        <w:rPr>
          <w:rFonts w:hint="eastAsia" w:ascii="宋体" w:hAnsi="宋体" w:cs="宋体"/>
          <w:color w:val="000000"/>
          <w:szCs w:val="24"/>
        </w:rPr>
        <w:t>）具有一定的表达能力，普通话标准。身体健康，无传染疾病。上岗前须到体检中心进行健康体检（胸部X光透视、抽血化验为必查项目），采购人将查验服务人员的健康体检报告并备案留存。一旦发生问题，由供应商承担一切责任。</w:t>
      </w:r>
    </w:p>
    <w:p>
      <w:pPr>
        <w:spacing w:line="360" w:lineRule="auto"/>
        <w:ind w:firstLine="480" w:firstLineChars="200"/>
        <w:jc w:val="both"/>
        <w:rPr>
          <w:rFonts w:ascii="宋体" w:hAnsi="宋体" w:cs="宋体"/>
          <w:szCs w:val="24"/>
        </w:rPr>
      </w:pPr>
      <w:r>
        <w:rPr>
          <w:rFonts w:hint="eastAsia" w:ascii="宋体" w:hAnsi="宋体" w:cs="宋体"/>
          <w:color w:val="000000"/>
          <w:szCs w:val="24"/>
        </w:rPr>
        <w:t>（</w:t>
      </w:r>
      <w:r>
        <w:rPr>
          <w:rFonts w:ascii="宋体" w:hAnsi="宋体" w:cs="宋体"/>
          <w:color w:val="000000"/>
          <w:szCs w:val="24"/>
        </w:rPr>
        <w:t>5</w:t>
      </w:r>
      <w:r>
        <w:rPr>
          <w:rFonts w:hint="eastAsia" w:ascii="宋体" w:hAnsi="宋体" w:cs="宋体"/>
          <w:color w:val="000000"/>
          <w:szCs w:val="24"/>
        </w:rPr>
        <w:t>）政治上可靠，党员优先录用。由供应商负责进行审查须严把政治关，不能有刑事和经济犯罪嫌疑人，并且无劳动教养、收容教育、强制戒毒或者被开除公职、开除军籍的记录。同时要注意所聘人员的品行，须符合采购人提出的标准和要求，并经过供应商的面试。须向采购人提供服务人员名单和本人的身份证复印件。一旦发生问题，由供应商承担一切责任。</w:t>
      </w:r>
    </w:p>
    <w:p>
      <w:pPr>
        <w:spacing w:line="360" w:lineRule="auto"/>
        <w:ind w:firstLine="480" w:firstLineChars="200"/>
        <w:jc w:val="both"/>
        <w:rPr>
          <w:rFonts w:ascii="宋体" w:hAnsi="宋体" w:cs="宋体"/>
          <w:szCs w:val="24"/>
        </w:rPr>
      </w:pPr>
      <w:r>
        <w:rPr>
          <w:rFonts w:hint="eastAsia" w:ascii="宋体" w:hAnsi="宋体" w:cs="宋体"/>
          <w:color w:val="000000"/>
          <w:szCs w:val="24"/>
        </w:rPr>
        <w:t>（</w:t>
      </w:r>
      <w:r>
        <w:rPr>
          <w:rFonts w:ascii="宋体" w:hAnsi="宋体" w:cs="宋体"/>
          <w:color w:val="000000"/>
          <w:szCs w:val="24"/>
        </w:rPr>
        <w:t>6</w:t>
      </w:r>
      <w:r>
        <w:rPr>
          <w:rFonts w:hint="eastAsia" w:ascii="宋体" w:hAnsi="宋体" w:cs="宋体"/>
          <w:color w:val="000000"/>
          <w:szCs w:val="24"/>
        </w:rPr>
        <w:t>）会场服务人员工作时间必须着制服，制服不准与便服混穿，不同季节的制服不能混穿，制服应干净整洁，不准披衣、敞怀、挽袖、卷裤腿、歪戴帽子、穿拖鞋或赤足。</w:t>
      </w:r>
    </w:p>
    <w:p>
      <w:pPr>
        <w:tabs>
          <w:tab w:val="left" w:pos="3780"/>
        </w:tabs>
        <w:adjustRightInd/>
        <w:spacing w:line="360" w:lineRule="auto"/>
        <w:ind w:firstLine="482" w:firstLineChars="200"/>
        <w:textAlignment w:val="auto"/>
        <w:rPr>
          <w:rFonts w:ascii="宋体" w:hAnsi="宋体" w:cs="宋体"/>
          <w:b/>
          <w:szCs w:val="24"/>
        </w:rPr>
      </w:pPr>
      <w:r>
        <w:rPr>
          <w:rFonts w:hint="eastAsia" w:ascii="宋体" w:hAnsi="宋体" w:cs="宋体"/>
          <w:b/>
          <w:szCs w:val="24"/>
        </w:rPr>
        <w:t>五、服务要求</w:t>
      </w:r>
    </w:p>
    <w:p>
      <w:pPr>
        <w:pStyle w:val="113"/>
        <w:spacing w:line="560" w:lineRule="exact"/>
        <w:ind w:left="480" w:firstLine="0" w:firstLineChars="0"/>
        <w:rPr>
          <w:rFonts w:ascii="宋体" w:hAnsi="宋体" w:cs="宋体"/>
          <w:color w:val="000000"/>
          <w:sz w:val="24"/>
        </w:rPr>
      </w:pPr>
      <w:r>
        <w:rPr>
          <w:rFonts w:ascii="宋体" w:hAnsi="宋体" w:cs="宋体"/>
          <w:bCs/>
          <w:sz w:val="24"/>
          <w:szCs w:val="32"/>
        </w:rPr>
        <w:t>1</w:t>
      </w:r>
      <w:r>
        <w:rPr>
          <w:rFonts w:hint="eastAsia" w:ascii="宋体" w:hAnsi="宋体" w:cs="宋体"/>
          <w:bCs/>
          <w:sz w:val="24"/>
          <w:szCs w:val="32"/>
        </w:rPr>
        <w:t>)</w:t>
      </w:r>
      <w:r>
        <w:rPr>
          <w:rFonts w:hint="eastAsia" w:ascii="宋体" w:hAnsi="宋体" w:cs="宋体"/>
          <w:color w:val="000000"/>
          <w:sz w:val="24"/>
        </w:rPr>
        <w:t>所有工作人员，上岗前均需经过相关政治审查，提供无犯罪证明，并签订实验</w:t>
      </w:r>
    </w:p>
    <w:p>
      <w:pPr>
        <w:spacing w:line="560" w:lineRule="exact"/>
        <w:rPr>
          <w:rFonts w:ascii="宋体" w:hAnsi="宋体" w:cs="宋体"/>
          <w:color w:val="000000"/>
        </w:rPr>
      </w:pPr>
      <w:r>
        <w:rPr>
          <w:rFonts w:hint="eastAsia" w:ascii="宋体" w:hAnsi="宋体" w:cs="宋体"/>
          <w:color w:val="000000"/>
        </w:rPr>
        <w:t>室保密协议。</w:t>
      </w:r>
    </w:p>
    <w:p>
      <w:pPr>
        <w:tabs>
          <w:tab w:val="left" w:pos="3780"/>
        </w:tabs>
        <w:adjustRightInd/>
        <w:spacing w:line="360" w:lineRule="auto"/>
        <w:ind w:firstLine="480" w:firstLineChars="200"/>
        <w:textAlignment w:val="auto"/>
        <w:rPr>
          <w:rFonts w:ascii="宋体" w:hAnsi="宋体" w:cs="宋体"/>
          <w:bCs/>
          <w:szCs w:val="24"/>
        </w:rPr>
      </w:pPr>
      <w:r>
        <w:rPr>
          <w:rFonts w:hint="eastAsia" w:ascii="宋体" w:hAnsi="宋体" w:cs="宋体"/>
          <w:bCs/>
          <w:szCs w:val="24"/>
        </w:rPr>
        <w:t>2)所有工作人员符合上岗要求，持健康证上岗，每年一次体检。</w:t>
      </w:r>
    </w:p>
    <w:p>
      <w:pPr>
        <w:tabs>
          <w:tab w:val="left" w:pos="3780"/>
        </w:tabs>
        <w:adjustRightInd/>
        <w:spacing w:line="360" w:lineRule="auto"/>
        <w:ind w:firstLine="480" w:firstLineChars="200"/>
        <w:textAlignment w:val="auto"/>
        <w:rPr>
          <w:rFonts w:ascii="宋体" w:hAnsi="宋体" w:cs="宋体"/>
          <w:bCs/>
          <w:szCs w:val="24"/>
        </w:rPr>
      </w:pPr>
      <w:bookmarkStart w:id="696" w:name="_Hlk99737038"/>
      <w:r>
        <w:rPr>
          <w:rFonts w:ascii="宋体" w:hAnsi="宋体" w:cs="宋体"/>
          <w:bCs/>
          <w:szCs w:val="24"/>
        </w:rPr>
        <w:t>3</w:t>
      </w:r>
      <w:r>
        <w:rPr>
          <w:rFonts w:hint="eastAsia" w:ascii="宋体" w:hAnsi="宋体" w:cs="宋体"/>
          <w:bCs/>
          <w:szCs w:val="24"/>
        </w:rPr>
        <w:t>)</w:t>
      </w:r>
      <w:bookmarkEnd w:id="696"/>
      <w:r>
        <w:rPr>
          <w:rFonts w:hint="eastAsia" w:ascii="宋体" w:hAnsi="宋体" w:cs="宋体"/>
          <w:bCs/>
          <w:szCs w:val="24"/>
        </w:rPr>
        <w:t>检查工作车、吸尘器等设施，检查楼层内的所有专家办公室状况。</w:t>
      </w:r>
    </w:p>
    <w:p>
      <w:pPr>
        <w:tabs>
          <w:tab w:val="left" w:pos="3780"/>
        </w:tabs>
        <w:adjustRightInd/>
        <w:spacing w:line="360" w:lineRule="auto"/>
        <w:ind w:firstLine="480" w:firstLineChars="200"/>
        <w:textAlignment w:val="auto"/>
        <w:rPr>
          <w:rFonts w:ascii="宋体" w:hAnsi="宋体" w:cs="宋体"/>
          <w:bCs/>
          <w:szCs w:val="24"/>
        </w:rPr>
      </w:pPr>
      <w:r>
        <w:rPr>
          <w:rFonts w:ascii="宋体" w:hAnsi="宋体" w:cs="宋体"/>
          <w:bCs/>
          <w:szCs w:val="24"/>
        </w:rPr>
        <w:t>4</w:t>
      </w:r>
      <w:r>
        <w:rPr>
          <w:rFonts w:hint="eastAsia" w:ascii="宋体" w:hAnsi="宋体" w:cs="宋体"/>
          <w:bCs/>
          <w:szCs w:val="24"/>
        </w:rPr>
        <w:t>)准备工作车、各种布巾、客用备品及清洁用品。</w:t>
      </w:r>
    </w:p>
    <w:p>
      <w:pPr>
        <w:tabs>
          <w:tab w:val="left" w:pos="3780"/>
        </w:tabs>
        <w:adjustRightInd/>
        <w:spacing w:line="360" w:lineRule="auto"/>
        <w:ind w:firstLine="480" w:firstLineChars="200"/>
        <w:textAlignment w:val="auto"/>
        <w:rPr>
          <w:rFonts w:ascii="宋体" w:hAnsi="宋体" w:cs="宋体"/>
          <w:bCs/>
          <w:szCs w:val="24"/>
        </w:rPr>
      </w:pPr>
      <w:r>
        <w:rPr>
          <w:rFonts w:ascii="宋体" w:hAnsi="宋体" w:cs="宋体"/>
          <w:bCs/>
          <w:szCs w:val="24"/>
        </w:rPr>
        <w:t>5</w:t>
      </w:r>
      <w:r>
        <w:rPr>
          <w:rFonts w:hint="eastAsia" w:ascii="宋体" w:hAnsi="宋体" w:cs="宋体"/>
          <w:bCs/>
          <w:szCs w:val="24"/>
        </w:rPr>
        <w:t>)负责清专家办公室卫生，确保卫生达到标准。</w:t>
      </w:r>
    </w:p>
    <w:p>
      <w:pPr>
        <w:tabs>
          <w:tab w:val="left" w:pos="3780"/>
        </w:tabs>
        <w:adjustRightInd/>
        <w:spacing w:line="360" w:lineRule="auto"/>
        <w:ind w:firstLine="480" w:firstLineChars="200"/>
        <w:textAlignment w:val="auto"/>
        <w:rPr>
          <w:rFonts w:ascii="宋体" w:hAnsi="宋体" w:cs="宋体"/>
          <w:bCs/>
          <w:szCs w:val="24"/>
        </w:rPr>
      </w:pPr>
      <w:r>
        <w:rPr>
          <w:rFonts w:ascii="宋体" w:hAnsi="宋体" w:cs="宋体"/>
          <w:bCs/>
          <w:szCs w:val="24"/>
        </w:rPr>
        <w:t>6</w:t>
      </w:r>
      <w:r>
        <w:rPr>
          <w:rFonts w:hint="eastAsia" w:ascii="宋体" w:hAnsi="宋体" w:cs="宋体"/>
          <w:bCs/>
          <w:szCs w:val="24"/>
        </w:rPr>
        <w:t>)正确使用各种清洁剂和清洁用品。</w:t>
      </w:r>
    </w:p>
    <w:p>
      <w:pPr>
        <w:tabs>
          <w:tab w:val="left" w:pos="3780"/>
        </w:tabs>
        <w:adjustRightInd/>
        <w:spacing w:line="360" w:lineRule="auto"/>
        <w:ind w:firstLine="480" w:firstLineChars="200"/>
        <w:textAlignment w:val="auto"/>
        <w:rPr>
          <w:rFonts w:ascii="宋体" w:hAnsi="宋体" w:cs="宋体"/>
          <w:bCs/>
          <w:szCs w:val="24"/>
        </w:rPr>
      </w:pPr>
      <w:r>
        <w:rPr>
          <w:rFonts w:ascii="宋体" w:hAnsi="宋体" w:cs="宋体"/>
          <w:bCs/>
          <w:szCs w:val="24"/>
        </w:rPr>
        <w:t>7</w:t>
      </w:r>
      <w:r>
        <w:rPr>
          <w:rFonts w:hint="eastAsia" w:ascii="宋体" w:hAnsi="宋体" w:cs="宋体"/>
          <w:bCs/>
          <w:szCs w:val="24"/>
        </w:rPr>
        <w:t>)确保专家办公室内各类设施正常使用。</w:t>
      </w:r>
    </w:p>
    <w:p>
      <w:pPr>
        <w:tabs>
          <w:tab w:val="left" w:pos="3780"/>
        </w:tabs>
        <w:adjustRightInd/>
        <w:spacing w:line="360" w:lineRule="auto"/>
        <w:ind w:firstLine="480" w:firstLineChars="200"/>
        <w:textAlignment w:val="auto"/>
        <w:rPr>
          <w:rFonts w:ascii="宋体" w:hAnsi="宋体" w:cs="宋体"/>
          <w:bCs/>
          <w:szCs w:val="24"/>
        </w:rPr>
      </w:pPr>
      <w:r>
        <w:rPr>
          <w:rFonts w:ascii="宋体" w:hAnsi="宋体" w:cs="宋体"/>
          <w:bCs/>
          <w:szCs w:val="24"/>
        </w:rPr>
        <w:t>8</w:t>
      </w:r>
      <w:r>
        <w:rPr>
          <w:rFonts w:hint="eastAsia" w:ascii="宋体" w:hAnsi="宋体" w:cs="宋体"/>
          <w:bCs/>
          <w:szCs w:val="24"/>
        </w:rPr>
        <w:t>)负责补充专家办公室用品。</w:t>
      </w:r>
    </w:p>
    <w:p>
      <w:pPr>
        <w:tabs>
          <w:tab w:val="left" w:pos="3780"/>
        </w:tabs>
        <w:adjustRightInd/>
        <w:spacing w:line="360" w:lineRule="auto"/>
        <w:ind w:firstLine="480" w:firstLineChars="200"/>
        <w:textAlignment w:val="auto"/>
        <w:rPr>
          <w:rFonts w:ascii="宋体" w:hAnsi="宋体" w:cs="宋体"/>
          <w:bCs/>
          <w:szCs w:val="24"/>
        </w:rPr>
      </w:pPr>
      <w:r>
        <w:rPr>
          <w:rFonts w:ascii="宋体" w:hAnsi="宋体" w:cs="宋体"/>
          <w:bCs/>
          <w:szCs w:val="24"/>
        </w:rPr>
        <w:t>9</w:t>
      </w:r>
      <w:r>
        <w:rPr>
          <w:rFonts w:hint="eastAsia" w:ascii="宋体" w:hAnsi="宋体" w:cs="宋体"/>
          <w:bCs/>
          <w:szCs w:val="24"/>
        </w:rPr>
        <w:t>)服从区域管理者的工作安排。</w:t>
      </w:r>
    </w:p>
    <w:p>
      <w:pPr>
        <w:tabs>
          <w:tab w:val="left" w:pos="3780"/>
        </w:tabs>
        <w:adjustRightInd/>
        <w:spacing w:line="360" w:lineRule="auto"/>
        <w:ind w:firstLine="482" w:firstLineChars="200"/>
        <w:textAlignment w:val="auto"/>
        <w:rPr>
          <w:rFonts w:ascii="宋体" w:hAnsi="宋体" w:cs="宋体"/>
          <w:b/>
          <w:szCs w:val="24"/>
        </w:rPr>
      </w:pPr>
      <w:r>
        <w:rPr>
          <w:rFonts w:hint="eastAsia" w:ascii="宋体" w:hAnsi="宋体" w:cs="宋体"/>
          <w:b/>
          <w:szCs w:val="24"/>
        </w:rPr>
        <w:t>六、会议服务要求</w:t>
      </w:r>
    </w:p>
    <w:p>
      <w:pPr>
        <w:tabs>
          <w:tab w:val="left" w:pos="3780"/>
        </w:tabs>
        <w:adjustRightInd/>
        <w:spacing w:line="360" w:lineRule="auto"/>
        <w:ind w:firstLine="480" w:firstLineChars="200"/>
        <w:textAlignment w:val="auto"/>
        <w:rPr>
          <w:rFonts w:ascii="宋体" w:hAnsi="宋体" w:cs="宋体"/>
          <w:bCs/>
          <w:szCs w:val="24"/>
        </w:rPr>
      </w:pPr>
      <w:r>
        <w:rPr>
          <w:rFonts w:hint="eastAsia" w:ascii="宋体" w:hAnsi="宋体" w:cs="宋体"/>
          <w:bCs/>
          <w:szCs w:val="24"/>
        </w:rPr>
        <w:t>1) 所有工作人员，上岗前均需经过相关政治审查，提供无犯罪证明，并签订实验室保密协议。</w:t>
      </w:r>
    </w:p>
    <w:p>
      <w:pPr>
        <w:tabs>
          <w:tab w:val="left" w:pos="3780"/>
        </w:tabs>
        <w:adjustRightInd/>
        <w:spacing w:line="360" w:lineRule="auto"/>
        <w:ind w:firstLine="480" w:firstLineChars="200"/>
        <w:textAlignment w:val="auto"/>
        <w:rPr>
          <w:rFonts w:ascii="宋体" w:hAnsi="宋体" w:cs="宋体"/>
          <w:bCs/>
          <w:szCs w:val="24"/>
        </w:rPr>
      </w:pPr>
      <w:r>
        <w:rPr>
          <w:rFonts w:hint="eastAsia" w:ascii="宋体" w:hAnsi="宋体" w:cs="宋体"/>
          <w:bCs/>
          <w:szCs w:val="24"/>
        </w:rPr>
        <w:t>2)所有工作人员符合上岗要求，持健康证上岗，每年一次体检。</w:t>
      </w:r>
    </w:p>
    <w:p>
      <w:pPr>
        <w:tabs>
          <w:tab w:val="left" w:pos="3780"/>
        </w:tabs>
        <w:adjustRightInd/>
        <w:spacing w:line="360" w:lineRule="auto"/>
        <w:ind w:firstLine="480" w:firstLineChars="200"/>
        <w:textAlignment w:val="auto"/>
        <w:rPr>
          <w:rFonts w:ascii="宋体" w:hAnsi="宋体" w:cs="宋体"/>
          <w:bCs/>
          <w:szCs w:val="24"/>
        </w:rPr>
      </w:pPr>
      <w:r>
        <w:rPr>
          <w:rFonts w:ascii="宋体" w:hAnsi="宋体" w:cs="宋体"/>
          <w:bCs/>
          <w:szCs w:val="24"/>
        </w:rPr>
        <w:t>3</w:t>
      </w:r>
      <w:r>
        <w:rPr>
          <w:rFonts w:hint="eastAsia" w:ascii="宋体" w:hAnsi="宋体" w:cs="宋体"/>
          <w:bCs/>
          <w:szCs w:val="24"/>
        </w:rPr>
        <w:t>)严格按照卫生标准保持会议室的卫生质量和各种设施设备的完好无缺，确保会议室正常出租。</w:t>
      </w:r>
    </w:p>
    <w:p>
      <w:pPr>
        <w:tabs>
          <w:tab w:val="left" w:pos="3780"/>
        </w:tabs>
        <w:adjustRightInd/>
        <w:spacing w:line="360" w:lineRule="auto"/>
        <w:ind w:firstLine="480" w:firstLineChars="200"/>
        <w:textAlignment w:val="auto"/>
        <w:rPr>
          <w:rFonts w:ascii="宋体" w:hAnsi="宋体" w:cs="宋体"/>
          <w:bCs/>
          <w:szCs w:val="24"/>
        </w:rPr>
      </w:pPr>
      <w:r>
        <w:rPr>
          <w:rFonts w:ascii="宋体" w:hAnsi="宋体" w:cs="宋体"/>
          <w:bCs/>
          <w:szCs w:val="24"/>
        </w:rPr>
        <w:t>4</w:t>
      </w:r>
      <w:r>
        <w:rPr>
          <w:rFonts w:hint="eastAsia" w:ascii="宋体" w:hAnsi="宋体" w:cs="宋体"/>
          <w:bCs/>
          <w:szCs w:val="24"/>
        </w:rPr>
        <w:t>)根据会议要求做好会议的准备工作，包括会前对客人的迎接、会中的服务和会后的送别，并做好重要客人的服务接待工作。</w:t>
      </w:r>
    </w:p>
    <w:p>
      <w:pPr>
        <w:tabs>
          <w:tab w:val="left" w:pos="3780"/>
        </w:tabs>
        <w:adjustRightInd/>
        <w:spacing w:line="360" w:lineRule="auto"/>
        <w:ind w:firstLine="480" w:firstLineChars="200"/>
        <w:textAlignment w:val="auto"/>
        <w:rPr>
          <w:rFonts w:ascii="宋体" w:hAnsi="宋体" w:cs="宋体"/>
          <w:bCs/>
          <w:szCs w:val="24"/>
        </w:rPr>
      </w:pPr>
      <w:r>
        <w:rPr>
          <w:rFonts w:ascii="宋体" w:hAnsi="宋体" w:cs="宋体"/>
          <w:bCs/>
          <w:szCs w:val="24"/>
        </w:rPr>
        <w:t>5</w:t>
      </w:r>
      <w:r>
        <w:rPr>
          <w:rFonts w:hint="eastAsia" w:ascii="宋体" w:hAnsi="宋体" w:cs="宋体"/>
          <w:bCs/>
          <w:szCs w:val="24"/>
        </w:rPr>
        <w:t>)负责清扫会议室卫生，并对使用过的杯具进行清洗和消毒。</w:t>
      </w:r>
    </w:p>
    <w:p>
      <w:pPr>
        <w:tabs>
          <w:tab w:val="left" w:pos="3780"/>
        </w:tabs>
        <w:adjustRightInd/>
        <w:spacing w:line="360" w:lineRule="auto"/>
        <w:ind w:firstLine="480" w:firstLineChars="200"/>
        <w:textAlignment w:val="auto"/>
        <w:rPr>
          <w:rFonts w:ascii="宋体" w:hAnsi="宋体" w:cs="宋体"/>
          <w:bCs/>
          <w:szCs w:val="24"/>
        </w:rPr>
      </w:pPr>
      <w:r>
        <w:rPr>
          <w:rFonts w:ascii="宋体" w:hAnsi="宋体" w:cs="宋体"/>
          <w:bCs/>
          <w:szCs w:val="24"/>
        </w:rPr>
        <w:t>6</w:t>
      </w:r>
      <w:r>
        <w:rPr>
          <w:rFonts w:hint="eastAsia" w:ascii="宋体" w:hAnsi="宋体" w:cs="宋体"/>
          <w:bCs/>
          <w:szCs w:val="24"/>
        </w:rPr>
        <w:t>)认真完成上级交给的其它工作任务，服从区域管理者的工作安排。</w:t>
      </w:r>
    </w:p>
    <w:p>
      <w:pPr>
        <w:tabs>
          <w:tab w:val="left" w:pos="3780"/>
        </w:tabs>
        <w:adjustRightInd/>
        <w:spacing w:line="360" w:lineRule="auto"/>
        <w:ind w:firstLine="482" w:firstLineChars="200"/>
        <w:textAlignment w:val="auto"/>
        <w:rPr>
          <w:rFonts w:ascii="宋体" w:hAnsi="宋体" w:cs="宋体"/>
          <w:b/>
          <w:szCs w:val="24"/>
        </w:rPr>
      </w:pPr>
      <w:r>
        <w:rPr>
          <w:rFonts w:hint="eastAsia" w:ascii="宋体" w:hAnsi="宋体" w:cs="宋体"/>
          <w:b/>
          <w:szCs w:val="24"/>
        </w:rPr>
        <w:t>七．其他要求</w:t>
      </w:r>
    </w:p>
    <w:p>
      <w:pPr>
        <w:tabs>
          <w:tab w:val="left" w:pos="3780"/>
        </w:tabs>
        <w:adjustRightInd/>
        <w:spacing w:line="360" w:lineRule="auto"/>
        <w:ind w:firstLine="480" w:firstLineChars="200"/>
        <w:textAlignment w:val="auto"/>
        <w:rPr>
          <w:rFonts w:ascii="宋体" w:hAnsi="宋体" w:cs="宋体"/>
          <w:bCs/>
          <w:szCs w:val="24"/>
        </w:rPr>
      </w:pPr>
      <w:r>
        <w:rPr>
          <w:rFonts w:hint="eastAsia" w:ascii="宋体" w:hAnsi="宋体" w:cs="宋体"/>
          <w:bCs/>
          <w:szCs w:val="24"/>
        </w:rPr>
        <w:t>1）如采购人在上述服务范围外有新增需求的，则由双方另行协商，并通过补充协议的形式明确。</w:t>
      </w:r>
    </w:p>
    <w:p>
      <w:pPr>
        <w:tabs>
          <w:tab w:val="left" w:pos="3780"/>
        </w:tabs>
        <w:adjustRightInd/>
        <w:spacing w:line="360" w:lineRule="auto"/>
        <w:ind w:firstLine="480" w:firstLineChars="200"/>
        <w:textAlignment w:val="auto"/>
        <w:rPr>
          <w:rFonts w:ascii="宋体" w:hAnsi="宋体" w:cs="宋体"/>
          <w:bCs/>
          <w:szCs w:val="24"/>
        </w:rPr>
      </w:pPr>
      <w:r>
        <w:rPr>
          <w:rFonts w:hint="eastAsia" w:ascii="宋体" w:hAnsi="宋体" w:cs="宋体"/>
          <w:bCs/>
          <w:szCs w:val="24"/>
        </w:rPr>
        <w:t>2）专家办公室清洁服务和会议服务所需要的相关工具和设备由采购人提供。</w:t>
      </w:r>
    </w:p>
    <w:p>
      <w:pPr>
        <w:tabs>
          <w:tab w:val="left" w:pos="3780"/>
        </w:tabs>
        <w:adjustRightInd/>
        <w:spacing w:line="360" w:lineRule="auto"/>
        <w:ind w:firstLine="480" w:firstLineChars="200"/>
        <w:textAlignment w:val="auto"/>
        <w:rPr>
          <w:rFonts w:ascii="宋体" w:hAnsi="宋体" w:cs="宋体"/>
          <w:bCs/>
          <w:szCs w:val="24"/>
        </w:rPr>
      </w:pPr>
      <w:r>
        <w:rPr>
          <w:rFonts w:hint="eastAsia" w:ascii="宋体" w:hAnsi="宋体" w:cs="宋体"/>
          <w:bCs/>
          <w:szCs w:val="24"/>
        </w:rPr>
        <w:t>3）结算规则：供应商分项报价表必须报出每人每次会议服务的单价，采购人按照实际到岗情况、检查考核情况，按期支付实际发生的费用。如实际到岗人数经过核算后支付供应商的金额超过合同总价，则供应商和采购人需签订补充合同，补充合同金额不超过原合同价的10%。</w:t>
      </w:r>
      <w:bookmarkStart w:id="697" w:name="_Toc10711"/>
    </w:p>
    <w:p>
      <w:pPr>
        <w:spacing w:before="120" w:beforeLines="50" w:after="120" w:afterLines="50" w:line="360" w:lineRule="auto"/>
        <w:jc w:val="center"/>
        <w:outlineLvl w:val="0"/>
        <w:rPr>
          <w:rFonts w:ascii="宋体" w:hAnsi="宋体" w:cs="宋体"/>
          <w:sz w:val="32"/>
          <w:szCs w:val="32"/>
        </w:rPr>
      </w:pPr>
      <w:r>
        <w:rPr>
          <w:rFonts w:hint="eastAsia" w:ascii="宋体" w:hAnsi="宋体" w:cs="宋体"/>
          <w:sz w:val="32"/>
          <w:szCs w:val="32"/>
        </w:rPr>
        <w:br w:type="page"/>
      </w:r>
      <w:bookmarkStart w:id="698" w:name="_Toc12832"/>
      <w:bookmarkStart w:id="699" w:name="_Toc27438"/>
      <w:r>
        <w:rPr>
          <w:rFonts w:hint="eastAsia" w:ascii="Arial" w:hAnsi="Arial" w:eastAsia="黑体"/>
          <w:b/>
          <w:bCs/>
          <w:sz w:val="32"/>
          <w:szCs w:val="32"/>
        </w:rPr>
        <w:t>第五章  评分标准</w:t>
      </w:r>
      <w:bookmarkEnd w:id="689"/>
      <w:bookmarkEnd w:id="690"/>
      <w:bookmarkEnd w:id="697"/>
      <w:bookmarkEnd w:id="698"/>
      <w:bookmarkEnd w:id="699"/>
    </w:p>
    <w:p>
      <w:pPr>
        <w:numPr>
          <w:ilvl w:val="0"/>
          <w:numId w:val="13"/>
        </w:numPr>
        <w:outlineLvl w:val="0"/>
        <w:rPr>
          <w:rFonts w:hint="eastAsia" w:ascii="宋体" w:hAnsi="宋体" w:eastAsia="宋体" w:cs="宋体"/>
          <w:szCs w:val="24"/>
        </w:rPr>
      </w:pPr>
      <w:bookmarkStart w:id="700" w:name="_Toc5172"/>
      <w:bookmarkStart w:id="701" w:name="_Toc32276"/>
      <w:r>
        <w:rPr>
          <w:rFonts w:hint="eastAsia" w:ascii="宋体" w:hAnsi="宋体" w:eastAsia="宋体" w:cs="宋体"/>
          <w:szCs w:val="24"/>
        </w:rPr>
        <w:t>评审办法</w:t>
      </w:r>
      <w:bookmarkEnd w:id="700"/>
      <w:bookmarkEnd w:id="701"/>
    </w:p>
    <w:p>
      <w:pPr>
        <w:widowControl/>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rPr>
        <w:t>本次采购采用综合评分法，即响应文件满足竞争性磋商文件全部实质性要求且按照评审因素的量化指标评审得分最高的供应商为成交候选人的评审方法。</w:t>
      </w:r>
    </w:p>
    <w:p>
      <w:pPr>
        <w:outlineLvl w:val="0"/>
        <w:rPr>
          <w:rFonts w:hint="eastAsia" w:ascii="宋体" w:hAnsi="宋体" w:eastAsia="宋体" w:cs="宋体"/>
          <w:szCs w:val="24"/>
        </w:rPr>
      </w:pPr>
      <w:bookmarkStart w:id="702" w:name="_Toc22238"/>
      <w:bookmarkStart w:id="703" w:name="_Toc29982"/>
      <w:r>
        <w:rPr>
          <w:rFonts w:hint="eastAsia" w:ascii="宋体" w:hAnsi="宋体" w:eastAsia="宋体" w:cs="宋体"/>
          <w:szCs w:val="24"/>
        </w:rPr>
        <w:t>二、</w:t>
      </w:r>
      <w:bookmarkEnd w:id="702"/>
      <w:bookmarkEnd w:id="703"/>
      <w:r>
        <w:rPr>
          <w:rFonts w:hint="eastAsia" w:ascii="宋体" w:hAnsi="宋体" w:eastAsia="宋体" w:cs="宋体"/>
          <w:szCs w:val="24"/>
        </w:rPr>
        <w:t>有效性、完整性和响应程度评审记录表</w:t>
      </w:r>
    </w:p>
    <w:tbl>
      <w:tblPr>
        <w:tblStyle w:val="42"/>
        <w:tblW w:w="85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9"/>
        <w:gridCol w:w="77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 w:hRule="atLeast"/>
        </w:trPr>
        <w:tc>
          <w:tcPr>
            <w:tcW w:w="809" w:type="dxa"/>
            <w:tcBorders>
              <w:top w:val="single" w:color="auto" w:sz="4" w:space="0"/>
              <w:left w:val="single" w:color="auto" w:sz="4" w:space="0"/>
              <w:right w:val="single" w:color="auto" w:sz="4" w:space="0"/>
            </w:tcBorders>
            <w:vAlign w:val="center"/>
          </w:tcPr>
          <w:p>
            <w:pPr>
              <w:jc w:val="center"/>
              <w:rPr>
                <w:rFonts w:hint="eastAsia" w:ascii="宋体" w:hAnsi="宋体" w:eastAsia="宋体" w:cs="宋体"/>
                <w:b/>
                <w:bCs/>
                <w:sz w:val="24"/>
                <w:szCs w:val="24"/>
              </w:rPr>
            </w:pPr>
            <w:r>
              <w:rPr>
                <w:rFonts w:hint="eastAsia" w:ascii="宋体" w:hAnsi="宋体" w:eastAsia="宋体" w:cs="宋体"/>
                <w:b/>
                <w:bCs/>
                <w:sz w:val="24"/>
                <w:szCs w:val="24"/>
              </w:rPr>
              <w:t>序号</w:t>
            </w:r>
          </w:p>
        </w:tc>
        <w:tc>
          <w:tcPr>
            <w:tcW w:w="7778" w:type="dxa"/>
            <w:tcBorders>
              <w:top w:val="single" w:color="auto" w:sz="4" w:space="0"/>
              <w:left w:val="single" w:color="auto" w:sz="4" w:space="0"/>
              <w:right w:val="single" w:color="auto" w:sz="4" w:space="0"/>
            </w:tcBorders>
            <w:vAlign w:val="center"/>
          </w:tcPr>
          <w:p>
            <w:pPr>
              <w:jc w:val="center"/>
              <w:rPr>
                <w:rFonts w:hint="eastAsia" w:ascii="宋体" w:hAnsi="宋体" w:eastAsia="宋体" w:cs="宋体"/>
                <w:b/>
                <w:bCs/>
                <w:sz w:val="24"/>
                <w:szCs w:val="24"/>
              </w:rPr>
            </w:pPr>
            <w:r>
              <w:rPr>
                <w:rFonts w:hint="eastAsia" w:ascii="宋体" w:hAnsi="宋体" w:eastAsia="宋体" w:cs="宋体"/>
                <w:b/>
                <w:bCs/>
                <w:sz w:val="24"/>
                <w:szCs w:val="24"/>
              </w:rPr>
              <w:t>评审内容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1" w:hRule="atLeast"/>
        </w:trPr>
        <w:tc>
          <w:tcPr>
            <w:tcW w:w="809" w:type="dxa"/>
            <w:tcBorders>
              <w:top w:val="single" w:color="auto" w:sz="4" w:space="0"/>
              <w:left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1</w:t>
            </w:r>
          </w:p>
        </w:tc>
        <w:tc>
          <w:tcPr>
            <w:tcW w:w="7778" w:type="dxa"/>
            <w:tcBorders>
              <w:top w:val="single" w:color="auto" w:sz="4" w:space="0"/>
              <w:left w:val="single" w:color="auto" w:sz="4" w:space="0"/>
              <w:right w:val="single" w:color="auto" w:sz="4" w:space="0"/>
            </w:tcBorders>
            <w:vAlign w:val="center"/>
          </w:tcPr>
          <w:p>
            <w:pPr>
              <w:rPr>
                <w:rFonts w:hint="eastAsia" w:ascii="宋体" w:hAnsi="宋体" w:eastAsia="宋体" w:cs="宋体"/>
                <w:sz w:val="24"/>
                <w:szCs w:val="24"/>
              </w:rPr>
            </w:pPr>
            <w:r>
              <w:rPr>
                <w:rFonts w:hint="eastAsia" w:ascii="宋体" w:hAnsi="宋体" w:eastAsia="宋体" w:cs="宋体"/>
                <w:sz w:val="24"/>
                <w:szCs w:val="24"/>
              </w:rPr>
              <w:t>有效的营业执照或法人证书等证明文件（复印件，须加盖供应商公章），以自然人身份响应的提交自然人的身份证明（复印件）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809" w:type="dxa"/>
            <w:tcBorders>
              <w:top w:val="single" w:color="auto" w:sz="4" w:space="0"/>
              <w:left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2</w:t>
            </w:r>
          </w:p>
        </w:tc>
        <w:tc>
          <w:tcPr>
            <w:tcW w:w="7778" w:type="dxa"/>
            <w:tcBorders>
              <w:top w:val="single" w:color="auto" w:sz="4" w:space="0"/>
              <w:left w:val="single" w:color="auto" w:sz="4" w:space="0"/>
              <w:right w:val="single" w:color="auto" w:sz="4" w:space="0"/>
            </w:tcBorders>
            <w:vAlign w:val="center"/>
          </w:tcPr>
          <w:p>
            <w:pPr>
              <w:rPr>
                <w:rFonts w:hint="eastAsia" w:ascii="宋体" w:hAnsi="宋体" w:eastAsia="宋体" w:cs="宋体"/>
                <w:sz w:val="24"/>
                <w:szCs w:val="24"/>
              </w:rPr>
            </w:pPr>
            <w:r>
              <w:rPr>
                <w:rFonts w:hint="eastAsia" w:ascii="宋体" w:hAnsi="宋体" w:eastAsia="宋体" w:cs="宋体"/>
                <w:sz w:val="24"/>
                <w:szCs w:val="24"/>
              </w:rPr>
              <w:t>法定代表人授权书（格式，原件）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6" w:hRule="atLeast"/>
        </w:trPr>
        <w:tc>
          <w:tcPr>
            <w:tcW w:w="809" w:type="dxa"/>
            <w:tcBorders>
              <w:top w:val="single" w:color="auto" w:sz="4" w:space="0"/>
              <w:left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3</w:t>
            </w:r>
          </w:p>
        </w:tc>
        <w:tc>
          <w:tcPr>
            <w:tcW w:w="7778" w:type="dxa"/>
            <w:tcBorders>
              <w:top w:val="single" w:color="auto" w:sz="4" w:space="0"/>
              <w:left w:val="single" w:color="auto" w:sz="4" w:space="0"/>
              <w:right w:val="single" w:color="auto" w:sz="4" w:space="0"/>
            </w:tcBorders>
            <w:vAlign w:val="center"/>
          </w:tcPr>
          <w:p>
            <w:pPr>
              <w:rPr>
                <w:rFonts w:hint="eastAsia" w:ascii="宋体" w:hAnsi="宋体" w:eastAsia="宋体" w:cs="宋体"/>
                <w:sz w:val="24"/>
                <w:szCs w:val="24"/>
              </w:rPr>
            </w:pPr>
            <w:r>
              <w:rPr>
                <w:rFonts w:hint="eastAsia" w:ascii="宋体" w:hAnsi="宋体" w:eastAsia="宋体" w:cs="宋体"/>
                <w:sz w:val="24"/>
                <w:szCs w:val="24"/>
              </w:rPr>
              <w:t>法定代表人和被授权人的身份证（正反面复印件，须加盖供应商公章）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8" w:hRule="atLeast"/>
        </w:trPr>
        <w:tc>
          <w:tcPr>
            <w:tcW w:w="809" w:type="dxa"/>
            <w:tcBorders>
              <w:top w:val="single" w:color="auto" w:sz="4" w:space="0"/>
              <w:left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4</w:t>
            </w:r>
          </w:p>
        </w:tc>
        <w:tc>
          <w:tcPr>
            <w:tcW w:w="7778" w:type="dxa"/>
            <w:tcBorders>
              <w:top w:val="single" w:color="auto" w:sz="4" w:space="0"/>
              <w:left w:val="single" w:color="auto" w:sz="4" w:space="0"/>
              <w:right w:val="single" w:color="auto" w:sz="4" w:space="0"/>
            </w:tcBorders>
            <w:vAlign w:val="center"/>
          </w:tcPr>
          <w:p>
            <w:pPr>
              <w:rPr>
                <w:rFonts w:hint="eastAsia" w:ascii="宋体" w:hAnsi="宋体" w:eastAsia="宋体" w:cs="宋体"/>
                <w:sz w:val="24"/>
                <w:szCs w:val="24"/>
              </w:rPr>
            </w:pPr>
            <w:r>
              <w:rPr>
                <w:rFonts w:hint="eastAsia" w:ascii="宋体" w:hAnsi="宋体" w:eastAsia="宋体" w:cs="宋体"/>
                <w:sz w:val="24"/>
                <w:szCs w:val="24"/>
              </w:rPr>
              <w:t>会计师事务所出具的2021年度财务审计报告（复印件加盖公章）或银行开具的资信证明（银行存款证明无效）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8" w:hRule="atLeast"/>
        </w:trPr>
        <w:tc>
          <w:tcPr>
            <w:tcW w:w="8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5</w:t>
            </w:r>
          </w:p>
        </w:tc>
        <w:tc>
          <w:tcPr>
            <w:tcW w:w="7778"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4"/>
                <w:szCs w:val="24"/>
              </w:rPr>
            </w:pPr>
            <w:r>
              <w:rPr>
                <w:rFonts w:hint="eastAsia" w:ascii="宋体" w:hAnsi="宋体" w:eastAsia="宋体" w:cs="宋体"/>
                <w:sz w:val="24"/>
                <w:szCs w:val="24"/>
              </w:rPr>
              <w:t>依法缴纳税收的记录：2021年</w:t>
            </w:r>
            <w:r>
              <w:rPr>
                <w:rFonts w:hint="eastAsia" w:ascii="宋体" w:hAnsi="宋体" w:eastAsia="宋体" w:cs="宋体"/>
                <w:sz w:val="24"/>
                <w:szCs w:val="24"/>
                <w:lang w:val="en-US" w:eastAsia="zh-CN"/>
              </w:rPr>
              <w:t>8</w:t>
            </w:r>
            <w:r>
              <w:rPr>
                <w:rFonts w:hint="eastAsia" w:ascii="宋体" w:hAnsi="宋体" w:eastAsia="宋体" w:cs="宋体"/>
                <w:sz w:val="24"/>
                <w:szCs w:val="24"/>
              </w:rPr>
              <w:t>月至响应文件递交截止时间前，任意一个月的纳税有效凭据或相关部门出具的依法纳税有效证明文件，依法免税的，应提供依法免税的相关证明文件（复印件，须加盖供应商公章，</w:t>
            </w:r>
            <w:r>
              <w:rPr>
                <w:rFonts w:hint="eastAsia" w:ascii="宋体" w:hAnsi="宋体" w:eastAsia="宋体" w:cs="宋体"/>
                <w:b/>
                <w:bCs/>
                <w:sz w:val="24"/>
                <w:szCs w:val="24"/>
              </w:rPr>
              <w:t>个人所得税无效</w:t>
            </w:r>
            <w:r>
              <w:rPr>
                <w:rFonts w:hint="eastAsia" w:ascii="宋体" w:hAnsi="宋体" w:eastAsia="宋体" w:cs="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8" w:hRule="atLeast"/>
        </w:trPr>
        <w:tc>
          <w:tcPr>
            <w:tcW w:w="8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6</w:t>
            </w:r>
          </w:p>
        </w:tc>
        <w:tc>
          <w:tcPr>
            <w:tcW w:w="7778"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4"/>
                <w:szCs w:val="24"/>
              </w:rPr>
            </w:pPr>
            <w:r>
              <w:rPr>
                <w:rFonts w:hint="eastAsia" w:ascii="宋体" w:hAnsi="宋体" w:eastAsia="宋体" w:cs="宋体"/>
                <w:sz w:val="24"/>
                <w:szCs w:val="24"/>
              </w:rPr>
              <w:t>社会保障资金缴纳记录：2021年</w:t>
            </w:r>
            <w:r>
              <w:rPr>
                <w:rFonts w:hint="eastAsia" w:ascii="宋体" w:hAnsi="宋体" w:eastAsia="宋体" w:cs="宋体"/>
                <w:sz w:val="24"/>
                <w:szCs w:val="24"/>
                <w:lang w:val="en-US" w:eastAsia="zh-CN"/>
              </w:rPr>
              <w:t>8</w:t>
            </w:r>
            <w:r>
              <w:rPr>
                <w:rFonts w:hint="eastAsia" w:ascii="宋体" w:hAnsi="宋体" w:eastAsia="宋体" w:cs="宋体"/>
                <w:sz w:val="24"/>
                <w:szCs w:val="24"/>
              </w:rPr>
              <w:t>月至响应文件递交截止时间前，任意一个月的缴纳社会保障资金的有效票据凭证或由社保中心出具的缴纳社会保障资金的有效证明文件，依法免缴的，应提供依法免缴的相关证明文件（复印件，须加盖供应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5" w:hRule="atLeast"/>
        </w:trPr>
        <w:tc>
          <w:tcPr>
            <w:tcW w:w="8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7</w:t>
            </w:r>
          </w:p>
        </w:tc>
        <w:tc>
          <w:tcPr>
            <w:tcW w:w="7778"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4"/>
                <w:szCs w:val="24"/>
              </w:rPr>
            </w:pPr>
            <w:r>
              <w:rPr>
                <w:rFonts w:hint="eastAsia" w:ascii="宋体" w:hAnsi="宋体" w:eastAsia="宋体" w:cs="宋体"/>
                <w:sz w:val="24"/>
                <w:szCs w:val="24"/>
              </w:rPr>
              <w:t>参加政府采购活动前三年内，在经营活动中没有重大违法记录的声明（原件，格式）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8" w:hRule="atLeast"/>
        </w:trPr>
        <w:tc>
          <w:tcPr>
            <w:tcW w:w="8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8</w:t>
            </w:r>
          </w:p>
        </w:tc>
        <w:tc>
          <w:tcPr>
            <w:tcW w:w="7778"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4"/>
                <w:szCs w:val="24"/>
              </w:rPr>
            </w:pPr>
            <w:r>
              <w:rPr>
                <w:rFonts w:hint="eastAsia" w:ascii="宋体" w:hAnsi="宋体" w:eastAsia="宋体" w:cs="宋体"/>
                <w:sz w:val="24"/>
                <w:szCs w:val="24"/>
              </w:rPr>
              <w:t>与参与本次政府采购活动的其他供应商不存在法人(单位负责人)为同一人或者直接控股、管理关系（承诺书加盖公章）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8" w:hRule="atLeast"/>
        </w:trPr>
        <w:tc>
          <w:tcPr>
            <w:tcW w:w="8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9</w:t>
            </w:r>
          </w:p>
        </w:tc>
        <w:tc>
          <w:tcPr>
            <w:tcW w:w="7778"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4"/>
                <w:szCs w:val="24"/>
              </w:rPr>
            </w:pPr>
            <w:r>
              <w:rPr>
                <w:rFonts w:hint="eastAsia" w:ascii="宋体" w:hAnsi="宋体" w:eastAsia="宋体" w:cs="宋体"/>
                <w:sz w:val="24"/>
                <w:szCs w:val="24"/>
              </w:rPr>
              <w:t>不属于“为本次采购项目提供整体设计、规范编制或者项目管理、监理、检测等服务的供应商”的声明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8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rPr>
              <w:t>1</w:t>
            </w:r>
            <w:r>
              <w:rPr>
                <w:rFonts w:hint="eastAsia" w:ascii="宋体" w:hAnsi="宋体" w:eastAsia="宋体" w:cs="宋体"/>
                <w:sz w:val="24"/>
                <w:szCs w:val="24"/>
                <w:lang w:val="en-US" w:eastAsia="zh-CN"/>
              </w:rPr>
              <w:t>0</w:t>
            </w:r>
          </w:p>
        </w:tc>
        <w:tc>
          <w:tcPr>
            <w:tcW w:w="7778"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4"/>
                <w:szCs w:val="24"/>
              </w:rPr>
            </w:pPr>
            <w:r>
              <w:rPr>
                <w:rFonts w:hint="eastAsia" w:ascii="宋体" w:hAnsi="宋体" w:eastAsia="宋体" w:cs="宋体"/>
                <w:sz w:val="24"/>
                <w:szCs w:val="24"/>
              </w:rPr>
              <w:t>磋商保证金(按照磋商文件的规定提交磋商保证金，提供缴纳凭证）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8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rPr>
              <w:t>1</w:t>
            </w:r>
            <w:r>
              <w:rPr>
                <w:rFonts w:hint="eastAsia" w:ascii="宋体" w:hAnsi="宋体" w:eastAsia="宋体" w:cs="宋体"/>
                <w:sz w:val="24"/>
                <w:szCs w:val="24"/>
                <w:lang w:val="en-US" w:eastAsia="zh-CN"/>
              </w:rPr>
              <w:t>1</w:t>
            </w:r>
          </w:p>
        </w:tc>
        <w:tc>
          <w:tcPr>
            <w:tcW w:w="7778"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响应文件按磋商文件要求签署、盖章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8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rPr>
              <w:t>1</w:t>
            </w:r>
            <w:r>
              <w:rPr>
                <w:rFonts w:hint="eastAsia" w:ascii="宋体" w:hAnsi="宋体" w:eastAsia="宋体" w:cs="宋体"/>
                <w:sz w:val="24"/>
                <w:szCs w:val="24"/>
                <w:lang w:val="en-US" w:eastAsia="zh-CN"/>
              </w:rPr>
              <w:t>2</w:t>
            </w:r>
          </w:p>
        </w:tc>
        <w:tc>
          <w:tcPr>
            <w:tcW w:w="7778"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4"/>
                <w:szCs w:val="24"/>
              </w:rPr>
            </w:pPr>
            <w:r>
              <w:rPr>
                <w:rFonts w:hint="eastAsia" w:ascii="宋体" w:hAnsi="宋体" w:eastAsia="宋体" w:cs="宋体"/>
                <w:sz w:val="24"/>
                <w:szCs w:val="24"/>
              </w:rPr>
              <w:t>本项目提交首次响应文件截止之日前，供应商不得被“信用中国”网站列入失信被执行人、重大税收违法案件当事人名单，不得被“中国政府采购网”网站列入政府采购严重违法失信行为记录名单（处罚期限尚未届满的）；</w:t>
            </w:r>
          </w:p>
          <w:p>
            <w:pPr>
              <w:spacing w:line="360" w:lineRule="auto"/>
              <w:rPr>
                <w:rFonts w:hint="eastAsia" w:ascii="宋体" w:hAnsi="宋体" w:eastAsia="宋体" w:cs="宋体"/>
                <w:sz w:val="24"/>
                <w:szCs w:val="24"/>
              </w:rPr>
            </w:pPr>
            <w:r>
              <w:rPr>
                <w:rFonts w:hint="eastAsia" w:ascii="宋体" w:hAnsi="宋体" w:eastAsia="宋体" w:cs="宋体"/>
                <w:sz w:val="24"/>
                <w:szCs w:val="24"/>
              </w:rPr>
              <w:t>（采购代理机构通过信用中国”网站(www.creditchina.gov.cn)、中国政府采购网(www.ccgp.gov.cn)查询，本项资料供应商无需提供）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8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rPr>
              <w:t>1</w:t>
            </w:r>
            <w:r>
              <w:rPr>
                <w:rFonts w:hint="eastAsia" w:ascii="宋体" w:hAnsi="宋体" w:eastAsia="宋体" w:cs="宋体"/>
                <w:sz w:val="24"/>
                <w:szCs w:val="24"/>
                <w:lang w:val="en-US" w:eastAsia="zh-CN"/>
              </w:rPr>
              <w:t>3</w:t>
            </w:r>
          </w:p>
        </w:tc>
        <w:tc>
          <w:tcPr>
            <w:tcW w:w="7778"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报价未超过磋商文件中规定的预算金额或采购人设定的最高限价或分项控制金额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8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rPr>
              <w:t>1</w:t>
            </w:r>
            <w:r>
              <w:rPr>
                <w:rFonts w:hint="eastAsia" w:ascii="宋体" w:hAnsi="宋体" w:eastAsia="宋体" w:cs="宋体"/>
                <w:sz w:val="24"/>
                <w:szCs w:val="24"/>
                <w:lang w:val="en-US" w:eastAsia="zh-CN"/>
              </w:rPr>
              <w:t>4</w:t>
            </w:r>
          </w:p>
        </w:tc>
        <w:tc>
          <w:tcPr>
            <w:tcW w:w="7778"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响应文件未含有采购人不能接受的附加条件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8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rPr>
              <w:t>1</w:t>
            </w:r>
            <w:r>
              <w:rPr>
                <w:rFonts w:hint="eastAsia" w:ascii="宋体" w:hAnsi="宋体" w:eastAsia="宋体" w:cs="宋体"/>
                <w:sz w:val="24"/>
                <w:szCs w:val="24"/>
                <w:lang w:val="en-US" w:eastAsia="zh-CN"/>
              </w:rPr>
              <w:t>5</w:t>
            </w:r>
          </w:p>
        </w:tc>
        <w:tc>
          <w:tcPr>
            <w:tcW w:w="7778"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不存在“供应商须知”第24.3条款中规定的响应无效情形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8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rPr>
              <w:t>1</w:t>
            </w:r>
            <w:r>
              <w:rPr>
                <w:rFonts w:hint="eastAsia" w:ascii="宋体" w:hAnsi="宋体" w:eastAsia="宋体" w:cs="宋体"/>
                <w:sz w:val="24"/>
                <w:szCs w:val="24"/>
                <w:lang w:val="en-US" w:eastAsia="zh-CN"/>
              </w:rPr>
              <w:t>6</w:t>
            </w:r>
          </w:p>
        </w:tc>
        <w:tc>
          <w:tcPr>
            <w:tcW w:w="7778"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不存在法律、法规和磋商文件规定的其他无效情形</w:t>
            </w:r>
          </w:p>
        </w:tc>
      </w:tr>
    </w:tbl>
    <w:p>
      <w:pPr>
        <w:widowControl/>
        <w:spacing w:line="360" w:lineRule="auto"/>
        <w:jc w:val="left"/>
        <w:rPr>
          <w:rFonts w:hint="eastAsia" w:ascii="宋体" w:hAnsi="宋体" w:eastAsia="宋体" w:cs="宋体"/>
          <w:b/>
          <w:sz w:val="24"/>
          <w:szCs w:val="24"/>
        </w:rPr>
      </w:pPr>
      <w:r>
        <w:rPr>
          <w:rFonts w:hint="eastAsia" w:ascii="宋体" w:hAnsi="宋体" w:eastAsia="宋体" w:cs="宋体"/>
          <w:b/>
          <w:sz w:val="24"/>
          <w:szCs w:val="24"/>
        </w:rPr>
        <w:t xml:space="preserve">注： </w:t>
      </w:r>
    </w:p>
    <w:p>
      <w:pPr>
        <w:widowControl/>
        <w:spacing w:line="360" w:lineRule="auto"/>
        <w:jc w:val="left"/>
        <w:rPr>
          <w:rFonts w:hint="eastAsia" w:ascii="宋体" w:hAnsi="宋体" w:eastAsia="宋体" w:cs="宋体"/>
          <w:b/>
          <w:sz w:val="24"/>
          <w:szCs w:val="24"/>
        </w:rPr>
      </w:pPr>
      <w:r>
        <w:rPr>
          <w:rFonts w:hint="eastAsia" w:ascii="宋体" w:hAnsi="宋体" w:eastAsia="宋体" w:cs="宋体"/>
          <w:b/>
          <w:sz w:val="24"/>
          <w:szCs w:val="24"/>
        </w:rPr>
        <w:t>1、供应商须将序号1-11的内容放在资格册中。若供应商未按要求提交证明材料的，所造成的后果由供应商自行承担。</w:t>
      </w:r>
    </w:p>
    <w:p>
      <w:pPr>
        <w:widowControl/>
        <w:spacing w:line="360" w:lineRule="auto"/>
        <w:rPr>
          <w:rFonts w:ascii="宋体" w:hAnsi="宋体" w:cs="宋体"/>
          <w:b/>
          <w:sz w:val="22"/>
        </w:rPr>
      </w:pPr>
      <w:r>
        <w:rPr>
          <w:rFonts w:hint="eastAsia" w:ascii="宋体" w:hAnsi="宋体" w:eastAsia="宋体" w:cs="宋体"/>
          <w:b/>
          <w:sz w:val="24"/>
          <w:szCs w:val="24"/>
        </w:rPr>
        <w:t>2、审查内容具体要求及格式详见第六章。</w:t>
      </w:r>
    </w:p>
    <w:p>
      <w:pPr>
        <w:widowControl/>
        <w:spacing w:line="360" w:lineRule="auto"/>
        <w:outlineLvl w:val="0"/>
        <w:rPr>
          <w:rFonts w:ascii="宋体" w:hAnsi="宋体" w:cs="宋体"/>
          <w:b/>
          <w:sz w:val="22"/>
          <w:szCs w:val="21"/>
        </w:rPr>
      </w:pPr>
      <w:r>
        <w:rPr>
          <w:rFonts w:hint="eastAsia" w:ascii="宋体" w:hAnsi="宋体" w:cs="宋体"/>
          <w:b/>
          <w:sz w:val="22"/>
          <w:szCs w:val="18"/>
        </w:rPr>
        <w:br w:type="page"/>
      </w:r>
      <w:bookmarkStart w:id="704" w:name="_Toc24552"/>
      <w:bookmarkStart w:id="705" w:name="_Toc237"/>
      <w:bookmarkStart w:id="706" w:name="_Toc8274"/>
      <w:r>
        <w:rPr>
          <w:rFonts w:hint="eastAsia" w:ascii="宋体" w:hAnsi="宋体" w:cs="宋体"/>
          <w:b/>
          <w:sz w:val="22"/>
          <w:szCs w:val="18"/>
          <w:lang w:val="en-US" w:eastAsia="zh-CN"/>
        </w:rPr>
        <w:t>三</w:t>
      </w:r>
      <w:r>
        <w:rPr>
          <w:rFonts w:hint="eastAsia" w:ascii="宋体" w:hAnsi="宋体" w:cs="宋体"/>
          <w:b/>
          <w:sz w:val="22"/>
          <w:szCs w:val="21"/>
        </w:rPr>
        <w:t>、详细评分细则</w:t>
      </w:r>
      <w:bookmarkEnd w:id="704"/>
      <w:bookmarkEnd w:id="705"/>
      <w:bookmarkEnd w:id="706"/>
    </w:p>
    <w:tbl>
      <w:tblPr>
        <w:tblStyle w:val="42"/>
        <w:tblW w:w="92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1"/>
        <w:gridCol w:w="7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1" w:type="dxa"/>
          </w:tcPr>
          <w:p>
            <w:pPr>
              <w:autoSpaceDE w:val="0"/>
              <w:autoSpaceDN w:val="0"/>
              <w:spacing w:line="360" w:lineRule="auto"/>
              <w:jc w:val="center"/>
              <w:rPr>
                <w:rFonts w:ascii="宋体" w:hAnsi="宋体" w:cs="宋体"/>
                <w:b/>
                <w:szCs w:val="24"/>
              </w:rPr>
            </w:pPr>
            <w:bookmarkStart w:id="707" w:name="_Hlk65226747"/>
            <w:r>
              <w:rPr>
                <w:rFonts w:hint="eastAsia" w:ascii="宋体" w:hAnsi="宋体" w:cs="宋体"/>
                <w:b/>
                <w:szCs w:val="24"/>
              </w:rPr>
              <w:t>评分项</w:t>
            </w:r>
          </w:p>
        </w:tc>
        <w:tc>
          <w:tcPr>
            <w:tcW w:w="7771" w:type="dxa"/>
          </w:tcPr>
          <w:p>
            <w:pPr>
              <w:autoSpaceDE w:val="0"/>
              <w:autoSpaceDN w:val="0"/>
              <w:spacing w:line="360" w:lineRule="auto"/>
              <w:jc w:val="center"/>
              <w:rPr>
                <w:rFonts w:ascii="宋体" w:hAnsi="宋体" w:cs="宋体"/>
                <w:b/>
                <w:szCs w:val="24"/>
              </w:rPr>
            </w:pPr>
            <w:r>
              <w:rPr>
                <w:rFonts w:hint="eastAsia" w:ascii="宋体" w:hAnsi="宋体" w:cs="宋体"/>
                <w:b/>
                <w:szCs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1" w:type="dxa"/>
            <w:vAlign w:val="center"/>
          </w:tcPr>
          <w:p>
            <w:pPr>
              <w:autoSpaceDE w:val="0"/>
              <w:autoSpaceDN w:val="0"/>
              <w:spacing w:line="360" w:lineRule="auto"/>
              <w:jc w:val="center"/>
              <w:rPr>
                <w:rFonts w:ascii="宋体" w:hAnsi="宋体" w:cs="宋体"/>
                <w:szCs w:val="24"/>
              </w:rPr>
            </w:pPr>
            <w:r>
              <w:rPr>
                <w:rFonts w:hint="eastAsia" w:ascii="宋体" w:hAnsi="宋体" w:cs="宋体"/>
                <w:szCs w:val="24"/>
              </w:rPr>
              <w:t>价格部分</w:t>
            </w:r>
          </w:p>
          <w:p>
            <w:pPr>
              <w:autoSpaceDE w:val="0"/>
              <w:autoSpaceDN w:val="0"/>
              <w:spacing w:line="360" w:lineRule="auto"/>
              <w:jc w:val="center"/>
              <w:rPr>
                <w:rFonts w:ascii="宋体" w:hAnsi="宋体" w:cs="宋体"/>
                <w:szCs w:val="24"/>
              </w:rPr>
            </w:pPr>
            <w:r>
              <w:rPr>
                <w:rFonts w:hint="eastAsia" w:ascii="宋体" w:hAnsi="宋体" w:cs="宋体"/>
                <w:szCs w:val="24"/>
              </w:rPr>
              <w:t>(10分)</w:t>
            </w:r>
          </w:p>
        </w:tc>
        <w:tc>
          <w:tcPr>
            <w:tcW w:w="7771" w:type="dxa"/>
            <w:vAlign w:val="center"/>
          </w:tcPr>
          <w:p>
            <w:pPr>
              <w:autoSpaceDE w:val="0"/>
              <w:autoSpaceDN w:val="0"/>
              <w:spacing w:line="360" w:lineRule="auto"/>
              <w:jc w:val="both"/>
              <w:rPr>
                <w:rFonts w:ascii="宋体" w:hAnsi="宋体" w:cs="宋体"/>
                <w:szCs w:val="24"/>
              </w:rPr>
            </w:pPr>
            <w:r>
              <w:rPr>
                <w:rFonts w:hint="eastAsia" w:ascii="宋体" w:hAnsi="宋体" w:cs="宋体"/>
                <w:szCs w:val="24"/>
              </w:rPr>
              <w:t>满足竞争性磋商文件要求且最后报价最低的响应价格为基准价，其价格分为满分。其他供应商的价格分统一按照下列公式计算：响应报价得分＝（评审基准价/最后报价）×10。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1" w:type="dxa"/>
            <w:vAlign w:val="center"/>
          </w:tcPr>
          <w:p>
            <w:pPr>
              <w:autoSpaceDE w:val="0"/>
              <w:autoSpaceDN w:val="0"/>
              <w:spacing w:line="360" w:lineRule="auto"/>
              <w:jc w:val="center"/>
              <w:rPr>
                <w:rFonts w:ascii="宋体" w:hAnsi="宋体" w:cs="宋体"/>
                <w:szCs w:val="24"/>
              </w:rPr>
            </w:pPr>
            <w:r>
              <w:rPr>
                <w:rFonts w:hint="eastAsia" w:ascii="宋体" w:hAnsi="宋体" w:cs="宋体"/>
                <w:szCs w:val="24"/>
              </w:rPr>
              <w:t>企业证书</w:t>
            </w:r>
          </w:p>
          <w:p>
            <w:pPr>
              <w:autoSpaceDE w:val="0"/>
              <w:autoSpaceDN w:val="0"/>
              <w:spacing w:line="360" w:lineRule="auto"/>
              <w:jc w:val="center"/>
              <w:rPr>
                <w:rFonts w:ascii="宋体" w:hAnsi="宋体" w:cs="宋体"/>
                <w:szCs w:val="24"/>
              </w:rPr>
            </w:pPr>
            <w:r>
              <w:rPr>
                <w:rFonts w:hint="eastAsia" w:ascii="宋体" w:hAnsi="宋体" w:cs="宋体"/>
                <w:szCs w:val="24"/>
              </w:rPr>
              <w:t>(3分)</w:t>
            </w:r>
          </w:p>
        </w:tc>
        <w:tc>
          <w:tcPr>
            <w:tcW w:w="7771" w:type="dxa"/>
            <w:vAlign w:val="center"/>
          </w:tcPr>
          <w:p>
            <w:pPr>
              <w:pStyle w:val="131"/>
              <w:spacing w:line="360" w:lineRule="auto"/>
              <w:ind w:left="-62" w:leftChars="-26"/>
              <w:rPr>
                <w:szCs w:val="24"/>
              </w:rPr>
            </w:pPr>
            <w:r>
              <w:rPr>
                <w:rFonts w:hint="eastAsia"/>
                <w:szCs w:val="24"/>
              </w:rPr>
              <w:t>供应商具有有效期内的质量管理体系认证证书得1分；</w:t>
            </w:r>
          </w:p>
          <w:p>
            <w:pPr>
              <w:pStyle w:val="131"/>
              <w:spacing w:line="360" w:lineRule="auto"/>
              <w:ind w:left="-62" w:leftChars="-26"/>
              <w:rPr>
                <w:szCs w:val="24"/>
              </w:rPr>
            </w:pPr>
            <w:r>
              <w:rPr>
                <w:rFonts w:hint="eastAsia"/>
                <w:szCs w:val="24"/>
              </w:rPr>
              <w:t>供应商具有有效期内的环境管理体系认证证书得1分；</w:t>
            </w:r>
          </w:p>
          <w:p>
            <w:pPr>
              <w:pStyle w:val="131"/>
              <w:spacing w:line="360" w:lineRule="auto"/>
              <w:ind w:left="-62" w:leftChars="-26"/>
              <w:rPr>
                <w:szCs w:val="24"/>
              </w:rPr>
            </w:pPr>
            <w:r>
              <w:rPr>
                <w:rFonts w:hint="eastAsia"/>
                <w:szCs w:val="24"/>
              </w:rPr>
              <w:t>供应商具有有效期内的职业健康安全管理体系认证证书得1分；</w:t>
            </w:r>
          </w:p>
          <w:p>
            <w:pPr>
              <w:autoSpaceDE w:val="0"/>
              <w:autoSpaceDN w:val="0"/>
              <w:spacing w:line="360" w:lineRule="auto"/>
              <w:rPr>
                <w:rFonts w:ascii="宋体" w:hAnsi="宋体" w:cs="宋体"/>
                <w:szCs w:val="24"/>
              </w:rPr>
            </w:pPr>
            <w:r>
              <w:rPr>
                <w:rFonts w:hint="eastAsia" w:ascii="宋体" w:hAnsi="宋体" w:cs="宋体"/>
                <w:szCs w:val="24"/>
              </w:rPr>
              <w:t>（提供证书复印件并加盖公章）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1" w:type="dxa"/>
            <w:vAlign w:val="center"/>
          </w:tcPr>
          <w:p>
            <w:pPr>
              <w:autoSpaceDE w:val="0"/>
              <w:autoSpaceDN w:val="0"/>
              <w:spacing w:line="360" w:lineRule="auto"/>
              <w:jc w:val="center"/>
              <w:rPr>
                <w:rFonts w:ascii="宋体" w:hAnsi="宋体" w:cs="宋体"/>
                <w:szCs w:val="24"/>
              </w:rPr>
            </w:pPr>
            <w:r>
              <w:rPr>
                <w:rFonts w:hint="eastAsia" w:ascii="宋体" w:hAnsi="宋体" w:cs="宋体"/>
                <w:szCs w:val="24"/>
              </w:rPr>
              <w:t>类似业绩</w:t>
            </w:r>
          </w:p>
          <w:p>
            <w:pPr>
              <w:autoSpaceDE w:val="0"/>
              <w:autoSpaceDN w:val="0"/>
              <w:spacing w:line="360" w:lineRule="auto"/>
              <w:jc w:val="center"/>
              <w:rPr>
                <w:rFonts w:ascii="宋体" w:hAnsi="宋体" w:cs="宋体"/>
                <w:szCs w:val="24"/>
              </w:rPr>
            </w:pPr>
            <w:r>
              <w:rPr>
                <w:rFonts w:hint="eastAsia" w:ascii="宋体" w:hAnsi="宋体" w:cs="宋体"/>
                <w:szCs w:val="24"/>
              </w:rPr>
              <w:t>(10分)</w:t>
            </w:r>
          </w:p>
        </w:tc>
        <w:tc>
          <w:tcPr>
            <w:tcW w:w="7771" w:type="dxa"/>
            <w:vAlign w:val="center"/>
          </w:tcPr>
          <w:p>
            <w:pPr>
              <w:autoSpaceDE w:val="0"/>
              <w:autoSpaceDN w:val="0"/>
              <w:spacing w:line="360" w:lineRule="auto"/>
              <w:jc w:val="both"/>
              <w:rPr>
                <w:rFonts w:ascii="宋体" w:hAnsi="宋体" w:cs="宋体"/>
                <w:szCs w:val="24"/>
              </w:rPr>
            </w:pPr>
            <w:r>
              <w:rPr>
                <w:rFonts w:hint="eastAsia" w:ascii="宋体" w:hAnsi="宋体" w:cs="宋体"/>
                <w:color w:val="000000"/>
                <w:szCs w:val="24"/>
              </w:rPr>
              <w:t>审查供应商从2019年2月至今（以合同签订日期为准）做过的类似项目业绩（需提供合同复印件并加盖公章，包括合同首页、项目名称、合同金额、服务内容页、甲乙双方签章页）。每提供一个符合要求的业绩得2分，最多得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1" w:type="dxa"/>
            <w:vAlign w:val="center"/>
          </w:tcPr>
          <w:p>
            <w:pPr>
              <w:autoSpaceDE w:val="0"/>
              <w:autoSpaceDN w:val="0"/>
              <w:spacing w:line="360" w:lineRule="auto"/>
              <w:jc w:val="center"/>
              <w:rPr>
                <w:rFonts w:ascii="宋体" w:hAnsi="宋体" w:cs="宋体"/>
                <w:szCs w:val="24"/>
              </w:rPr>
            </w:pPr>
            <w:r>
              <w:rPr>
                <w:rFonts w:hint="eastAsia" w:ascii="宋体" w:hAnsi="宋体" w:cs="宋体"/>
                <w:color w:val="000000"/>
                <w:szCs w:val="24"/>
              </w:rPr>
              <w:t>项目团队情况</w:t>
            </w:r>
            <w:r>
              <w:rPr>
                <w:rFonts w:hint="eastAsia" w:ascii="宋体" w:hAnsi="宋体" w:cs="宋体"/>
                <w:szCs w:val="24"/>
              </w:rPr>
              <w:t>(16分)</w:t>
            </w:r>
          </w:p>
        </w:tc>
        <w:tc>
          <w:tcPr>
            <w:tcW w:w="7771" w:type="dxa"/>
            <w:vAlign w:val="center"/>
          </w:tcPr>
          <w:p>
            <w:pPr>
              <w:numPr>
                <w:ilvl w:val="0"/>
                <w:numId w:val="14"/>
              </w:numPr>
              <w:spacing w:line="360" w:lineRule="auto"/>
              <w:rPr>
                <w:rFonts w:ascii="宋体" w:hAnsi="宋体" w:cs="宋体"/>
                <w:color w:val="000000"/>
                <w:szCs w:val="24"/>
              </w:rPr>
            </w:pPr>
            <w:r>
              <w:rPr>
                <w:rFonts w:hint="eastAsia" w:ascii="宋体" w:hAnsi="宋体" w:cs="宋体"/>
                <w:color w:val="000000"/>
                <w:szCs w:val="24"/>
              </w:rPr>
              <w:t>人员组织架构（5分）</w:t>
            </w:r>
          </w:p>
          <w:p>
            <w:pPr>
              <w:spacing w:line="360" w:lineRule="auto"/>
              <w:jc w:val="both"/>
              <w:rPr>
                <w:rFonts w:ascii="宋体" w:hAnsi="宋体" w:cs="宋体"/>
                <w:color w:val="000000"/>
                <w:szCs w:val="24"/>
              </w:rPr>
            </w:pPr>
            <w:r>
              <w:rPr>
                <w:rFonts w:hint="eastAsia" w:ascii="宋体" w:hAnsi="宋体" w:cs="宋体"/>
                <w:color w:val="000000"/>
                <w:szCs w:val="24"/>
              </w:rPr>
              <w:t>供应商具备完整的人事管理流程，人员架构和岗位职责分工明确，提交人员招收、招聘来源情况及人员稳定性保障措施方案的，得5分；</w:t>
            </w:r>
          </w:p>
          <w:p>
            <w:pPr>
              <w:spacing w:line="360" w:lineRule="auto"/>
              <w:rPr>
                <w:rFonts w:ascii="宋体" w:hAnsi="宋体" w:cs="宋体"/>
                <w:szCs w:val="24"/>
              </w:rPr>
            </w:pPr>
            <w:r>
              <w:rPr>
                <w:rFonts w:hint="eastAsia" w:ascii="宋体" w:hAnsi="宋体" w:cs="宋体"/>
                <w:color w:val="000000"/>
                <w:szCs w:val="24"/>
              </w:rPr>
              <w:t>供应商人事管理流程基本完整，人员架构和岗位职责分工基本明确，提交人员招收、招聘来源情况及人员稳定性保障措施方案的，得3分；</w:t>
            </w:r>
          </w:p>
          <w:p>
            <w:pPr>
              <w:spacing w:line="360" w:lineRule="auto"/>
              <w:jc w:val="both"/>
              <w:rPr>
                <w:rFonts w:ascii="宋体" w:hAnsi="宋体" w:cs="宋体"/>
                <w:color w:val="000000"/>
                <w:szCs w:val="24"/>
              </w:rPr>
            </w:pPr>
            <w:r>
              <w:rPr>
                <w:rFonts w:hint="eastAsia" w:ascii="宋体" w:hAnsi="宋体" w:cs="宋体"/>
                <w:color w:val="000000"/>
                <w:szCs w:val="24"/>
              </w:rPr>
              <w:t>供应商具备人事管理流程框架，人员架构和岗位职责具有分工重复／混乱情况，未提交人员招收、招聘来源情况或人员稳定性保障措施方案的，得1分；</w:t>
            </w:r>
          </w:p>
          <w:p>
            <w:pPr>
              <w:spacing w:line="360" w:lineRule="auto"/>
              <w:jc w:val="both"/>
              <w:rPr>
                <w:rFonts w:ascii="宋体" w:hAnsi="宋体" w:cs="宋体"/>
                <w:color w:val="000000"/>
                <w:szCs w:val="24"/>
              </w:rPr>
            </w:pPr>
            <w:r>
              <w:rPr>
                <w:rFonts w:hint="eastAsia" w:ascii="宋体" w:hAnsi="宋体" w:cs="宋体"/>
                <w:color w:val="000000"/>
                <w:szCs w:val="24"/>
              </w:rPr>
              <w:t>未提供不得分。</w:t>
            </w:r>
          </w:p>
          <w:p>
            <w:pPr>
              <w:numPr>
                <w:ilvl w:val="0"/>
                <w:numId w:val="14"/>
              </w:numPr>
              <w:spacing w:line="360" w:lineRule="auto"/>
              <w:rPr>
                <w:rFonts w:ascii="宋体" w:hAnsi="宋体" w:cs="宋体"/>
                <w:color w:val="000000"/>
                <w:szCs w:val="24"/>
              </w:rPr>
            </w:pPr>
            <w:r>
              <w:rPr>
                <w:rFonts w:hint="eastAsia" w:ascii="宋体" w:hAnsi="宋体" w:cs="宋体"/>
                <w:color w:val="000000"/>
                <w:szCs w:val="24"/>
              </w:rPr>
              <w:t>项目负责人（5分）</w:t>
            </w:r>
          </w:p>
          <w:p>
            <w:pPr>
              <w:spacing w:line="360" w:lineRule="auto"/>
              <w:rPr>
                <w:rFonts w:ascii="宋体" w:hAnsi="宋体" w:cs="宋体"/>
                <w:color w:val="000000"/>
                <w:szCs w:val="24"/>
              </w:rPr>
            </w:pPr>
            <w:r>
              <w:rPr>
                <w:rFonts w:hint="eastAsia" w:ascii="宋体" w:hAnsi="宋体" w:cs="宋体"/>
                <w:color w:val="000000"/>
                <w:szCs w:val="24"/>
              </w:rPr>
              <w:t>拟派项目负责人具有类似项目3年以上管理经验，并提供业绩合同等相关证明材料得5分，否则得0分。</w:t>
            </w:r>
          </w:p>
          <w:p>
            <w:pPr>
              <w:numPr>
                <w:ilvl w:val="0"/>
                <w:numId w:val="14"/>
              </w:numPr>
              <w:spacing w:line="360" w:lineRule="auto"/>
              <w:rPr>
                <w:rFonts w:ascii="宋体" w:hAnsi="宋体" w:cs="宋体"/>
                <w:color w:val="000000"/>
                <w:szCs w:val="24"/>
              </w:rPr>
            </w:pPr>
            <w:r>
              <w:rPr>
                <w:rFonts w:hint="eastAsia" w:ascii="宋体" w:hAnsi="宋体" w:cs="宋体"/>
                <w:color w:val="000000"/>
                <w:szCs w:val="24"/>
              </w:rPr>
              <w:t>团队情况（项目负责人除外）（6分）</w:t>
            </w:r>
          </w:p>
          <w:p>
            <w:pPr>
              <w:spacing w:line="360" w:lineRule="auto"/>
              <w:rPr>
                <w:rFonts w:ascii="宋体" w:hAnsi="宋体" w:cs="宋体"/>
                <w:color w:val="000000"/>
                <w:szCs w:val="24"/>
              </w:rPr>
            </w:pPr>
            <w:r>
              <w:rPr>
                <w:rFonts w:hint="eastAsia" w:ascii="宋体" w:hAnsi="宋体" w:cs="宋体"/>
                <w:color w:val="000000"/>
                <w:szCs w:val="24"/>
              </w:rPr>
              <w:t>本项目拟派团队人员工作安排合理，分工职责明确，人员稳定可靠，具备类似项目执行经验得6分；</w:t>
            </w:r>
          </w:p>
          <w:p>
            <w:pPr>
              <w:spacing w:line="360" w:lineRule="auto"/>
              <w:rPr>
                <w:rFonts w:ascii="宋体" w:hAnsi="宋体" w:cs="宋体"/>
                <w:szCs w:val="24"/>
              </w:rPr>
            </w:pPr>
            <w:r>
              <w:rPr>
                <w:rFonts w:hint="eastAsia" w:ascii="宋体" w:hAnsi="宋体" w:cs="宋体"/>
                <w:color w:val="000000"/>
                <w:szCs w:val="24"/>
              </w:rPr>
              <w:t>团队人员工作安排基本合理，分工职责基本明确，人员稳定得4分；</w:t>
            </w:r>
          </w:p>
          <w:p>
            <w:pPr>
              <w:spacing w:line="360" w:lineRule="auto"/>
              <w:rPr>
                <w:rFonts w:ascii="宋体" w:hAnsi="宋体" w:cs="宋体"/>
                <w:color w:val="000000"/>
                <w:szCs w:val="24"/>
              </w:rPr>
            </w:pPr>
            <w:r>
              <w:rPr>
                <w:rFonts w:hint="eastAsia" w:ascii="宋体" w:hAnsi="宋体" w:cs="宋体"/>
                <w:color w:val="000000"/>
                <w:szCs w:val="24"/>
              </w:rPr>
              <w:t>团队人员工作安排较合理但具有分工重复／混乱情况，得2分：</w:t>
            </w:r>
          </w:p>
          <w:p>
            <w:pPr>
              <w:spacing w:line="360" w:lineRule="auto"/>
              <w:rPr>
                <w:rFonts w:ascii="宋体" w:hAnsi="宋体" w:cs="宋体"/>
                <w:szCs w:val="24"/>
              </w:rPr>
            </w:pPr>
            <w:r>
              <w:rPr>
                <w:rFonts w:hint="eastAsia" w:ascii="宋体" w:hAnsi="宋体" w:cs="宋体"/>
                <w:color w:val="000000"/>
                <w:szCs w:val="24"/>
              </w:rPr>
              <w:t>团队人员工作安排不合理，分工不明确、人员不具备类似项目执行经验或未提供得0分。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1451" w:type="dxa"/>
            <w:vAlign w:val="center"/>
          </w:tcPr>
          <w:p>
            <w:pPr>
              <w:autoSpaceDE w:val="0"/>
              <w:autoSpaceDN w:val="0"/>
              <w:spacing w:line="360" w:lineRule="auto"/>
              <w:jc w:val="center"/>
              <w:rPr>
                <w:rFonts w:ascii="宋体" w:hAnsi="宋体" w:cs="宋体"/>
                <w:color w:val="000000"/>
                <w:szCs w:val="24"/>
              </w:rPr>
            </w:pPr>
            <w:r>
              <w:rPr>
                <w:rFonts w:hint="eastAsia" w:ascii="宋体" w:hAnsi="宋体" w:cs="宋体"/>
                <w:color w:val="000000"/>
                <w:szCs w:val="24"/>
              </w:rPr>
              <w:t>服务方案</w:t>
            </w:r>
          </w:p>
          <w:p>
            <w:pPr>
              <w:autoSpaceDE w:val="0"/>
              <w:autoSpaceDN w:val="0"/>
              <w:spacing w:line="360" w:lineRule="auto"/>
              <w:jc w:val="center"/>
              <w:rPr>
                <w:rFonts w:ascii="宋体" w:hAnsi="宋体" w:cs="宋体"/>
                <w:color w:val="000000"/>
                <w:szCs w:val="24"/>
              </w:rPr>
            </w:pPr>
            <w:r>
              <w:rPr>
                <w:rFonts w:hint="eastAsia" w:ascii="宋体" w:hAnsi="宋体" w:cs="宋体"/>
                <w:color w:val="000000"/>
                <w:szCs w:val="24"/>
              </w:rPr>
              <w:t>（45分）</w:t>
            </w:r>
          </w:p>
        </w:tc>
        <w:tc>
          <w:tcPr>
            <w:tcW w:w="7771" w:type="dxa"/>
            <w:vAlign w:val="center"/>
          </w:tcPr>
          <w:p>
            <w:pPr>
              <w:numPr>
                <w:ilvl w:val="0"/>
                <w:numId w:val="15"/>
              </w:numPr>
              <w:spacing w:line="360" w:lineRule="auto"/>
              <w:rPr>
                <w:rFonts w:ascii="宋体" w:hAnsi="宋体" w:cs="宋体"/>
                <w:szCs w:val="24"/>
              </w:rPr>
            </w:pPr>
            <w:r>
              <w:rPr>
                <w:rFonts w:hint="eastAsia" w:ascii="宋体" w:hAnsi="宋体" w:cs="宋体"/>
                <w:szCs w:val="24"/>
              </w:rPr>
              <w:t>项目理解（0-10）：</w:t>
            </w:r>
          </w:p>
          <w:p>
            <w:pPr>
              <w:spacing w:line="360" w:lineRule="auto"/>
              <w:jc w:val="both"/>
              <w:rPr>
                <w:rFonts w:ascii="宋体" w:hAnsi="宋体" w:cs="宋体"/>
                <w:szCs w:val="24"/>
              </w:rPr>
            </w:pPr>
            <w:r>
              <w:rPr>
                <w:rFonts w:hint="eastAsia" w:ascii="宋体" w:hAnsi="宋体" w:cs="宋体"/>
                <w:szCs w:val="24"/>
              </w:rPr>
              <w:t>对本项目的工作内容、工作标准、采购人性质等方面理解充分，完全满足技术需求且分析透彻，符合采购人实际需求，得10分；</w:t>
            </w:r>
          </w:p>
          <w:p>
            <w:pPr>
              <w:spacing w:line="360" w:lineRule="auto"/>
              <w:jc w:val="both"/>
              <w:rPr>
                <w:rFonts w:ascii="宋体" w:hAnsi="宋体" w:cs="宋体"/>
                <w:szCs w:val="24"/>
              </w:rPr>
            </w:pPr>
            <w:r>
              <w:rPr>
                <w:rFonts w:hint="eastAsia" w:ascii="宋体" w:hAnsi="宋体" w:cs="宋体"/>
                <w:szCs w:val="24"/>
              </w:rPr>
              <w:t>对工作内容、工作标准理解较充分，满足技术需求，但分析不够透彻，针对采购人性质实际分析针对性一般得7分；</w:t>
            </w:r>
          </w:p>
          <w:p>
            <w:pPr>
              <w:spacing w:line="360" w:lineRule="auto"/>
              <w:jc w:val="both"/>
              <w:rPr>
                <w:rFonts w:ascii="宋体" w:hAnsi="宋体" w:cs="宋体"/>
                <w:szCs w:val="24"/>
              </w:rPr>
            </w:pPr>
            <w:r>
              <w:rPr>
                <w:rFonts w:hint="eastAsia" w:ascii="宋体" w:hAnsi="宋体" w:cs="宋体"/>
                <w:szCs w:val="24"/>
              </w:rPr>
              <w:t>对工作内容、工作标准理解较充分，但分析不够透彻得4分；</w:t>
            </w:r>
          </w:p>
          <w:p>
            <w:pPr>
              <w:spacing w:line="360" w:lineRule="auto"/>
              <w:jc w:val="both"/>
              <w:rPr>
                <w:rFonts w:ascii="宋体" w:hAnsi="宋体" w:cs="宋体"/>
                <w:szCs w:val="24"/>
              </w:rPr>
            </w:pPr>
            <w:r>
              <w:rPr>
                <w:rFonts w:hint="eastAsia" w:ascii="宋体" w:hAnsi="宋体" w:cs="宋体"/>
                <w:szCs w:val="24"/>
              </w:rPr>
              <w:t>对工作内容、工作标准简述，无分析得1分；</w:t>
            </w:r>
          </w:p>
          <w:p>
            <w:pPr>
              <w:spacing w:line="360" w:lineRule="auto"/>
              <w:jc w:val="both"/>
              <w:rPr>
                <w:rFonts w:ascii="宋体" w:hAnsi="宋体" w:cs="宋体"/>
                <w:szCs w:val="24"/>
              </w:rPr>
            </w:pPr>
            <w:r>
              <w:rPr>
                <w:rFonts w:hint="eastAsia" w:ascii="宋体" w:hAnsi="宋体" w:cs="宋体"/>
                <w:szCs w:val="24"/>
              </w:rPr>
              <w:t>无针对性或提供的分析无具体内容得0分．</w:t>
            </w:r>
          </w:p>
          <w:p>
            <w:pPr>
              <w:numPr>
                <w:ilvl w:val="0"/>
                <w:numId w:val="15"/>
              </w:numPr>
              <w:spacing w:line="360" w:lineRule="auto"/>
              <w:rPr>
                <w:rFonts w:ascii="宋体" w:hAnsi="宋体" w:cs="宋体"/>
                <w:szCs w:val="24"/>
              </w:rPr>
            </w:pPr>
            <w:r>
              <w:rPr>
                <w:rFonts w:hint="eastAsia" w:ascii="宋体" w:hAnsi="宋体" w:cs="宋体"/>
                <w:szCs w:val="24"/>
              </w:rPr>
              <w:t>服务实施方案（0-23）：</w:t>
            </w:r>
          </w:p>
          <w:p>
            <w:pPr>
              <w:spacing w:line="360" w:lineRule="auto"/>
              <w:jc w:val="both"/>
              <w:rPr>
                <w:rFonts w:ascii="宋体" w:hAnsi="宋体" w:cs="宋体"/>
                <w:szCs w:val="24"/>
              </w:rPr>
            </w:pPr>
            <w:r>
              <w:rPr>
                <w:rFonts w:hint="eastAsia" w:ascii="宋体" w:hAnsi="宋体" w:cs="宋体"/>
                <w:szCs w:val="24"/>
              </w:rPr>
              <w:t>供应商应提供针对本项目得详细服务实施方案，涵盖范围包括但不限于本项目“服务需求”所述的全部内容，结合本项目实际情况进行详细应答，编制会议服务方案及保洁服务方案等各项服务方案。</w:t>
            </w:r>
          </w:p>
          <w:p>
            <w:pPr>
              <w:spacing w:line="360" w:lineRule="auto"/>
              <w:jc w:val="both"/>
              <w:rPr>
                <w:rFonts w:ascii="宋体" w:hAnsi="宋体" w:cs="宋体"/>
                <w:szCs w:val="24"/>
              </w:rPr>
            </w:pPr>
            <w:r>
              <w:rPr>
                <w:rFonts w:hint="eastAsia" w:ascii="宋体" w:hAnsi="宋体" w:cs="宋体"/>
                <w:szCs w:val="24"/>
              </w:rPr>
              <w:t>供应商各项内容针对需求要求提供完整，描写详细，符合项目使用的实际特点得23分；</w:t>
            </w:r>
          </w:p>
          <w:p>
            <w:pPr>
              <w:spacing w:line="360" w:lineRule="auto"/>
              <w:rPr>
                <w:rFonts w:ascii="宋体" w:hAnsi="宋体" w:cs="宋体"/>
                <w:szCs w:val="24"/>
              </w:rPr>
            </w:pPr>
            <w:r>
              <w:rPr>
                <w:rFonts w:hint="eastAsia" w:ascii="宋体" w:hAnsi="宋体" w:cs="宋体"/>
                <w:szCs w:val="24"/>
              </w:rPr>
              <w:t>供应商各项内容针对上述要求提供基本完整，描写详细，但表述有欠缺，符合项目使用的实际特点得19分；</w:t>
            </w:r>
          </w:p>
          <w:p>
            <w:pPr>
              <w:spacing w:line="360" w:lineRule="auto"/>
              <w:rPr>
                <w:rFonts w:ascii="宋体" w:hAnsi="宋体" w:cs="宋体"/>
                <w:szCs w:val="24"/>
              </w:rPr>
            </w:pPr>
            <w:r>
              <w:rPr>
                <w:rFonts w:hint="eastAsia" w:ascii="宋体" w:hAnsi="宋体" w:cs="宋体"/>
                <w:szCs w:val="24"/>
              </w:rPr>
              <w:t>供应商各项内容针对上述要求提供方案任意一项有缺项、遗漏或表意不清，其余内容描写详细，符合项目使用的实际特点得15分；</w:t>
            </w:r>
          </w:p>
          <w:p>
            <w:pPr>
              <w:spacing w:line="360" w:lineRule="auto"/>
              <w:rPr>
                <w:rFonts w:ascii="宋体" w:hAnsi="宋体" w:cs="宋体"/>
                <w:szCs w:val="24"/>
              </w:rPr>
            </w:pPr>
            <w:r>
              <w:rPr>
                <w:rFonts w:hint="eastAsia" w:ascii="宋体" w:hAnsi="宋体" w:cs="宋体"/>
                <w:szCs w:val="24"/>
              </w:rPr>
              <w:t>供应商各项内容针对上述要求提供方案任意二项有缺项、遗漏或表意不清，其余内容描写详细，符合项目使用的实际特点得10分；</w:t>
            </w:r>
          </w:p>
          <w:p>
            <w:pPr>
              <w:spacing w:line="360" w:lineRule="auto"/>
              <w:rPr>
                <w:rFonts w:ascii="宋体" w:hAnsi="宋体" w:cs="宋体"/>
                <w:szCs w:val="24"/>
              </w:rPr>
            </w:pPr>
            <w:r>
              <w:rPr>
                <w:rFonts w:hint="eastAsia" w:ascii="宋体" w:hAnsi="宋体" w:cs="宋体"/>
                <w:szCs w:val="24"/>
              </w:rPr>
              <w:t>供应商各项内容针对上述要求提供方案任意三项或以上有缺项、遗漏或表意不清，其余内容描写详细，符合项目使用的实际特点得5分；</w:t>
            </w:r>
          </w:p>
          <w:p>
            <w:pPr>
              <w:spacing w:line="360" w:lineRule="auto"/>
              <w:rPr>
                <w:rFonts w:ascii="宋体" w:hAnsi="宋体" w:cs="宋体"/>
                <w:szCs w:val="24"/>
              </w:rPr>
            </w:pPr>
            <w:r>
              <w:rPr>
                <w:rFonts w:hint="eastAsia" w:ascii="宋体" w:hAnsi="宋体" w:cs="宋体"/>
                <w:szCs w:val="24"/>
              </w:rPr>
              <w:t>未提供得0分。</w:t>
            </w:r>
          </w:p>
          <w:p>
            <w:pPr>
              <w:numPr>
                <w:ilvl w:val="0"/>
                <w:numId w:val="15"/>
              </w:numPr>
              <w:spacing w:line="360" w:lineRule="auto"/>
              <w:rPr>
                <w:rFonts w:ascii="宋体" w:hAnsi="宋体" w:cs="宋体"/>
                <w:szCs w:val="24"/>
              </w:rPr>
            </w:pPr>
            <w:r>
              <w:rPr>
                <w:rFonts w:hint="eastAsia" w:ascii="宋体" w:hAnsi="宋体" w:cs="宋体"/>
                <w:szCs w:val="24"/>
              </w:rPr>
              <w:t>内部规章制度（0-6）：</w:t>
            </w:r>
          </w:p>
          <w:p>
            <w:pPr>
              <w:spacing w:line="360" w:lineRule="auto"/>
              <w:rPr>
                <w:rFonts w:ascii="宋体" w:hAnsi="宋体" w:cs="宋体"/>
                <w:color w:val="000000"/>
                <w:szCs w:val="24"/>
              </w:rPr>
            </w:pPr>
            <w:r>
              <w:rPr>
                <w:rFonts w:hint="eastAsia" w:ascii="宋体" w:hAnsi="宋体" w:cs="宋体"/>
                <w:color w:val="000000"/>
                <w:szCs w:val="24"/>
              </w:rPr>
              <w:t>供应商内部规章制度完整、合理，具备详细日常规范及详细奖惩措施得6分；</w:t>
            </w:r>
          </w:p>
          <w:p>
            <w:pPr>
              <w:spacing w:line="360" w:lineRule="auto"/>
              <w:rPr>
                <w:rFonts w:ascii="宋体" w:hAnsi="宋体" w:cs="宋体"/>
                <w:color w:val="000000"/>
                <w:szCs w:val="24"/>
              </w:rPr>
            </w:pPr>
            <w:r>
              <w:rPr>
                <w:rFonts w:hint="eastAsia" w:ascii="宋体" w:hAnsi="宋体" w:cs="宋体"/>
                <w:color w:val="000000"/>
                <w:szCs w:val="24"/>
              </w:rPr>
              <w:t>供应商内部规章制度基本完整合理，具备日常规范及奖惩措施得4分；</w:t>
            </w:r>
          </w:p>
          <w:p>
            <w:pPr>
              <w:spacing w:line="360" w:lineRule="auto"/>
              <w:rPr>
                <w:rFonts w:ascii="宋体" w:hAnsi="宋体" w:cs="宋体"/>
                <w:szCs w:val="24"/>
              </w:rPr>
            </w:pPr>
            <w:r>
              <w:rPr>
                <w:rFonts w:hint="eastAsia" w:ascii="宋体" w:hAnsi="宋体" w:cs="宋体"/>
                <w:color w:val="000000"/>
                <w:szCs w:val="24"/>
              </w:rPr>
              <w:t>供应商内部规章制度不完善有疏漏，日常规范及奖惩措施不完善得2分；</w:t>
            </w:r>
          </w:p>
          <w:p>
            <w:pPr>
              <w:spacing w:line="360" w:lineRule="auto"/>
              <w:rPr>
                <w:rFonts w:ascii="宋体" w:hAnsi="宋体" w:cs="宋体"/>
                <w:color w:val="000000"/>
                <w:szCs w:val="24"/>
              </w:rPr>
            </w:pPr>
            <w:r>
              <w:rPr>
                <w:rFonts w:hint="eastAsia" w:ascii="宋体" w:hAnsi="宋体" w:cs="宋体"/>
                <w:color w:val="000000"/>
                <w:szCs w:val="24"/>
              </w:rPr>
              <w:t>未提供得0分。</w:t>
            </w:r>
          </w:p>
          <w:p>
            <w:pPr>
              <w:numPr>
                <w:ilvl w:val="0"/>
                <w:numId w:val="15"/>
              </w:numPr>
              <w:spacing w:line="360" w:lineRule="auto"/>
              <w:rPr>
                <w:rFonts w:ascii="宋体" w:hAnsi="宋体" w:cs="宋体"/>
                <w:szCs w:val="24"/>
              </w:rPr>
            </w:pPr>
            <w:r>
              <w:rPr>
                <w:rFonts w:hint="eastAsia" w:ascii="宋体" w:hAnsi="宋体" w:cs="宋体"/>
                <w:szCs w:val="24"/>
              </w:rPr>
              <w:t>考核培训（0-6）：</w:t>
            </w:r>
          </w:p>
          <w:p>
            <w:pPr>
              <w:spacing w:line="360" w:lineRule="auto"/>
              <w:rPr>
                <w:rFonts w:ascii="宋体" w:hAnsi="宋体" w:cs="宋体"/>
                <w:color w:val="000000"/>
                <w:szCs w:val="24"/>
              </w:rPr>
            </w:pPr>
            <w:r>
              <w:rPr>
                <w:rFonts w:hint="eastAsia" w:ascii="宋体" w:hAnsi="宋体" w:cs="宋体"/>
                <w:color w:val="000000"/>
                <w:szCs w:val="24"/>
              </w:rPr>
              <w:t>供应商上岗培训考核以及工作日常培训考核方案全面，合理，针对性强得6分；</w:t>
            </w:r>
          </w:p>
          <w:p>
            <w:pPr>
              <w:spacing w:line="360" w:lineRule="auto"/>
              <w:rPr>
                <w:rFonts w:ascii="宋体" w:hAnsi="宋体" w:cs="宋体"/>
                <w:color w:val="000000"/>
                <w:szCs w:val="24"/>
              </w:rPr>
            </w:pPr>
            <w:r>
              <w:rPr>
                <w:rFonts w:hint="eastAsia" w:ascii="宋体" w:hAnsi="宋体" w:cs="宋体"/>
                <w:color w:val="000000"/>
                <w:szCs w:val="24"/>
              </w:rPr>
              <w:t>供应商上岗培训考核以及工作日常培训考核方案基本完整合理，针对性一般得4分；</w:t>
            </w:r>
          </w:p>
          <w:p>
            <w:pPr>
              <w:spacing w:line="360" w:lineRule="auto"/>
              <w:rPr>
                <w:rFonts w:ascii="宋体" w:hAnsi="宋体" w:cs="宋体"/>
                <w:color w:val="000000"/>
                <w:szCs w:val="24"/>
              </w:rPr>
            </w:pPr>
            <w:r>
              <w:rPr>
                <w:rFonts w:hint="eastAsia" w:ascii="宋体" w:hAnsi="宋体" w:cs="宋体"/>
                <w:color w:val="000000"/>
                <w:szCs w:val="24"/>
              </w:rPr>
              <w:t>供应商上岗培训考核以及工作日常培训考核方案不完整，合理性一般，无针对性得2分；</w:t>
            </w:r>
          </w:p>
          <w:p>
            <w:pPr>
              <w:spacing w:line="360" w:lineRule="auto"/>
              <w:rPr>
                <w:rFonts w:ascii="宋体" w:hAnsi="宋体" w:cs="宋体"/>
                <w:szCs w:val="24"/>
              </w:rPr>
            </w:pPr>
            <w:r>
              <w:rPr>
                <w:rFonts w:hint="eastAsia" w:ascii="宋体" w:hAnsi="宋体" w:cs="宋体"/>
                <w:color w:val="000000"/>
                <w:szCs w:val="24"/>
              </w:rPr>
              <w:t>书写不全面，表述不完整或未提供得0分。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1" w:type="dxa"/>
          </w:tcPr>
          <w:p>
            <w:pPr>
              <w:spacing w:line="360" w:lineRule="auto"/>
              <w:jc w:val="center"/>
              <w:rPr>
                <w:rFonts w:ascii="宋体" w:hAnsi="宋体" w:cs="宋体"/>
                <w:color w:val="000000"/>
                <w:szCs w:val="24"/>
              </w:rPr>
            </w:pPr>
          </w:p>
          <w:p>
            <w:pPr>
              <w:spacing w:line="360" w:lineRule="auto"/>
              <w:jc w:val="center"/>
              <w:rPr>
                <w:rFonts w:ascii="宋体" w:hAnsi="宋体" w:cs="宋体"/>
                <w:color w:val="000000"/>
                <w:szCs w:val="24"/>
              </w:rPr>
            </w:pPr>
            <w:r>
              <w:rPr>
                <w:rFonts w:hint="eastAsia" w:ascii="宋体" w:hAnsi="宋体" w:cs="宋体"/>
                <w:color w:val="000000"/>
                <w:szCs w:val="24"/>
              </w:rPr>
              <w:t>服务承诺</w:t>
            </w:r>
          </w:p>
          <w:p>
            <w:pPr>
              <w:spacing w:line="360" w:lineRule="auto"/>
              <w:jc w:val="center"/>
              <w:rPr>
                <w:rFonts w:ascii="宋体" w:hAnsi="宋体" w:cs="宋体"/>
                <w:color w:val="000000"/>
                <w:szCs w:val="24"/>
              </w:rPr>
            </w:pPr>
            <w:r>
              <w:rPr>
                <w:rFonts w:hint="eastAsia" w:ascii="宋体" w:hAnsi="宋体" w:cs="宋体"/>
                <w:color w:val="000000"/>
                <w:szCs w:val="24"/>
              </w:rPr>
              <w:t>（6分）</w:t>
            </w:r>
          </w:p>
        </w:tc>
        <w:tc>
          <w:tcPr>
            <w:tcW w:w="7771" w:type="dxa"/>
          </w:tcPr>
          <w:p>
            <w:pPr>
              <w:spacing w:line="360" w:lineRule="auto"/>
              <w:rPr>
                <w:rFonts w:ascii="宋体" w:hAnsi="宋体" w:cs="宋体"/>
                <w:color w:val="000000"/>
                <w:szCs w:val="24"/>
              </w:rPr>
            </w:pPr>
            <w:r>
              <w:rPr>
                <w:rFonts w:hint="eastAsia" w:ascii="宋体" w:hAnsi="宋体" w:cs="宋体"/>
                <w:color w:val="000000"/>
                <w:szCs w:val="24"/>
              </w:rPr>
              <w:t>供应商提供针对本项目采购需求全部内容，提供完整详细的服务承诺，表意完整，有利于项目开展得6分；</w:t>
            </w:r>
          </w:p>
          <w:p>
            <w:pPr>
              <w:spacing w:line="360" w:lineRule="auto"/>
              <w:rPr>
                <w:rFonts w:ascii="宋体" w:hAnsi="宋体" w:cs="宋体"/>
                <w:color w:val="000000"/>
                <w:szCs w:val="24"/>
              </w:rPr>
            </w:pPr>
            <w:r>
              <w:rPr>
                <w:rFonts w:hint="eastAsia" w:ascii="宋体" w:hAnsi="宋体" w:cs="宋体"/>
                <w:color w:val="000000"/>
                <w:szCs w:val="24"/>
              </w:rPr>
              <w:t>服务承诺比较完善、内容基本完整；但表述与招标需求有欠缺得3分；</w:t>
            </w:r>
          </w:p>
          <w:p>
            <w:pPr>
              <w:spacing w:line="360" w:lineRule="auto"/>
              <w:rPr>
                <w:rFonts w:ascii="宋体" w:hAnsi="宋体" w:cs="宋体"/>
                <w:color w:val="000000"/>
                <w:szCs w:val="24"/>
              </w:rPr>
            </w:pPr>
            <w:r>
              <w:rPr>
                <w:rFonts w:hint="eastAsia" w:ascii="宋体" w:hAnsi="宋体" w:cs="宋体"/>
                <w:color w:val="000000"/>
                <w:szCs w:val="24"/>
              </w:rPr>
              <w:t>未提供相关方案得0分。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1" w:type="dxa"/>
            <w:vAlign w:val="center"/>
          </w:tcPr>
          <w:p>
            <w:pPr>
              <w:spacing w:line="360" w:lineRule="auto"/>
              <w:jc w:val="center"/>
              <w:rPr>
                <w:rFonts w:ascii="宋体" w:hAnsi="宋体" w:cs="宋体"/>
                <w:color w:val="000000"/>
                <w:szCs w:val="24"/>
              </w:rPr>
            </w:pPr>
            <w:r>
              <w:rPr>
                <w:rFonts w:hint="eastAsia" w:ascii="宋体" w:hAnsi="宋体" w:cs="宋体"/>
                <w:color w:val="000000"/>
                <w:szCs w:val="24"/>
              </w:rPr>
              <w:t>应急处理措施（10分）</w:t>
            </w:r>
          </w:p>
        </w:tc>
        <w:tc>
          <w:tcPr>
            <w:tcW w:w="7771" w:type="dxa"/>
            <w:vAlign w:val="center"/>
          </w:tcPr>
          <w:p>
            <w:pPr>
              <w:spacing w:line="360" w:lineRule="auto"/>
              <w:jc w:val="both"/>
              <w:rPr>
                <w:rFonts w:ascii="宋体" w:hAnsi="宋体" w:cs="宋体"/>
                <w:color w:val="000000"/>
                <w:szCs w:val="24"/>
              </w:rPr>
            </w:pPr>
            <w:r>
              <w:rPr>
                <w:rFonts w:hint="eastAsia" w:ascii="宋体" w:hAnsi="宋体" w:cs="宋体"/>
                <w:color w:val="000000"/>
                <w:szCs w:val="24"/>
              </w:rPr>
              <w:t>供应商对可能发生的突发情况提供详细的应急服务响应措施及突发事件应急策略，符合采购人实际情况，思路清晰表述完整，针对性强得10分；</w:t>
            </w:r>
          </w:p>
          <w:p>
            <w:pPr>
              <w:spacing w:line="360" w:lineRule="auto"/>
              <w:jc w:val="both"/>
              <w:rPr>
                <w:rFonts w:ascii="宋体" w:hAnsi="宋体" w:cs="宋体"/>
                <w:color w:val="000000"/>
                <w:szCs w:val="24"/>
              </w:rPr>
            </w:pPr>
            <w:r>
              <w:rPr>
                <w:rFonts w:hint="eastAsia" w:ascii="宋体" w:hAnsi="宋体" w:cs="宋体"/>
                <w:color w:val="000000"/>
                <w:szCs w:val="24"/>
              </w:rPr>
              <w:t>应急服务响应措施及突发事件应急策略完整，基本符合采购人实际情况，针对性一般得7分；</w:t>
            </w:r>
          </w:p>
          <w:p>
            <w:pPr>
              <w:spacing w:line="360" w:lineRule="auto"/>
              <w:rPr>
                <w:rFonts w:ascii="宋体" w:hAnsi="宋体" w:cs="宋体"/>
                <w:szCs w:val="24"/>
              </w:rPr>
            </w:pPr>
            <w:r>
              <w:rPr>
                <w:rFonts w:hint="eastAsia" w:ascii="宋体" w:hAnsi="宋体" w:cs="宋体"/>
                <w:color w:val="000000"/>
                <w:szCs w:val="24"/>
              </w:rPr>
              <w:t>应急服务响应措施及突发事件应急策略基本完整，基本符合采购人实际情况，得4分；</w:t>
            </w:r>
          </w:p>
          <w:p>
            <w:pPr>
              <w:spacing w:line="360" w:lineRule="auto"/>
              <w:rPr>
                <w:rFonts w:ascii="宋体" w:hAnsi="宋体" w:cs="宋体"/>
                <w:color w:val="000000"/>
                <w:szCs w:val="24"/>
              </w:rPr>
            </w:pPr>
            <w:r>
              <w:rPr>
                <w:rFonts w:hint="eastAsia" w:ascii="宋体" w:hAnsi="宋体" w:cs="宋体"/>
                <w:color w:val="000000"/>
                <w:szCs w:val="24"/>
              </w:rPr>
              <w:t>应急服务响应措施及突发事件应急策略基本完整，但未体现采购人实际情况得2分；</w:t>
            </w:r>
          </w:p>
          <w:p>
            <w:pPr>
              <w:spacing w:line="360" w:lineRule="auto"/>
              <w:rPr>
                <w:rFonts w:ascii="宋体" w:hAnsi="宋体" w:cs="宋体"/>
                <w:color w:val="000000"/>
                <w:szCs w:val="24"/>
              </w:rPr>
            </w:pPr>
            <w:r>
              <w:rPr>
                <w:rFonts w:hint="eastAsia" w:ascii="宋体" w:hAnsi="宋体" w:cs="宋体"/>
                <w:color w:val="000000"/>
                <w:szCs w:val="24"/>
              </w:rPr>
              <w:t>未提供得0分。</w:t>
            </w:r>
          </w:p>
        </w:tc>
      </w:tr>
      <w:bookmarkEnd w:id="707"/>
    </w:tbl>
    <w:p>
      <w:pPr>
        <w:spacing w:line="360" w:lineRule="auto"/>
        <w:ind w:firstLine="440" w:firstLineChars="200"/>
        <w:rPr>
          <w:rFonts w:ascii="宋体" w:hAnsi="宋体" w:cs="宋体"/>
          <w:sz w:val="22"/>
          <w:szCs w:val="18"/>
        </w:rPr>
      </w:pPr>
      <w:r>
        <w:rPr>
          <w:rFonts w:hint="eastAsia" w:ascii="宋体" w:hAnsi="宋体" w:cs="宋体"/>
          <w:sz w:val="22"/>
          <w:szCs w:val="22"/>
        </w:rPr>
        <w:t>磋商小组平均评分分值计算保留小数点后两位，第三位四舍五入。</w:t>
      </w:r>
    </w:p>
    <w:p>
      <w:pPr>
        <w:pStyle w:val="6"/>
        <w:spacing w:line="360" w:lineRule="auto"/>
        <w:rPr>
          <w:rFonts w:ascii="宋体" w:hAnsi="宋体" w:cs="宋体"/>
          <w:b w:val="0"/>
          <w:sz w:val="21"/>
          <w:szCs w:val="21"/>
        </w:rPr>
      </w:pPr>
      <w:bookmarkStart w:id="708" w:name="_Toc241827252"/>
      <w:bookmarkStart w:id="709" w:name="_Toc241827256"/>
      <w:bookmarkStart w:id="710" w:name="_Toc86202637"/>
      <w:r>
        <w:rPr>
          <w:rFonts w:hint="eastAsia" w:ascii="宋体" w:hAnsi="宋体" w:cs="宋体"/>
          <w:b w:val="0"/>
          <w:sz w:val="21"/>
          <w:szCs w:val="21"/>
        </w:rPr>
        <w:t>注：1、中小企业的价格扣除（如供应商全部为中小企业的将均不做价格扣除）</w:t>
      </w:r>
    </w:p>
    <w:p>
      <w:pPr>
        <w:pStyle w:val="6"/>
        <w:spacing w:line="360" w:lineRule="auto"/>
        <w:ind w:firstLine="420" w:firstLineChars="200"/>
        <w:rPr>
          <w:rFonts w:ascii="宋体" w:hAnsi="宋体" w:cs="宋体"/>
          <w:b w:val="0"/>
          <w:sz w:val="21"/>
          <w:szCs w:val="21"/>
        </w:rPr>
      </w:pPr>
      <w:r>
        <w:rPr>
          <w:rFonts w:hint="eastAsia" w:ascii="宋体" w:hAnsi="宋体" w:cs="宋体"/>
          <w:b w:val="0"/>
          <w:sz w:val="21"/>
          <w:szCs w:val="21"/>
        </w:rPr>
        <w:t>（1）在计算有效评标报价时，对于小型和微型企业在投标价格上给予</w:t>
      </w:r>
      <w:r>
        <w:rPr>
          <w:rFonts w:hint="eastAsia" w:ascii="宋体" w:hAnsi="宋体" w:cs="宋体"/>
          <w:b w:val="0"/>
          <w:sz w:val="21"/>
          <w:szCs w:val="21"/>
          <w:lang w:val="en-US" w:eastAsia="zh-CN"/>
        </w:rPr>
        <w:t>10</w:t>
      </w:r>
      <w:r>
        <w:rPr>
          <w:rFonts w:hint="eastAsia" w:ascii="宋体" w:hAnsi="宋体" w:cs="宋体"/>
          <w:b w:val="0"/>
          <w:sz w:val="21"/>
          <w:szCs w:val="21"/>
        </w:rPr>
        <w:t>%的扣除。</w:t>
      </w:r>
    </w:p>
    <w:p>
      <w:pPr>
        <w:pStyle w:val="6"/>
        <w:spacing w:line="360" w:lineRule="auto"/>
        <w:ind w:firstLine="420" w:firstLineChars="200"/>
        <w:rPr>
          <w:rFonts w:ascii="宋体" w:hAnsi="宋体" w:cs="宋体"/>
          <w:b w:val="0"/>
          <w:sz w:val="21"/>
          <w:szCs w:val="21"/>
        </w:rPr>
      </w:pPr>
      <w:r>
        <w:rPr>
          <w:rFonts w:hint="eastAsia" w:ascii="宋体" w:hAnsi="宋体" w:cs="宋体"/>
          <w:b w:val="0"/>
          <w:sz w:val="21"/>
          <w:szCs w:val="21"/>
        </w:rPr>
        <w:t>（2）中小企业（含中型、小型、微型企业，下同）应当同时符合中小企业划分标准，以及提供本企业制造的货物、承担的工程或者服务，或者提供其他中小企业制造的货物。</w:t>
      </w:r>
    </w:p>
    <w:p>
      <w:pPr>
        <w:pStyle w:val="6"/>
        <w:spacing w:line="360" w:lineRule="auto"/>
        <w:ind w:firstLine="420" w:firstLineChars="200"/>
        <w:jc w:val="both"/>
        <w:rPr>
          <w:rFonts w:ascii="宋体" w:hAnsi="宋体" w:cs="宋体"/>
          <w:b w:val="0"/>
          <w:sz w:val="21"/>
          <w:szCs w:val="21"/>
        </w:rPr>
      </w:pPr>
      <w:r>
        <w:rPr>
          <w:rFonts w:hint="eastAsia" w:ascii="宋体" w:hAnsi="宋体" w:cs="宋体"/>
          <w:b w:val="0"/>
          <w:sz w:val="21"/>
          <w:szCs w:val="21"/>
        </w:rPr>
        <w:t>（</w:t>
      </w:r>
      <w:r>
        <w:rPr>
          <w:rFonts w:hint="eastAsia" w:ascii="宋体" w:hAnsi="宋体" w:cs="宋体"/>
          <w:b w:val="0"/>
          <w:sz w:val="21"/>
          <w:szCs w:val="21"/>
          <w:lang w:val="en-US" w:eastAsia="zh-CN"/>
        </w:rPr>
        <w:t>3</w:t>
      </w:r>
      <w:r>
        <w:rPr>
          <w:rFonts w:hint="eastAsia" w:ascii="宋体" w:hAnsi="宋体" w:cs="宋体"/>
          <w:b w:val="0"/>
          <w:sz w:val="21"/>
          <w:szCs w:val="21"/>
        </w:rPr>
        <w:t>）监狱企业视同小型、微型企业, 监狱企业应当提供由省级以上监狱管理局、戒毒管理局(含新疆生产建设兵团)出具的属于监狱企业的证明文件。北京市监狱企业应当提供市监狱管理局、市教育矫治局出具的监狱企业的证明文件。</w:t>
      </w:r>
    </w:p>
    <w:p>
      <w:pPr>
        <w:pStyle w:val="6"/>
        <w:spacing w:line="360" w:lineRule="auto"/>
        <w:ind w:firstLine="420" w:firstLineChars="200"/>
        <w:rPr>
          <w:rFonts w:ascii="宋体" w:hAnsi="宋体" w:cs="宋体"/>
          <w:b w:val="0"/>
          <w:sz w:val="21"/>
          <w:szCs w:val="21"/>
        </w:rPr>
      </w:pPr>
      <w:r>
        <w:rPr>
          <w:rFonts w:hint="eastAsia" w:ascii="宋体" w:hAnsi="宋体" w:cs="宋体"/>
          <w:b w:val="0"/>
          <w:sz w:val="21"/>
          <w:szCs w:val="21"/>
        </w:rPr>
        <w:t>（</w:t>
      </w:r>
      <w:r>
        <w:rPr>
          <w:rFonts w:hint="eastAsia" w:ascii="宋体" w:hAnsi="宋体" w:cs="宋体"/>
          <w:b w:val="0"/>
          <w:sz w:val="21"/>
          <w:szCs w:val="21"/>
          <w:lang w:val="en-US" w:eastAsia="zh-CN"/>
        </w:rPr>
        <w:t>4</w:t>
      </w:r>
      <w:r>
        <w:rPr>
          <w:rFonts w:hint="eastAsia" w:ascii="宋体" w:hAnsi="宋体" w:cs="宋体"/>
          <w:b w:val="0"/>
          <w:sz w:val="21"/>
          <w:szCs w:val="21"/>
        </w:rPr>
        <w:t>）残疾人福利性单位视同小型、微型企业，残疾人福利性单位应根据财库〔2017〕141号提供证明文件。</w:t>
      </w:r>
      <w:bookmarkStart w:id="711" w:name="_Toc31528"/>
      <w:bookmarkStart w:id="712" w:name="_Toc17823"/>
    </w:p>
    <w:p>
      <w:pPr>
        <w:pStyle w:val="6"/>
        <w:spacing w:line="360" w:lineRule="auto"/>
        <w:ind w:firstLine="420" w:firstLineChars="200"/>
        <w:rPr>
          <w:rFonts w:hint="eastAsia" w:ascii="宋体" w:hAnsi="宋体" w:cs="宋体"/>
          <w:b w:val="0"/>
          <w:sz w:val="21"/>
          <w:szCs w:val="21"/>
        </w:rPr>
      </w:pPr>
      <w:r>
        <w:rPr>
          <w:rFonts w:hint="eastAsia" w:ascii="宋体" w:hAnsi="宋体" w:cs="宋体"/>
          <w:b w:val="0"/>
          <w:sz w:val="21"/>
          <w:szCs w:val="21"/>
        </w:rPr>
        <w:t>（</w:t>
      </w:r>
      <w:r>
        <w:rPr>
          <w:rFonts w:hint="eastAsia" w:ascii="宋体" w:hAnsi="宋体" w:cs="宋体"/>
          <w:b w:val="0"/>
          <w:sz w:val="21"/>
          <w:szCs w:val="21"/>
          <w:lang w:val="en-US" w:eastAsia="zh-CN"/>
        </w:rPr>
        <w:t>5</w:t>
      </w:r>
      <w:r>
        <w:rPr>
          <w:rFonts w:hint="eastAsia" w:ascii="宋体" w:hAnsi="宋体" w:cs="宋体"/>
          <w:b w:val="0"/>
          <w:sz w:val="21"/>
          <w:szCs w:val="21"/>
        </w:rPr>
        <w:t>）计算机（台式计算机、便携式计算机和平板式微型计算机）、输入输出设备（激光打印机、针式打印机、液晶显示器）、制冷空调设备（制冷压缩机、空调机组、专用制冷、空调设备）、镇流器（管型荧光灯镇流器）、生活用电器（空调机、电热水器）、照明设备（普通照明用双端荧光灯）、电视设备（普通电视设备）、视频监控设备（视频监控设备）、便器、水嘴等为政府强制采购节能产品。强制节能产品不予加分；如不符合强制节能产品，响应文件将被拒绝。</w:t>
      </w:r>
    </w:p>
    <w:p>
      <w:pPr>
        <w:pStyle w:val="6"/>
        <w:spacing w:line="360" w:lineRule="auto"/>
        <w:ind w:firstLine="420" w:firstLineChars="200"/>
        <w:rPr>
          <w:rFonts w:ascii="宋体" w:hAnsi="宋体" w:cs="宋体"/>
          <w:b w:val="0"/>
          <w:sz w:val="21"/>
          <w:szCs w:val="21"/>
        </w:rPr>
        <w:sectPr>
          <w:headerReference r:id="rId10" w:type="default"/>
          <w:footerReference r:id="rId11" w:type="default"/>
          <w:pgSz w:w="11906" w:h="16838"/>
          <w:pgMar w:top="1418" w:right="1418" w:bottom="1418" w:left="1588" w:header="851" w:footer="851" w:gutter="0"/>
          <w:cols w:space="720" w:num="1"/>
          <w:docGrid w:linePitch="326" w:charSpace="0"/>
        </w:sectPr>
      </w:pPr>
    </w:p>
    <w:p>
      <w:pPr>
        <w:pStyle w:val="6"/>
        <w:spacing w:line="360" w:lineRule="auto"/>
        <w:jc w:val="center"/>
        <w:rPr>
          <w:rFonts w:ascii="宋体" w:hAnsi="宋体" w:cs="宋体"/>
          <w:sz w:val="28"/>
          <w:szCs w:val="28"/>
        </w:rPr>
      </w:pPr>
      <w:bookmarkStart w:id="713" w:name="_Toc20470"/>
      <w:bookmarkStart w:id="714" w:name="_Toc9555"/>
      <w:bookmarkStart w:id="715" w:name="_Toc24886"/>
      <w:r>
        <w:rPr>
          <w:rStyle w:val="163"/>
          <w:rFonts w:hint="eastAsia"/>
          <w:b/>
          <w:bCs/>
        </w:rPr>
        <w:t xml:space="preserve">第六章  </w:t>
      </w:r>
      <w:bookmarkStart w:id="716" w:name="_Toc86202632"/>
      <w:r>
        <w:rPr>
          <w:rStyle w:val="163"/>
          <w:rFonts w:hint="eastAsia"/>
          <w:b/>
          <w:bCs/>
        </w:rPr>
        <w:t>响应文件格式</w:t>
      </w:r>
      <w:bookmarkEnd w:id="708"/>
      <w:bookmarkEnd w:id="711"/>
      <w:bookmarkEnd w:id="712"/>
      <w:bookmarkEnd w:id="713"/>
      <w:bookmarkEnd w:id="714"/>
      <w:bookmarkEnd w:id="715"/>
      <w:bookmarkEnd w:id="716"/>
      <w:bookmarkStart w:id="717" w:name="_Toc86202633"/>
    </w:p>
    <w:p>
      <w:pPr>
        <w:rPr>
          <w:rFonts w:ascii="宋体" w:hAnsi="宋体" w:cs="宋体"/>
          <w:szCs w:val="24"/>
        </w:rPr>
      </w:pPr>
    </w:p>
    <w:bookmarkEnd w:id="717"/>
    <w:p>
      <w:pPr>
        <w:pStyle w:val="4"/>
        <w:spacing w:line="360" w:lineRule="auto"/>
        <w:rPr>
          <w:rFonts w:ascii="宋体" w:hAnsi="宋体" w:eastAsia="宋体" w:cs="宋体"/>
          <w:sz w:val="24"/>
          <w:szCs w:val="24"/>
        </w:rPr>
      </w:pPr>
      <w:bookmarkStart w:id="718" w:name="_Toc520382072"/>
      <w:bookmarkStart w:id="719" w:name="_Toc22236"/>
      <w:r>
        <w:rPr>
          <w:rFonts w:hint="eastAsia" w:ascii="宋体" w:hAnsi="宋体" w:eastAsia="宋体" w:cs="宋体"/>
          <w:sz w:val="24"/>
          <w:szCs w:val="24"/>
        </w:rPr>
        <w:t>一、供应商资格册</w:t>
      </w:r>
      <w:bookmarkEnd w:id="718"/>
      <w:bookmarkEnd w:id="719"/>
    </w:p>
    <w:p>
      <w:pPr>
        <w:tabs>
          <w:tab w:val="left" w:pos="5580"/>
        </w:tabs>
        <w:spacing w:line="360" w:lineRule="auto"/>
        <w:ind w:left="-2" w:leftChars="-1" w:firstLine="2"/>
        <w:jc w:val="center"/>
        <w:rPr>
          <w:rFonts w:ascii="宋体" w:hAnsi="宋体" w:cs="宋体"/>
          <w:b/>
          <w:szCs w:val="24"/>
        </w:rPr>
      </w:pPr>
      <w:r>
        <w:rPr>
          <w:rFonts w:hint="eastAsia" w:ascii="宋体" w:hAnsi="宋体" w:cs="宋体"/>
          <w:b/>
          <w:szCs w:val="24"/>
        </w:rPr>
        <w:t>目  录</w:t>
      </w:r>
    </w:p>
    <w:p>
      <w:pPr>
        <w:tabs>
          <w:tab w:val="left" w:pos="5580"/>
        </w:tabs>
        <w:spacing w:before="120" w:beforeLines="50" w:after="120" w:afterLines="50" w:line="360" w:lineRule="auto"/>
        <w:ind w:left="-2" w:leftChars="-1" w:firstLine="2"/>
        <w:rPr>
          <w:rFonts w:ascii="宋体" w:hAnsi="宋体" w:cs="宋体"/>
          <w:szCs w:val="24"/>
        </w:rPr>
      </w:pPr>
      <w:r>
        <w:rPr>
          <w:rFonts w:hint="eastAsia" w:ascii="宋体" w:hAnsi="宋体" w:cs="宋体"/>
          <w:szCs w:val="24"/>
        </w:rPr>
        <w:t>附件1 有效的营业执照或法人证书等证明文件，以自然人身份参与磋商的提交自然人的身份证明</w:t>
      </w:r>
    </w:p>
    <w:p>
      <w:pPr>
        <w:tabs>
          <w:tab w:val="left" w:pos="5580"/>
        </w:tabs>
        <w:spacing w:before="120" w:beforeLines="50" w:after="120" w:afterLines="50" w:line="360" w:lineRule="auto"/>
        <w:ind w:left="-2" w:leftChars="-1" w:firstLine="2"/>
        <w:rPr>
          <w:rFonts w:ascii="宋体" w:hAnsi="宋体" w:cs="宋体"/>
          <w:szCs w:val="24"/>
        </w:rPr>
      </w:pPr>
      <w:r>
        <w:rPr>
          <w:rFonts w:hint="eastAsia" w:ascii="宋体" w:hAnsi="宋体" w:cs="宋体"/>
          <w:szCs w:val="24"/>
        </w:rPr>
        <w:t>附件2 法定代表人授权书</w:t>
      </w:r>
    </w:p>
    <w:p>
      <w:pPr>
        <w:tabs>
          <w:tab w:val="left" w:pos="5580"/>
        </w:tabs>
        <w:spacing w:before="120" w:beforeLines="50" w:after="120" w:afterLines="50" w:line="360" w:lineRule="auto"/>
        <w:ind w:left="-2" w:leftChars="-1" w:firstLine="2"/>
        <w:rPr>
          <w:rFonts w:ascii="宋体" w:hAnsi="宋体" w:cs="宋体"/>
          <w:szCs w:val="24"/>
        </w:rPr>
      </w:pPr>
      <w:r>
        <w:rPr>
          <w:rFonts w:hint="eastAsia" w:ascii="宋体" w:hAnsi="宋体" w:cs="宋体"/>
          <w:szCs w:val="24"/>
        </w:rPr>
        <w:t>附件3 法定代表人和被授权人的身份证</w:t>
      </w:r>
    </w:p>
    <w:p>
      <w:pPr>
        <w:tabs>
          <w:tab w:val="left" w:pos="5580"/>
        </w:tabs>
        <w:spacing w:before="120" w:beforeLines="50" w:after="120" w:afterLines="50" w:line="360" w:lineRule="auto"/>
        <w:jc w:val="both"/>
        <w:rPr>
          <w:rFonts w:ascii="宋体" w:hAnsi="宋体" w:cs="宋体"/>
          <w:szCs w:val="24"/>
        </w:rPr>
      </w:pPr>
      <w:r>
        <w:rPr>
          <w:rFonts w:hint="eastAsia" w:ascii="宋体" w:hAnsi="宋体" w:cs="宋体"/>
          <w:szCs w:val="24"/>
        </w:rPr>
        <w:t xml:space="preserve">附件4 </w:t>
      </w:r>
      <w:r>
        <w:rPr>
          <w:rFonts w:hint="eastAsia" w:ascii="宋体" w:hAnsi="宋体" w:cs="宋体"/>
          <w:szCs w:val="21"/>
        </w:rPr>
        <w:t>会计师事务所出具的2021年度财务审计报告（复印件加盖公章）或银行开具的资信证明（银行存款证明无效）</w:t>
      </w:r>
    </w:p>
    <w:p>
      <w:pPr>
        <w:tabs>
          <w:tab w:val="left" w:pos="5580"/>
        </w:tabs>
        <w:spacing w:before="120" w:beforeLines="50" w:after="120" w:afterLines="50" w:line="360" w:lineRule="auto"/>
        <w:ind w:left="-2" w:leftChars="-1" w:firstLine="2"/>
        <w:rPr>
          <w:rFonts w:ascii="宋体" w:hAnsi="宋体" w:cs="宋体"/>
          <w:szCs w:val="24"/>
        </w:rPr>
      </w:pPr>
      <w:r>
        <w:rPr>
          <w:rFonts w:hint="eastAsia" w:ascii="宋体" w:hAnsi="宋体" w:cs="宋体"/>
          <w:szCs w:val="24"/>
        </w:rPr>
        <w:t>附件5 依法缴纳税收的记录</w:t>
      </w:r>
    </w:p>
    <w:p>
      <w:pPr>
        <w:tabs>
          <w:tab w:val="left" w:pos="5340"/>
        </w:tabs>
        <w:spacing w:before="120" w:beforeLines="50" w:after="120" w:afterLines="50" w:line="360" w:lineRule="auto"/>
        <w:rPr>
          <w:rFonts w:ascii="宋体" w:hAnsi="宋体" w:cs="宋体"/>
          <w:szCs w:val="24"/>
        </w:rPr>
      </w:pPr>
      <w:r>
        <w:rPr>
          <w:rFonts w:hint="eastAsia" w:ascii="宋体" w:hAnsi="宋体" w:cs="宋体"/>
          <w:szCs w:val="24"/>
        </w:rPr>
        <w:t>附件6 社会保障资金缴纳记录</w:t>
      </w:r>
    </w:p>
    <w:p>
      <w:pPr>
        <w:tabs>
          <w:tab w:val="left" w:pos="5580"/>
        </w:tabs>
        <w:spacing w:before="120" w:beforeLines="50" w:after="120" w:afterLines="50" w:line="360" w:lineRule="auto"/>
        <w:rPr>
          <w:rFonts w:ascii="宋体" w:hAnsi="宋体" w:cs="宋体"/>
          <w:szCs w:val="24"/>
        </w:rPr>
      </w:pPr>
      <w:r>
        <w:rPr>
          <w:rFonts w:hint="eastAsia" w:ascii="宋体" w:hAnsi="宋体" w:cs="宋体"/>
          <w:szCs w:val="24"/>
        </w:rPr>
        <w:t>附件7 参加政府采购活动前三年内，在经营活动中没有重大违法记录的声明</w:t>
      </w:r>
    </w:p>
    <w:p>
      <w:pPr>
        <w:tabs>
          <w:tab w:val="left" w:pos="5580"/>
        </w:tabs>
        <w:spacing w:before="120" w:beforeLines="50" w:after="120" w:afterLines="50" w:line="360" w:lineRule="auto"/>
        <w:rPr>
          <w:rFonts w:ascii="宋体" w:hAnsi="宋体" w:cs="宋体"/>
          <w:szCs w:val="24"/>
        </w:rPr>
      </w:pPr>
      <w:r>
        <w:rPr>
          <w:rFonts w:hint="eastAsia" w:ascii="宋体" w:hAnsi="宋体" w:cs="宋体"/>
          <w:szCs w:val="24"/>
        </w:rPr>
        <w:t>附件8 与参与本次政府采购活动的其他供应商不存在法人(单位负责人)为同一人或者直接控股、管理关系的承诺书</w:t>
      </w:r>
    </w:p>
    <w:p>
      <w:pPr>
        <w:tabs>
          <w:tab w:val="left" w:pos="5580"/>
        </w:tabs>
        <w:spacing w:before="120" w:beforeLines="50" w:after="120" w:afterLines="50" w:line="360" w:lineRule="auto"/>
        <w:rPr>
          <w:rFonts w:ascii="宋体" w:hAnsi="宋体" w:cs="宋体"/>
          <w:szCs w:val="24"/>
        </w:rPr>
      </w:pPr>
      <w:r>
        <w:rPr>
          <w:rFonts w:hint="eastAsia" w:ascii="宋体" w:hAnsi="宋体" w:cs="宋体"/>
          <w:szCs w:val="24"/>
        </w:rPr>
        <w:t>附件9 不属于“为本次采购项目提供规范编制或者项目管理、监理、检测等服务的供应商”的声明</w:t>
      </w:r>
    </w:p>
    <w:p>
      <w:pPr>
        <w:tabs>
          <w:tab w:val="left" w:pos="5580"/>
        </w:tabs>
        <w:spacing w:before="120" w:beforeLines="50" w:after="120" w:afterLines="50" w:line="360" w:lineRule="auto"/>
        <w:rPr>
          <w:rFonts w:hint="eastAsia" w:ascii="宋体" w:hAnsi="宋体" w:cs="宋体"/>
          <w:szCs w:val="24"/>
        </w:rPr>
      </w:pPr>
      <w:r>
        <w:rPr>
          <w:rFonts w:hint="eastAsia" w:ascii="宋体" w:hAnsi="宋体" w:cs="宋体"/>
          <w:b w:val="0"/>
          <w:szCs w:val="24"/>
          <w:lang w:val="en-US" w:eastAsia="zh-CN"/>
        </w:rPr>
        <w:t>附件10</w:t>
      </w:r>
      <w:r>
        <w:rPr>
          <w:rFonts w:hint="eastAsia" w:ascii="宋体" w:hAnsi="宋体" w:cs="宋体"/>
          <w:szCs w:val="24"/>
        </w:rPr>
        <w:t>磋商保证金(按照磋商文件的规定提交磋商保证金，提供缴纳凭证）</w:t>
      </w:r>
    </w:p>
    <w:p>
      <w:pPr>
        <w:spacing w:line="360" w:lineRule="auto"/>
        <w:rPr>
          <w:rFonts w:ascii="宋体" w:hAnsi="宋体" w:cs="宋体"/>
          <w:b/>
          <w:szCs w:val="24"/>
        </w:rPr>
      </w:pPr>
      <w:r>
        <w:rPr>
          <w:rFonts w:hint="eastAsia" w:ascii="宋体" w:hAnsi="宋体" w:cs="宋体"/>
          <w:b/>
          <w:szCs w:val="24"/>
        </w:rPr>
        <w:t>填写须知</w:t>
      </w:r>
    </w:p>
    <w:p>
      <w:pPr>
        <w:numPr>
          <w:ilvl w:val="0"/>
          <w:numId w:val="16"/>
        </w:numPr>
        <w:spacing w:line="360" w:lineRule="auto"/>
        <w:rPr>
          <w:rFonts w:ascii="宋体" w:hAnsi="宋体" w:cs="宋体"/>
          <w:szCs w:val="24"/>
        </w:rPr>
      </w:pPr>
      <w:r>
        <w:rPr>
          <w:rFonts w:hint="eastAsia" w:ascii="宋体" w:hAnsi="宋体" w:cs="宋体"/>
          <w:szCs w:val="24"/>
        </w:rPr>
        <w:t>签署本资格声明的供应商法定代表人或授权代表应保证全部声明和填写的内容是真实的和正确的。</w:t>
      </w:r>
    </w:p>
    <w:p>
      <w:pPr>
        <w:numPr>
          <w:ilvl w:val="0"/>
          <w:numId w:val="16"/>
        </w:numPr>
        <w:spacing w:line="360" w:lineRule="auto"/>
        <w:rPr>
          <w:rFonts w:ascii="宋体" w:hAnsi="宋体" w:cs="宋体"/>
          <w:szCs w:val="24"/>
        </w:rPr>
      </w:pPr>
      <w:r>
        <w:rPr>
          <w:rFonts w:hint="eastAsia" w:ascii="宋体" w:hAnsi="宋体" w:cs="宋体"/>
          <w:szCs w:val="24"/>
        </w:rPr>
        <w:t>采购人将应用供应商提交的资料根据自己的判断和考虑决定供应商履行合同的合格性及能力。</w:t>
      </w:r>
    </w:p>
    <w:p>
      <w:pPr>
        <w:numPr>
          <w:ilvl w:val="0"/>
          <w:numId w:val="16"/>
        </w:numPr>
        <w:tabs>
          <w:tab w:val="left" w:pos="5580"/>
        </w:tabs>
        <w:spacing w:line="360" w:lineRule="auto"/>
        <w:rPr>
          <w:rFonts w:ascii="宋体" w:hAnsi="宋体" w:cs="宋体"/>
          <w:szCs w:val="24"/>
        </w:rPr>
      </w:pPr>
      <w:r>
        <w:rPr>
          <w:rFonts w:hint="eastAsia" w:ascii="宋体" w:hAnsi="宋体" w:cs="宋体"/>
          <w:szCs w:val="24"/>
        </w:rPr>
        <w:t>供应商提交的材料将被保密，但不退还。</w:t>
      </w:r>
    </w:p>
    <w:p>
      <w:pPr>
        <w:pStyle w:val="4"/>
        <w:spacing w:line="360" w:lineRule="auto"/>
        <w:rPr>
          <w:rFonts w:ascii="宋体" w:hAnsi="宋体" w:eastAsia="宋体" w:cs="宋体"/>
          <w:sz w:val="24"/>
          <w:szCs w:val="24"/>
        </w:rPr>
      </w:pPr>
      <w:r>
        <w:rPr>
          <w:rFonts w:hint="eastAsia" w:ascii="宋体" w:hAnsi="宋体" w:eastAsia="宋体" w:cs="宋体"/>
          <w:sz w:val="24"/>
          <w:szCs w:val="24"/>
        </w:rPr>
        <w:br w:type="page"/>
      </w:r>
      <w:bookmarkStart w:id="720" w:name="_Toc421622102"/>
      <w:bookmarkStart w:id="721" w:name="_Toc495677500"/>
      <w:bookmarkStart w:id="722" w:name="_Toc520382073"/>
      <w:r>
        <w:rPr>
          <w:rFonts w:hint="eastAsia" w:ascii="宋体" w:hAnsi="宋体" w:eastAsia="宋体" w:cs="宋体"/>
          <w:sz w:val="24"/>
          <w:szCs w:val="24"/>
        </w:rPr>
        <w:t xml:space="preserve">附件 1  </w:t>
      </w:r>
      <w:bookmarkEnd w:id="720"/>
      <w:bookmarkEnd w:id="721"/>
      <w:r>
        <w:rPr>
          <w:rFonts w:hint="eastAsia" w:ascii="宋体" w:hAnsi="宋体" w:eastAsia="宋体" w:cs="宋体"/>
          <w:sz w:val="24"/>
          <w:szCs w:val="24"/>
        </w:rPr>
        <w:t>有效的营业执照或法人证书等证明文件（复印件，须加盖供应商公章），以自然人身份磋商的提交自然人的身份证明（复印件）</w:t>
      </w:r>
      <w:bookmarkEnd w:id="722"/>
    </w:p>
    <w:p>
      <w:pPr>
        <w:spacing w:line="360" w:lineRule="auto"/>
        <w:rPr>
          <w:rFonts w:ascii="宋体" w:hAnsi="宋体" w:cs="宋体"/>
          <w:szCs w:val="24"/>
        </w:rPr>
      </w:pPr>
    </w:p>
    <w:p>
      <w:pPr>
        <w:widowControl/>
        <w:spacing w:line="360" w:lineRule="auto"/>
        <w:rPr>
          <w:rFonts w:ascii="宋体" w:hAnsi="宋体" w:cs="宋体"/>
          <w:b/>
          <w:bCs/>
          <w:szCs w:val="24"/>
        </w:rPr>
      </w:pPr>
      <w:bookmarkStart w:id="723" w:name="_Toc495677503"/>
      <w:bookmarkStart w:id="724" w:name="_Toc421622105"/>
      <w:bookmarkStart w:id="725" w:name="_Toc520125061"/>
      <w:bookmarkStart w:id="726" w:name="_Ref467990100"/>
      <w:bookmarkStart w:id="727" w:name="_Ref467990101"/>
      <w:bookmarkStart w:id="728" w:name="_Toc480942358"/>
      <w:bookmarkStart w:id="729" w:name="_Toc520356228"/>
      <w:bookmarkStart w:id="730" w:name="_Ref467988479"/>
      <w:bookmarkStart w:id="731" w:name="_Ref467988485"/>
      <w:bookmarkStart w:id="732" w:name="_Toc520356229"/>
      <w:bookmarkStart w:id="733" w:name="_Toc520125062"/>
      <w:bookmarkStart w:id="734" w:name="_Ref467990064"/>
      <w:bookmarkStart w:id="735" w:name="_Ref467990058"/>
      <w:bookmarkStart w:id="736" w:name="_Ref467988471"/>
      <w:bookmarkStart w:id="737" w:name="_Toc480942357"/>
    </w:p>
    <w:p>
      <w:pPr>
        <w:pStyle w:val="4"/>
        <w:spacing w:line="360" w:lineRule="auto"/>
        <w:rPr>
          <w:rFonts w:ascii="宋体" w:hAnsi="宋体" w:eastAsia="宋体" w:cs="宋体"/>
          <w:sz w:val="24"/>
          <w:szCs w:val="24"/>
        </w:rPr>
      </w:pPr>
      <w:bookmarkStart w:id="738" w:name="_Toc520382074"/>
      <w:r>
        <w:rPr>
          <w:rFonts w:hint="eastAsia" w:ascii="宋体" w:hAnsi="宋体" w:eastAsia="宋体" w:cs="宋体"/>
          <w:sz w:val="24"/>
          <w:szCs w:val="24"/>
        </w:rPr>
        <w:t>附件 2  法定代表人授权书 (格式，原件)</w:t>
      </w:r>
      <w:bookmarkEnd w:id="723"/>
      <w:bookmarkEnd w:id="724"/>
      <w:bookmarkEnd w:id="738"/>
    </w:p>
    <w:p>
      <w:pPr>
        <w:pStyle w:val="22"/>
        <w:spacing w:line="360" w:lineRule="auto"/>
        <w:rPr>
          <w:rFonts w:hAnsi="宋体" w:cs="宋体"/>
          <w:sz w:val="24"/>
          <w:szCs w:val="24"/>
        </w:rPr>
      </w:pPr>
      <w:r>
        <w:rPr>
          <w:rFonts w:hint="eastAsia" w:hAnsi="宋体" w:cs="宋体"/>
          <w:b/>
          <w:bCs/>
          <w:sz w:val="24"/>
          <w:szCs w:val="24"/>
        </w:rPr>
        <w:t xml:space="preserve">    </w:t>
      </w:r>
      <w:r>
        <w:rPr>
          <w:rFonts w:hint="eastAsia" w:hAnsi="宋体" w:cs="宋体"/>
          <w:sz w:val="24"/>
          <w:szCs w:val="24"/>
        </w:rPr>
        <w:t>本授权书声明：注册于（国家或地区的名称）的（公司名称）的在下面签字的（法定代表人姓名、职务）代表本公司授权（公司名称）的在下面签字的（被授权人的姓名、职务）为本公司的合法代理人，就（项目名称）的磋商，以本公司名义处理一切与之有关的事务。</w:t>
      </w:r>
      <w:r>
        <w:rPr>
          <w:rFonts w:hint="eastAsia" w:hAnsi="宋体" w:cs="宋体"/>
          <w:sz w:val="24"/>
          <w:szCs w:val="24"/>
        </w:rPr>
        <w:cr/>
      </w:r>
      <w:r>
        <w:rPr>
          <w:rFonts w:hint="eastAsia" w:hAnsi="宋体" w:cs="宋体"/>
          <w:sz w:val="24"/>
          <w:szCs w:val="24"/>
        </w:rPr>
        <w:t>　　</w:t>
      </w:r>
    </w:p>
    <w:p>
      <w:pPr>
        <w:pStyle w:val="22"/>
        <w:tabs>
          <w:tab w:val="left" w:pos="5580"/>
        </w:tabs>
        <w:spacing w:line="360" w:lineRule="auto"/>
        <w:ind w:firstLine="480"/>
        <w:rPr>
          <w:rFonts w:hAnsi="宋体" w:cs="宋体"/>
          <w:sz w:val="24"/>
          <w:szCs w:val="24"/>
        </w:rPr>
      </w:pPr>
      <w:r>
        <w:rPr>
          <w:rFonts w:hint="eastAsia" w:hAnsi="宋体" w:cs="宋体"/>
          <w:sz w:val="24"/>
          <w:szCs w:val="24"/>
        </w:rPr>
        <w:t>本授权书于__________年_____月______日生效，特此声明。</w:t>
      </w:r>
      <w:r>
        <w:rPr>
          <w:rFonts w:hint="eastAsia" w:hAnsi="宋体" w:cs="宋体"/>
          <w:sz w:val="24"/>
          <w:szCs w:val="24"/>
        </w:rPr>
        <w:cr/>
      </w:r>
      <w:r>
        <w:rPr>
          <w:rFonts w:hint="eastAsia" w:hAnsi="宋体" w:cs="宋体"/>
          <w:sz w:val="24"/>
          <w:szCs w:val="24"/>
        </w:rPr>
        <w:cr/>
      </w:r>
      <w:r>
        <w:rPr>
          <w:rFonts w:hint="eastAsia" w:hAnsi="宋体" w:cs="宋体"/>
          <w:sz w:val="24"/>
          <w:szCs w:val="24"/>
        </w:rPr>
        <w:cr/>
      </w:r>
      <w:r>
        <w:rPr>
          <w:rFonts w:hint="eastAsia" w:hAnsi="宋体" w:cs="宋体"/>
          <w:sz w:val="24"/>
          <w:szCs w:val="24"/>
        </w:rPr>
        <w:t>法定代表人签字或盖章：_______________________________</w:t>
      </w:r>
    </w:p>
    <w:p>
      <w:pPr>
        <w:pStyle w:val="22"/>
        <w:tabs>
          <w:tab w:val="left" w:pos="5580"/>
        </w:tabs>
        <w:spacing w:line="360" w:lineRule="auto"/>
        <w:rPr>
          <w:rFonts w:hAnsi="宋体" w:cs="宋体"/>
          <w:sz w:val="24"/>
          <w:szCs w:val="24"/>
        </w:rPr>
      </w:pPr>
      <w:r>
        <w:rPr>
          <w:rFonts w:hint="eastAsia" w:hAnsi="宋体" w:cs="宋体"/>
          <w:sz w:val="24"/>
          <w:szCs w:val="24"/>
        </w:rPr>
        <w:cr/>
      </w:r>
      <w:r>
        <w:rPr>
          <w:rFonts w:hint="eastAsia" w:hAnsi="宋体" w:cs="宋体"/>
          <w:sz w:val="24"/>
          <w:szCs w:val="24"/>
        </w:rPr>
        <w:t>被授权人签字：_______________________________</w:t>
      </w:r>
    </w:p>
    <w:p>
      <w:pPr>
        <w:pStyle w:val="22"/>
        <w:tabs>
          <w:tab w:val="left" w:pos="5580"/>
        </w:tabs>
        <w:spacing w:line="360" w:lineRule="auto"/>
        <w:rPr>
          <w:rFonts w:hAnsi="宋体" w:cs="宋体"/>
          <w:sz w:val="24"/>
          <w:szCs w:val="24"/>
        </w:rPr>
      </w:pPr>
      <w:r>
        <w:rPr>
          <w:rFonts w:hint="eastAsia" w:hAnsi="宋体" w:cs="宋体"/>
          <w:sz w:val="24"/>
          <w:szCs w:val="24"/>
        </w:rPr>
        <w:cr/>
      </w:r>
      <w:r>
        <w:rPr>
          <w:rFonts w:hint="eastAsia" w:hAnsi="宋体" w:cs="宋体"/>
          <w:sz w:val="24"/>
          <w:szCs w:val="24"/>
        </w:rPr>
        <w:t>公司盖章：_______________________________</w:t>
      </w:r>
    </w:p>
    <w:p>
      <w:pPr>
        <w:pStyle w:val="22"/>
        <w:tabs>
          <w:tab w:val="left" w:pos="5580"/>
        </w:tabs>
        <w:spacing w:line="360" w:lineRule="auto"/>
        <w:rPr>
          <w:rFonts w:hAnsi="宋体" w:cs="宋体"/>
          <w:sz w:val="24"/>
          <w:szCs w:val="24"/>
        </w:rPr>
      </w:pPr>
    </w:p>
    <w:p>
      <w:bookmarkStart w:id="739" w:name="_Toc24785"/>
      <w:bookmarkStart w:id="740" w:name="_Toc3340"/>
      <w:bookmarkStart w:id="741" w:name="_Toc4160"/>
      <w:bookmarkStart w:id="742" w:name="_Toc19464"/>
      <w:bookmarkStart w:id="743" w:name="_Toc6805"/>
      <w:r>
        <w:rPr>
          <w:rFonts w:hint="eastAsia"/>
        </w:rPr>
        <w:t>附1：</w:t>
      </w:r>
      <w:bookmarkEnd w:id="739"/>
      <w:bookmarkEnd w:id="740"/>
      <w:bookmarkEnd w:id="741"/>
      <w:bookmarkEnd w:id="742"/>
      <w:bookmarkEnd w:id="743"/>
    </w:p>
    <w:p>
      <w:pPr>
        <w:pStyle w:val="22"/>
        <w:tabs>
          <w:tab w:val="left" w:pos="5580"/>
        </w:tabs>
        <w:spacing w:line="360" w:lineRule="auto"/>
        <w:rPr>
          <w:rFonts w:hAnsi="宋体" w:cs="宋体"/>
          <w:sz w:val="24"/>
          <w:szCs w:val="24"/>
        </w:rPr>
      </w:pPr>
      <w:r>
        <w:rPr>
          <w:rFonts w:hint="eastAsia" w:hAnsi="宋体" w:cs="宋体"/>
          <w:sz w:val="24"/>
          <w:szCs w:val="24"/>
        </w:rPr>
        <w:t>被授权人姓名：_______________</w:t>
      </w:r>
    </w:p>
    <w:p>
      <w:pPr>
        <w:pStyle w:val="22"/>
        <w:tabs>
          <w:tab w:val="left" w:pos="5580"/>
        </w:tabs>
        <w:spacing w:line="360" w:lineRule="auto"/>
        <w:rPr>
          <w:rFonts w:hAnsi="宋体" w:cs="宋体"/>
          <w:sz w:val="24"/>
          <w:szCs w:val="24"/>
        </w:rPr>
      </w:pPr>
      <w:r>
        <w:rPr>
          <w:rFonts w:hint="eastAsia" w:hAnsi="宋体" w:cs="宋体"/>
          <w:sz w:val="24"/>
          <w:szCs w:val="24"/>
        </w:rPr>
        <w:t>职　　　　务：_______________</w:t>
      </w:r>
    </w:p>
    <w:p>
      <w:pPr>
        <w:pStyle w:val="22"/>
        <w:tabs>
          <w:tab w:val="left" w:pos="5580"/>
        </w:tabs>
        <w:spacing w:line="360" w:lineRule="auto"/>
        <w:rPr>
          <w:rFonts w:hAnsi="宋体" w:cs="宋体"/>
          <w:sz w:val="24"/>
          <w:szCs w:val="24"/>
        </w:rPr>
      </w:pPr>
      <w:r>
        <w:rPr>
          <w:rFonts w:hint="eastAsia" w:hAnsi="宋体" w:cs="宋体"/>
          <w:sz w:val="24"/>
          <w:szCs w:val="24"/>
        </w:rPr>
        <w:t>电　　　　话：_______________</w:t>
      </w:r>
    </w:p>
    <w:p>
      <w:pPr>
        <w:pStyle w:val="22"/>
        <w:tabs>
          <w:tab w:val="left" w:pos="5580"/>
        </w:tabs>
        <w:spacing w:line="360" w:lineRule="auto"/>
        <w:rPr>
          <w:rFonts w:hAnsi="宋体" w:cs="宋体"/>
          <w:sz w:val="24"/>
          <w:szCs w:val="24"/>
        </w:rPr>
      </w:pPr>
    </w:p>
    <w:p>
      <w:bookmarkStart w:id="744" w:name="_Toc24405"/>
      <w:bookmarkStart w:id="745" w:name="_Toc4142"/>
      <w:bookmarkStart w:id="746" w:name="_Toc13035"/>
      <w:bookmarkStart w:id="747" w:name="_Toc16180"/>
      <w:bookmarkStart w:id="748" w:name="_Toc21277"/>
      <w:r>
        <w:rPr>
          <w:rFonts w:hint="eastAsia"/>
        </w:rPr>
        <w:t>附2：法定代表人身份证复印件和被授权人身份证复印件（加盖供应商公章）</w:t>
      </w:r>
      <w:bookmarkEnd w:id="744"/>
      <w:bookmarkEnd w:id="745"/>
      <w:bookmarkEnd w:id="746"/>
      <w:bookmarkEnd w:id="747"/>
      <w:bookmarkEnd w:id="748"/>
    </w:p>
    <w:p>
      <w:pPr>
        <w:widowControl/>
        <w:rPr>
          <w:rFonts w:ascii="宋体" w:hAnsi="宋体" w:cs="宋体"/>
          <w:b/>
          <w:bCs/>
          <w:szCs w:val="24"/>
        </w:rPr>
      </w:pPr>
      <w:r>
        <w:rPr>
          <w:rFonts w:hint="eastAsia" w:ascii="宋体" w:hAnsi="宋体" w:cs="宋体"/>
          <w:szCs w:val="24"/>
        </w:rPr>
        <w:br w:type="page"/>
      </w:r>
      <w:bookmarkStart w:id="749" w:name="_Toc520382075"/>
      <w:r>
        <w:rPr>
          <w:rFonts w:hint="eastAsia" w:ascii="宋体" w:hAnsi="宋体" w:cs="宋体"/>
          <w:b/>
          <w:bCs/>
          <w:szCs w:val="24"/>
        </w:rPr>
        <w:t>附件 3  法定代表人和被授权人的身份证（正反面复印件，须加盖供应商公章）</w:t>
      </w:r>
      <w:bookmarkEnd w:id="749"/>
    </w:p>
    <w:p>
      <w:pPr>
        <w:pStyle w:val="4"/>
        <w:rPr>
          <w:rFonts w:ascii="宋体" w:hAnsi="宋体" w:eastAsia="宋体" w:cs="宋体"/>
          <w:sz w:val="24"/>
          <w:szCs w:val="24"/>
        </w:rPr>
      </w:pPr>
      <w:bookmarkStart w:id="750" w:name="_Toc421622106"/>
      <w:bookmarkStart w:id="751" w:name="_Toc520382076"/>
      <w:bookmarkStart w:id="752" w:name="_Toc495677504"/>
    </w:p>
    <w:p>
      <w:pPr>
        <w:pStyle w:val="4"/>
        <w:rPr>
          <w:rFonts w:ascii="宋体" w:hAnsi="宋体" w:eastAsia="宋体" w:cs="宋体"/>
          <w:b w:val="0"/>
          <w:bCs w:val="0"/>
          <w:sz w:val="24"/>
          <w:szCs w:val="24"/>
        </w:rPr>
      </w:pPr>
    </w:p>
    <w:p>
      <w:pPr>
        <w:pStyle w:val="4"/>
        <w:rPr>
          <w:rFonts w:ascii="宋体" w:hAnsi="宋体" w:eastAsia="宋体" w:cs="宋体"/>
          <w:sz w:val="21"/>
          <w:szCs w:val="21"/>
        </w:rPr>
      </w:pPr>
      <w:r>
        <w:rPr>
          <w:rFonts w:hint="eastAsia" w:ascii="宋体" w:hAnsi="宋体" w:eastAsia="宋体" w:cs="宋体"/>
          <w:sz w:val="24"/>
          <w:szCs w:val="24"/>
        </w:rPr>
        <w:t xml:space="preserve">附件 4  </w:t>
      </w:r>
      <w:bookmarkEnd w:id="750"/>
      <w:bookmarkEnd w:id="751"/>
      <w:bookmarkEnd w:id="752"/>
      <w:r>
        <w:rPr>
          <w:rFonts w:hint="eastAsia" w:ascii="宋体" w:hAnsi="宋体" w:eastAsia="宋体" w:cs="宋体"/>
          <w:sz w:val="21"/>
          <w:szCs w:val="21"/>
        </w:rPr>
        <w:t>会计师事务所出具的2021年度财务审计报告（复印件加盖公章）或银行开具的资信证明（复印件加盖公章）（银行存款证明无效）</w:t>
      </w:r>
    </w:p>
    <w:p>
      <w:pPr>
        <w:tabs>
          <w:tab w:val="left" w:pos="5580"/>
        </w:tabs>
        <w:spacing w:line="360" w:lineRule="auto"/>
        <w:ind w:firstLine="480" w:firstLineChars="200"/>
        <w:rPr>
          <w:rFonts w:ascii="宋体" w:hAnsi="宋体" w:cs="宋体"/>
          <w:szCs w:val="21"/>
        </w:rPr>
      </w:pPr>
      <w:r>
        <w:rPr>
          <w:rFonts w:hint="eastAsia" w:ascii="宋体" w:hAnsi="宋体" w:cs="宋体"/>
          <w:szCs w:val="21"/>
        </w:rPr>
        <w:t>说明：</w:t>
      </w:r>
    </w:p>
    <w:p>
      <w:pPr>
        <w:tabs>
          <w:tab w:val="left" w:pos="5580"/>
        </w:tabs>
        <w:spacing w:line="360" w:lineRule="auto"/>
        <w:ind w:firstLine="480" w:firstLineChars="200"/>
        <w:rPr>
          <w:rFonts w:ascii="宋体" w:hAnsi="宋体" w:cs="宋体"/>
          <w:szCs w:val="21"/>
        </w:rPr>
      </w:pPr>
      <w:r>
        <w:rPr>
          <w:rFonts w:hint="eastAsia" w:ascii="宋体" w:hAnsi="宋体" w:cs="宋体"/>
          <w:szCs w:val="21"/>
        </w:rPr>
        <w:t>1）供应商提交审计报告的：</w:t>
      </w:r>
    </w:p>
    <w:p>
      <w:pPr>
        <w:tabs>
          <w:tab w:val="left" w:pos="5580"/>
        </w:tabs>
        <w:spacing w:line="360" w:lineRule="auto"/>
        <w:ind w:firstLine="480" w:firstLineChars="200"/>
        <w:rPr>
          <w:rFonts w:ascii="宋体" w:hAnsi="宋体" w:cs="宋体"/>
          <w:szCs w:val="21"/>
        </w:rPr>
      </w:pPr>
      <w:r>
        <w:rPr>
          <w:rFonts w:hint="eastAsia" w:ascii="宋体" w:hAnsi="宋体" w:cs="宋体"/>
          <w:szCs w:val="21"/>
        </w:rPr>
        <w:t>供应商应提交会计师事务所出具的本单位2021年度财务审计报告。</w:t>
      </w:r>
    </w:p>
    <w:p>
      <w:pPr>
        <w:tabs>
          <w:tab w:val="left" w:pos="5580"/>
        </w:tabs>
        <w:spacing w:line="360" w:lineRule="auto"/>
        <w:ind w:firstLine="480" w:firstLineChars="200"/>
        <w:rPr>
          <w:rFonts w:ascii="宋体" w:hAnsi="宋体" w:cs="宋体"/>
          <w:szCs w:val="21"/>
        </w:rPr>
      </w:pPr>
      <w:r>
        <w:rPr>
          <w:rFonts w:hint="eastAsia" w:ascii="宋体" w:hAnsi="宋体" w:cs="宋体"/>
          <w:szCs w:val="21"/>
        </w:rPr>
        <w:t>2）供应商提交银行资信证明的：</w:t>
      </w:r>
    </w:p>
    <w:p>
      <w:pPr>
        <w:tabs>
          <w:tab w:val="left" w:pos="5580"/>
        </w:tabs>
        <w:spacing w:line="360" w:lineRule="auto"/>
        <w:ind w:firstLine="480" w:firstLineChars="200"/>
        <w:rPr>
          <w:rFonts w:ascii="宋体" w:hAnsi="宋体" w:cs="宋体"/>
          <w:szCs w:val="21"/>
        </w:rPr>
      </w:pPr>
      <w:r>
        <w:rPr>
          <w:rFonts w:hint="eastAsia" w:ascii="宋体" w:hAnsi="宋体" w:cs="宋体"/>
          <w:szCs w:val="21"/>
        </w:rPr>
        <w:t>供应商应提供完整的银行资信证明，包括但不限于银行资信证明的正文、声明或背书或其他说明；</w:t>
      </w:r>
    </w:p>
    <w:p>
      <w:pPr>
        <w:tabs>
          <w:tab w:val="left" w:pos="5580"/>
        </w:tabs>
        <w:spacing w:line="360" w:lineRule="auto"/>
        <w:ind w:firstLine="480" w:firstLineChars="200"/>
        <w:rPr>
          <w:rFonts w:ascii="宋体" w:hAnsi="宋体" w:cs="宋体"/>
          <w:szCs w:val="21"/>
        </w:rPr>
      </w:pPr>
      <w:r>
        <w:rPr>
          <w:rFonts w:hint="eastAsia" w:ascii="宋体" w:hAnsi="宋体" w:cs="宋体"/>
          <w:szCs w:val="21"/>
        </w:rPr>
        <w:t>银行资信证明是指供应商在本项目响应文件开启日期前三个月内银行出具的资信证明；</w:t>
      </w:r>
    </w:p>
    <w:p>
      <w:pPr>
        <w:tabs>
          <w:tab w:val="left" w:pos="5580"/>
        </w:tabs>
        <w:spacing w:line="360" w:lineRule="auto"/>
        <w:ind w:firstLine="480" w:firstLineChars="200"/>
        <w:rPr>
          <w:rFonts w:ascii="宋体" w:hAnsi="宋体" w:cs="宋体"/>
          <w:szCs w:val="21"/>
        </w:rPr>
      </w:pPr>
      <w:r>
        <w:rPr>
          <w:rFonts w:hint="eastAsia" w:ascii="宋体" w:hAnsi="宋体" w:cs="宋体"/>
          <w:szCs w:val="21"/>
        </w:rPr>
        <w:t>银行资信证明可以是复印件，评标委员会保留审核原件的权利。</w:t>
      </w:r>
    </w:p>
    <w:p>
      <w:pPr>
        <w:tabs>
          <w:tab w:val="left" w:pos="5580"/>
        </w:tabs>
        <w:spacing w:line="360" w:lineRule="auto"/>
        <w:ind w:firstLine="480" w:firstLineChars="200"/>
        <w:rPr>
          <w:rFonts w:ascii="宋体" w:hAnsi="宋体" w:cs="宋体"/>
          <w:szCs w:val="21"/>
        </w:rPr>
      </w:pPr>
      <w:r>
        <w:rPr>
          <w:rFonts w:hint="eastAsia" w:ascii="宋体" w:hAnsi="宋体" w:cs="宋体"/>
          <w:szCs w:val="21"/>
        </w:rPr>
        <w:t>银行资信证明应能说明供应商与银行之间业务往来正常，企业信誉良好等；银行出具的存款证明不能替代银行资信证明，存款证明无效。</w:t>
      </w:r>
    </w:p>
    <w:p>
      <w:pPr>
        <w:tabs>
          <w:tab w:val="left" w:pos="5580"/>
        </w:tabs>
        <w:spacing w:line="360" w:lineRule="auto"/>
        <w:ind w:firstLine="480" w:firstLineChars="200"/>
        <w:rPr>
          <w:rFonts w:ascii="宋体" w:hAnsi="宋体" w:cs="宋体"/>
          <w:szCs w:val="24"/>
        </w:rPr>
      </w:pPr>
    </w:p>
    <w:p>
      <w:pPr>
        <w:tabs>
          <w:tab w:val="left" w:pos="5580"/>
        </w:tabs>
        <w:spacing w:line="360" w:lineRule="auto"/>
        <w:ind w:firstLine="482" w:firstLineChars="200"/>
        <w:rPr>
          <w:rFonts w:ascii="宋体" w:hAnsi="宋体" w:cs="宋体"/>
          <w:b/>
          <w:bCs/>
          <w:szCs w:val="24"/>
        </w:rPr>
      </w:pPr>
    </w:p>
    <w:p>
      <w:pPr>
        <w:tabs>
          <w:tab w:val="left" w:pos="5580"/>
        </w:tabs>
        <w:spacing w:line="360" w:lineRule="auto"/>
        <w:ind w:firstLine="4216" w:firstLineChars="1750"/>
        <w:rPr>
          <w:rFonts w:ascii="宋体" w:hAnsi="宋体" w:cs="宋体"/>
          <w:bCs/>
          <w:szCs w:val="21"/>
        </w:rPr>
      </w:pPr>
      <w:r>
        <w:rPr>
          <w:rFonts w:hint="eastAsia" w:ascii="宋体" w:hAnsi="宋体" w:cs="宋体"/>
          <w:b/>
          <w:bCs/>
          <w:szCs w:val="24"/>
        </w:rPr>
        <w:br w:type="page"/>
      </w:r>
    </w:p>
    <w:bookmarkEnd w:id="725"/>
    <w:bookmarkEnd w:id="726"/>
    <w:bookmarkEnd w:id="727"/>
    <w:bookmarkEnd w:id="728"/>
    <w:bookmarkEnd w:id="729"/>
    <w:bookmarkEnd w:id="730"/>
    <w:bookmarkEnd w:id="731"/>
    <w:bookmarkEnd w:id="732"/>
    <w:bookmarkEnd w:id="733"/>
    <w:bookmarkEnd w:id="734"/>
    <w:bookmarkEnd w:id="735"/>
    <w:bookmarkEnd w:id="736"/>
    <w:bookmarkEnd w:id="737"/>
    <w:p>
      <w:pPr>
        <w:pStyle w:val="4"/>
        <w:spacing w:line="360" w:lineRule="auto"/>
        <w:rPr>
          <w:rFonts w:ascii="宋体" w:hAnsi="宋体" w:eastAsia="宋体" w:cs="宋体"/>
          <w:sz w:val="24"/>
          <w:szCs w:val="24"/>
        </w:rPr>
      </w:pPr>
      <w:bookmarkStart w:id="753" w:name="_Toc520382077"/>
      <w:bookmarkStart w:id="754" w:name="_Toc421622107"/>
      <w:bookmarkStart w:id="755" w:name="_Toc495677505"/>
      <w:r>
        <w:rPr>
          <w:rFonts w:hint="eastAsia" w:ascii="宋体" w:hAnsi="宋体" w:eastAsia="宋体" w:cs="宋体"/>
          <w:sz w:val="24"/>
          <w:szCs w:val="24"/>
        </w:rPr>
        <w:t>附件 5  依法缴纳税收的记录</w:t>
      </w:r>
      <w:bookmarkEnd w:id="753"/>
      <w:bookmarkEnd w:id="754"/>
      <w:bookmarkEnd w:id="755"/>
    </w:p>
    <w:p>
      <w:pPr>
        <w:spacing w:line="360" w:lineRule="auto"/>
        <w:jc w:val="both"/>
        <w:rPr>
          <w:rFonts w:ascii="宋体" w:hAnsi="宋体" w:cs="宋体"/>
          <w:szCs w:val="24"/>
        </w:rPr>
      </w:pPr>
      <w:r>
        <w:rPr>
          <w:rFonts w:hint="eastAsia" w:ascii="宋体" w:hAnsi="宋体" w:cs="宋体"/>
          <w:szCs w:val="24"/>
        </w:rPr>
        <w:t>2021年</w:t>
      </w:r>
      <w:r>
        <w:rPr>
          <w:rFonts w:hint="eastAsia" w:ascii="宋体" w:hAnsi="宋体" w:cs="宋体"/>
          <w:szCs w:val="24"/>
          <w:lang w:val="en-US" w:eastAsia="zh-CN"/>
        </w:rPr>
        <w:t>8</w:t>
      </w:r>
      <w:r>
        <w:rPr>
          <w:rFonts w:hint="eastAsia" w:ascii="宋体" w:hAnsi="宋体" w:cs="宋体"/>
          <w:szCs w:val="24"/>
        </w:rPr>
        <w:t>月至今任意一个月的纳税有效凭据或相关部门出具的依法纳税有效证明文件，依法免税的，应提供依法免税的相关证明文件（复印件，须加盖供应商公章）</w:t>
      </w:r>
      <w:r>
        <w:rPr>
          <w:rFonts w:hint="eastAsia" w:ascii="宋体" w:hAnsi="宋体" w:cs="宋体"/>
          <w:b/>
          <w:bCs/>
          <w:szCs w:val="24"/>
        </w:rPr>
        <w:t>（个人所得税无效）</w:t>
      </w:r>
    </w:p>
    <w:p>
      <w:pPr>
        <w:spacing w:line="360" w:lineRule="auto"/>
        <w:rPr>
          <w:rFonts w:ascii="宋体" w:hAnsi="宋体" w:cs="宋体"/>
          <w:b/>
          <w:bCs/>
          <w:szCs w:val="21"/>
        </w:rPr>
      </w:pPr>
    </w:p>
    <w:p>
      <w:pPr>
        <w:spacing w:line="360" w:lineRule="auto"/>
        <w:rPr>
          <w:rFonts w:ascii="宋体" w:hAnsi="宋体" w:cs="宋体"/>
          <w:b/>
          <w:bCs/>
          <w:szCs w:val="21"/>
        </w:rPr>
      </w:pPr>
    </w:p>
    <w:p>
      <w:pPr>
        <w:spacing w:line="360" w:lineRule="auto"/>
        <w:rPr>
          <w:rFonts w:ascii="宋体" w:hAnsi="宋体" w:cs="宋体"/>
          <w:b/>
          <w:bCs/>
          <w:szCs w:val="21"/>
        </w:rPr>
      </w:pPr>
    </w:p>
    <w:p>
      <w:pPr>
        <w:spacing w:line="360" w:lineRule="auto"/>
        <w:rPr>
          <w:rFonts w:ascii="宋体" w:hAnsi="宋体" w:cs="宋体"/>
          <w:b/>
          <w:bCs/>
          <w:szCs w:val="21"/>
        </w:rPr>
      </w:pPr>
    </w:p>
    <w:p>
      <w:pPr>
        <w:pStyle w:val="4"/>
        <w:spacing w:line="360" w:lineRule="auto"/>
        <w:rPr>
          <w:rFonts w:ascii="宋体" w:hAnsi="宋体" w:eastAsia="宋体" w:cs="宋体"/>
          <w:sz w:val="24"/>
          <w:szCs w:val="24"/>
        </w:rPr>
      </w:pPr>
      <w:bookmarkStart w:id="756" w:name="_Toc495677506"/>
      <w:bookmarkStart w:id="757" w:name="_Toc421622108"/>
      <w:bookmarkStart w:id="758" w:name="_Toc520382078"/>
      <w:r>
        <w:rPr>
          <w:rFonts w:hint="eastAsia" w:ascii="宋体" w:hAnsi="宋体" w:eastAsia="宋体" w:cs="宋体"/>
          <w:sz w:val="24"/>
          <w:szCs w:val="24"/>
        </w:rPr>
        <w:t>附件 6  社会保障资金缴纳记录</w:t>
      </w:r>
      <w:bookmarkEnd w:id="756"/>
      <w:bookmarkEnd w:id="757"/>
      <w:bookmarkEnd w:id="758"/>
    </w:p>
    <w:p>
      <w:pPr>
        <w:spacing w:line="360" w:lineRule="auto"/>
        <w:jc w:val="both"/>
        <w:rPr>
          <w:rFonts w:ascii="宋体" w:hAnsi="宋体" w:cs="宋体"/>
          <w:szCs w:val="21"/>
        </w:rPr>
      </w:pPr>
      <w:r>
        <w:rPr>
          <w:rFonts w:hint="eastAsia" w:ascii="宋体" w:hAnsi="宋体" w:cs="宋体"/>
          <w:szCs w:val="24"/>
        </w:rPr>
        <w:t>2021年</w:t>
      </w:r>
      <w:r>
        <w:rPr>
          <w:rFonts w:hint="eastAsia" w:ascii="宋体" w:hAnsi="宋体" w:cs="宋体"/>
          <w:szCs w:val="24"/>
          <w:lang w:val="en-US" w:eastAsia="zh-CN"/>
        </w:rPr>
        <w:t>8</w:t>
      </w:r>
      <w:r>
        <w:rPr>
          <w:rFonts w:hint="eastAsia" w:ascii="宋体" w:hAnsi="宋体" w:cs="宋体"/>
          <w:szCs w:val="24"/>
        </w:rPr>
        <w:t>月至今任意一个月的缴纳社会保障资金的有效票据凭证或由社保中心出具的缴纳社会保障资金的有效证明文件，依法免缴的，应提供依法免缴的相关证明文件（复印件，须加盖供应商公章）</w:t>
      </w:r>
      <w:r>
        <w:rPr>
          <w:rFonts w:hint="eastAsia" w:ascii="宋体" w:hAnsi="宋体" w:cs="宋体"/>
          <w:b/>
          <w:bCs/>
          <w:szCs w:val="24"/>
        </w:rPr>
        <w:br w:type="page"/>
      </w:r>
      <w:bookmarkStart w:id="759" w:name="_Toc421622109"/>
      <w:bookmarkStart w:id="760" w:name="_Toc495677507"/>
      <w:bookmarkStart w:id="761" w:name="_Toc520382079"/>
      <w:r>
        <w:rPr>
          <w:rFonts w:hint="eastAsia" w:ascii="宋体" w:hAnsi="宋体" w:cs="宋体"/>
          <w:b/>
          <w:bCs/>
          <w:szCs w:val="21"/>
        </w:rPr>
        <w:t>附件 7  参加政府采购活动前三年内，在经营活动中没有重大违法记录的声明（格式，原件，须加盖供应商公章）</w:t>
      </w:r>
      <w:bookmarkEnd w:id="759"/>
      <w:bookmarkEnd w:id="760"/>
      <w:bookmarkEnd w:id="761"/>
    </w:p>
    <w:p>
      <w:pPr>
        <w:spacing w:line="360" w:lineRule="auto"/>
        <w:jc w:val="center"/>
        <w:outlineLvl w:val="0"/>
        <w:rPr>
          <w:rFonts w:ascii="宋体" w:hAnsi="宋体" w:cs="宋体"/>
          <w:szCs w:val="21"/>
        </w:rPr>
      </w:pPr>
      <w:bookmarkStart w:id="762" w:name="_Toc11818"/>
      <w:bookmarkStart w:id="763" w:name="_Toc16108"/>
      <w:bookmarkStart w:id="764" w:name="_Toc14387"/>
      <w:bookmarkStart w:id="765" w:name="_Toc19659"/>
      <w:bookmarkStart w:id="766" w:name="_Toc3445"/>
      <w:r>
        <w:rPr>
          <w:rFonts w:hint="eastAsia" w:ascii="宋体" w:hAnsi="宋体" w:cs="宋体"/>
          <w:szCs w:val="21"/>
        </w:rPr>
        <w:t>声  明</w:t>
      </w:r>
      <w:bookmarkEnd w:id="762"/>
      <w:bookmarkEnd w:id="763"/>
      <w:bookmarkEnd w:id="764"/>
      <w:bookmarkEnd w:id="765"/>
      <w:bookmarkEnd w:id="766"/>
    </w:p>
    <w:p>
      <w:pPr>
        <w:pStyle w:val="22"/>
        <w:spacing w:line="360" w:lineRule="auto"/>
        <w:ind w:firstLine="480" w:firstLineChars="200"/>
        <w:rPr>
          <w:rFonts w:hAnsi="宋体" w:cs="宋体"/>
          <w:sz w:val="24"/>
          <w:szCs w:val="24"/>
        </w:rPr>
      </w:pPr>
      <w:r>
        <w:rPr>
          <w:rFonts w:hint="eastAsia" w:hAnsi="宋体" w:cs="宋体"/>
          <w:sz w:val="24"/>
          <w:szCs w:val="24"/>
        </w:rPr>
        <w:t>声明：注册于（国家或地区的名称）的（公司名称）的在下面签字的代表人代表本公司郑重声明：</w:t>
      </w:r>
    </w:p>
    <w:p>
      <w:pPr>
        <w:spacing w:line="360" w:lineRule="auto"/>
        <w:ind w:firstLine="480" w:firstLineChars="200"/>
        <w:jc w:val="both"/>
        <w:rPr>
          <w:rFonts w:ascii="宋体" w:hAnsi="宋体" w:cs="宋体"/>
          <w:szCs w:val="21"/>
        </w:rPr>
      </w:pPr>
      <w:r>
        <w:rPr>
          <w:rFonts w:hint="eastAsia" w:ascii="宋体" w:hAnsi="宋体" w:cs="宋体"/>
          <w:szCs w:val="21"/>
        </w:rPr>
        <w:t>我公司在参加本次政府采购活动前三年内，在经营活动中没有重大违法记录，即未因违法经营受到刑事处罚或者责令停产停业、吊销许可证或者执照、较大数额罚款等行政处罚；如果因违法经营被禁止在一定期限内参加政府采购活动，期限已经届满。</w:t>
      </w:r>
    </w:p>
    <w:p>
      <w:pPr>
        <w:spacing w:line="360" w:lineRule="auto"/>
        <w:ind w:firstLine="480" w:firstLineChars="200"/>
        <w:rPr>
          <w:rFonts w:ascii="宋体" w:hAnsi="宋体" w:cs="宋体"/>
          <w:szCs w:val="21"/>
        </w:rPr>
      </w:pPr>
      <w:r>
        <w:rPr>
          <w:rFonts w:hint="eastAsia" w:ascii="宋体" w:hAnsi="宋体" w:cs="宋体"/>
          <w:szCs w:val="21"/>
        </w:rPr>
        <w:t>如我公司声明与实际不符，我公司将承担因此引起的一切后果。</w:t>
      </w:r>
    </w:p>
    <w:p>
      <w:pPr>
        <w:spacing w:line="360" w:lineRule="auto"/>
        <w:jc w:val="center"/>
        <w:rPr>
          <w:rFonts w:ascii="宋体" w:hAnsi="宋体" w:cs="宋体"/>
          <w:szCs w:val="21"/>
        </w:rPr>
      </w:pPr>
    </w:p>
    <w:p>
      <w:pPr>
        <w:spacing w:before="25" w:after="25" w:line="360" w:lineRule="auto"/>
        <w:rPr>
          <w:rFonts w:ascii="宋体" w:hAnsi="宋体" w:cs="宋体"/>
          <w:szCs w:val="21"/>
        </w:rPr>
      </w:pPr>
      <w:r>
        <w:rPr>
          <w:rFonts w:hint="eastAsia" w:ascii="宋体" w:hAnsi="宋体" w:cs="宋体"/>
          <w:szCs w:val="21"/>
        </w:rPr>
        <w:t>供应商名称（公章）：</w:t>
      </w:r>
    </w:p>
    <w:p>
      <w:pPr>
        <w:spacing w:before="25" w:after="25" w:line="360" w:lineRule="auto"/>
        <w:rPr>
          <w:rFonts w:ascii="宋体" w:hAnsi="宋体" w:cs="宋体"/>
          <w:szCs w:val="21"/>
        </w:rPr>
      </w:pPr>
      <w:r>
        <w:rPr>
          <w:rFonts w:hint="eastAsia" w:ascii="宋体" w:hAnsi="宋体" w:cs="宋体"/>
          <w:szCs w:val="21"/>
        </w:rPr>
        <w:t>法定代表人或授权代表签字或盖章：</w:t>
      </w:r>
    </w:p>
    <w:p>
      <w:pPr>
        <w:spacing w:line="360" w:lineRule="auto"/>
        <w:rPr>
          <w:rFonts w:ascii="宋体" w:hAnsi="宋体" w:cs="宋体"/>
          <w:szCs w:val="21"/>
        </w:rPr>
      </w:pPr>
      <w:r>
        <w:rPr>
          <w:rFonts w:hint="eastAsia" w:ascii="宋体" w:hAnsi="宋体" w:cs="宋体"/>
          <w:szCs w:val="21"/>
        </w:rPr>
        <w:t>日期：</w:t>
      </w:r>
    </w:p>
    <w:p>
      <w:pPr>
        <w:spacing w:line="360" w:lineRule="auto"/>
        <w:rPr>
          <w:rFonts w:ascii="宋体" w:hAnsi="宋体" w:cs="宋体"/>
          <w:b/>
          <w:bCs/>
          <w:szCs w:val="21"/>
        </w:rPr>
      </w:pPr>
    </w:p>
    <w:p>
      <w:pPr>
        <w:spacing w:line="360" w:lineRule="auto"/>
        <w:rPr>
          <w:rFonts w:ascii="宋体" w:hAnsi="宋体" w:cs="宋体"/>
          <w:b/>
          <w:bCs/>
          <w:szCs w:val="21"/>
        </w:rPr>
      </w:pPr>
    </w:p>
    <w:p>
      <w:pPr>
        <w:spacing w:line="360" w:lineRule="auto"/>
        <w:rPr>
          <w:rFonts w:ascii="宋体" w:hAnsi="宋体" w:cs="宋体"/>
          <w:b/>
          <w:bCs/>
          <w:szCs w:val="21"/>
        </w:rPr>
      </w:pPr>
    </w:p>
    <w:p>
      <w:pPr>
        <w:spacing w:line="360" w:lineRule="auto"/>
        <w:rPr>
          <w:rFonts w:ascii="宋体" w:hAnsi="宋体" w:cs="宋体"/>
          <w:b/>
          <w:bCs/>
          <w:szCs w:val="21"/>
        </w:rPr>
      </w:pPr>
    </w:p>
    <w:p>
      <w:pPr>
        <w:spacing w:line="360" w:lineRule="auto"/>
        <w:rPr>
          <w:rFonts w:ascii="宋体" w:hAnsi="宋体" w:cs="宋体"/>
          <w:b/>
          <w:bCs/>
          <w:szCs w:val="21"/>
        </w:rPr>
      </w:pPr>
    </w:p>
    <w:p>
      <w:pPr>
        <w:spacing w:line="360" w:lineRule="auto"/>
        <w:rPr>
          <w:rFonts w:ascii="宋体" w:hAnsi="宋体" w:cs="宋体"/>
          <w:b/>
          <w:bCs/>
          <w:szCs w:val="21"/>
        </w:rPr>
      </w:pPr>
    </w:p>
    <w:p>
      <w:pPr>
        <w:spacing w:line="360" w:lineRule="auto"/>
        <w:rPr>
          <w:rFonts w:ascii="宋体" w:hAnsi="宋体" w:cs="宋体"/>
          <w:b/>
          <w:bCs/>
          <w:szCs w:val="21"/>
        </w:rPr>
      </w:pPr>
    </w:p>
    <w:p>
      <w:pPr>
        <w:spacing w:line="360" w:lineRule="auto"/>
        <w:rPr>
          <w:rFonts w:ascii="宋体" w:hAnsi="宋体" w:cs="宋体"/>
          <w:b/>
          <w:bCs/>
          <w:szCs w:val="21"/>
        </w:rPr>
      </w:pPr>
    </w:p>
    <w:p>
      <w:pPr>
        <w:spacing w:line="360" w:lineRule="auto"/>
        <w:rPr>
          <w:rFonts w:ascii="宋体" w:hAnsi="宋体" w:cs="宋体"/>
          <w:b/>
          <w:bCs/>
          <w:szCs w:val="21"/>
        </w:rPr>
      </w:pPr>
    </w:p>
    <w:p>
      <w:pPr>
        <w:spacing w:line="360" w:lineRule="auto"/>
        <w:rPr>
          <w:rFonts w:ascii="宋体" w:hAnsi="宋体" w:cs="宋体"/>
          <w:b/>
          <w:bCs/>
          <w:szCs w:val="21"/>
        </w:rPr>
      </w:pPr>
    </w:p>
    <w:p>
      <w:pPr>
        <w:spacing w:line="360" w:lineRule="auto"/>
        <w:rPr>
          <w:rFonts w:ascii="宋体" w:hAnsi="宋体" w:cs="宋体"/>
          <w:b/>
          <w:bCs/>
          <w:szCs w:val="21"/>
        </w:rPr>
      </w:pPr>
    </w:p>
    <w:p>
      <w:pPr>
        <w:spacing w:line="360" w:lineRule="auto"/>
        <w:rPr>
          <w:rFonts w:ascii="宋体" w:hAnsi="宋体" w:cs="宋体"/>
          <w:b/>
          <w:bCs/>
          <w:szCs w:val="21"/>
        </w:rPr>
      </w:pPr>
    </w:p>
    <w:p>
      <w:pPr>
        <w:spacing w:line="360" w:lineRule="auto"/>
        <w:rPr>
          <w:rFonts w:ascii="宋体" w:hAnsi="宋体" w:cs="宋体"/>
          <w:b/>
          <w:bCs/>
          <w:szCs w:val="21"/>
        </w:rPr>
      </w:pPr>
    </w:p>
    <w:p>
      <w:pPr>
        <w:spacing w:line="360" w:lineRule="auto"/>
        <w:rPr>
          <w:rFonts w:ascii="宋体" w:hAnsi="宋体" w:cs="宋体"/>
          <w:b/>
          <w:bCs/>
          <w:szCs w:val="21"/>
        </w:rPr>
      </w:pPr>
    </w:p>
    <w:p>
      <w:pPr>
        <w:spacing w:line="360" w:lineRule="auto"/>
        <w:rPr>
          <w:rFonts w:ascii="宋体" w:hAnsi="宋体" w:cs="宋体"/>
          <w:b/>
          <w:bCs/>
          <w:szCs w:val="21"/>
        </w:rPr>
      </w:pPr>
    </w:p>
    <w:p>
      <w:pPr>
        <w:spacing w:line="360" w:lineRule="auto"/>
        <w:rPr>
          <w:rFonts w:ascii="宋体" w:hAnsi="宋体" w:cs="宋体"/>
          <w:b/>
          <w:bCs/>
          <w:szCs w:val="21"/>
        </w:rPr>
      </w:pPr>
    </w:p>
    <w:p>
      <w:pPr>
        <w:spacing w:line="360" w:lineRule="auto"/>
        <w:rPr>
          <w:rFonts w:ascii="宋体" w:hAnsi="宋体" w:cs="宋体"/>
          <w:b/>
          <w:bCs/>
          <w:szCs w:val="21"/>
        </w:rPr>
      </w:pPr>
    </w:p>
    <w:p>
      <w:pPr>
        <w:spacing w:line="360" w:lineRule="auto"/>
        <w:rPr>
          <w:rFonts w:ascii="宋体" w:hAnsi="宋体" w:cs="宋体"/>
          <w:b/>
          <w:bCs/>
          <w:szCs w:val="21"/>
        </w:rPr>
      </w:pPr>
      <w:r>
        <w:rPr>
          <w:rFonts w:hint="eastAsia" w:ascii="宋体" w:hAnsi="宋体" w:cs="宋体"/>
          <w:b/>
          <w:bCs/>
          <w:szCs w:val="21"/>
        </w:rPr>
        <w:t>附件8  与参与本次政府采购活动的其他供应商不存在法人(单位负责人)为同一人或者直接控股、管理关系的承诺书</w:t>
      </w:r>
    </w:p>
    <w:p>
      <w:pPr>
        <w:spacing w:line="360" w:lineRule="auto"/>
        <w:jc w:val="center"/>
        <w:rPr>
          <w:rFonts w:ascii="宋体" w:hAnsi="宋体" w:cs="宋体"/>
          <w:b/>
          <w:bCs/>
          <w:szCs w:val="21"/>
        </w:rPr>
      </w:pPr>
      <w:r>
        <w:rPr>
          <w:rFonts w:hint="eastAsia" w:ascii="宋体" w:hAnsi="宋体" w:cs="宋体"/>
          <w:b/>
          <w:bCs/>
          <w:szCs w:val="21"/>
        </w:rPr>
        <w:t>8-1、承诺书</w:t>
      </w:r>
    </w:p>
    <w:p>
      <w:pPr>
        <w:spacing w:line="360" w:lineRule="auto"/>
        <w:ind w:firstLine="480" w:firstLineChars="200"/>
        <w:rPr>
          <w:rFonts w:ascii="宋体" w:hAnsi="宋体" w:cs="宋体"/>
          <w:szCs w:val="21"/>
        </w:rPr>
      </w:pPr>
      <w:r>
        <w:rPr>
          <w:rFonts w:hint="eastAsia" w:ascii="宋体" w:hAnsi="宋体" w:cs="宋体"/>
          <w:szCs w:val="21"/>
        </w:rPr>
        <w:t>我单位承诺与参与本次招标活动的其他投标人不存在法人(单位负责人)为同一人或者直接控股、管理关系。</w:t>
      </w:r>
    </w:p>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u w:val="single"/>
        </w:rPr>
      </w:pPr>
      <w:r>
        <w:rPr>
          <w:rFonts w:hint="eastAsia" w:ascii="宋体" w:hAnsi="宋体" w:cs="宋体"/>
          <w:szCs w:val="21"/>
        </w:rPr>
        <w:t>投标人(公章)：</w:t>
      </w:r>
      <w:r>
        <w:rPr>
          <w:rFonts w:hint="eastAsia" w:ascii="宋体" w:hAnsi="宋体" w:cs="宋体"/>
          <w:szCs w:val="21"/>
          <w:u w:val="single"/>
        </w:rPr>
        <w:t xml:space="preserve"> </w:t>
      </w:r>
      <w:r>
        <w:rPr>
          <w:rFonts w:hint="eastAsia" w:ascii="宋体" w:hAnsi="宋体" w:cs="宋体"/>
          <w:szCs w:val="21"/>
          <w:u w:val="single"/>
        </w:rPr>
        <w:tab/>
      </w:r>
      <w:r>
        <w:rPr>
          <w:rFonts w:hint="eastAsia" w:ascii="宋体" w:hAnsi="宋体" w:cs="宋体"/>
          <w:szCs w:val="21"/>
          <w:u w:val="single"/>
        </w:rPr>
        <w:t xml:space="preserve">           </w:t>
      </w:r>
    </w:p>
    <w:p>
      <w:pPr>
        <w:spacing w:line="360" w:lineRule="auto"/>
        <w:rPr>
          <w:rFonts w:ascii="宋体" w:hAnsi="宋体" w:cs="宋体"/>
          <w:szCs w:val="21"/>
          <w:u w:val="single"/>
        </w:rPr>
      </w:pPr>
      <w:r>
        <w:rPr>
          <w:rFonts w:hint="eastAsia" w:hAnsi="宋体" w:cs="宋体"/>
        </w:rPr>
        <w:t>投标人法定代表人或授权代表（签字或盖章）</w:t>
      </w:r>
      <w:r>
        <w:rPr>
          <w:rFonts w:hint="eastAsia" w:ascii="宋体" w:hAnsi="宋体" w:cs="宋体"/>
          <w:szCs w:val="21"/>
        </w:rPr>
        <w:t>：</w:t>
      </w:r>
      <w:r>
        <w:rPr>
          <w:rFonts w:hint="eastAsia" w:ascii="宋体" w:hAnsi="宋体" w:cs="宋体"/>
          <w:szCs w:val="21"/>
          <w:u w:val="single"/>
        </w:rPr>
        <w:t xml:space="preserve"> </w:t>
      </w:r>
      <w:r>
        <w:rPr>
          <w:rFonts w:hint="eastAsia" w:ascii="宋体" w:hAnsi="宋体" w:cs="宋体"/>
          <w:szCs w:val="21"/>
          <w:u w:val="single"/>
        </w:rPr>
        <w:tab/>
      </w:r>
      <w:r>
        <w:rPr>
          <w:rFonts w:hint="eastAsia" w:ascii="宋体" w:hAnsi="宋体" w:cs="宋体"/>
          <w:szCs w:val="21"/>
          <w:u w:val="single"/>
        </w:rPr>
        <w:t xml:space="preserve">           </w:t>
      </w:r>
    </w:p>
    <w:p>
      <w:pPr>
        <w:spacing w:line="360" w:lineRule="auto"/>
        <w:rPr>
          <w:rFonts w:ascii="宋体" w:hAnsi="宋体" w:cs="宋体"/>
          <w:szCs w:val="21"/>
        </w:rPr>
      </w:pPr>
      <w:r>
        <w:rPr>
          <w:rFonts w:hint="eastAsia" w:ascii="宋体" w:hAnsi="宋体" w:cs="宋体"/>
          <w:szCs w:val="21"/>
        </w:rPr>
        <w:t>日期：</w:t>
      </w:r>
      <w:r>
        <w:rPr>
          <w:rFonts w:hint="eastAsia" w:ascii="宋体" w:hAnsi="宋体" w:cs="宋体"/>
          <w:szCs w:val="21"/>
          <w:u w:val="single"/>
        </w:rPr>
        <w:t xml:space="preserve">                     </w:t>
      </w:r>
      <w:r>
        <w:rPr>
          <w:rFonts w:hint="eastAsia" w:ascii="宋体" w:hAnsi="宋体" w:cs="宋体"/>
          <w:szCs w:val="21"/>
        </w:rPr>
        <w:tab/>
      </w:r>
    </w:p>
    <w:p>
      <w:pPr>
        <w:spacing w:line="360" w:lineRule="auto"/>
        <w:rPr>
          <w:rFonts w:ascii="宋体" w:hAnsi="宋体" w:cs="宋体"/>
          <w:szCs w:val="21"/>
        </w:rPr>
        <w:sectPr>
          <w:pgSz w:w="11906" w:h="16838"/>
          <w:pgMar w:top="1418" w:right="1418" w:bottom="1418" w:left="1588" w:header="851" w:footer="851" w:gutter="0"/>
          <w:cols w:space="720" w:num="1"/>
          <w:docGrid w:linePitch="326" w:charSpace="0"/>
        </w:sectPr>
      </w:pPr>
    </w:p>
    <w:p>
      <w:pPr>
        <w:spacing w:line="360" w:lineRule="auto"/>
        <w:jc w:val="center"/>
        <w:rPr>
          <w:rFonts w:ascii="宋体" w:hAnsi="宋体" w:cs="宋体"/>
          <w:szCs w:val="21"/>
        </w:rPr>
      </w:pPr>
      <w:r>
        <w:rPr>
          <w:rFonts w:hint="eastAsia" w:ascii="宋体" w:hAnsi="宋体" w:cs="宋体"/>
          <w:szCs w:val="21"/>
        </w:rPr>
        <w:t>8-2供应商相关单位一览表</w:t>
      </w:r>
    </w:p>
    <w:tbl>
      <w:tblPr>
        <w:tblStyle w:val="42"/>
        <w:tblW w:w="0" w:type="auto"/>
        <w:tblInd w:w="1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78"/>
        <w:gridCol w:w="67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trPr>
        <w:tc>
          <w:tcPr>
            <w:tcW w:w="7945" w:type="dxa"/>
            <w:gridSpan w:val="2"/>
          </w:tcPr>
          <w:p>
            <w:pPr>
              <w:spacing w:line="360" w:lineRule="auto"/>
              <w:jc w:val="center"/>
              <w:rPr>
                <w:rFonts w:ascii="宋体" w:hAnsi="宋体" w:cs="宋体"/>
                <w:szCs w:val="21"/>
              </w:rPr>
            </w:pPr>
            <w:r>
              <w:rPr>
                <w:rFonts w:hint="eastAsia" w:ascii="宋体" w:hAnsi="宋体" w:cs="宋体"/>
                <w:szCs w:val="21"/>
              </w:rPr>
              <w:t>和供应商的负责人为同一人的其他单位名称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8" w:hRule="atLeast"/>
        </w:trPr>
        <w:tc>
          <w:tcPr>
            <w:tcW w:w="1178" w:type="dxa"/>
          </w:tcPr>
          <w:p>
            <w:pPr>
              <w:spacing w:line="360" w:lineRule="auto"/>
              <w:rPr>
                <w:rFonts w:ascii="宋体" w:hAnsi="宋体" w:cs="宋体"/>
                <w:szCs w:val="21"/>
              </w:rPr>
            </w:pPr>
            <w:r>
              <w:rPr>
                <w:rFonts w:hint="eastAsia" w:ascii="宋体" w:hAnsi="宋体" w:cs="宋体"/>
                <w:szCs w:val="21"/>
              </w:rPr>
              <w:t>1</w:t>
            </w:r>
          </w:p>
        </w:tc>
        <w:tc>
          <w:tcPr>
            <w:tcW w:w="6767" w:type="dxa"/>
          </w:tcPr>
          <w:p>
            <w:pPr>
              <w:spacing w:line="360" w:lineRule="auto"/>
              <w:rPr>
                <w:rFonts w:ascii="宋体" w:hAnsi="宋体" w:cs="宋体"/>
                <w:szCs w:val="21"/>
              </w:rPr>
            </w:pPr>
            <w:r>
              <w:rPr>
                <w:rFonts w:hint="eastAsia" w:ascii="宋体" w:hAnsi="宋体" w:cs="宋体"/>
                <w:szCs w:val="21"/>
              </w:rPr>
              <w:t>（单位名称）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trPr>
        <w:tc>
          <w:tcPr>
            <w:tcW w:w="1178" w:type="dxa"/>
          </w:tcPr>
          <w:p>
            <w:pPr>
              <w:spacing w:line="360" w:lineRule="auto"/>
              <w:rPr>
                <w:rFonts w:ascii="宋体" w:hAnsi="宋体" w:cs="宋体"/>
                <w:szCs w:val="21"/>
              </w:rPr>
            </w:pPr>
            <w:r>
              <w:rPr>
                <w:rFonts w:hint="eastAsia" w:ascii="宋体" w:hAnsi="宋体" w:cs="宋体"/>
                <w:szCs w:val="21"/>
              </w:rPr>
              <w:t>…</w:t>
            </w:r>
          </w:p>
        </w:tc>
        <w:tc>
          <w:tcPr>
            <w:tcW w:w="6767" w:type="dxa"/>
          </w:tcPr>
          <w:p>
            <w:pPr>
              <w:spacing w:line="360" w:lineRule="auto"/>
              <w:rPr>
                <w:rFonts w:ascii="宋体" w:hAnsi="宋体" w:cs="宋体"/>
                <w:szCs w:val="21"/>
              </w:rPr>
            </w:pPr>
            <w:r>
              <w:rPr>
                <w:rFonts w:hint="eastAsia" w:ascii="宋体" w:hAnsi="宋体" w:cs="宋体"/>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8" w:hRule="atLeast"/>
        </w:trPr>
        <w:tc>
          <w:tcPr>
            <w:tcW w:w="1178" w:type="dxa"/>
          </w:tcPr>
          <w:p>
            <w:pPr>
              <w:spacing w:line="360" w:lineRule="auto"/>
              <w:rPr>
                <w:rFonts w:ascii="宋体" w:hAnsi="宋体" w:cs="宋体"/>
                <w:szCs w:val="21"/>
              </w:rPr>
            </w:pPr>
            <w:r>
              <w:rPr>
                <w:rFonts w:hint="eastAsia" w:ascii="宋体" w:hAnsi="宋体" w:cs="宋体"/>
                <w:szCs w:val="21"/>
              </w:rPr>
              <w:t>…</w:t>
            </w:r>
          </w:p>
        </w:tc>
        <w:tc>
          <w:tcPr>
            <w:tcW w:w="6767" w:type="dxa"/>
          </w:tcPr>
          <w:p>
            <w:pPr>
              <w:spacing w:line="360" w:lineRule="auto"/>
              <w:rPr>
                <w:rFonts w:ascii="宋体" w:hAnsi="宋体" w:cs="宋体"/>
                <w:szCs w:val="21"/>
              </w:rPr>
            </w:pPr>
            <w:r>
              <w:rPr>
                <w:rFonts w:hint="eastAsia" w:ascii="宋体" w:hAnsi="宋体" w:cs="宋体"/>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7945" w:type="dxa"/>
            <w:gridSpan w:val="2"/>
          </w:tcPr>
          <w:p>
            <w:pPr>
              <w:spacing w:line="360" w:lineRule="auto"/>
              <w:jc w:val="center"/>
              <w:rPr>
                <w:rFonts w:ascii="宋体" w:hAnsi="宋体" w:cs="宋体"/>
                <w:szCs w:val="21"/>
              </w:rPr>
            </w:pPr>
            <w:r>
              <w:rPr>
                <w:rFonts w:hint="eastAsia" w:ascii="宋体" w:hAnsi="宋体" w:cs="宋体"/>
                <w:szCs w:val="21"/>
              </w:rPr>
              <w:t>和供应商存在直接控股、管理关系的其他单位名称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trPr>
        <w:tc>
          <w:tcPr>
            <w:tcW w:w="1178" w:type="dxa"/>
          </w:tcPr>
          <w:p>
            <w:pPr>
              <w:spacing w:line="360" w:lineRule="auto"/>
              <w:rPr>
                <w:rFonts w:ascii="宋体" w:hAnsi="宋体" w:cs="宋体"/>
                <w:szCs w:val="21"/>
              </w:rPr>
            </w:pPr>
            <w:r>
              <w:rPr>
                <w:rFonts w:hint="eastAsia" w:ascii="宋体" w:hAnsi="宋体" w:cs="宋体"/>
                <w:szCs w:val="21"/>
              </w:rPr>
              <w:t>1</w:t>
            </w:r>
          </w:p>
        </w:tc>
        <w:tc>
          <w:tcPr>
            <w:tcW w:w="6767" w:type="dxa"/>
          </w:tcPr>
          <w:p>
            <w:pPr>
              <w:spacing w:line="360" w:lineRule="auto"/>
              <w:rPr>
                <w:rFonts w:ascii="宋体" w:hAnsi="宋体" w:cs="宋体"/>
                <w:szCs w:val="21"/>
              </w:rPr>
            </w:pPr>
            <w:r>
              <w:rPr>
                <w:rFonts w:hint="eastAsia" w:ascii="宋体" w:hAnsi="宋体" w:cs="宋体"/>
                <w:szCs w:val="21"/>
              </w:rPr>
              <w:t>（单位名称）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1178" w:type="dxa"/>
          </w:tcPr>
          <w:p>
            <w:pPr>
              <w:spacing w:line="360" w:lineRule="auto"/>
              <w:rPr>
                <w:rFonts w:ascii="宋体" w:hAnsi="宋体" w:cs="宋体"/>
                <w:szCs w:val="21"/>
              </w:rPr>
            </w:pPr>
            <w:r>
              <w:rPr>
                <w:rFonts w:hint="eastAsia" w:ascii="宋体" w:hAnsi="宋体" w:cs="宋体"/>
                <w:szCs w:val="21"/>
              </w:rPr>
              <w:t>…</w:t>
            </w:r>
          </w:p>
        </w:tc>
        <w:tc>
          <w:tcPr>
            <w:tcW w:w="6767" w:type="dxa"/>
          </w:tcPr>
          <w:p>
            <w:pPr>
              <w:spacing w:line="360" w:lineRule="auto"/>
              <w:rPr>
                <w:rFonts w:ascii="宋体" w:hAnsi="宋体" w:cs="宋体"/>
                <w:szCs w:val="21"/>
              </w:rPr>
            </w:pPr>
            <w:r>
              <w:rPr>
                <w:rFonts w:hint="eastAsia" w:ascii="宋体" w:hAnsi="宋体" w:cs="宋体"/>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trPr>
        <w:tc>
          <w:tcPr>
            <w:tcW w:w="1178" w:type="dxa"/>
          </w:tcPr>
          <w:p>
            <w:pPr>
              <w:spacing w:line="360" w:lineRule="auto"/>
              <w:rPr>
                <w:rFonts w:ascii="宋体" w:hAnsi="宋体" w:cs="宋体"/>
                <w:szCs w:val="21"/>
              </w:rPr>
            </w:pPr>
            <w:r>
              <w:rPr>
                <w:rFonts w:hint="eastAsia" w:ascii="宋体" w:hAnsi="宋体" w:cs="宋体"/>
                <w:szCs w:val="21"/>
              </w:rPr>
              <w:t>…</w:t>
            </w:r>
          </w:p>
        </w:tc>
        <w:tc>
          <w:tcPr>
            <w:tcW w:w="6767" w:type="dxa"/>
          </w:tcPr>
          <w:p>
            <w:pPr>
              <w:spacing w:line="360" w:lineRule="auto"/>
              <w:rPr>
                <w:rFonts w:ascii="宋体" w:hAnsi="宋体" w:cs="宋体"/>
                <w:szCs w:val="21"/>
              </w:rPr>
            </w:pPr>
            <w:r>
              <w:rPr>
                <w:rFonts w:hint="eastAsia" w:ascii="宋体" w:hAnsi="宋体" w:cs="宋体"/>
                <w:szCs w:val="21"/>
              </w:rPr>
              <w:t>……</w:t>
            </w:r>
          </w:p>
        </w:tc>
      </w:tr>
    </w:tbl>
    <w:p>
      <w:pPr>
        <w:spacing w:line="360" w:lineRule="auto"/>
        <w:jc w:val="both"/>
        <w:rPr>
          <w:rFonts w:ascii="宋体" w:hAnsi="宋体" w:cs="宋体"/>
          <w:szCs w:val="21"/>
        </w:rPr>
      </w:pPr>
      <w:r>
        <w:rPr>
          <w:rFonts w:hint="eastAsia" w:ascii="宋体" w:hAnsi="宋体" w:cs="宋体"/>
          <w:szCs w:val="21"/>
        </w:rPr>
        <w:t>注1：如供应商没有表中列示的相关单位，请填写“无”。</w:t>
      </w:r>
    </w:p>
    <w:p>
      <w:pPr>
        <w:spacing w:line="360" w:lineRule="auto"/>
        <w:jc w:val="both"/>
        <w:rPr>
          <w:rFonts w:ascii="宋体" w:hAnsi="宋体" w:cs="宋体"/>
          <w:szCs w:val="21"/>
        </w:rPr>
      </w:pPr>
      <w:r>
        <w:rPr>
          <w:rFonts w:hint="eastAsia" w:ascii="宋体" w:hAnsi="宋体" w:cs="宋体"/>
          <w:szCs w:val="21"/>
        </w:rPr>
        <w:t>注2：单位负责人是指单位法定代表人或者法律、行政法规规定代表单位行使职权的主要负责人。</w:t>
      </w:r>
    </w:p>
    <w:p>
      <w:pPr>
        <w:spacing w:line="360" w:lineRule="auto"/>
        <w:jc w:val="both"/>
        <w:rPr>
          <w:rFonts w:ascii="宋体" w:hAnsi="宋体" w:cs="宋体"/>
          <w:szCs w:val="21"/>
        </w:rPr>
      </w:pPr>
      <w:r>
        <w:rPr>
          <w:rFonts w:hint="eastAsia" w:ascii="宋体" w:hAnsi="宋体" w:cs="宋体"/>
          <w:szCs w:val="21"/>
        </w:rPr>
        <w:t>注3：控股关系是指单位或个人股东的控股关系，管理关系是指不具有出资持股关系的其他单位之间存在的管理与被管理关系。</w:t>
      </w:r>
    </w:p>
    <w:p>
      <w:pPr>
        <w:spacing w:line="360" w:lineRule="auto"/>
        <w:rPr>
          <w:rFonts w:ascii="宋体" w:hAnsi="宋体" w:cs="宋体"/>
          <w:szCs w:val="21"/>
        </w:rPr>
      </w:pPr>
    </w:p>
    <w:p>
      <w:pPr>
        <w:spacing w:line="360" w:lineRule="auto"/>
        <w:rPr>
          <w:rFonts w:ascii="宋体" w:hAnsi="宋体" w:cs="宋体"/>
          <w:szCs w:val="21"/>
          <w:u w:val="single"/>
        </w:rPr>
      </w:pPr>
      <w:r>
        <w:rPr>
          <w:rFonts w:hint="eastAsia" w:ascii="宋体" w:hAnsi="宋体" w:cs="宋体"/>
          <w:szCs w:val="21"/>
        </w:rPr>
        <w:t>供应商(公章)：</w:t>
      </w:r>
      <w:r>
        <w:rPr>
          <w:rFonts w:hint="eastAsia" w:ascii="宋体" w:hAnsi="宋体" w:cs="宋体"/>
          <w:szCs w:val="21"/>
          <w:u w:val="single"/>
        </w:rPr>
        <w:t xml:space="preserve"> </w:t>
      </w:r>
      <w:r>
        <w:rPr>
          <w:rFonts w:hint="eastAsia" w:ascii="宋体" w:hAnsi="宋体" w:cs="宋体"/>
          <w:szCs w:val="21"/>
          <w:u w:val="single"/>
        </w:rPr>
        <w:tab/>
      </w:r>
      <w:r>
        <w:rPr>
          <w:rFonts w:hint="eastAsia" w:ascii="宋体" w:hAnsi="宋体" w:cs="宋体"/>
          <w:szCs w:val="21"/>
          <w:u w:val="single"/>
        </w:rPr>
        <w:t xml:space="preserve">           </w:t>
      </w:r>
    </w:p>
    <w:p>
      <w:pPr>
        <w:spacing w:line="360" w:lineRule="auto"/>
        <w:rPr>
          <w:rFonts w:ascii="宋体" w:hAnsi="宋体" w:cs="宋体"/>
          <w:szCs w:val="21"/>
          <w:u w:val="single"/>
        </w:rPr>
      </w:pPr>
      <w:r>
        <w:rPr>
          <w:rFonts w:hint="eastAsia" w:ascii="宋体" w:hAnsi="宋体" w:cs="宋体"/>
          <w:szCs w:val="21"/>
        </w:rPr>
        <w:t>供应商授权代表签字：</w:t>
      </w:r>
      <w:r>
        <w:rPr>
          <w:rFonts w:hint="eastAsia" w:ascii="宋体" w:hAnsi="宋体" w:cs="宋体"/>
          <w:szCs w:val="21"/>
          <w:u w:val="single"/>
        </w:rPr>
        <w:t xml:space="preserve"> </w:t>
      </w:r>
      <w:r>
        <w:rPr>
          <w:rFonts w:hint="eastAsia" w:ascii="宋体" w:hAnsi="宋体" w:cs="宋体"/>
          <w:szCs w:val="21"/>
          <w:u w:val="single"/>
        </w:rPr>
        <w:tab/>
      </w:r>
      <w:r>
        <w:rPr>
          <w:rFonts w:hint="eastAsia" w:ascii="宋体" w:hAnsi="宋体" w:cs="宋体"/>
          <w:szCs w:val="21"/>
          <w:u w:val="single"/>
        </w:rPr>
        <w:t xml:space="preserve">    </w:t>
      </w:r>
    </w:p>
    <w:p>
      <w:pPr>
        <w:spacing w:line="360" w:lineRule="auto"/>
        <w:rPr>
          <w:rFonts w:ascii="宋体" w:hAnsi="宋体" w:cs="宋体"/>
          <w:szCs w:val="21"/>
          <w:u w:val="single"/>
        </w:rPr>
      </w:pPr>
      <w:r>
        <w:rPr>
          <w:rFonts w:hint="eastAsia" w:ascii="宋体" w:hAnsi="宋体" w:cs="宋体"/>
          <w:szCs w:val="21"/>
        </w:rPr>
        <w:t>日期：</w:t>
      </w:r>
      <w:r>
        <w:rPr>
          <w:rFonts w:hint="eastAsia" w:ascii="宋体" w:hAnsi="宋体" w:cs="宋体"/>
          <w:szCs w:val="21"/>
          <w:u w:val="single"/>
        </w:rPr>
        <w:t xml:space="preserve">                     </w:t>
      </w:r>
      <w:r>
        <w:rPr>
          <w:rFonts w:hint="eastAsia" w:ascii="宋体" w:hAnsi="宋体" w:cs="宋体"/>
          <w:szCs w:val="21"/>
          <w:u w:val="single"/>
        </w:rPr>
        <w:tab/>
      </w:r>
    </w:p>
    <w:p>
      <w:pPr>
        <w:spacing w:line="360" w:lineRule="auto"/>
        <w:rPr>
          <w:rFonts w:ascii="宋体" w:hAnsi="宋体" w:cs="宋体"/>
          <w:szCs w:val="21"/>
        </w:rPr>
      </w:pPr>
    </w:p>
    <w:p>
      <w:pPr>
        <w:pStyle w:val="4"/>
        <w:spacing w:before="0" w:after="0" w:line="360" w:lineRule="auto"/>
        <w:rPr>
          <w:rFonts w:ascii="宋体" w:hAnsi="宋体" w:eastAsia="宋体" w:cs="宋体"/>
          <w:sz w:val="24"/>
          <w:szCs w:val="24"/>
        </w:rPr>
        <w:sectPr>
          <w:pgSz w:w="11906" w:h="16838"/>
          <w:pgMar w:top="1418" w:right="1418" w:bottom="1418" w:left="1588" w:header="851" w:footer="851" w:gutter="0"/>
          <w:cols w:space="720" w:num="1"/>
          <w:docGrid w:linePitch="326" w:charSpace="0"/>
        </w:sectPr>
      </w:pPr>
      <w:bookmarkStart w:id="767" w:name="_Toc514165839"/>
      <w:bookmarkStart w:id="768" w:name="_Toc514765899"/>
      <w:bookmarkStart w:id="769" w:name="_Toc520382088"/>
    </w:p>
    <w:p>
      <w:pPr>
        <w:pStyle w:val="4"/>
        <w:spacing w:before="0" w:after="0" w:line="360" w:lineRule="auto"/>
        <w:rPr>
          <w:rFonts w:ascii="宋体" w:hAnsi="宋体" w:eastAsia="宋体" w:cs="宋体"/>
          <w:sz w:val="24"/>
          <w:szCs w:val="24"/>
        </w:rPr>
      </w:pPr>
      <w:r>
        <w:rPr>
          <w:rFonts w:hint="eastAsia" w:ascii="宋体" w:hAnsi="宋体" w:eastAsia="宋体" w:cs="宋体"/>
          <w:sz w:val="24"/>
          <w:szCs w:val="24"/>
        </w:rPr>
        <w:t>附件9  不属于“为本次采购项目提供规范编制或者项目管理、监理、检测等服务的供应商”的声明（格式，原件，须加盖供应商公章）</w:t>
      </w:r>
      <w:bookmarkEnd w:id="767"/>
      <w:bookmarkEnd w:id="768"/>
      <w:bookmarkEnd w:id="769"/>
    </w:p>
    <w:p>
      <w:pPr>
        <w:rPr>
          <w:rFonts w:ascii="宋体" w:hAnsi="宋体" w:cs="宋体"/>
          <w:szCs w:val="24"/>
        </w:rPr>
      </w:pPr>
    </w:p>
    <w:p>
      <w:pPr>
        <w:spacing w:line="360" w:lineRule="auto"/>
        <w:rPr>
          <w:rFonts w:ascii="宋体" w:hAnsi="宋体" w:cs="宋体"/>
          <w:szCs w:val="24"/>
        </w:rPr>
      </w:pPr>
    </w:p>
    <w:p>
      <w:pPr>
        <w:spacing w:line="360" w:lineRule="auto"/>
        <w:jc w:val="center"/>
        <w:rPr>
          <w:rFonts w:ascii="宋体" w:hAnsi="宋体" w:cs="宋体"/>
          <w:b/>
          <w:szCs w:val="24"/>
        </w:rPr>
      </w:pPr>
      <w:r>
        <w:rPr>
          <w:rFonts w:hint="eastAsia" w:ascii="宋体" w:hAnsi="宋体" w:cs="宋体"/>
          <w:b/>
          <w:szCs w:val="24"/>
        </w:rPr>
        <w:t>声明</w:t>
      </w:r>
    </w:p>
    <w:p>
      <w:pPr>
        <w:spacing w:line="360" w:lineRule="auto"/>
        <w:ind w:firstLine="480" w:firstLineChars="200"/>
        <w:rPr>
          <w:rFonts w:ascii="宋体" w:hAnsi="宋体" w:cs="宋体"/>
          <w:bCs/>
          <w:szCs w:val="24"/>
        </w:rPr>
      </w:pPr>
      <w:r>
        <w:rPr>
          <w:rFonts w:hint="eastAsia" w:ascii="宋体" w:hAnsi="宋体" w:cs="宋体"/>
          <w:bCs/>
          <w:szCs w:val="24"/>
        </w:rPr>
        <w:t>声明：注册于</w:t>
      </w:r>
      <w:r>
        <w:rPr>
          <w:rFonts w:hint="eastAsia" w:ascii="宋体" w:hAnsi="宋体" w:cs="宋体"/>
          <w:bCs/>
          <w:szCs w:val="24"/>
          <w:u w:val="single"/>
        </w:rPr>
        <w:t>（国家或地区的名称）</w:t>
      </w:r>
      <w:r>
        <w:rPr>
          <w:rFonts w:hint="eastAsia" w:ascii="宋体" w:hAnsi="宋体" w:cs="宋体"/>
          <w:bCs/>
          <w:szCs w:val="24"/>
        </w:rPr>
        <w:t>的</w:t>
      </w:r>
      <w:r>
        <w:rPr>
          <w:rFonts w:hint="eastAsia" w:ascii="宋体" w:hAnsi="宋体" w:cs="宋体"/>
          <w:bCs/>
          <w:szCs w:val="24"/>
          <w:u w:val="single"/>
        </w:rPr>
        <w:t>（公司名称）</w:t>
      </w:r>
      <w:r>
        <w:rPr>
          <w:rFonts w:hint="eastAsia" w:ascii="宋体" w:hAnsi="宋体" w:cs="宋体"/>
          <w:bCs/>
          <w:szCs w:val="24"/>
        </w:rPr>
        <w:t>的在下面签字的代表人代表本公司郑重声明：</w:t>
      </w:r>
    </w:p>
    <w:p>
      <w:pPr>
        <w:spacing w:line="360" w:lineRule="auto"/>
        <w:ind w:firstLine="480" w:firstLineChars="200"/>
        <w:rPr>
          <w:rFonts w:ascii="宋体" w:hAnsi="宋体" w:cs="宋体"/>
          <w:szCs w:val="24"/>
        </w:rPr>
      </w:pPr>
    </w:p>
    <w:p>
      <w:pPr>
        <w:spacing w:line="360" w:lineRule="auto"/>
        <w:ind w:firstLine="480" w:firstLineChars="200"/>
        <w:rPr>
          <w:rFonts w:ascii="宋体" w:hAnsi="宋体" w:cs="宋体"/>
          <w:szCs w:val="24"/>
        </w:rPr>
      </w:pPr>
      <w:r>
        <w:rPr>
          <w:rFonts w:hint="eastAsia" w:ascii="宋体" w:hAnsi="宋体" w:cs="宋体"/>
          <w:szCs w:val="24"/>
        </w:rPr>
        <w:t>我公司不属于“为本次采购项目提供规范编制或者项目管理、监理、检测等服务的供应商”。</w:t>
      </w:r>
    </w:p>
    <w:p>
      <w:pPr>
        <w:spacing w:line="360" w:lineRule="auto"/>
        <w:ind w:firstLine="480" w:firstLineChars="200"/>
        <w:rPr>
          <w:rFonts w:ascii="宋体" w:hAnsi="宋体" w:cs="宋体"/>
          <w:szCs w:val="24"/>
        </w:rPr>
      </w:pPr>
      <w:r>
        <w:rPr>
          <w:rFonts w:hint="eastAsia" w:ascii="宋体" w:hAnsi="宋体" w:cs="宋体"/>
          <w:szCs w:val="24"/>
        </w:rPr>
        <w:t>如我公司声明与实际不符，我公司将承担因此引起的一切后果。</w:t>
      </w:r>
    </w:p>
    <w:p>
      <w:pPr>
        <w:spacing w:line="360" w:lineRule="auto"/>
        <w:rPr>
          <w:rFonts w:ascii="宋体" w:hAnsi="宋体" w:cs="宋体"/>
          <w:szCs w:val="24"/>
        </w:rPr>
      </w:pPr>
    </w:p>
    <w:p>
      <w:pPr>
        <w:spacing w:line="360" w:lineRule="auto"/>
        <w:rPr>
          <w:rFonts w:ascii="宋体" w:hAnsi="宋体" w:cs="宋体"/>
          <w:szCs w:val="24"/>
        </w:rPr>
      </w:pPr>
    </w:p>
    <w:p>
      <w:pPr>
        <w:spacing w:line="360" w:lineRule="auto"/>
        <w:rPr>
          <w:rFonts w:ascii="宋体" w:hAnsi="宋体" w:cs="宋体"/>
          <w:szCs w:val="24"/>
        </w:rPr>
      </w:pPr>
      <w:r>
        <w:rPr>
          <w:rFonts w:hint="eastAsia" w:ascii="宋体" w:hAnsi="宋体" w:cs="宋体"/>
          <w:szCs w:val="24"/>
        </w:rPr>
        <w:t>供应商名称（公章）：</w:t>
      </w:r>
    </w:p>
    <w:p>
      <w:pPr>
        <w:spacing w:line="360" w:lineRule="auto"/>
        <w:rPr>
          <w:rFonts w:ascii="宋体" w:hAnsi="宋体" w:cs="宋体"/>
          <w:szCs w:val="24"/>
        </w:rPr>
      </w:pPr>
      <w:r>
        <w:rPr>
          <w:rFonts w:hint="eastAsia" w:ascii="宋体" w:hAnsi="宋体" w:cs="宋体"/>
          <w:szCs w:val="24"/>
        </w:rPr>
        <w:t>法定代表人或授权代表签字或盖章：</w:t>
      </w:r>
    </w:p>
    <w:p>
      <w:pPr>
        <w:tabs>
          <w:tab w:val="left" w:pos="5580"/>
        </w:tabs>
        <w:spacing w:before="120" w:beforeLines="50" w:after="120" w:afterLines="50" w:line="360" w:lineRule="auto"/>
        <w:rPr>
          <w:rFonts w:ascii="宋体" w:hAnsi="宋体" w:cs="宋体"/>
          <w:szCs w:val="24"/>
        </w:rPr>
      </w:pPr>
      <w:r>
        <w:rPr>
          <w:rFonts w:hint="eastAsia" w:ascii="宋体" w:hAnsi="宋体" w:cs="宋体"/>
          <w:szCs w:val="24"/>
        </w:rPr>
        <w:t>日期：</w:t>
      </w:r>
      <w:bookmarkStart w:id="770" w:name="_Toc520382080"/>
      <w:bookmarkStart w:id="771" w:name="_Toc17117"/>
      <w:bookmarkStart w:id="772" w:name="_Toc325"/>
      <w:bookmarkStart w:id="773" w:name="_Toc241827254"/>
      <w:bookmarkStart w:id="774" w:name="_Toc9541"/>
      <w:bookmarkStart w:id="775" w:name="_Toc86202634"/>
      <w:bookmarkStart w:id="776" w:name="_Toc326167549"/>
      <w:bookmarkStart w:id="777" w:name="_Toc417204743"/>
      <w:bookmarkStart w:id="778" w:name="_Toc416417637"/>
    </w:p>
    <w:p>
      <w:pPr>
        <w:spacing w:before="120" w:beforeLines="50" w:after="120" w:afterLines="50" w:line="360" w:lineRule="auto"/>
      </w:pPr>
      <w:r>
        <w:rPr>
          <w:rFonts w:hint="eastAsia" w:ascii="宋体" w:hAnsi="宋体" w:cs="宋体"/>
          <w:szCs w:val="24"/>
        </w:rPr>
        <w:br w:type="page"/>
      </w:r>
      <w:bookmarkStart w:id="779" w:name="_Toc6058"/>
      <w:r>
        <w:rPr>
          <w:rFonts w:hint="eastAsia"/>
        </w:rPr>
        <w:t>二、响应文件商务技术册</w:t>
      </w:r>
      <w:bookmarkEnd w:id="770"/>
      <w:bookmarkEnd w:id="771"/>
      <w:bookmarkEnd w:id="779"/>
    </w:p>
    <w:p>
      <w:pPr>
        <w:spacing w:before="120" w:beforeLines="50" w:after="120" w:afterLines="50" w:line="360" w:lineRule="auto"/>
        <w:jc w:val="center"/>
      </w:pPr>
      <w:bookmarkStart w:id="780" w:name="_Toc14856"/>
      <w:bookmarkStart w:id="781" w:name="_Toc18242"/>
      <w:bookmarkStart w:id="782" w:name="_Toc7755"/>
      <w:bookmarkStart w:id="783" w:name="_Toc9116"/>
      <w:r>
        <w:rPr>
          <w:rFonts w:hint="eastAsia"/>
        </w:rPr>
        <w:t>目录</w:t>
      </w:r>
      <w:bookmarkEnd w:id="780"/>
      <w:bookmarkEnd w:id="781"/>
      <w:bookmarkEnd w:id="782"/>
      <w:bookmarkEnd w:id="783"/>
    </w:p>
    <w:p>
      <w:pPr>
        <w:spacing w:before="120" w:beforeLines="50" w:after="120" w:afterLines="50" w:line="360" w:lineRule="auto"/>
      </w:pPr>
      <w:bookmarkStart w:id="784" w:name="_Toc13390"/>
      <w:bookmarkStart w:id="785" w:name="_Toc14994"/>
      <w:bookmarkStart w:id="786" w:name="_Toc15046"/>
      <w:bookmarkStart w:id="787" w:name="_Toc31328"/>
      <w:bookmarkStart w:id="788" w:name="_Toc15237"/>
      <w:r>
        <w:rPr>
          <w:rFonts w:hint="eastAsia"/>
        </w:rPr>
        <w:t>附件1——响应函（格式）</w:t>
      </w:r>
      <w:bookmarkEnd w:id="784"/>
      <w:bookmarkEnd w:id="785"/>
      <w:bookmarkEnd w:id="786"/>
      <w:bookmarkEnd w:id="787"/>
      <w:bookmarkEnd w:id="788"/>
    </w:p>
    <w:p>
      <w:pPr>
        <w:spacing w:before="120" w:beforeLines="50" w:after="120" w:afterLines="50" w:line="360" w:lineRule="auto"/>
      </w:pPr>
      <w:bookmarkStart w:id="789" w:name="_Toc1357"/>
      <w:bookmarkStart w:id="790" w:name="_Toc21124"/>
      <w:bookmarkStart w:id="791" w:name="_Toc22962"/>
      <w:bookmarkStart w:id="792" w:name="_Toc21644"/>
      <w:bookmarkStart w:id="793" w:name="_Toc24741"/>
      <w:r>
        <w:rPr>
          <w:rFonts w:hint="eastAsia"/>
        </w:rPr>
        <w:t>附件2——磋商报价一览表（格式）</w:t>
      </w:r>
      <w:bookmarkEnd w:id="789"/>
      <w:bookmarkEnd w:id="790"/>
      <w:bookmarkEnd w:id="791"/>
      <w:bookmarkEnd w:id="792"/>
      <w:bookmarkEnd w:id="793"/>
    </w:p>
    <w:p>
      <w:pPr>
        <w:spacing w:before="120" w:beforeLines="50" w:after="120" w:afterLines="50" w:line="360" w:lineRule="auto"/>
      </w:pPr>
      <w:bookmarkStart w:id="794" w:name="_Toc31436"/>
      <w:bookmarkStart w:id="795" w:name="_Toc25852"/>
      <w:bookmarkStart w:id="796" w:name="_Toc2266"/>
      <w:bookmarkStart w:id="797" w:name="_Toc4268"/>
      <w:bookmarkStart w:id="798" w:name="_Toc19236"/>
      <w:bookmarkStart w:id="799" w:name="_Toc12822"/>
      <w:bookmarkStart w:id="800" w:name="_Toc15414"/>
      <w:bookmarkStart w:id="801" w:name="_Toc2070"/>
      <w:r>
        <w:rPr>
          <w:rFonts w:hint="eastAsia"/>
        </w:rPr>
        <w:t>附件3——分项报价表（格式）</w:t>
      </w:r>
      <w:bookmarkEnd w:id="794"/>
      <w:bookmarkEnd w:id="795"/>
      <w:bookmarkEnd w:id="796"/>
      <w:bookmarkEnd w:id="797"/>
      <w:bookmarkEnd w:id="798"/>
    </w:p>
    <w:p>
      <w:pPr>
        <w:spacing w:before="120" w:beforeLines="50" w:after="120" w:afterLines="50" w:line="360" w:lineRule="auto"/>
      </w:pPr>
      <w:bookmarkStart w:id="802" w:name="_Toc31261"/>
      <w:bookmarkStart w:id="803" w:name="_Toc24450"/>
      <w:bookmarkStart w:id="804" w:name="_Toc10744"/>
      <w:bookmarkStart w:id="805" w:name="_Toc31632"/>
      <w:bookmarkStart w:id="806" w:name="_Toc12246"/>
      <w:r>
        <w:rPr>
          <w:rFonts w:hint="eastAsia"/>
        </w:rPr>
        <w:t>附件4——服务需求偏离表（格式）</w:t>
      </w:r>
      <w:bookmarkEnd w:id="802"/>
      <w:bookmarkEnd w:id="803"/>
      <w:bookmarkEnd w:id="804"/>
      <w:bookmarkEnd w:id="805"/>
      <w:bookmarkEnd w:id="806"/>
    </w:p>
    <w:p>
      <w:pPr>
        <w:spacing w:before="120" w:beforeLines="50" w:after="120" w:afterLines="50" w:line="360" w:lineRule="auto"/>
      </w:pPr>
      <w:bookmarkStart w:id="807" w:name="_Toc3747"/>
      <w:bookmarkStart w:id="808" w:name="_Toc9680"/>
      <w:bookmarkStart w:id="809" w:name="_Toc21721"/>
      <w:bookmarkStart w:id="810" w:name="_Toc26789"/>
      <w:bookmarkStart w:id="811" w:name="_Toc30267"/>
      <w:r>
        <w:rPr>
          <w:rFonts w:hint="eastAsia"/>
        </w:rPr>
        <w:t>附件5——商务条款偏离表（格式）</w:t>
      </w:r>
      <w:bookmarkEnd w:id="807"/>
      <w:bookmarkEnd w:id="808"/>
      <w:bookmarkEnd w:id="809"/>
      <w:bookmarkEnd w:id="810"/>
      <w:bookmarkEnd w:id="811"/>
    </w:p>
    <w:p>
      <w:pPr>
        <w:spacing w:before="120" w:beforeLines="50" w:after="120" w:afterLines="50" w:line="360" w:lineRule="auto"/>
      </w:pPr>
      <w:bookmarkStart w:id="812" w:name="_Toc28697"/>
      <w:bookmarkStart w:id="813" w:name="_Toc3014"/>
      <w:r>
        <w:rPr>
          <w:rFonts w:hint="eastAsia"/>
        </w:rPr>
        <w:t>附件6——</w:t>
      </w:r>
      <w:bookmarkEnd w:id="799"/>
      <w:bookmarkEnd w:id="800"/>
      <w:bookmarkEnd w:id="801"/>
      <w:r>
        <w:rPr>
          <w:rFonts w:hint="eastAsia"/>
        </w:rPr>
        <w:t>供应商综合情况一览表</w:t>
      </w:r>
      <w:bookmarkEnd w:id="812"/>
      <w:bookmarkEnd w:id="813"/>
    </w:p>
    <w:p>
      <w:pPr>
        <w:spacing w:before="120" w:beforeLines="50" w:after="120" w:afterLines="50" w:line="360" w:lineRule="auto"/>
      </w:pPr>
      <w:bookmarkStart w:id="814" w:name="_Toc14067"/>
      <w:bookmarkStart w:id="815" w:name="_Toc11442"/>
      <w:bookmarkStart w:id="816" w:name="_Toc17252"/>
      <w:bookmarkStart w:id="817" w:name="_Toc6070"/>
      <w:bookmarkStart w:id="818" w:name="_Toc24008"/>
      <w:r>
        <w:rPr>
          <w:rFonts w:hint="eastAsia"/>
        </w:rPr>
        <w:t>附件7——服务方案</w:t>
      </w:r>
      <w:bookmarkEnd w:id="814"/>
      <w:bookmarkEnd w:id="815"/>
    </w:p>
    <w:p>
      <w:pPr>
        <w:spacing w:before="120" w:beforeLines="50" w:after="120" w:afterLines="50" w:line="360" w:lineRule="auto"/>
      </w:pPr>
      <w:bookmarkStart w:id="819" w:name="_Toc12869"/>
      <w:bookmarkStart w:id="820" w:name="_Toc6452"/>
      <w:r>
        <w:rPr>
          <w:rFonts w:hint="eastAsia"/>
        </w:rPr>
        <w:t>附件8——中小企业声明函（原件，中小企业参加磋商的）</w:t>
      </w:r>
      <w:bookmarkEnd w:id="816"/>
      <w:bookmarkEnd w:id="817"/>
      <w:bookmarkEnd w:id="818"/>
      <w:bookmarkEnd w:id="819"/>
      <w:bookmarkEnd w:id="820"/>
    </w:p>
    <w:p>
      <w:pPr>
        <w:spacing w:before="120" w:beforeLines="50" w:after="120" w:afterLines="50" w:line="360" w:lineRule="auto"/>
      </w:pPr>
      <w:bookmarkStart w:id="821" w:name="_Toc20173"/>
      <w:bookmarkStart w:id="822" w:name="_Toc17312"/>
      <w:bookmarkStart w:id="823" w:name="_Toc5585"/>
      <w:bookmarkStart w:id="824" w:name="_Toc22630"/>
      <w:bookmarkStart w:id="825" w:name="_Toc13860"/>
      <w:r>
        <w:rPr>
          <w:rFonts w:hint="eastAsia"/>
        </w:rPr>
        <w:t>附件9——监狱企业证明材料（监狱企业参加的）</w:t>
      </w:r>
      <w:bookmarkEnd w:id="821"/>
      <w:bookmarkEnd w:id="822"/>
      <w:bookmarkEnd w:id="823"/>
      <w:bookmarkEnd w:id="824"/>
      <w:bookmarkEnd w:id="825"/>
    </w:p>
    <w:p>
      <w:pPr>
        <w:spacing w:before="120" w:beforeLines="50" w:after="120" w:afterLines="50" w:line="360" w:lineRule="auto"/>
      </w:pPr>
      <w:bookmarkStart w:id="826" w:name="_Toc16852"/>
      <w:bookmarkStart w:id="827" w:name="_Toc21271"/>
      <w:bookmarkStart w:id="828" w:name="_Toc27854"/>
      <w:bookmarkStart w:id="829" w:name="_Toc2075"/>
      <w:bookmarkStart w:id="830" w:name="_Toc15977"/>
      <w:r>
        <w:rPr>
          <w:rFonts w:hint="eastAsia"/>
        </w:rPr>
        <w:t>附件10——残疾人福利性单位证明材料（残疾人福利性单位参加的）</w:t>
      </w:r>
      <w:bookmarkEnd w:id="826"/>
      <w:bookmarkEnd w:id="827"/>
      <w:bookmarkEnd w:id="828"/>
      <w:bookmarkEnd w:id="829"/>
      <w:bookmarkEnd w:id="830"/>
    </w:p>
    <w:p>
      <w:pPr>
        <w:spacing w:before="120" w:beforeLines="50" w:after="120" w:afterLines="50" w:line="360" w:lineRule="auto"/>
      </w:pPr>
      <w:bookmarkStart w:id="831" w:name="_Toc25588"/>
      <w:bookmarkStart w:id="832" w:name="_Toc9410"/>
      <w:bookmarkStart w:id="833" w:name="_Toc23994"/>
      <w:bookmarkStart w:id="834" w:name="_Toc2286"/>
      <w:bookmarkStart w:id="835" w:name="_Toc12779"/>
      <w:r>
        <w:rPr>
          <w:rFonts w:hint="eastAsia"/>
        </w:rPr>
        <w:t>附件11——缴纳代理服务费承诺书（格式）</w:t>
      </w:r>
      <w:bookmarkEnd w:id="831"/>
      <w:bookmarkEnd w:id="832"/>
      <w:bookmarkEnd w:id="833"/>
      <w:bookmarkEnd w:id="834"/>
      <w:bookmarkEnd w:id="835"/>
    </w:p>
    <w:p>
      <w:pPr>
        <w:spacing w:before="120" w:beforeLines="50" w:after="120" w:afterLines="50" w:line="360" w:lineRule="auto"/>
      </w:pPr>
      <w:bookmarkStart w:id="836" w:name="_Toc21631"/>
      <w:bookmarkStart w:id="837" w:name="_Toc8621"/>
      <w:bookmarkStart w:id="838" w:name="_Toc8245"/>
      <w:bookmarkStart w:id="839" w:name="_Toc22981"/>
      <w:bookmarkStart w:id="840" w:name="_Toc28302"/>
      <w:r>
        <w:rPr>
          <w:rFonts w:hint="eastAsia"/>
        </w:rPr>
        <w:t>附件12——代理服务费收费标准</w:t>
      </w:r>
      <w:bookmarkEnd w:id="836"/>
      <w:bookmarkEnd w:id="837"/>
      <w:bookmarkEnd w:id="838"/>
      <w:bookmarkEnd w:id="839"/>
      <w:bookmarkEnd w:id="840"/>
    </w:p>
    <w:p>
      <w:pPr>
        <w:spacing w:before="120" w:beforeLines="50" w:after="120" w:afterLines="50" w:line="360" w:lineRule="auto"/>
      </w:pPr>
      <w:bookmarkStart w:id="841" w:name="_Toc11263"/>
      <w:bookmarkStart w:id="842" w:name="_Toc10848"/>
      <w:r>
        <w:rPr>
          <w:rFonts w:hint="eastAsia"/>
        </w:rPr>
        <w:t>附件13——最后报价表</w:t>
      </w:r>
      <w:bookmarkEnd w:id="841"/>
      <w:bookmarkEnd w:id="842"/>
    </w:p>
    <w:p>
      <w:pPr>
        <w:spacing w:before="120" w:beforeLines="50" w:after="120" w:afterLines="50" w:line="360" w:lineRule="auto"/>
      </w:pPr>
      <w:bookmarkStart w:id="843" w:name="_Toc2684"/>
      <w:bookmarkStart w:id="844" w:name="_Toc9834"/>
      <w:bookmarkStart w:id="845" w:name="_Toc17546"/>
      <w:bookmarkStart w:id="846" w:name="_Toc3226"/>
      <w:bookmarkStart w:id="847" w:name="_Toc3723"/>
      <w:r>
        <w:rPr>
          <w:rFonts w:hint="eastAsia"/>
        </w:rPr>
        <w:t>附件14——供应商认为必要的辅助资料（如有）</w:t>
      </w:r>
      <w:bookmarkEnd w:id="843"/>
      <w:bookmarkEnd w:id="844"/>
      <w:bookmarkEnd w:id="845"/>
      <w:bookmarkEnd w:id="846"/>
      <w:bookmarkEnd w:id="847"/>
    </w:p>
    <w:p>
      <w:pPr>
        <w:spacing w:before="120" w:beforeLines="50" w:after="120" w:afterLines="50" w:line="360" w:lineRule="auto"/>
        <w:sectPr>
          <w:pgSz w:w="11906" w:h="16838"/>
          <w:pgMar w:top="1418" w:right="1418" w:bottom="1418" w:left="1588" w:header="851" w:footer="851" w:gutter="0"/>
          <w:cols w:space="720" w:num="1"/>
          <w:docGrid w:linePitch="326" w:charSpace="0"/>
        </w:sectPr>
      </w:pPr>
    </w:p>
    <w:p>
      <w:bookmarkStart w:id="848" w:name="_Toc17348"/>
      <w:bookmarkStart w:id="849" w:name="_Toc13185"/>
      <w:r>
        <w:rPr>
          <w:rFonts w:hint="eastAsia"/>
        </w:rPr>
        <w:t>附件1—响应函</w:t>
      </w:r>
      <w:bookmarkEnd w:id="772"/>
      <w:bookmarkEnd w:id="773"/>
      <w:bookmarkEnd w:id="774"/>
      <w:bookmarkEnd w:id="775"/>
      <w:bookmarkEnd w:id="776"/>
      <w:bookmarkEnd w:id="777"/>
      <w:bookmarkEnd w:id="778"/>
      <w:bookmarkEnd w:id="848"/>
      <w:bookmarkEnd w:id="849"/>
    </w:p>
    <w:p>
      <w:pPr>
        <w:rPr>
          <w:rFonts w:ascii="宋体" w:hAnsi="宋体" w:cs="宋体"/>
        </w:rPr>
      </w:pPr>
      <w:r>
        <w:rPr>
          <w:rFonts w:hint="eastAsia" w:ascii="宋体" w:hAnsi="宋体" w:cs="宋体"/>
        </w:rPr>
        <w:t xml:space="preserve">     </w:t>
      </w:r>
    </w:p>
    <w:p>
      <w:pPr>
        <w:tabs>
          <w:tab w:val="left" w:pos="5580"/>
        </w:tabs>
        <w:spacing w:line="360" w:lineRule="auto"/>
        <w:rPr>
          <w:rFonts w:ascii="宋体" w:hAnsi="宋体" w:cs="宋体"/>
        </w:rPr>
      </w:pPr>
      <w:bookmarkStart w:id="850" w:name="_Toc241827255"/>
      <w:r>
        <w:rPr>
          <w:rFonts w:hint="eastAsia" w:ascii="宋体" w:hAnsi="宋体" w:cs="宋体"/>
        </w:rPr>
        <w:t>致：</w:t>
      </w:r>
      <w:r>
        <w:rPr>
          <w:rFonts w:hint="eastAsia" w:ascii="宋体" w:hAnsi="宋体" w:cs="宋体"/>
          <w:u w:val="single"/>
        </w:rPr>
        <w:t>（采购代理单位）</w:t>
      </w:r>
    </w:p>
    <w:p>
      <w:pPr>
        <w:pStyle w:val="22"/>
        <w:tabs>
          <w:tab w:val="left" w:pos="5580"/>
        </w:tabs>
        <w:spacing w:line="360" w:lineRule="auto"/>
        <w:rPr>
          <w:rFonts w:hAnsi="宋体" w:cs="宋体"/>
          <w:sz w:val="24"/>
        </w:rPr>
      </w:pPr>
    </w:p>
    <w:p>
      <w:pPr>
        <w:pStyle w:val="22"/>
        <w:tabs>
          <w:tab w:val="left" w:pos="5580"/>
        </w:tabs>
        <w:spacing w:line="360" w:lineRule="auto"/>
        <w:ind w:firstLine="408"/>
        <w:rPr>
          <w:rFonts w:hAnsi="宋体" w:cs="宋体"/>
          <w:sz w:val="24"/>
        </w:rPr>
      </w:pPr>
      <w:r>
        <w:rPr>
          <w:rFonts w:hint="eastAsia" w:hAnsi="宋体" w:cs="宋体"/>
          <w:sz w:val="24"/>
        </w:rPr>
        <w:t>根据贵方为(</w:t>
      </w:r>
      <w:r>
        <w:rPr>
          <w:rFonts w:hint="eastAsia" w:hAnsi="宋体" w:cs="宋体"/>
          <w:i/>
          <w:sz w:val="24"/>
          <w:u w:val="single"/>
        </w:rPr>
        <w:t>项目名称</w:t>
      </w:r>
      <w:r>
        <w:rPr>
          <w:rFonts w:hint="eastAsia" w:hAnsi="宋体" w:cs="宋体"/>
          <w:sz w:val="24"/>
        </w:rPr>
        <w:t>)项目采购服务的竞争性磋商邀请(</w:t>
      </w:r>
      <w:r>
        <w:rPr>
          <w:rFonts w:hint="eastAsia" w:hAnsi="宋体" w:cs="宋体"/>
          <w:i/>
          <w:sz w:val="24"/>
          <w:u w:val="single"/>
        </w:rPr>
        <w:t>项目编号</w:t>
      </w:r>
      <w:r>
        <w:rPr>
          <w:rFonts w:hint="eastAsia" w:hAnsi="宋体" w:cs="宋体"/>
          <w:sz w:val="24"/>
        </w:rPr>
        <w:t>)，签字代表(</w:t>
      </w:r>
      <w:r>
        <w:rPr>
          <w:rFonts w:hint="eastAsia" w:hAnsi="宋体" w:cs="宋体"/>
          <w:i/>
          <w:sz w:val="24"/>
          <w:u w:val="single"/>
        </w:rPr>
        <w:t>姓名、职务</w:t>
      </w:r>
      <w:r>
        <w:rPr>
          <w:rFonts w:hint="eastAsia" w:hAnsi="宋体" w:cs="宋体"/>
          <w:sz w:val="24"/>
        </w:rPr>
        <w:t>)经正式授权并代表供应商(</w:t>
      </w:r>
      <w:r>
        <w:rPr>
          <w:rFonts w:hint="eastAsia" w:hAnsi="宋体" w:cs="宋体"/>
          <w:i/>
          <w:sz w:val="24"/>
          <w:u w:val="single"/>
        </w:rPr>
        <w:t>供应商名称、地址</w:t>
      </w:r>
      <w:r>
        <w:rPr>
          <w:rFonts w:hint="eastAsia" w:hAnsi="宋体" w:cs="宋体"/>
          <w:sz w:val="24"/>
        </w:rPr>
        <w:t>)提交下述文件正本一份及副本___份及电子文件</w:t>
      </w:r>
      <w:r>
        <w:rPr>
          <w:rFonts w:hint="eastAsia" w:hAnsi="宋体" w:cs="宋体"/>
          <w:sz w:val="24"/>
          <w:u w:val="single"/>
        </w:rPr>
        <w:t xml:space="preserve">   </w:t>
      </w:r>
      <w:r>
        <w:rPr>
          <w:rFonts w:hint="eastAsia" w:hAnsi="宋体" w:cs="宋体"/>
          <w:sz w:val="24"/>
        </w:rPr>
        <w:t>份：</w:t>
      </w:r>
    </w:p>
    <w:p>
      <w:pPr>
        <w:pStyle w:val="22"/>
        <w:numPr>
          <w:ilvl w:val="0"/>
          <w:numId w:val="17"/>
        </w:numPr>
        <w:tabs>
          <w:tab w:val="left" w:pos="5580"/>
        </w:tabs>
        <w:spacing w:line="360" w:lineRule="auto"/>
        <w:rPr>
          <w:rFonts w:hAnsi="宋体" w:cs="宋体"/>
          <w:sz w:val="24"/>
        </w:rPr>
      </w:pPr>
      <w:r>
        <w:rPr>
          <w:rFonts w:hint="eastAsia" w:hAnsi="宋体" w:cs="宋体"/>
          <w:sz w:val="24"/>
        </w:rPr>
        <w:t>响应一览表</w:t>
      </w:r>
    </w:p>
    <w:p>
      <w:pPr>
        <w:pStyle w:val="22"/>
        <w:numPr>
          <w:ilvl w:val="0"/>
          <w:numId w:val="17"/>
        </w:numPr>
        <w:tabs>
          <w:tab w:val="left" w:pos="5580"/>
        </w:tabs>
        <w:spacing w:line="360" w:lineRule="auto"/>
        <w:rPr>
          <w:rFonts w:hAnsi="宋体" w:cs="宋体"/>
          <w:sz w:val="24"/>
        </w:rPr>
      </w:pPr>
      <w:r>
        <w:rPr>
          <w:rFonts w:hint="eastAsia" w:hAnsi="宋体" w:cs="宋体"/>
          <w:sz w:val="24"/>
        </w:rPr>
        <w:t>响应分项报价表</w:t>
      </w:r>
    </w:p>
    <w:p>
      <w:pPr>
        <w:pStyle w:val="22"/>
        <w:numPr>
          <w:ilvl w:val="0"/>
          <w:numId w:val="17"/>
        </w:numPr>
        <w:tabs>
          <w:tab w:val="left" w:pos="5580"/>
        </w:tabs>
        <w:spacing w:line="360" w:lineRule="auto"/>
        <w:rPr>
          <w:rFonts w:hAnsi="宋体" w:cs="宋体"/>
          <w:sz w:val="24"/>
        </w:rPr>
      </w:pPr>
      <w:r>
        <w:rPr>
          <w:rFonts w:hint="eastAsia" w:hAnsi="宋体" w:cs="宋体"/>
          <w:sz w:val="24"/>
        </w:rPr>
        <w:t>服务需求偏离表</w:t>
      </w:r>
    </w:p>
    <w:p>
      <w:pPr>
        <w:pStyle w:val="22"/>
        <w:numPr>
          <w:ilvl w:val="0"/>
          <w:numId w:val="17"/>
        </w:numPr>
        <w:tabs>
          <w:tab w:val="left" w:pos="5580"/>
        </w:tabs>
        <w:spacing w:line="360" w:lineRule="auto"/>
        <w:rPr>
          <w:rFonts w:hAnsi="宋体" w:cs="宋体"/>
          <w:sz w:val="24"/>
        </w:rPr>
      </w:pPr>
      <w:r>
        <w:rPr>
          <w:rFonts w:hint="eastAsia" w:hAnsi="宋体" w:cs="宋体"/>
          <w:sz w:val="24"/>
        </w:rPr>
        <w:t>商务条款偏离表</w:t>
      </w:r>
    </w:p>
    <w:p>
      <w:pPr>
        <w:pStyle w:val="22"/>
        <w:numPr>
          <w:ilvl w:val="0"/>
          <w:numId w:val="17"/>
        </w:numPr>
        <w:tabs>
          <w:tab w:val="left" w:pos="5580"/>
        </w:tabs>
        <w:spacing w:line="360" w:lineRule="auto"/>
        <w:rPr>
          <w:rFonts w:hAnsi="宋体" w:cs="宋体"/>
          <w:sz w:val="24"/>
        </w:rPr>
      </w:pPr>
      <w:r>
        <w:rPr>
          <w:rFonts w:hint="eastAsia" w:hAnsi="宋体" w:cs="宋体"/>
          <w:sz w:val="24"/>
        </w:rPr>
        <w:t>资格证明文件</w:t>
      </w:r>
    </w:p>
    <w:p>
      <w:pPr>
        <w:pStyle w:val="22"/>
        <w:numPr>
          <w:ilvl w:val="0"/>
          <w:numId w:val="17"/>
        </w:numPr>
        <w:tabs>
          <w:tab w:val="left" w:pos="5580"/>
        </w:tabs>
        <w:spacing w:line="360" w:lineRule="auto"/>
        <w:rPr>
          <w:rFonts w:hAnsi="宋体" w:cs="宋体"/>
          <w:sz w:val="24"/>
        </w:rPr>
      </w:pPr>
      <w:r>
        <w:rPr>
          <w:rFonts w:hint="eastAsia" w:hAnsi="宋体" w:cs="宋体"/>
          <w:sz w:val="24"/>
        </w:rPr>
        <w:t>遵守国家有关法律、法规和规章，按竞争性磋商文件中供应商须知和技术规格要求提供的有关文件</w:t>
      </w:r>
    </w:p>
    <w:p>
      <w:pPr>
        <w:pStyle w:val="22"/>
        <w:numPr>
          <w:ilvl w:val="0"/>
          <w:numId w:val="17"/>
        </w:numPr>
        <w:tabs>
          <w:tab w:val="left" w:pos="5580"/>
        </w:tabs>
        <w:spacing w:line="360" w:lineRule="auto"/>
        <w:rPr>
          <w:rFonts w:hAnsi="宋体" w:cs="宋体"/>
          <w:sz w:val="24"/>
        </w:rPr>
      </w:pPr>
      <w:r>
        <w:rPr>
          <w:rFonts w:hint="eastAsia" w:hAnsi="宋体" w:cs="宋体"/>
          <w:sz w:val="24"/>
        </w:rPr>
        <w:t>以</w:t>
      </w:r>
      <w:r>
        <w:rPr>
          <w:rFonts w:hint="eastAsia" w:hAnsi="宋体" w:cs="宋体"/>
          <w:sz w:val="24"/>
          <w:u w:val="single"/>
        </w:rPr>
        <w:t xml:space="preserve">           </w:t>
      </w:r>
      <w:r>
        <w:rPr>
          <w:rFonts w:hint="eastAsia" w:hAnsi="宋体" w:cs="宋体"/>
          <w:sz w:val="24"/>
        </w:rPr>
        <w:t>形式出具的保证金，金额为人民币</w:t>
      </w:r>
      <w:r>
        <w:rPr>
          <w:rFonts w:hint="eastAsia" w:hAnsi="宋体" w:cs="宋体"/>
          <w:sz w:val="24"/>
          <w:u w:val="single"/>
        </w:rPr>
        <w:t xml:space="preserve">          </w:t>
      </w:r>
      <w:r>
        <w:rPr>
          <w:rFonts w:hint="eastAsia" w:hAnsi="宋体" w:cs="宋体"/>
          <w:sz w:val="24"/>
        </w:rPr>
        <w:t>元。</w:t>
      </w:r>
    </w:p>
    <w:p>
      <w:pPr>
        <w:pStyle w:val="22"/>
        <w:tabs>
          <w:tab w:val="left" w:pos="5580"/>
        </w:tabs>
        <w:spacing w:line="360" w:lineRule="auto"/>
        <w:ind w:left="408"/>
        <w:rPr>
          <w:rFonts w:hAnsi="宋体" w:cs="宋体"/>
          <w:sz w:val="24"/>
        </w:rPr>
      </w:pPr>
      <w:r>
        <w:rPr>
          <w:rFonts w:hint="eastAsia" w:hAnsi="宋体" w:cs="宋体"/>
          <w:sz w:val="24"/>
        </w:rPr>
        <w:t>据此，签字代表宣布同意如下：</w:t>
      </w:r>
    </w:p>
    <w:p>
      <w:pPr>
        <w:pStyle w:val="22"/>
        <w:tabs>
          <w:tab w:val="left" w:pos="720"/>
          <w:tab w:val="left" w:pos="900"/>
        </w:tabs>
        <w:spacing w:line="360" w:lineRule="auto"/>
        <w:ind w:left="360" w:firstLine="72" w:firstLineChars="30"/>
        <w:rPr>
          <w:rFonts w:hAnsi="宋体" w:cs="宋体"/>
          <w:sz w:val="24"/>
          <w:u w:val="single"/>
        </w:rPr>
      </w:pPr>
      <w:r>
        <w:rPr>
          <w:rFonts w:hint="eastAsia" w:hAnsi="宋体" w:cs="宋体"/>
          <w:sz w:val="24"/>
        </w:rPr>
        <w:t>（1）附价格表中规定的应提交和交付的服务报价为人民币</w:t>
      </w:r>
      <w:r>
        <w:rPr>
          <w:rFonts w:hint="eastAsia" w:hAnsi="宋体" w:cs="宋体"/>
          <w:sz w:val="24"/>
          <w:u w:val="single"/>
        </w:rPr>
        <w:t xml:space="preserve">             </w:t>
      </w:r>
    </w:p>
    <w:p>
      <w:pPr>
        <w:pStyle w:val="22"/>
        <w:tabs>
          <w:tab w:val="left" w:pos="5580"/>
        </w:tabs>
        <w:spacing w:line="360" w:lineRule="auto"/>
        <w:ind w:left="-2" w:firstLine="540"/>
        <w:rPr>
          <w:rFonts w:hAnsi="宋体" w:cs="宋体"/>
          <w:sz w:val="24"/>
        </w:rPr>
      </w:pPr>
      <w:r>
        <w:rPr>
          <w:rFonts w:hint="eastAsia" w:hAnsi="宋体" w:cs="宋体"/>
          <w:sz w:val="24"/>
          <w:u w:val="single"/>
        </w:rPr>
        <w:t>　　　　　　　　　　　　　　　　　　（用文字和数字表示的报价）</w:t>
      </w:r>
      <w:r>
        <w:rPr>
          <w:rFonts w:hint="eastAsia" w:hAnsi="宋体" w:cs="宋体"/>
          <w:sz w:val="24"/>
        </w:rPr>
        <w:t>。</w:t>
      </w:r>
    </w:p>
    <w:p>
      <w:pPr>
        <w:pStyle w:val="22"/>
        <w:tabs>
          <w:tab w:val="left" w:pos="5580"/>
        </w:tabs>
        <w:spacing w:line="360" w:lineRule="auto"/>
        <w:ind w:firstLine="420" w:firstLineChars="175"/>
        <w:rPr>
          <w:rFonts w:hAnsi="宋体" w:cs="宋体"/>
          <w:sz w:val="24"/>
        </w:rPr>
      </w:pPr>
      <w:r>
        <w:rPr>
          <w:rFonts w:hint="eastAsia" w:hAnsi="宋体" w:cs="宋体"/>
          <w:sz w:val="24"/>
        </w:rPr>
        <w:t>（2）服务周期为：</w:t>
      </w:r>
      <w:r>
        <w:rPr>
          <w:rFonts w:hint="eastAsia" w:hAnsi="宋体" w:cs="宋体"/>
          <w:sz w:val="24"/>
          <w:u w:val="single"/>
        </w:rPr>
        <w:t xml:space="preserve">         。</w:t>
      </w:r>
    </w:p>
    <w:p>
      <w:pPr>
        <w:pStyle w:val="22"/>
        <w:tabs>
          <w:tab w:val="left" w:pos="5580"/>
        </w:tabs>
        <w:spacing w:line="360" w:lineRule="auto"/>
        <w:ind w:firstLine="420" w:firstLineChars="175"/>
        <w:rPr>
          <w:rFonts w:hAnsi="宋体" w:cs="宋体"/>
          <w:sz w:val="24"/>
        </w:rPr>
      </w:pPr>
      <w:r>
        <w:rPr>
          <w:rFonts w:hint="eastAsia" w:hAnsi="宋体" w:cs="宋体"/>
          <w:sz w:val="24"/>
        </w:rPr>
        <w:t>（3）供应商将按竞争性磋商文件的规定履行合同责任和义务。</w:t>
      </w:r>
    </w:p>
    <w:p>
      <w:pPr>
        <w:pStyle w:val="22"/>
        <w:tabs>
          <w:tab w:val="left" w:pos="5580"/>
        </w:tabs>
        <w:spacing w:line="360" w:lineRule="auto"/>
        <w:ind w:left="600" w:leftChars="175" w:hanging="180" w:hangingChars="75"/>
        <w:rPr>
          <w:rFonts w:hAnsi="宋体" w:cs="宋体"/>
          <w:sz w:val="24"/>
        </w:rPr>
      </w:pPr>
      <w:r>
        <w:rPr>
          <w:rFonts w:hint="eastAsia" w:hAnsi="宋体" w:cs="宋体"/>
          <w:sz w:val="24"/>
        </w:rPr>
        <w:t>（4）供应商已详细审查全部竞争性磋商文件，包括第</w:t>
      </w:r>
      <w:r>
        <w:rPr>
          <w:rFonts w:hint="eastAsia" w:hAnsi="宋体" w:cs="宋体"/>
          <w:sz w:val="24"/>
          <w:u w:val="single"/>
        </w:rPr>
        <w:t xml:space="preserve">        号（项目编号、补充通知）（如果有的话</w:t>
      </w:r>
      <w:r>
        <w:rPr>
          <w:rFonts w:hint="eastAsia" w:hAnsi="宋体" w:cs="宋体"/>
          <w:sz w:val="24"/>
        </w:rPr>
        <w:t>）。我们完全理解并同意放弃对这方面有不明及误解的权力。</w:t>
      </w:r>
    </w:p>
    <w:p>
      <w:pPr>
        <w:pStyle w:val="22"/>
        <w:tabs>
          <w:tab w:val="left" w:pos="5580"/>
        </w:tabs>
        <w:spacing w:line="360" w:lineRule="auto"/>
        <w:ind w:left="206" w:leftChars="86" w:firstLine="213" w:firstLineChars="89"/>
        <w:rPr>
          <w:rFonts w:hAnsi="宋体" w:cs="宋体"/>
          <w:sz w:val="24"/>
        </w:rPr>
      </w:pPr>
      <w:r>
        <w:rPr>
          <w:rFonts w:hint="eastAsia" w:hAnsi="宋体" w:cs="宋体"/>
          <w:sz w:val="24"/>
        </w:rPr>
        <w:t>（5）本响应文件有效期为自响应日起</w:t>
      </w:r>
      <w:r>
        <w:rPr>
          <w:rFonts w:hint="eastAsia" w:hAnsi="宋体" w:cs="宋体"/>
          <w:sz w:val="24"/>
          <w:u w:val="single"/>
        </w:rPr>
        <w:t xml:space="preserve"> 90 </w:t>
      </w:r>
      <w:r>
        <w:rPr>
          <w:rFonts w:hint="eastAsia" w:hAnsi="宋体" w:cs="宋体"/>
          <w:sz w:val="24"/>
        </w:rPr>
        <w:t>个日历日。</w:t>
      </w:r>
    </w:p>
    <w:p>
      <w:pPr>
        <w:pStyle w:val="22"/>
        <w:tabs>
          <w:tab w:val="left" w:pos="5580"/>
        </w:tabs>
        <w:spacing w:line="360" w:lineRule="auto"/>
        <w:ind w:left="600" w:leftChars="175" w:hanging="180" w:hangingChars="75"/>
        <w:rPr>
          <w:rFonts w:hAnsi="宋体" w:cs="宋体"/>
          <w:sz w:val="24"/>
        </w:rPr>
      </w:pPr>
      <w:r>
        <w:rPr>
          <w:rFonts w:hint="eastAsia" w:hAnsi="宋体" w:cs="宋体"/>
          <w:sz w:val="24"/>
        </w:rPr>
        <w:t>（6）在规定的响应时间后，供应商保证遵守竞争性磋商文件中有关保证金的规定。</w:t>
      </w:r>
    </w:p>
    <w:p>
      <w:pPr>
        <w:pStyle w:val="22"/>
        <w:tabs>
          <w:tab w:val="left" w:pos="5580"/>
        </w:tabs>
        <w:spacing w:line="360" w:lineRule="auto"/>
        <w:ind w:left="600" w:leftChars="175" w:hanging="180" w:hangingChars="75"/>
        <w:rPr>
          <w:rFonts w:hAnsi="宋体" w:cs="宋体"/>
          <w:sz w:val="24"/>
        </w:rPr>
      </w:pPr>
      <w:r>
        <w:rPr>
          <w:rFonts w:hint="eastAsia" w:hAnsi="宋体" w:cs="宋体"/>
          <w:sz w:val="24"/>
        </w:rPr>
        <w:t>（7）根据供应商须知第1条规定，我方承诺，与采购单位聘请的为此项目提供咨询服务的公司及任何附属机构均无关联，我方不是采购单位的附属机构。</w:t>
      </w:r>
    </w:p>
    <w:p>
      <w:pPr>
        <w:pStyle w:val="22"/>
        <w:tabs>
          <w:tab w:val="left" w:pos="5580"/>
        </w:tabs>
        <w:spacing w:line="360" w:lineRule="auto"/>
        <w:ind w:left="600" w:leftChars="175" w:hanging="180" w:hangingChars="75"/>
        <w:rPr>
          <w:rFonts w:hAnsi="宋体" w:cs="宋体"/>
          <w:sz w:val="24"/>
        </w:rPr>
      </w:pPr>
      <w:r>
        <w:rPr>
          <w:rFonts w:hint="eastAsia" w:hAnsi="宋体" w:cs="宋体"/>
          <w:sz w:val="24"/>
        </w:rPr>
        <w:t>（8）供应商同意提供按照贵方可能要求的与其响应有关的一切数据或资料，完全理解贵方不一定接受最低价的响应或收到的任何响应。</w:t>
      </w:r>
    </w:p>
    <w:p>
      <w:pPr>
        <w:spacing w:line="360" w:lineRule="auto"/>
        <w:ind w:left="420"/>
        <w:rPr>
          <w:rFonts w:ascii="宋体" w:hAnsi="宋体" w:cs="宋体"/>
        </w:rPr>
      </w:pPr>
      <w:r>
        <w:rPr>
          <w:rFonts w:hint="eastAsia" w:ascii="宋体" w:hAnsi="宋体" w:cs="宋体"/>
        </w:rPr>
        <w:t>（9）若我方获得，我方保证按有关规定向采购代理机构支付代理服务费。</w:t>
      </w:r>
    </w:p>
    <w:p>
      <w:pPr>
        <w:pStyle w:val="22"/>
        <w:tabs>
          <w:tab w:val="left" w:pos="5580"/>
        </w:tabs>
        <w:spacing w:line="360" w:lineRule="auto"/>
        <w:ind w:left="180"/>
        <w:rPr>
          <w:rFonts w:hAnsi="宋体" w:cs="宋体"/>
          <w:sz w:val="24"/>
        </w:rPr>
      </w:pPr>
      <w:r>
        <w:rPr>
          <w:rFonts w:hint="eastAsia" w:hAnsi="宋体" w:cs="宋体"/>
          <w:sz w:val="24"/>
        </w:rPr>
        <w:t>8．与本磋商有关的一切正式往来信函请寄：</w:t>
      </w:r>
    </w:p>
    <w:p>
      <w:pPr>
        <w:pStyle w:val="22"/>
        <w:tabs>
          <w:tab w:val="left" w:pos="5580"/>
        </w:tabs>
        <w:spacing w:line="360" w:lineRule="auto"/>
        <w:ind w:left="420"/>
        <w:rPr>
          <w:rFonts w:hAnsi="宋体" w:cs="宋体"/>
          <w:sz w:val="24"/>
        </w:rPr>
      </w:pPr>
    </w:p>
    <w:p>
      <w:pPr>
        <w:pStyle w:val="22"/>
        <w:tabs>
          <w:tab w:val="left" w:pos="5580"/>
        </w:tabs>
        <w:spacing w:line="360" w:lineRule="auto"/>
        <w:ind w:left="420"/>
        <w:rPr>
          <w:rFonts w:hAnsi="宋体" w:cs="宋体"/>
          <w:sz w:val="24"/>
        </w:rPr>
      </w:pPr>
      <w:r>
        <w:rPr>
          <w:rFonts w:hint="eastAsia" w:hAnsi="宋体" w:cs="宋体"/>
          <w:sz w:val="24"/>
        </w:rPr>
        <w:t>地址_________________________     传真____________________________</w:t>
      </w:r>
    </w:p>
    <w:p>
      <w:pPr>
        <w:pStyle w:val="22"/>
        <w:tabs>
          <w:tab w:val="left" w:pos="5580"/>
        </w:tabs>
        <w:spacing w:line="360" w:lineRule="auto"/>
        <w:ind w:left="420"/>
        <w:rPr>
          <w:rFonts w:hAnsi="宋体" w:cs="宋体"/>
          <w:sz w:val="24"/>
        </w:rPr>
      </w:pPr>
      <w:r>
        <w:rPr>
          <w:rFonts w:hint="eastAsia" w:hAnsi="宋体" w:cs="宋体"/>
          <w:sz w:val="24"/>
        </w:rPr>
        <w:t>电话_________________________     电子函件________________________</w:t>
      </w:r>
    </w:p>
    <w:p>
      <w:pPr>
        <w:pStyle w:val="22"/>
        <w:tabs>
          <w:tab w:val="left" w:pos="5580"/>
        </w:tabs>
        <w:spacing w:line="360" w:lineRule="auto"/>
        <w:ind w:left="420"/>
        <w:rPr>
          <w:rFonts w:hAnsi="宋体" w:cs="宋体"/>
          <w:sz w:val="24"/>
        </w:rPr>
      </w:pPr>
    </w:p>
    <w:p>
      <w:pPr>
        <w:pStyle w:val="22"/>
        <w:tabs>
          <w:tab w:val="left" w:pos="5580"/>
        </w:tabs>
        <w:spacing w:line="360" w:lineRule="auto"/>
        <w:ind w:left="420"/>
        <w:rPr>
          <w:rFonts w:hAnsi="宋体" w:cs="宋体"/>
          <w:sz w:val="24"/>
        </w:rPr>
      </w:pPr>
      <w:r>
        <w:rPr>
          <w:rFonts w:hint="eastAsia" w:hAnsi="宋体" w:cs="宋体"/>
          <w:sz w:val="24"/>
        </w:rPr>
        <w:t>供应商授权代表签字</w:t>
      </w:r>
      <w:r>
        <w:rPr>
          <w:rFonts w:hint="eastAsia" w:hAnsi="宋体" w:cs="宋体"/>
          <w:sz w:val="24"/>
          <w:u w:val="single"/>
        </w:rPr>
        <w:t xml:space="preserve">                  </w:t>
      </w:r>
    </w:p>
    <w:p>
      <w:pPr>
        <w:pStyle w:val="22"/>
        <w:tabs>
          <w:tab w:val="left" w:pos="5580"/>
        </w:tabs>
        <w:spacing w:line="360" w:lineRule="auto"/>
        <w:ind w:left="420"/>
        <w:rPr>
          <w:rFonts w:hAnsi="宋体" w:cs="宋体"/>
          <w:sz w:val="24"/>
        </w:rPr>
      </w:pPr>
      <w:r>
        <w:rPr>
          <w:rFonts w:hint="eastAsia" w:hAnsi="宋体" w:cs="宋体"/>
          <w:sz w:val="24"/>
        </w:rPr>
        <w:t>供应商名称（全称）</w:t>
      </w:r>
      <w:r>
        <w:rPr>
          <w:rFonts w:hint="eastAsia" w:hAnsi="宋体" w:cs="宋体"/>
          <w:sz w:val="24"/>
          <w:u w:val="single"/>
        </w:rPr>
        <w:t xml:space="preserve">                  </w:t>
      </w:r>
    </w:p>
    <w:p>
      <w:pPr>
        <w:pStyle w:val="22"/>
        <w:tabs>
          <w:tab w:val="left" w:pos="5580"/>
        </w:tabs>
        <w:spacing w:line="360" w:lineRule="auto"/>
        <w:ind w:left="420"/>
        <w:rPr>
          <w:rFonts w:hAnsi="宋体" w:cs="宋体"/>
          <w:sz w:val="24"/>
        </w:rPr>
      </w:pPr>
      <w:r>
        <w:rPr>
          <w:rFonts w:hint="eastAsia" w:hAnsi="宋体" w:cs="宋体"/>
          <w:sz w:val="24"/>
        </w:rPr>
        <w:t>供应商开户银行（全称）</w:t>
      </w:r>
      <w:r>
        <w:rPr>
          <w:rFonts w:hint="eastAsia" w:hAnsi="宋体" w:cs="宋体"/>
          <w:sz w:val="24"/>
          <w:u w:val="single"/>
        </w:rPr>
        <w:t xml:space="preserve">              </w:t>
      </w:r>
    </w:p>
    <w:p>
      <w:pPr>
        <w:pStyle w:val="22"/>
        <w:tabs>
          <w:tab w:val="left" w:pos="5580"/>
        </w:tabs>
        <w:spacing w:line="360" w:lineRule="auto"/>
        <w:ind w:left="420"/>
        <w:rPr>
          <w:rFonts w:hAnsi="宋体" w:cs="宋体"/>
          <w:sz w:val="24"/>
        </w:rPr>
      </w:pPr>
      <w:r>
        <w:rPr>
          <w:rFonts w:hint="eastAsia" w:hAnsi="宋体" w:cs="宋体"/>
          <w:sz w:val="24"/>
        </w:rPr>
        <w:t>供应商银行账号</w:t>
      </w:r>
      <w:r>
        <w:rPr>
          <w:rFonts w:hint="eastAsia" w:hAnsi="宋体" w:cs="宋体"/>
          <w:sz w:val="24"/>
          <w:u w:val="single"/>
        </w:rPr>
        <w:t xml:space="preserve">                      </w:t>
      </w:r>
    </w:p>
    <w:p>
      <w:pPr>
        <w:pStyle w:val="22"/>
        <w:tabs>
          <w:tab w:val="left" w:pos="5580"/>
        </w:tabs>
        <w:spacing w:line="360" w:lineRule="auto"/>
        <w:ind w:left="420"/>
        <w:rPr>
          <w:rFonts w:hAnsi="宋体" w:cs="宋体"/>
          <w:sz w:val="24"/>
        </w:rPr>
      </w:pPr>
      <w:r>
        <w:rPr>
          <w:rFonts w:hint="eastAsia" w:hAnsi="宋体" w:cs="宋体"/>
          <w:sz w:val="24"/>
        </w:rPr>
        <w:t xml:space="preserve">供应商公章 </w:t>
      </w:r>
      <w:r>
        <w:rPr>
          <w:rFonts w:hint="eastAsia" w:hAnsi="宋体" w:cs="宋体"/>
          <w:sz w:val="24"/>
          <w:u w:val="single"/>
        </w:rPr>
        <w:t xml:space="preserve">                         </w:t>
      </w:r>
    </w:p>
    <w:p>
      <w:pPr>
        <w:pStyle w:val="22"/>
        <w:tabs>
          <w:tab w:val="left" w:pos="5580"/>
        </w:tabs>
        <w:spacing w:line="360" w:lineRule="auto"/>
        <w:ind w:left="420"/>
        <w:rPr>
          <w:rFonts w:hAnsi="宋体" w:cs="宋体"/>
          <w:sz w:val="24"/>
        </w:rPr>
        <w:sectPr>
          <w:pgSz w:w="11906" w:h="16838"/>
          <w:pgMar w:top="1418" w:right="1418" w:bottom="1418" w:left="1588" w:header="851" w:footer="851" w:gutter="0"/>
          <w:cols w:space="720" w:num="1"/>
          <w:docGrid w:linePitch="326" w:charSpace="0"/>
        </w:sectPr>
      </w:pPr>
      <w:r>
        <w:rPr>
          <w:rFonts w:hint="eastAsia" w:hAnsi="宋体" w:cs="宋体"/>
          <w:sz w:val="24"/>
        </w:rPr>
        <w:t xml:space="preserve">日     期  </w:t>
      </w:r>
      <w:r>
        <w:rPr>
          <w:rFonts w:hint="eastAsia" w:hAnsi="宋体" w:cs="宋体"/>
          <w:sz w:val="24"/>
          <w:u w:val="single"/>
        </w:rPr>
        <w:t xml:space="preserve">                         </w:t>
      </w:r>
      <w:r>
        <w:rPr>
          <w:rFonts w:hint="eastAsia" w:hAnsi="宋体" w:cs="宋体"/>
          <w:sz w:val="24"/>
        </w:rPr>
        <w:t xml:space="preserve"> </w:t>
      </w:r>
    </w:p>
    <w:bookmarkEnd w:id="850"/>
    <w:p>
      <w:bookmarkStart w:id="851" w:name="_Toc127151557"/>
      <w:bookmarkStart w:id="852" w:name="_Toc287280315"/>
      <w:bookmarkStart w:id="853" w:name="_Toc194888447"/>
      <w:bookmarkStart w:id="854" w:name="_Toc182802948"/>
      <w:bookmarkStart w:id="855" w:name="_Toc287280566"/>
      <w:bookmarkStart w:id="856" w:name="_Toc28164"/>
      <w:bookmarkStart w:id="857" w:name="_Toc202069413"/>
      <w:bookmarkStart w:id="858" w:name="_Ref467988705"/>
      <w:bookmarkStart w:id="859" w:name="_Toc19530"/>
      <w:bookmarkStart w:id="860" w:name="_Toc520356218"/>
      <w:bookmarkStart w:id="861" w:name="_Toc7924"/>
      <w:bookmarkStart w:id="862" w:name="_Toc480942350"/>
      <w:bookmarkStart w:id="863" w:name="_Toc205612625"/>
      <w:bookmarkStart w:id="864" w:name="_Toc373513381"/>
      <w:bookmarkStart w:id="865" w:name="_Toc201995935"/>
      <w:bookmarkStart w:id="866" w:name="_Toc150774762"/>
      <w:bookmarkStart w:id="867" w:name="_Toc5615"/>
      <w:bookmarkStart w:id="868" w:name="_Toc205612696"/>
      <w:bookmarkStart w:id="869" w:name="_Toc150480795"/>
      <w:bookmarkStart w:id="870" w:name="_Toc142311059"/>
      <w:r>
        <w:rPr>
          <w:rFonts w:hint="eastAsia"/>
        </w:rPr>
        <w:t>附件2磋商报价一览表</w:t>
      </w:r>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p>
    <w:p>
      <w:pPr>
        <w:rPr>
          <w:rFonts w:ascii="宋体" w:hAnsi="宋体" w:cs="宋体"/>
        </w:rPr>
      </w:pPr>
    </w:p>
    <w:p>
      <w:pPr>
        <w:tabs>
          <w:tab w:val="left" w:pos="1800"/>
          <w:tab w:val="left" w:pos="5580"/>
        </w:tabs>
        <w:spacing w:line="360" w:lineRule="auto"/>
        <w:rPr>
          <w:rFonts w:ascii="宋体" w:hAnsi="宋体" w:cs="宋体"/>
        </w:rPr>
      </w:pPr>
      <w:r>
        <w:rPr>
          <w:rFonts w:hint="eastAsia" w:ascii="宋体" w:hAnsi="宋体" w:cs="宋体"/>
        </w:rPr>
        <w:t xml:space="preserve">项目编号：                            </w:t>
      </w:r>
    </w:p>
    <w:tbl>
      <w:tblPr>
        <w:tblStyle w:val="42"/>
        <w:tblW w:w="0" w:type="auto"/>
        <w:jc w:val="center"/>
        <w:tblLayout w:type="fixed"/>
        <w:tblCellMar>
          <w:top w:w="0" w:type="dxa"/>
          <w:left w:w="0" w:type="dxa"/>
          <w:bottom w:w="0" w:type="dxa"/>
          <w:right w:w="0" w:type="dxa"/>
        </w:tblCellMar>
      </w:tblPr>
      <w:tblGrid>
        <w:gridCol w:w="1963"/>
        <w:gridCol w:w="1980"/>
        <w:gridCol w:w="1515"/>
        <w:gridCol w:w="1650"/>
        <w:gridCol w:w="1130"/>
      </w:tblGrid>
      <w:tr>
        <w:tblPrEx>
          <w:tblCellMar>
            <w:top w:w="0" w:type="dxa"/>
            <w:left w:w="0" w:type="dxa"/>
            <w:bottom w:w="0" w:type="dxa"/>
            <w:right w:w="0" w:type="dxa"/>
          </w:tblCellMar>
        </w:tblPrEx>
        <w:trPr>
          <w:trHeight w:val="850" w:hRule="atLeast"/>
          <w:jc w:val="center"/>
        </w:trPr>
        <w:tc>
          <w:tcPr>
            <w:tcW w:w="1963" w:type="dxa"/>
            <w:tcBorders>
              <w:top w:val="single" w:color="auto" w:sz="4" w:space="0"/>
              <w:left w:val="single" w:color="auto" w:sz="8" w:space="0"/>
              <w:bottom w:val="single" w:color="auto" w:sz="8" w:space="0"/>
              <w:right w:val="single" w:color="auto" w:sz="4" w:space="0"/>
            </w:tcBorders>
            <w:vAlign w:val="center"/>
          </w:tcPr>
          <w:p>
            <w:pPr>
              <w:tabs>
                <w:tab w:val="left" w:pos="5580"/>
              </w:tabs>
              <w:ind w:left="163" w:hanging="163"/>
              <w:jc w:val="center"/>
              <w:rPr>
                <w:rFonts w:ascii="宋体" w:hAnsi="宋体" w:cs="宋体"/>
              </w:rPr>
            </w:pPr>
            <w:r>
              <w:rPr>
                <w:rFonts w:hint="eastAsia" w:ascii="宋体" w:hAnsi="宋体" w:cs="宋体"/>
              </w:rPr>
              <w:t>供应商名称</w:t>
            </w:r>
          </w:p>
        </w:tc>
        <w:tc>
          <w:tcPr>
            <w:tcW w:w="1980" w:type="dxa"/>
            <w:tcBorders>
              <w:top w:val="single" w:color="auto" w:sz="4" w:space="0"/>
              <w:left w:val="single" w:color="auto" w:sz="8" w:space="0"/>
              <w:bottom w:val="single" w:color="auto" w:sz="8" w:space="0"/>
              <w:right w:val="single" w:color="auto" w:sz="4" w:space="0"/>
            </w:tcBorders>
            <w:vAlign w:val="center"/>
          </w:tcPr>
          <w:p>
            <w:pPr>
              <w:tabs>
                <w:tab w:val="left" w:pos="5580"/>
              </w:tabs>
              <w:ind w:left="163" w:hanging="163"/>
              <w:jc w:val="center"/>
              <w:rPr>
                <w:rFonts w:ascii="宋体" w:hAnsi="宋体" w:cs="宋体"/>
              </w:rPr>
            </w:pPr>
            <w:r>
              <w:rPr>
                <w:rFonts w:hint="eastAsia" w:ascii="宋体" w:hAnsi="宋体" w:cs="宋体"/>
              </w:rPr>
              <w:t>磋商报价</w:t>
            </w:r>
          </w:p>
          <w:p>
            <w:pPr>
              <w:tabs>
                <w:tab w:val="left" w:pos="5580"/>
              </w:tabs>
              <w:ind w:left="163" w:hanging="163"/>
              <w:jc w:val="center"/>
              <w:rPr>
                <w:rFonts w:ascii="宋体" w:hAnsi="宋体" w:cs="宋体"/>
              </w:rPr>
            </w:pPr>
            <w:r>
              <w:rPr>
                <w:rFonts w:hint="eastAsia" w:ascii="宋体" w:hAnsi="宋体" w:cs="宋体"/>
              </w:rPr>
              <w:t>（人民币/元）</w:t>
            </w:r>
          </w:p>
        </w:tc>
        <w:tc>
          <w:tcPr>
            <w:tcW w:w="1515" w:type="dxa"/>
            <w:tcBorders>
              <w:top w:val="single" w:color="auto" w:sz="8" w:space="0"/>
              <w:left w:val="nil"/>
              <w:bottom w:val="nil"/>
              <w:right w:val="single" w:color="auto" w:sz="4" w:space="0"/>
            </w:tcBorders>
            <w:vAlign w:val="center"/>
          </w:tcPr>
          <w:p>
            <w:pPr>
              <w:tabs>
                <w:tab w:val="left" w:pos="5580"/>
              </w:tabs>
              <w:jc w:val="center"/>
              <w:rPr>
                <w:rFonts w:ascii="宋体" w:hAnsi="宋体" w:cs="宋体"/>
              </w:rPr>
            </w:pPr>
            <w:r>
              <w:rPr>
                <w:rFonts w:hint="eastAsia" w:ascii="宋体" w:hAnsi="宋体" w:cs="宋体"/>
              </w:rPr>
              <w:t>磋商保证金</w:t>
            </w:r>
          </w:p>
          <w:p>
            <w:pPr>
              <w:tabs>
                <w:tab w:val="left" w:pos="5580"/>
              </w:tabs>
              <w:jc w:val="center"/>
              <w:rPr>
                <w:rFonts w:ascii="宋体" w:hAnsi="宋体" w:cs="宋体"/>
              </w:rPr>
            </w:pPr>
            <w:r>
              <w:rPr>
                <w:rFonts w:hint="eastAsia" w:ascii="宋体" w:hAnsi="宋体" w:cs="宋体"/>
              </w:rPr>
              <w:t>（有/无）</w:t>
            </w:r>
          </w:p>
        </w:tc>
        <w:tc>
          <w:tcPr>
            <w:tcW w:w="1650" w:type="dxa"/>
            <w:tcBorders>
              <w:top w:val="single" w:color="auto" w:sz="8" w:space="0"/>
              <w:left w:val="nil"/>
              <w:bottom w:val="nil"/>
              <w:right w:val="single" w:color="auto" w:sz="4" w:space="0"/>
            </w:tcBorders>
            <w:vAlign w:val="center"/>
          </w:tcPr>
          <w:p>
            <w:pPr>
              <w:tabs>
                <w:tab w:val="left" w:pos="5580"/>
              </w:tabs>
              <w:jc w:val="center"/>
              <w:rPr>
                <w:rFonts w:ascii="宋体" w:hAnsi="宋体" w:cs="宋体"/>
              </w:rPr>
            </w:pPr>
            <w:r>
              <w:rPr>
                <w:rFonts w:hint="eastAsia" w:ascii="宋体" w:hAnsi="宋体" w:cs="宋体"/>
              </w:rPr>
              <w:t>服务期限</w:t>
            </w:r>
          </w:p>
        </w:tc>
        <w:tc>
          <w:tcPr>
            <w:tcW w:w="1130" w:type="dxa"/>
            <w:tcBorders>
              <w:top w:val="single" w:color="auto" w:sz="8" w:space="0"/>
              <w:left w:val="nil"/>
              <w:bottom w:val="nil"/>
              <w:right w:val="single" w:color="auto" w:sz="4" w:space="0"/>
            </w:tcBorders>
            <w:vAlign w:val="center"/>
          </w:tcPr>
          <w:p>
            <w:pPr>
              <w:tabs>
                <w:tab w:val="left" w:pos="5580"/>
              </w:tabs>
              <w:jc w:val="center"/>
              <w:rPr>
                <w:rFonts w:ascii="宋体" w:hAnsi="宋体" w:cs="宋体"/>
              </w:rPr>
            </w:pPr>
            <w:r>
              <w:rPr>
                <w:rFonts w:hint="eastAsia" w:ascii="宋体" w:hAnsi="宋体" w:cs="宋体"/>
              </w:rPr>
              <w:t>备注</w:t>
            </w:r>
          </w:p>
        </w:tc>
      </w:tr>
      <w:tr>
        <w:tblPrEx>
          <w:tblCellMar>
            <w:top w:w="0" w:type="dxa"/>
            <w:left w:w="0" w:type="dxa"/>
            <w:bottom w:w="0" w:type="dxa"/>
            <w:right w:w="0" w:type="dxa"/>
          </w:tblCellMar>
        </w:tblPrEx>
        <w:trPr>
          <w:cantSplit/>
          <w:trHeight w:val="1093" w:hRule="atLeast"/>
          <w:jc w:val="center"/>
        </w:trPr>
        <w:tc>
          <w:tcPr>
            <w:tcW w:w="1963" w:type="dxa"/>
            <w:tcBorders>
              <w:top w:val="single" w:color="auto" w:sz="8" w:space="0"/>
              <w:left w:val="single" w:color="auto" w:sz="8" w:space="0"/>
              <w:bottom w:val="single" w:color="auto" w:sz="8" w:space="0"/>
              <w:right w:val="single" w:color="auto" w:sz="4" w:space="0"/>
            </w:tcBorders>
          </w:tcPr>
          <w:p>
            <w:pPr>
              <w:tabs>
                <w:tab w:val="left" w:pos="5580"/>
              </w:tabs>
              <w:jc w:val="right"/>
              <w:rPr>
                <w:rFonts w:ascii="宋体" w:hAnsi="宋体" w:cs="宋体"/>
              </w:rPr>
            </w:pPr>
          </w:p>
        </w:tc>
        <w:tc>
          <w:tcPr>
            <w:tcW w:w="1980" w:type="dxa"/>
            <w:tcBorders>
              <w:top w:val="single" w:color="auto" w:sz="8" w:space="0"/>
              <w:left w:val="single" w:color="auto" w:sz="8" w:space="0"/>
              <w:bottom w:val="single" w:color="auto" w:sz="8" w:space="0"/>
              <w:right w:val="single" w:color="auto" w:sz="4" w:space="0"/>
            </w:tcBorders>
            <w:vAlign w:val="center"/>
          </w:tcPr>
          <w:p>
            <w:pPr>
              <w:tabs>
                <w:tab w:val="left" w:pos="5580"/>
              </w:tabs>
              <w:ind w:left="163" w:hanging="163"/>
              <w:jc w:val="center"/>
              <w:rPr>
                <w:rFonts w:ascii="宋体" w:hAnsi="宋体" w:cs="宋体"/>
              </w:rPr>
            </w:pPr>
            <w:r>
              <w:rPr>
                <w:rFonts w:hint="eastAsia" w:ascii="宋体" w:hAnsi="宋体" w:cs="宋体"/>
              </w:rPr>
              <w:t>大写：</w:t>
            </w:r>
          </w:p>
          <w:p>
            <w:pPr>
              <w:tabs>
                <w:tab w:val="left" w:pos="5580"/>
              </w:tabs>
              <w:ind w:left="163" w:hanging="163"/>
              <w:jc w:val="center"/>
            </w:pPr>
            <w:r>
              <w:rPr>
                <w:rFonts w:hint="eastAsia" w:ascii="宋体" w:hAnsi="宋体" w:cs="宋体"/>
              </w:rPr>
              <w:t>小写：</w:t>
            </w:r>
          </w:p>
        </w:tc>
        <w:tc>
          <w:tcPr>
            <w:tcW w:w="1515" w:type="dxa"/>
            <w:tcBorders>
              <w:top w:val="single" w:color="auto" w:sz="8" w:space="0"/>
              <w:left w:val="nil"/>
              <w:bottom w:val="single" w:color="auto" w:sz="8" w:space="0"/>
              <w:right w:val="single" w:color="auto" w:sz="4" w:space="0"/>
            </w:tcBorders>
            <w:vAlign w:val="center"/>
          </w:tcPr>
          <w:p>
            <w:pPr>
              <w:tabs>
                <w:tab w:val="left" w:pos="5580"/>
              </w:tabs>
              <w:jc w:val="right"/>
              <w:rPr>
                <w:rFonts w:ascii="宋体" w:hAnsi="宋体" w:cs="宋体"/>
              </w:rPr>
            </w:pPr>
          </w:p>
        </w:tc>
        <w:tc>
          <w:tcPr>
            <w:tcW w:w="1650" w:type="dxa"/>
            <w:tcBorders>
              <w:top w:val="single" w:color="auto" w:sz="8" w:space="0"/>
              <w:left w:val="nil"/>
              <w:bottom w:val="single" w:color="auto" w:sz="8" w:space="0"/>
              <w:right w:val="single" w:color="auto" w:sz="4" w:space="0"/>
            </w:tcBorders>
            <w:vAlign w:val="center"/>
          </w:tcPr>
          <w:p>
            <w:pPr>
              <w:tabs>
                <w:tab w:val="left" w:pos="5580"/>
              </w:tabs>
              <w:jc w:val="right"/>
              <w:rPr>
                <w:rFonts w:ascii="宋体" w:hAnsi="宋体" w:cs="宋体"/>
              </w:rPr>
            </w:pPr>
          </w:p>
        </w:tc>
        <w:tc>
          <w:tcPr>
            <w:tcW w:w="1130" w:type="dxa"/>
            <w:tcBorders>
              <w:top w:val="single" w:color="auto" w:sz="8" w:space="0"/>
              <w:left w:val="nil"/>
              <w:bottom w:val="single" w:color="auto" w:sz="8" w:space="0"/>
              <w:right w:val="single" w:color="auto" w:sz="4" w:space="0"/>
            </w:tcBorders>
            <w:vAlign w:val="center"/>
          </w:tcPr>
          <w:p>
            <w:pPr>
              <w:tabs>
                <w:tab w:val="left" w:pos="5580"/>
              </w:tabs>
              <w:jc w:val="right"/>
              <w:rPr>
                <w:rFonts w:ascii="宋体" w:hAnsi="宋体" w:cs="宋体"/>
              </w:rPr>
            </w:pPr>
          </w:p>
        </w:tc>
      </w:tr>
    </w:tbl>
    <w:p>
      <w:pPr>
        <w:pStyle w:val="22"/>
        <w:tabs>
          <w:tab w:val="left" w:pos="5580"/>
        </w:tabs>
        <w:spacing w:before="120" w:line="22" w:lineRule="atLeast"/>
        <w:ind w:left="680" w:hanging="680"/>
        <w:rPr>
          <w:rFonts w:hAnsi="宋体" w:cs="宋体"/>
          <w:sz w:val="24"/>
        </w:rPr>
      </w:pPr>
    </w:p>
    <w:p>
      <w:pPr>
        <w:pStyle w:val="22"/>
        <w:tabs>
          <w:tab w:val="left" w:pos="5580"/>
        </w:tabs>
        <w:spacing w:before="120" w:line="22" w:lineRule="atLeast"/>
        <w:rPr>
          <w:rFonts w:hAnsi="宋体" w:cs="宋体"/>
          <w:sz w:val="24"/>
          <w:u w:val="single"/>
        </w:rPr>
      </w:pPr>
    </w:p>
    <w:p>
      <w:pPr>
        <w:pStyle w:val="22"/>
        <w:tabs>
          <w:tab w:val="left" w:pos="5580"/>
        </w:tabs>
        <w:spacing w:before="120" w:line="22" w:lineRule="atLeast"/>
        <w:rPr>
          <w:rFonts w:hAnsi="宋体" w:cs="宋体"/>
          <w:sz w:val="24"/>
          <w:u w:val="single"/>
        </w:rPr>
      </w:pPr>
      <w:r>
        <w:rPr>
          <w:rFonts w:hint="eastAsia" w:hAnsi="宋体" w:cs="宋体"/>
          <w:sz w:val="24"/>
        </w:rPr>
        <w:t>供应商全称：</w:t>
      </w:r>
      <w:r>
        <w:rPr>
          <w:rFonts w:hint="eastAsia" w:hAnsi="宋体" w:cs="宋体"/>
          <w:sz w:val="24"/>
          <w:u w:val="single"/>
        </w:rPr>
        <w:t xml:space="preserve">                       供应商单位公章 </w:t>
      </w:r>
    </w:p>
    <w:p>
      <w:pPr>
        <w:pStyle w:val="22"/>
        <w:tabs>
          <w:tab w:val="left" w:pos="4965"/>
        </w:tabs>
        <w:spacing w:before="120" w:line="22" w:lineRule="atLeast"/>
        <w:rPr>
          <w:rFonts w:hAnsi="宋体" w:cs="宋体"/>
          <w:sz w:val="24"/>
          <w:u w:val="single"/>
        </w:rPr>
      </w:pPr>
      <w:r>
        <w:rPr>
          <w:rFonts w:hint="eastAsia" w:hAnsi="宋体" w:cs="宋体"/>
          <w:sz w:val="24"/>
        </w:rPr>
        <w:t>供应商地址：</w:t>
      </w:r>
      <w:r>
        <w:rPr>
          <w:rFonts w:hint="eastAsia" w:hAnsi="宋体" w:cs="宋体"/>
          <w:sz w:val="24"/>
          <w:u w:val="single"/>
        </w:rPr>
        <w:t xml:space="preserve">                                      </w:t>
      </w:r>
    </w:p>
    <w:p>
      <w:pPr>
        <w:pStyle w:val="22"/>
        <w:tabs>
          <w:tab w:val="left" w:pos="4965"/>
        </w:tabs>
        <w:spacing w:before="120" w:line="22" w:lineRule="atLeast"/>
        <w:rPr>
          <w:rFonts w:hAnsi="宋体" w:cs="宋体"/>
          <w:sz w:val="24"/>
          <w:u w:val="single"/>
        </w:rPr>
      </w:pPr>
      <w:r>
        <w:rPr>
          <w:rFonts w:hint="eastAsia" w:hAnsi="宋体" w:cs="宋体"/>
          <w:sz w:val="24"/>
        </w:rPr>
        <w:t>供应商授权代表(签字):</w:t>
      </w:r>
      <w:r>
        <w:rPr>
          <w:rFonts w:hint="eastAsia" w:hAnsi="宋体" w:cs="宋体"/>
          <w:sz w:val="24"/>
          <w:u w:val="single"/>
        </w:rPr>
        <w:tab/>
      </w:r>
      <w:r>
        <w:rPr>
          <w:rFonts w:hint="eastAsia" w:hAnsi="宋体" w:cs="宋体"/>
          <w:sz w:val="24"/>
          <w:u w:val="single"/>
        </w:rPr>
        <w:t xml:space="preserve">         </w:t>
      </w:r>
    </w:p>
    <w:p>
      <w:pPr>
        <w:pStyle w:val="22"/>
        <w:tabs>
          <w:tab w:val="left" w:pos="5580"/>
        </w:tabs>
        <w:spacing w:before="120" w:line="360" w:lineRule="auto"/>
        <w:rPr>
          <w:rFonts w:hAnsi="宋体" w:cs="宋体"/>
          <w:sz w:val="24"/>
        </w:rPr>
      </w:pPr>
      <w:r>
        <w:rPr>
          <w:rFonts w:hint="eastAsia" w:hAnsi="宋体" w:cs="宋体"/>
          <w:sz w:val="24"/>
        </w:rPr>
        <w:t>注:</w:t>
      </w:r>
    </w:p>
    <w:p>
      <w:pPr>
        <w:pStyle w:val="22"/>
        <w:tabs>
          <w:tab w:val="left" w:pos="5580"/>
        </w:tabs>
        <w:spacing w:before="120" w:line="360" w:lineRule="auto"/>
        <w:rPr>
          <w:rFonts w:hAnsi="宋体" w:cs="宋体"/>
          <w:sz w:val="24"/>
        </w:rPr>
      </w:pPr>
      <w:r>
        <w:rPr>
          <w:rFonts w:hint="eastAsia" w:hAnsi="宋体" w:cs="宋体"/>
          <w:sz w:val="24"/>
        </w:rPr>
        <w:t>1、此表还应单独制作一份，并按照“供应商须知”的规定密封标记并单独提交。2、此表中，磋商报价应当和附件3中的总价相一致。</w:t>
      </w:r>
    </w:p>
    <w:p>
      <w:pPr>
        <w:pStyle w:val="22"/>
        <w:tabs>
          <w:tab w:val="left" w:pos="5580"/>
        </w:tabs>
        <w:spacing w:before="120" w:line="22" w:lineRule="atLeast"/>
        <w:ind w:left="719" w:hanging="360"/>
        <w:rPr>
          <w:rFonts w:hAnsi="宋体" w:cs="宋体"/>
          <w:sz w:val="24"/>
        </w:rPr>
      </w:pPr>
    </w:p>
    <w:p>
      <w:pPr>
        <w:widowControl/>
        <w:adjustRightInd/>
        <w:spacing w:line="360" w:lineRule="auto"/>
        <w:textAlignment w:val="auto"/>
        <w:outlineLvl w:val="0"/>
        <w:rPr>
          <w:rFonts w:ascii="宋体" w:hAnsi="宋体" w:cs="宋体"/>
          <w:b/>
          <w:bCs/>
        </w:rPr>
      </w:pPr>
      <w:r>
        <w:rPr>
          <w:rFonts w:hint="eastAsia" w:ascii="宋体" w:hAnsi="宋体" w:cs="宋体"/>
          <w:szCs w:val="24"/>
        </w:rPr>
        <w:t xml:space="preserve">  </w:t>
      </w:r>
      <w:r>
        <w:rPr>
          <w:rFonts w:hint="eastAsia" w:ascii="宋体" w:hAnsi="宋体" w:cs="宋体"/>
          <w:szCs w:val="24"/>
        </w:rPr>
        <w:br w:type="page"/>
      </w:r>
      <w:bookmarkStart w:id="871" w:name="_Toc27048"/>
      <w:bookmarkStart w:id="872" w:name="_Toc15836"/>
      <w:bookmarkStart w:id="873" w:name="_Toc12929"/>
      <w:bookmarkStart w:id="874" w:name="_Toc32252"/>
      <w:bookmarkStart w:id="875" w:name="_Toc9525"/>
      <w:bookmarkStart w:id="876" w:name="_Toc17314"/>
      <w:bookmarkStart w:id="877" w:name="_Toc373513382"/>
      <w:bookmarkStart w:id="878" w:name="_Toc30095"/>
      <w:bookmarkStart w:id="879" w:name="_Toc287280568"/>
      <w:bookmarkStart w:id="880" w:name="_Toc150480797"/>
      <w:bookmarkStart w:id="881" w:name="_Toc182802951"/>
      <w:bookmarkStart w:id="882" w:name="_Toc287280317"/>
      <w:bookmarkStart w:id="883" w:name="_Toc142311061"/>
      <w:bookmarkStart w:id="884" w:name="_Toc150774764"/>
      <w:bookmarkStart w:id="885" w:name="_Toc205612698"/>
      <w:bookmarkStart w:id="886" w:name="_Toc127151561"/>
      <w:bookmarkStart w:id="887" w:name="_Toc201995937"/>
      <w:bookmarkStart w:id="888" w:name="_Toc202069415"/>
      <w:bookmarkStart w:id="889" w:name="_Toc194888449"/>
      <w:bookmarkStart w:id="890" w:name="_Toc194883175"/>
      <w:bookmarkStart w:id="891" w:name="_Toc205612627"/>
      <w:r>
        <w:rPr>
          <w:rFonts w:hint="eastAsia"/>
        </w:rPr>
        <w:t>附件3 分项报价表</w:t>
      </w:r>
      <w:bookmarkEnd w:id="871"/>
      <w:bookmarkEnd w:id="872"/>
      <w:bookmarkEnd w:id="873"/>
      <w:bookmarkEnd w:id="874"/>
      <w:bookmarkEnd w:id="875"/>
      <w:bookmarkEnd w:id="876"/>
      <w:bookmarkEnd w:id="877"/>
      <w:bookmarkEnd w:id="878"/>
    </w:p>
    <w:p>
      <w:pPr>
        <w:spacing w:before="120" w:beforeLines="50" w:after="120" w:afterLines="50" w:line="360" w:lineRule="auto"/>
        <w:jc w:val="center"/>
      </w:pPr>
      <w:r>
        <w:rPr>
          <w:rFonts w:hint="eastAsia"/>
        </w:rPr>
        <w:t>分项报价表</w:t>
      </w:r>
    </w:p>
    <w:tbl>
      <w:tblPr>
        <w:tblStyle w:val="42"/>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0"/>
        <w:gridCol w:w="2693"/>
        <w:gridCol w:w="1562"/>
        <w:gridCol w:w="916"/>
        <w:gridCol w:w="1235"/>
        <w:gridCol w:w="15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23" w:type="pct"/>
            <w:vAlign w:val="center"/>
          </w:tcPr>
          <w:p>
            <w:pPr>
              <w:snapToGrid w:val="0"/>
              <w:jc w:val="center"/>
              <w:rPr>
                <w:b/>
                <w:color w:val="000000"/>
              </w:rPr>
            </w:pPr>
            <w:r>
              <w:rPr>
                <w:b/>
                <w:color w:val="000000"/>
              </w:rPr>
              <w:t>序号</w:t>
            </w:r>
          </w:p>
        </w:tc>
        <w:tc>
          <w:tcPr>
            <w:tcW w:w="1579" w:type="pct"/>
            <w:vAlign w:val="center"/>
          </w:tcPr>
          <w:p>
            <w:pPr>
              <w:snapToGrid w:val="0"/>
              <w:jc w:val="center"/>
              <w:rPr>
                <w:b/>
                <w:color w:val="000000"/>
              </w:rPr>
            </w:pPr>
            <w:r>
              <w:rPr>
                <w:b/>
                <w:color w:val="000000"/>
              </w:rPr>
              <w:t>分项名称</w:t>
            </w:r>
          </w:p>
        </w:tc>
        <w:tc>
          <w:tcPr>
            <w:tcW w:w="916" w:type="pct"/>
            <w:vAlign w:val="center"/>
          </w:tcPr>
          <w:p>
            <w:pPr>
              <w:snapToGrid w:val="0"/>
              <w:jc w:val="center"/>
              <w:rPr>
                <w:b/>
                <w:color w:val="000000"/>
              </w:rPr>
            </w:pPr>
            <w:r>
              <w:rPr>
                <w:b/>
                <w:color w:val="000000"/>
              </w:rPr>
              <w:t>单价</w:t>
            </w:r>
          </w:p>
        </w:tc>
        <w:tc>
          <w:tcPr>
            <w:tcW w:w="536" w:type="pct"/>
            <w:vAlign w:val="center"/>
          </w:tcPr>
          <w:p>
            <w:pPr>
              <w:snapToGrid w:val="0"/>
              <w:jc w:val="center"/>
              <w:rPr>
                <w:b/>
                <w:color w:val="000000"/>
              </w:rPr>
            </w:pPr>
            <w:r>
              <w:rPr>
                <w:rFonts w:hint="eastAsia"/>
                <w:b/>
                <w:color w:val="000000"/>
              </w:rPr>
              <w:t>人数</w:t>
            </w:r>
          </w:p>
        </w:tc>
        <w:tc>
          <w:tcPr>
            <w:tcW w:w="724" w:type="pct"/>
            <w:vAlign w:val="center"/>
          </w:tcPr>
          <w:p>
            <w:pPr>
              <w:snapToGrid w:val="0"/>
              <w:jc w:val="center"/>
              <w:rPr>
                <w:b/>
                <w:color w:val="000000"/>
              </w:rPr>
            </w:pPr>
            <w:r>
              <w:rPr>
                <w:b/>
                <w:color w:val="000000"/>
              </w:rPr>
              <w:t>合价（元）</w:t>
            </w:r>
          </w:p>
        </w:tc>
        <w:tc>
          <w:tcPr>
            <w:tcW w:w="920" w:type="pct"/>
            <w:vAlign w:val="center"/>
          </w:tcPr>
          <w:p>
            <w:pPr>
              <w:snapToGrid w:val="0"/>
              <w:jc w:val="center"/>
              <w:rPr>
                <w:b/>
                <w:color w:val="000000"/>
              </w:rPr>
            </w:pPr>
            <w:r>
              <w:rPr>
                <w:b/>
                <w:color w:val="000000"/>
              </w:rPr>
              <w:t>备注/说明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323" w:type="pct"/>
            <w:vAlign w:val="center"/>
          </w:tcPr>
          <w:p>
            <w:pPr>
              <w:snapToGrid w:val="0"/>
              <w:jc w:val="center"/>
              <w:rPr>
                <w:color w:val="000000"/>
              </w:rPr>
            </w:pPr>
            <w:r>
              <w:rPr>
                <w:color w:val="000000"/>
              </w:rPr>
              <w:t>1</w:t>
            </w:r>
          </w:p>
        </w:tc>
        <w:tc>
          <w:tcPr>
            <w:tcW w:w="1579" w:type="pct"/>
            <w:vAlign w:val="center"/>
          </w:tcPr>
          <w:p>
            <w:pPr>
              <w:snapToGrid w:val="0"/>
              <w:jc w:val="center"/>
              <w:rPr>
                <w:color w:val="000000"/>
              </w:rPr>
            </w:pPr>
            <w:r>
              <w:rPr>
                <w:rFonts w:hint="eastAsia"/>
                <w:color w:val="000000"/>
              </w:rPr>
              <w:t>项目负责人（含社保等）</w:t>
            </w:r>
          </w:p>
        </w:tc>
        <w:tc>
          <w:tcPr>
            <w:tcW w:w="916" w:type="pct"/>
            <w:vAlign w:val="center"/>
          </w:tcPr>
          <w:p>
            <w:pPr>
              <w:snapToGrid w:val="0"/>
              <w:jc w:val="center"/>
              <w:rPr>
                <w:color w:val="000000"/>
              </w:rPr>
            </w:pPr>
          </w:p>
        </w:tc>
        <w:tc>
          <w:tcPr>
            <w:tcW w:w="536" w:type="pct"/>
            <w:vAlign w:val="center"/>
          </w:tcPr>
          <w:p>
            <w:pPr>
              <w:snapToGrid w:val="0"/>
              <w:jc w:val="center"/>
              <w:rPr>
                <w:color w:val="000000"/>
              </w:rPr>
            </w:pPr>
          </w:p>
        </w:tc>
        <w:tc>
          <w:tcPr>
            <w:tcW w:w="724" w:type="pct"/>
            <w:vAlign w:val="center"/>
          </w:tcPr>
          <w:p>
            <w:pPr>
              <w:snapToGrid w:val="0"/>
              <w:jc w:val="center"/>
              <w:rPr>
                <w:color w:val="000000"/>
              </w:rPr>
            </w:pPr>
          </w:p>
        </w:tc>
        <w:tc>
          <w:tcPr>
            <w:tcW w:w="920" w:type="pct"/>
            <w:vAlign w:val="center"/>
          </w:tcPr>
          <w:p>
            <w:pPr>
              <w:snapToGrid w:val="0"/>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323" w:type="pct"/>
            <w:vAlign w:val="center"/>
          </w:tcPr>
          <w:p>
            <w:pPr>
              <w:snapToGrid w:val="0"/>
              <w:jc w:val="center"/>
              <w:rPr>
                <w:color w:val="000000"/>
              </w:rPr>
            </w:pPr>
            <w:r>
              <w:rPr>
                <w:color w:val="000000"/>
              </w:rPr>
              <w:t>2</w:t>
            </w:r>
          </w:p>
        </w:tc>
        <w:tc>
          <w:tcPr>
            <w:tcW w:w="1579" w:type="pct"/>
            <w:vAlign w:val="center"/>
          </w:tcPr>
          <w:p>
            <w:pPr>
              <w:snapToGrid w:val="0"/>
              <w:jc w:val="center"/>
              <w:rPr>
                <w:color w:val="000000"/>
              </w:rPr>
            </w:pPr>
            <w:r>
              <w:rPr>
                <w:rFonts w:hint="eastAsia"/>
                <w:color w:val="000000"/>
              </w:rPr>
              <w:t>工作人员（含社保等）</w:t>
            </w:r>
          </w:p>
        </w:tc>
        <w:tc>
          <w:tcPr>
            <w:tcW w:w="916" w:type="pct"/>
            <w:vAlign w:val="center"/>
          </w:tcPr>
          <w:p>
            <w:pPr>
              <w:snapToGrid w:val="0"/>
              <w:jc w:val="center"/>
              <w:rPr>
                <w:color w:val="000000"/>
              </w:rPr>
            </w:pPr>
            <w:r>
              <w:rPr>
                <w:rFonts w:hint="eastAsia"/>
                <w:color w:val="000000"/>
              </w:rPr>
              <w:t xml:space="preserve">每人每次服务费 </w:t>
            </w:r>
            <w:r>
              <w:rPr>
                <w:rFonts w:hint="eastAsia"/>
                <w:color w:val="000000"/>
                <w:u w:val="single"/>
              </w:rPr>
              <w:t xml:space="preserve">   </w:t>
            </w:r>
            <w:r>
              <w:rPr>
                <w:rFonts w:hint="eastAsia"/>
                <w:color w:val="000000"/>
              </w:rPr>
              <w:t>元</w:t>
            </w:r>
          </w:p>
        </w:tc>
        <w:tc>
          <w:tcPr>
            <w:tcW w:w="536" w:type="pct"/>
            <w:vAlign w:val="center"/>
          </w:tcPr>
          <w:p>
            <w:pPr>
              <w:snapToGrid w:val="0"/>
              <w:jc w:val="center"/>
              <w:rPr>
                <w:color w:val="000000"/>
              </w:rPr>
            </w:pPr>
          </w:p>
        </w:tc>
        <w:tc>
          <w:tcPr>
            <w:tcW w:w="724" w:type="pct"/>
            <w:vAlign w:val="center"/>
          </w:tcPr>
          <w:p>
            <w:pPr>
              <w:snapToGrid w:val="0"/>
              <w:jc w:val="center"/>
              <w:rPr>
                <w:color w:val="000000"/>
              </w:rPr>
            </w:pPr>
          </w:p>
        </w:tc>
        <w:tc>
          <w:tcPr>
            <w:tcW w:w="920" w:type="pct"/>
            <w:vAlign w:val="center"/>
          </w:tcPr>
          <w:p>
            <w:pPr>
              <w:snapToGrid w:val="0"/>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323" w:type="pct"/>
            <w:vAlign w:val="center"/>
          </w:tcPr>
          <w:p>
            <w:pPr>
              <w:snapToGrid w:val="0"/>
              <w:jc w:val="center"/>
              <w:rPr>
                <w:color w:val="000000"/>
              </w:rPr>
            </w:pPr>
            <w:r>
              <w:rPr>
                <w:color w:val="000000"/>
              </w:rPr>
              <w:t>3</w:t>
            </w:r>
          </w:p>
        </w:tc>
        <w:tc>
          <w:tcPr>
            <w:tcW w:w="1579" w:type="pct"/>
            <w:vAlign w:val="center"/>
          </w:tcPr>
          <w:p>
            <w:pPr>
              <w:snapToGrid w:val="0"/>
              <w:jc w:val="center"/>
              <w:rPr>
                <w:color w:val="000000"/>
              </w:rPr>
            </w:pPr>
            <w:r>
              <w:rPr>
                <w:rFonts w:hint="eastAsia"/>
                <w:color w:val="000000"/>
              </w:rPr>
              <w:t>公司管理费</w:t>
            </w:r>
          </w:p>
        </w:tc>
        <w:tc>
          <w:tcPr>
            <w:tcW w:w="916" w:type="pct"/>
            <w:vAlign w:val="center"/>
          </w:tcPr>
          <w:p>
            <w:pPr>
              <w:snapToGrid w:val="0"/>
              <w:jc w:val="center"/>
              <w:rPr>
                <w:color w:val="000000"/>
              </w:rPr>
            </w:pPr>
          </w:p>
        </w:tc>
        <w:tc>
          <w:tcPr>
            <w:tcW w:w="536" w:type="pct"/>
            <w:vAlign w:val="center"/>
          </w:tcPr>
          <w:p>
            <w:pPr>
              <w:snapToGrid w:val="0"/>
              <w:jc w:val="center"/>
              <w:rPr>
                <w:color w:val="000000"/>
              </w:rPr>
            </w:pPr>
            <w:r>
              <w:rPr>
                <w:rFonts w:hint="eastAsia"/>
                <w:color w:val="000000"/>
              </w:rPr>
              <w:t>/</w:t>
            </w:r>
          </w:p>
        </w:tc>
        <w:tc>
          <w:tcPr>
            <w:tcW w:w="724" w:type="pct"/>
            <w:vAlign w:val="center"/>
          </w:tcPr>
          <w:p>
            <w:pPr>
              <w:snapToGrid w:val="0"/>
              <w:jc w:val="center"/>
              <w:rPr>
                <w:color w:val="000000"/>
              </w:rPr>
            </w:pPr>
          </w:p>
        </w:tc>
        <w:tc>
          <w:tcPr>
            <w:tcW w:w="920" w:type="pct"/>
            <w:vAlign w:val="center"/>
          </w:tcPr>
          <w:p>
            <w:pPr>
              <w:snapToGrid w:val="0"/>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323" w:type="pct"/>
            <w:vAlign w:val="center"/>
          </w:tcPr>
          <w:p>
            <w:pPr>
              <w:snapToGrid w:val="0"/>
              <w:jc w:val="center"/>
              <w:rPr>
                <w:color w:val="000000"/>
              </w:rPr>
            </w:pPr>
            <w:r>
              <w:rPr>
                <w:rFonts w:hint="eastAsia"/>
                <w:color w:val="000000"/>
              </w:rPr>
              <w:t>4</w:t>
            </w:r>
          </w:p>
        </w:tc>
        <w:tc>
          <w:tcPr>
            <w:tcW w:w="1579" w:type="pct"/>
            <w:vAlign w:val="center"/>
          </w:tcPr>
          <w:p>
            <w:pPr>
              <w:snapToGrid w:val="0"/>
              <w:jc w:val="center"/>
              <w:rPr>
                <w:color w:val="000000"/>
              </w:rPr>
            </w:pPr>
            <w:r>
              <w:rPr>
                <w:rFonts w:hint="eastAsia"/>
                <w:color w:val="000000"/>
              </w:rPr>
              <w:t>......</w:t>
            </w:r>
          </w:p>
        </w:tc>
        <w:tc>
          <w:tcPr>
            <w:tcW w:w="916" w:type="pct"/>
            <w:vAlign w:val="center"/>
          </w:tcPr>
          <w:p>
            <w:pPr>
              <w:snapToGrid w:val="0"/>
              <w:jc w:val="center"/>
              <w:rPr>
                <w:color w:val="000000"/>
              </w:rPr>
            </w:pPr>
          </w:p>
        </w:tc>
        <w:tc>
          <w:tcPr>
            <w:tcW w:w="536" w:type="pct"/>
            <w:vAlign w:val="center"/>
          </w:tcPr>
          <w:p>
            <w:pPr>
              <w:snapToGrid w:val="0"/>
              <w:jc w:val="center"/>
              <w:rPr>
                <w:color w:val="000000"/>
              </w:rPr>
            </w:pPr>
            <w:r>
              <w:rPr>
                <w:rFonts w:hint="eastAsia"/>
                <w:color w:val="000000"/>
              </w:rPr>
              <w:t>/</w:t>
            </w:r>
          </w:p>
        </w:tc>
        <w:tc>
          <w:tcPr>
            <w:tcW w:w="724" w:type="pct"/>
            <w:vAlign w:val="center"/>
          </w:tcPr>
          <w:p>
            <w:pPr>
              <w:snapToGrid w:val="0"/>
              <w:jc w:val="center"/>
              <w:rPr>
                <w:color w:val="000000"/>
              </w:rPr>
            </w:pPr>
          </w:p>
        </w:tc>
        <w:tc>
          <w:tcPr>
            <w:tcW w:w="920" w:type="pct"/>
            <w:vAlign w:val="center"/>
          </w:tcPr>
          <w:p>
            <w:pPr>
              <w:snapToGrid w:val="0"/>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3355" w:type="pct"/>
            <w:gridSpan w:val="4"/>
            <w:vAlign w:val="center"/>
          </w:tcPr>
          <w:p>
            <w:pPr>
              <w:snapToGrid w:val="0"/>
              <w:rPr>
                <w:color w:val="000000"/>
              </w:rPr>
            </w:pPr>
            <w:r>
              <w:rPr>
                <w:color w:val="000000"/>
              </w:rPr>
              <w:t>总价（元）</w:t>
            </w:r>
          </w:p>
        </w:tc>
        <w:tc>
          <w:tcPr>
            <w:tcW w:w="724" w:type="pct"/>
            <w:vAlign w:val="center"/>
          </w:tcPr>
          <w:p>
            <w:pPr>
              <w:snapToGrid w:val="0"/>
              <w:rPr>
                <w:color w:val="000000"/>
              </w:rPr>
            </w:pPr>
          </w:p>
        </w:tc>
        <w:tc>
          <w:tcPr>
            <w:tcW w:w="920" w:type="pct"/>
            <w:vAlign w:val="center"/>
          </w:tcPr>
          <w:p>
            <w:pPr>
              <w:snapToGrid w:val="0"/>
              <w:rPr>
                <w:color w:val="000000"/>
              </w:rPr>
            </w:pPr>
          </w:p>
        </w:tc>
      </w:tr>
    </w:tbl>
    <w:p>
      <w:pPr>
        <w:snapToGrid w:val="0"/>
        <w:spacing w:line="360" w:lineRule="auto"/>
        <w:rPr>
          <w:rFonts w:ascii="宋体" w:hAnsi="宋体" w:cs="宋体"/>
        </w:rPr>
      </w:pPr>
    </w:p>
    <w:p>
      <w:pPr>
        <w:snapToGrid w:val="0"/>
        <w:spacing w:line="360" w:lineRule="auto"/>
        <w:rPr>
          <w:rFonts w:ascii="宋体" w:hAnsi="宋体" w:cs="宋体"/>
        </w:rPr>
      </w:pPr>
    </w:p>
    <w:p>
      <w:pPr>
        <w:snapToGrid w:val="0"/>
        <w:spacing w:line="360" w:lineRule="auto"/>
        <w:outlineLvl w:val="1"/>
        <w:rPr>
          <w:rFonts w:ascii="宋体" w:hAnsi="宋体" w:cs="宋体"/>
        </w:rPr>
      </w:pPr>
      <w:r>
        <w:rPr>
          <w:rFonts w:hint="eastAsia" w:ascii="宋体" w:hAnsi="宋体" w:cs="宋体"/>
        </w:rPr>
        <w:t>供应商全称：</w:t>
      </w:r>
      <w:r>
        <w:rPr>
          <w:rFonts w:hint="eastAsia" w:ascii="宋体" w:hAnsi="宋体" w:cs="宋体"/>
          <w:u w:val="single"/>
        </w:rPr>
        <w:t xml:space="preserve">                     供应商单位公章</w:t>
      </w:r>
    </w:p>
    <w:p>
      <w:pPr>
        <w:snapToGrid w:val="0"/>
        <w:spacing w:line="360" w:lineRule="auto"/>
        <w:outlineLvl w:val="1"/>
        <w:rPr>
          <w:rFonts w:ascii="宋体" w:hAnsi="宋体" w:cs="宋体"/>
        </w:rPr>
      </w:pPr>
      <w:r>
        <w:rPr>
          <w:rFonts w:hint="eastAsia" w:ascii="宋体" w:hAnsi="宋体" w:cs="宋体"/>
        </w:rPr>
        <w:t>供应商授权代表签字:</w:t>
      </w:r>
      <w:r>
        <w:rPr>
          <w:rFonts w:hint="eastAsia" w:ascii="宋体" w:hAnsi="宋体" w:cs="宋体"/>
          <w:u w:val="single"/>
        </w:rPr>
        <w:tab/>
      </w:r>
      <w:r>
        <w:rPr>
          <w:rFonts w:hint="eastAsia" w:ascii="宋体" w:hAnsi="宋体" w:cs="宋体"/>
          <w:u w:val="single"/>
        </w:rPr>
        <w:t xml:space="preserve">                      </w:t>
      </w:r>
      <w:r>
        <w:rPr>
          <w:rFonts w:hint="eastAsia" w:ascii="宋体" w:hAnsi="宋体" w:cs="宋体"/>
          <w:u w:val="single"/>
        </w:rPr>
        <w:tab/>
      </w:r>
    </w:p>
    <w:p>
      <w:pPr>
        <w:snapToGrid w:val="0"/>
        <w:spacing w:line="360" w:lineRule="auto"/>
        <w:rPr>
          <w:rFonts w:ascii="宋体" w:hAnsi="宋体" w:cs="宋体"/>
        </w:rPr>
      </w:pPr>
    </w:p>
    <w:p>
      <w:pPr>
        <w:snapToGrid w:val="0"/>
        <w:spacing w:line="360" w:lineRule="auto"/>
        <w:outlineLvl w:val="1"/>
        <w:rPr>
          <w:rFonts w:ascii="宋体" w:hAnsi="宋体" w:cs="宋体"/>
        </w:rPr>
      </w:pPr>
      <w:r>
        <w:rPr>
          <w:rFonts w:hint="eastAsia" w:ascii="宋体" w:hAnsi="宋体" w:cs="宋体"/>
        </w:rPr>
        <w:t>注:</w:t>
      </w:r>
    </w:p>
    <w:p>
      <w:pPr>
        <w:snapToGrid w:val="0"/>
        <w:spacing w:line="360" w:lineRule="auto"/>
        <w:outlineLvl w:val="1"/>
        <w:rPr>
          <w:rFonts w:ascii="宋体" w:hAnsi="宋体" w:cs="宋体"/>
        </w:rPr>
      </w:pPr>
      <w:r>
        <w:rPr>
          <w:rFonts w:hint="eastAsia" w:ascii="宋体" w:hAnsi="宋体" w:cs="宋体"/>
        </w:rPr>
        <w:t>如果按单价计算的结果与总价不一致,以单价为准修正总价。</w:t>
      </w:r>
    </w:p>
    <w:p>
      <w:pPr>
        <w:snapToGrid w:val="0"/>
        <w:spacing w:line="360" w:lineRule="auto"/>
        <w:outlineLvl w:val="0"/>
        <w:rPr>
          <w:rFonts w:ascii="宋体" w:hAnsi="宋体" w:cs="宋体"/>
          <w:b/>
          <w:bCs/>
        </w:rPr>
      </w:pPr>
      <w:r>
        <w:rPr>
          <w:rFonts w:hint="eastAsia" w:ascii="宋体" w:hAnsi="宋体" w:cs="宋体"/>
        </w:rPr>
        <w:br w:type="page"/>
      </w:r>
      <w:bookmarkStart w:id="892" w:name="_Toc28092"/>
      <w:bookmarkStart w:id="893" w:name="_Toc6855"/>
      <w:bookmarkStart w:id="894" w:name="_Toc19817"/>
      <w:bookmarkStart w:id="895" w:name="_Toc28835"/>
      <w:bookmarkStart w:id="896" w:name="_Toc10801"/>
      <w:bookmarkStart w:id="897" w:name="_Toc373513383"/>
      <w:bookmarkStart w:id="898" w:name="_Toc31268"/>
      <w:bookmarkStart w:id="899" w:name="_Toc18470"/>
      <w:r>
        <w:rPr>
          <w:rFonts w:hint="eastAsia"/>
        </w:rPr>
        <w:t>附件4 服务需求偏离表</w:t>
      </w:r>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p>
    <w:p>
      <w:pPr>
        <w:spacing w:before="120" w:beforeLines="50" w:after="120" w:afterLines="50" w:line="360" w:lineRule="auto"/>
        <w:jc w:val="center"/>
      </w:pPr>
      <w:r>
        <w:rPr>
          <w:rFonts w:hint="eastAsia"/>
        </w:rPr>
        <w:t>服务需求偏离表</w:t>
      </w:r>
    </w:p>
    <w:p>
      <w:pPr>
        <w:pStyle w:val="22"/>
        <w:spacing w:line="360" w:lineRule="auto"/>
        <w:rPr>
          <w:rFonts w:hAnsi="宋体" w:cs="宋体"/>
          <w:sz w:val="24"/>
        </w:rPr>
      </w:pPr>
      <w:r>
        <w:rPr>
          <w:rFonts w:hint="eastAsia" w:hAnsi="宋体" w:cs="宋体"/>
          <w:sz w:val="24"/>
        </w:rPr>
        <w:t xml:space="preserve">供应商名称:___________           项目编号:______________  </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3"/>
        <w:gridCol w:w="962"/>
        <w:gridCol w:w="2059"/>
        <w:gridCol w:w="1758"/>
        <w:gridCol w:w="1191"/>
        <w:gridCol w:w="863"/>
        <w:gridCol w:w="9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793" w:type="dxa"/>
            <w:vAlign w:val="center"/>
          </w:tcPr>
          <w:p>
            <w:pPr>
              <w:jc w:val="center"/>
              <w:rPr>
                <w:rFonts w:ascii="宋体" w:hAnsi="宋体" w:cs="宋体"/>
              </w:rPr>
            </w:pPr>
            <w:r>
              <w:rPr>
                <w:rFonts w:hint="eastAsia" w:ascii="宋体" w:hAnsi="宋体" w:cs="宋体"/>
              </w:rPr>
              <w:t>序号</w:t>
            </w:r>
          </w:p>
        </w:tc>
        <w:tc>
          <w:tcPr>
            <w:tcW w:w="962" w:type="dxa"/>
            <w:vAlign w:val="center"/>
          </w:tcPr>
          <w:p>
            <w:pPr>
              <w:jc w:val="center"/>
              <w:rPr>
                <w:rFonts w:ascii="宋体" w:hAnsi="宋体" w:cs="宋体"/>
              </w:rPr>
            </w:pPr>
            <w:r>
              <w:rPr>
                <w:rFonts w:hint="eastAsia" w:ascii="宋体" w:hAnsi="宋体" w:cs="宋体"/>
              </w:rPr>
              <w:t>名称</w:t>
            </w:r>
          </w:p>
        </w:tc>
        <w:tc>
          <w:tcPr>
            <w:tcW w:w="2059" w:type="dxa"/>
            <w:vAlign w:val="center"/>
          </w:tcPr>
          <w:p>
            <w:pPr>
              <w:jc w:val="center"/>
              <w:rPr>
                <w:rFonts w:ascii="宋体" w:hAnsi="宋体" w:cs="宋体"/>
              </w:rPr>
            </w:pPr>
            <w:r>
              <w:rPr>
                <w:rFonts w:hint="eastAsia" w:ascii="宋体" w:hAnsi="宋体" w:cs="宋体"/>
              </w:rPr>
              <w:t>竞争性磋商文件条目号（页码）</w:t>
            </w:r>
          </w:p>
        </w:tc>
        <w:tc>
          <w:tcPr>
            <w:tcW w:w="1758" w:type="dxa"/>
            <w:vAlign w:val="center"/>
          </w:tcPr>
          <w:p>
            <w:pPr>
              <w:jc w:val="center"/>
              <w:rPr>
                <w:rFonts w:ascii="宋体" w:hAnsi="宋体" w:cs="宋体"/>
              </w:rPr>
            </w:pPr>
            <w:r>
              <w:rPr>
                <w:rFonts w:hint="eastAsia" w:ascii="宋体" w:hAnsi="宋体" w:cs="宋体"/>
              </w:rPr>
              <w:t>竞争性磋商文件要求</w:t>
            </w:r>
          </w:p>
        </w:tc>
        <w:tc>
          <w:tcPr>
            <w:tcW w:w="1191" w:type="dxa"/>
            <w:vAlign w:val="center"/>
          </w:tcPr>
          <w:p>
            <w:pPr>
              <w:jc w:val="center"/>
              <w:rPr>
                <w:rFonts w:ascii="宋体" w:hAnsi="宋体" w:cs="宋体"/>
              </w:rPr>
            </w:pPr>
            <w:r>
              <w:rPr>
                <w:rFonts w:hint="eastAsia" w:ascii="宋体" w:hAnsi="宋体" w:cs="宋体"/>
              </w:rPr>
              <w:t>磋商内容</w:t>
            </w:r>
          </w:p>
        </w:tc>
        <w:tc>
          <w:tcPr>
            <w:tcW w:w="863" w:type="dxa"/>
            <w:vAlign w:val="center"/>
          </w:tcPr>
          <w:p>
            <w:pPr>
              <w:jc w:val="center"/>
              <w:rPr>
                <w:rFonts w:ascii="宋体" w:hAnsi="宋体" w:cs="宋体"/>
              </w:rPr>
            </w:pPr>
            <w:r>
              <w:rPr>
                <w:rFonts w:hint="eastAsia" w:ascii="宋体" w:hAnsi="宋体" w:cs="宋体"/>
              </w:rPr>
              <w:t>偏离</w:t>
            </w:r>
          </w:p>
        </w:tc>
        <w:tc>
          <w:tcPr>
            <w:tcW w:w="902" w:type="dxa"/>
            <w:vAlign w:val="center"/>
          </w:tcPr>
          <w:p>
            <w:pPr>
              <w:jc w:val="center"/>
              <w:rPr>
                <w:rFonts w:ascii="宋体" w:hAnsi="宋体" w:cs="宋体"/>
              </w:rPr>
            </w:pPr>
            <w:r>
              <w:rPr>
                <w:rFonts w:hint="eastAsia" w:ascii="宋体" w:hAnsi="宋体" w:cs="宋体"/>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4" w:hRule="atLeast"/>
          <w:jc w:val="center"/>
        </w:trPr>
        <w:tc>
          <w:tcPr>
            <w:tcW w:w="793" w:type="dxa"/>
          </w:tcPr>
          <w:p>
            <w:pPr>
              <w:spacing w:line="360" w:lineRule="auto"/>
              <w:rPr>
                <w:rFonts w:ascii="宋体" w:hAnsi="宋体" w:cs="宋体"/>
              </w:rPr>
            </w:pPr>
          </w:p>
        </w:tc>
        <w:tc>
          <w:tcPr>
            <w:tcW w:w="962" w:type="dxa"/>
          </w:tcPr>
          <w:p>
            <w:pPr>
              <w:spacing w:line="360" w:lineRule="auto"/>
              <w:rPr>
                <w:rFonts w:ascii="宋体" w:hAnsi="宋体" w:cs="宋体"/>
              </w:rPr>
            </w:pPr>
          </w:p>
        </w:tc>
        <w:tc>
          <w:tcPr>
            <w:tcW w:w="2059" w:type="dxa"/>
          </w:tcPr>
          <w:p>
            <w:pPr>
              <w:spacing w:line="360" w:lineRule="auto"/>
              <w:rPr>
                <w:rFonts w:ascii="宋体" w:hAnsi="宋体" w:cs="宋体"/>
              </w:rPr>
            </w:pPr>
          </w:p>
        </w:tc>
        <w:tc>
          <w:tcPr>
            <w:tcW w:w="1758" w:type="dxa"/>
          </w:tcPr>
          <w:p>
            <w:pPr>
              <w:spacing w:line="360" w:lineRule="auto"/>
              <w:rPr>
                <w:rFonts w:ascii="宋体" w:hAnsi="宋体" w:cs="宋体"/>
              </w:rPr>
            </w:pPr>
          </w:p>
        </w:tc>
        <w:tc>
          <w:tcPr>
            <w:tcW w:w="1191" w:type="dxa"/>
          </w:tcPr>
          <w:p>
            <w:pPr>
              <w:spacing w:line="360" w:lineRule="auto"/>
              <w:rPr>
                <w:rFonts w:ascii="宋体" w:hAnsi="宋体" w:cs="宋体"/>
              </w:rPr>
            </w:pPr>
          </w:p>
        </w:tc>
        <w:tc>
          <w:tcPr>
            <w:tcW w:w="863" w:type="dxa"/>
          </w:tcPr>
          <w:p>
            <w:pPr>
              <w:spacing w:line="360" w:lineRule="auto"/>
              <w:rPr>
                <w:rFonts w:ascii="宋体" w:hAnsi="宋体" w:cs="宋体"/>
              </w:rPr>
            </w:pPr>
          </w:p>
        </w:tc>
        <w:tc>
          <w:tcPr>
            <w:tcW w:w="902" w:type="dxa"/>
          </w:tcPr>
          <w:p>
            <w:pPr>
              <w:spacing w:line="360" w:lineRule="auto"/>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5" w:hRule="atLeast"/>
          <w:jc w:val="center"/>
        </w:trPr>
        <w:tc>
          <w:tcPr>
            <w:tcW w:w="793" w:type="dxa"/>
          </w:tcPr>
          <w:p>
            <w:pPr>
              <w:spacing w:line="360" w:lineRule="auto"/>
              <w:rPr>
                <w:rFonts w:ascii="宋体" w:hAnsi="宋体" w:cs="宋体"/>
              </w:rPr>
            </w:pPr>
          </w:p>
        </w:tc>
        <w:tc>
          <w:tcPr>
            <w:tcW w:w="962" w:type="dxa"/>
          </w:tcPr>
          <w:p>
            <w:pPr>
              <w:spacing w:line="360" w:lineRule="auto"/>
              <w:rPr>
                <w:rFonts w:ascii="宋体" w:hAnsi="宋体" w:cs="宋体"/>
              </w:rPr>
            </w:pPr>
          </w:p>
        </w:tc>
        <w:tc>
          <w:tcPr>
            <w:tcW w:w="2059" w:type="dxa"/>
          </w:tcPr>
          <w:p>
            <w:pPr>
              <w:spacing w:line="360" w:lineRule="auto"/>
              <w:rPr>
                <w:rFonts w:ascii="宋体" w:hAnsi="宋体" w:cs="宋体"/>
              </w:rPr>
            </w:pPr>
          </w:p>
        </w:tc>
        <w:tc>
          <w:tcPr>
            <w:tcW w:w="1758" w:type="dxa"/>
          </w:tcPr>
          <w:p>
            <w:pPr>
              <w:spacing w:line="360" w:lineRule="auto"/>
              <w:rPr>
                <w:rFonts w:ascii="宋体" w:hAnsi="宋体" w:cs="宋体"/>
              </w:rPr>
            </w:pPr>
          </w:p>
        </w:tc>
        <w:tc>
          <w:tcPr>
            <w:tcW w:w="1191" w:type="dxa"/>
          </w:tcPr>
          <w:p>
            <w:pPr>
              <w:spacing w:line="360" w:lineRule="auto"/>
              <w:rPr>
                <w:rFonts w:ascii="宋体" w:hAnsi="宋体" w:cs="宋体"/>
              </w:rPr>
            </w:pPr>
          </w:p>
        </w:tc>
        <w:tc>
          <w:tcPr>
            <w:tcW w:w="863" w:type="dxa"/>
          </w:tcPr>
          <w:p>
            <w:pPr>
              <w:spacing w:line="360" w:lineRule="auto"/>
              <w:rPr>
                <w:rFonts w:ascii="宋体" w:hAnsi="宋体" w:cs="宋体"/>
              </w:rPr>
            </w:pPr>
          </w:p>
        </w:tc>
        <w:tc>
          <w:tcPr>
            <w:tcW w:w="902" w:type="dxa"/>
          </w:tcPr>
          <w:p>
            <w:pPr>
              <w:spacing w:line="360" w:lineRule="auto"/>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5" w:hRule="atLeast"/>
          <w:jc w:val="center"/>
        </w:trPr>
        <w:tc>
          <w:tcPr>
            <w:tcW w:w="793" w:type="dxa"/>
          </w:tcPr>
          <w:p>
            <w:pPr>
              <w:spacing w:line="360" w:lineRule="auto"/>
              <w:rPr>
                <w:rFonts w:ascii="宋体" w:hAnsi="宋体" w:cs="宋体"/>
              </w:rPr>
            </w:pPr>
          </w:p>
        </w:tc>
        <w:tc>
          <w:tcPr>
            <w:tcW w:w="962" w:type="dxa"/>
          </w:tcPr>
          <w:p>
            <w:pPr>
              <w:spacing w:line="360" w:lineRule="auto"/>
              <w:rPr>
                <w:rFonts w:ascii="宋体" w:hAnsi="宋体" w:cs="宋体"/>
              </w:rPr>
            </w:pPr>
          </w:p>
        </w:tc>
        <w:tc>
          <w:tcPr>
            <w:tcW w:w="2059" w:type="dxa"/>
          </w:tcPr>
          <w:p>
            <w:pPr>
              <w:spacing w:line="360" w:lineRule="auto"/>
              <w:rPr>
                <w:rFonts w:ascii="宋体" w:hAnsi="宋体" w:cs="宋体"/>
              </w:rPr>
            </w:pPr>
          </w:p>
        </w:tc>
        <w:tc>
          <w:tcPr>
            <w:tcW w:w="1758" w:type="dxa"/>
          </w:tcPr>
          <w:p>
            <w:pPr>
              <w:spacing w:line="360" w:lineRule="auto"/>
              <w:rPr>
                <w:rFonts w:ascii="宋体" w:hAnsi="宋体" w:cs="宋体"/>
              </w:rPr>
            </w:pPr>
          </w:p>
        </w:tc>
        <w:tc>
          <w:tcPr>
            <w:tcW w:w="1191" w:type="dxa"/>
          </w:tcPr>
          <w:p>
            <w:pPr>
              <w:spacing w:line="360" w:lineRule="auto"/>
              <w:rPr>
                <w:rFonts w:ascii="宋体" w:hAnsi="宋体" w:cs="宋体"/>
              </w:rPr>
            </w:pPr>
          </w:p>
        </w:tc>
        <w:tc>
          <w:tcPr>
            <w:tcW w:w="863" w:type="dxa"/>
          </w:tcPr>
          <w:p>
            <w:pPr>
              <w:spacing w:line="360" w:lineRule="auto"/>
              <w:rPr>
                <w:rFonts w:ascii="宋体" w:hAnsi="宋体" w:cs="宋体"/>
              </w:rPr>
            </w:pPr>
          </w:p>
        </w:tc>
        <w:tc>
          <w:tcPr>
            <w:tcW w:w="902" w:type="dxa"/>
          </w:tcPr>
          <w:p>
            <w:pPr>
              <w:spacing w:line="360" w:lineRule="auto"/>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4" w:hRule="atLeast"/>
          <w:jc w:val="center"/>
        </w:trPr>
        <w:tc>
          <w:tcPr>
            <w:tcW w:w="793" w:type="dxa"/>
          </w:tcPr>
          <w:p>
            <w:pPr>
              <w:spacing w:line="360" w:lineRule="auto"/>
              <w:rPr>
                <w:rFonts w:ascii="宋体" w:hAnsi="宋体" w:cs="宋体"/>
              </w:rPr>
            </w:pPr>
          </w:p>
        </w:tc>
        <w:tc>
          <w:tcPr>
            <w:tcW w:w="962" w:type="dxa"/>
          </w:tcPr>
          <w:p>
            <w:pPr>
              <w:spacing w:line="360" w:lineRule="auto"/>
              <w:rPr>
                <w:rFonts w:ascii="宋体" w:hAnsi="宋体" w:cs="宋体"/>
              </w:rPr>
            </w:pPr>
          </w:p>
        </w:tc>
        <w:tc>
          <w:tcPr>
            <w:tcW w:w="2059" w:type="dxa"/>
          </w:tcPr>
          <w:p>
            <w:pPr>
              <w:spacing w:line="360" w:lineRule="auto"/>
              <w:rPr>
                <w:rFonts w:ascii="宋体" w:hAnsi="宋体" w:cs="宋体"/>
              </w:rPr>
            </w:pPr>
          </w:p>
        </w:tc>
        <w:tc>
          <w:tcPr>
            <w:tcW w:w="1758" w:type="dxa"/>
          </w:tcPr>
          <w:p>
            <w:pPr>
              <w:spacing w:line="360" w:lineRule="auto"/>
              <w:rPr>
                <w:rFonts w:ascii="宋体" w:hAnsi="宋体" w:cs="宋体"/>
              </w:rPr>
            </w:pPr>
          </w:p>
        </w:tc>
        <w:tc>
          <w:tcPr>
            <w:tcW w:w="1191" w:type="dxa"/>
          </w:tcPr>
          <w:p>
            <w:pPr>
              <w:spacing w:line="360" w:lineRule="auto"/>
              <w:rPr>
                <w:rFonts w:ascii="宋体" w:hAnsi="宋体" w:cs="宋体"/>
              </w:rPr>
            </w:pPr>
          </w:p>
        </w:tc>
        <w:tc>
          <w:tcPr>
            <w:tcW w:w="863" w:type="dxa"/>
          </w:tcPr>
          <w:p>
            <w:pPr>
              <w:spacing w:line="360" w:lineRule="auto"/>
              <w:rPr>
                <w:rFonts w:ascii="宋体" w:hAnsi="宋体" w:cs="宋体"/>
              </w:rPr>
            </w:pPr>
          </w:p>
        </w:tc>
        <w:tc>
          <w:tcPr>
            <w:tcW w:w="902" w:type="dxa"/>
          </w:tcPr>
          <w:p>
            <w:pPr>
              <w:spacing w:line="360" w:lineRule="auto"/>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4" w:hRule="atLeast"/>
          <w:jc w:val="center"/>
        </w:trPr>
        <w:tc>
          <w:tcPr>
            <w:tcW w:w="793" w:type="dxa"/>
          </w:tcPr>
          <w:p>
            <w:pPr>
              <w:spacing w:line="360" w:lineRule="auto"/>
              <w:rPr>
                <w:rFonts w:ascii="宋体" w:hAnsi="宋体" w:cs="宋体"/>
              </w:rPr>
            </w:pPr>
          </w:p>
        </w:tc>
        <w:tc>
          <w:tcPr>
            <w:tcW w:w="962" w:type="dxa"/>
          </w:tcPr>
          <w:p>
            <w:pPr>
              <w:spacing w:line="360" w:lineRule="auto"/>
              <w:rPr>
                <w:rFonts w:ascii="宋体" w:hAnsi="宋体" w:cs="宋体"/>
              </w:rPr>
            </w:pPr>
          </w:p>
        </w:tc>
        <w:tc>
          <w:tcPr>
            <w:tcW w:w="2059" w:type="dxa"/>
          </w:tcPr>
          <w:p>
            <w:pPr>
              <w:spacing w:line="360" w:lineRule="auto"/>
              <w:rPr>
                <w:rFonts w:ascii="宋体" w:hAnsi="宋体" w:cs="宋体"/>
              </w:rPr>
            </w:pPr>
          </w:p>
        </w:tc>
        <w:tc>
          <w:tcPr>
            <w:tcW w:w="1758" w:type="dxa"/>
          </w:tcPr>
          <w:p>
            <w:pPr>
              <w:spacing w:line="360" w:lineRule="auto"/>
              <w:rPr>
                <w:rFonts w:ascii="宋体" w:hAnsi="宋体" w:cs="宋体"/>
              </w:rPr>
            </w:pPr>
          </w:p>
        </w:tc>
        <w:tc>
          <w:tcPr>
            <w:tcW w:w="1191" w:type="dxa"/>
          </w:tcPr>
          <w:p>
            <w:pPr>
              <w:spacing w:line="360" w:lineRule="auto"/>
              <w:rPr>
                <w:rFonts w:ascii="宋体" w:hAnsi="宋体" w:cs="宋体"/>
              </w:rPr>
            </w:pPr>
          </w:p>
        </w:tc>
        <w:tc>
          <w:tcPr>
            <w:tcW w:w="863" w:type="dxa"/>
          </w:tcPr>
          <w:p>
            <w:pPr>
              <w:spacing w:line="360" w:lineRule="auto"/>
              <w:rPr>
                <w:rFonts w:ascii="宋体" w:hAnsi="宋体" w:cs="宋体"/>
              </w:rPr>
            </w:pPr>
          </w:p>
        </w:tc>
        <w:tc>
          <w:tcPr>
            <w:tcW w:w="902" w:type="dxa"/>
          </w:tcPr>
          <w:p>
            <w:pPr>
              <w:spacing w:line="360" w:lineRule="auto"/>
              <w:rPr>
                <w:rFonts w:ascii="宋体" w:hAnsi="宋体" w:cs="宋体"/>
              </w:rPr>
            </w:pPr>
          </w:p>
        </w:tc>
      </w:tr>
    </w:tbl>
    <w:p>
      <w:pPr>
        <w:snapToGrid w:val="0"/>
        <w:spacing w:line="360" w:lineRule="auto"/>
        <w:rPr>
          <w:rFonts w:ascii="宋体" w:hAnsi="宋体" w:cs="宋体"/>
        </w:rPr>
      </w:pPr>
    </w:p>
    <w:p>
      <w:pPr>
        <w:snapToGrid w:val="0"/>
        <w:spacing w:line="360" w:lineRule="auto"/>
        <w:rPr>
          <w:rFonts w:ascii="宋体" w:hAnsi="宋体" w:cs="宋体"/>
        </w:rPr>
      </w:pPr>
      <w:r>
        <w:rPr>
          <w:rFonts w:hint="eastAsia" w:ascii="宋体" w:hAnsi="宋体" w:cs="宋体"/>
        </w:rPr>
        <w:t>注：本偏离表是磋商小组评审磋商方案最重要的直观材料和主要依据，供应商必须针对本竞争性磋商文件中的各项要求是否满足填写偏离表。对于漏报的项目，采购人有权要求其补报，否则将导致废标。对竞争性磋商文件中的所有服务条款，除非本表所列明的所有偏离外，均视作供应商已对之理解和同意。</w:t>
      </w:r>
    </w:p>
    <w:p>
      <w:pPr>
        <w:snapToGrid w:val="0"/>
        <w:spacing w:line="360" w:lineRule="auto"/>
        <w:ind w:firstLine="480" w:firstLineChars="200"/>
        <w:rPr>
          <w:rFonts w:ascii="宋体" w:hAnsi="宋体" w:cs="宋体"/>
        </w:rPr>
      </w:pPr>
    </w:p>
    <w:p>
      <w:pPr>
        <w:pStyle w:val="22"/>
        <w:spacing w:line="360" w:lineRule="auto"/>
        <w:rPr>
          <w:rFonts w:hAnsi="宋体" w:cs="宋体"/>
          <w:sz w:val="24"/>
        </w:rPr>
      </w:pPr>
      <w:r>
        <w:rPr>
          <w:rFonts w:hint="eastAsia" w:hAnsi="宋体" w:cs="宋体"/>
          <w:sz w:val="24"/>
        </w:rPr>
        <w:t>供应商授权代表签字：____________________</w:t>
      </w:r>
    </w:p>
    <w:p>
      <w:pPr>
        <w:pStyle w:val="22"/>
        <w:spacing w:line="360" w:lineRule="auto"/>
        <w:rPr>
          <w:rFonts w:hAnsi="宋体" w:cs="宋体"/>
          <w:sz w:val="24"/>
        </w:rPr>
      </w:pPr>
    </w:p>
    <w:p>
      <w:pPr>
        <w:pStyle w:val="22"/>
        <w:tabs>
          <w:tab w:val="left" w:pos="5580"/>
        </w:tabs>
        <w:spacing w:line="360" w:lineRule="auto"/>
        <w:rPr>
          <w:rFonts w:hAnsi="宋体" w:cs="宋体"/>
          <w:sz w:val="24"/>
        </w:rPr>
      </w:pPr>
      <w:r>
        <w:rPr>
          <w:rFonts w:hint="eastAsia" w:hAnsi="宋体" w:cs="宋体"/>
          <w:sz w:val="24"/>
        </w:rPr>
        <w:t>供应商（盖章）:</w:t>
      </w:r>
      <w:r>
        <w:rPr>
          <w:rFonts w:hint="eastAsia" w:hAnsi="宋体" w:cs="宋体"/>
          <w:sz w:val="24"/>
          <w:u w:val="single"/>
        </w:rPr>
        <w:tab/>
      </w:r>
      <w:r>
        <w:rPr>
          <w:rFonts w:hint="eastAsia" w:hAnsi="宋体" w:cs="宋体"/>
          <w:sz w:val="24"/>
          <w:u w:val="single"/>
        </w:rPr>
        <w:tab/>
      </w:r>
    </w:p>
    <w:p>
      <w:pPr>
        <w:snapToGrid w:val="0"/>
        <w:spacing w:line="360" w:lineRule="auto"/>
        <w:outlineLvl w:val="0"/>
        <w:rPr>
          <w:rFonts w:ascii="宋体" w:hAnsi="宋体" w:cs="宋体"/>
          <w:b/>
          <w:bCs/>
        </w:rPr>
      </w:pPr>
      <w:r>
        <w:rPr>
          <w:rFonts w:hint="eastAsia" w:ascii="宋体" w:hAnsi="宋体" w:cs="宋体"/>
        </w:rPr>
        <w:br w:type="page"/>
      </w:r>
      <w:bookmarkStart w:id="900" w:name="_Toc13142"/>
      <w:bookmarkStart w:id="901" w:name="_Toc28241"/>
      <w:bookmarkStart w:id="902" w:name="_Toc11796"/>
      <w:bookmarkStart w:id="903" w:name="_Toc201995938"/>
      <w:bookmarkStart w:id="904" w:name="_Toc142311062"/>
      <w:bookmarkStart w:id="905" w:name="_Toc182802952"/>
      <w:bookmarkStart w:id="906" w:name="_Toc287280318"/>
      <w:bookmarkStart w:id="907" w:name="_Toc194888450"/>
      <w:bookmarkStart w:id="908" w:name="_Toc287280569"/>
      <w:bookmarkStart w:id="909" w:name="_Toc202069416"/>
      <w:bookmarkStart w:id="910" w:name="_Toc205612699"/>
      <w:bookmarkStart w:id="911" w:name="_Toc15277"/>
      <w:bookmarkStart w:id="912" w:name="_Toc194883176"/>
      <w:bookmarkStart w:id="913" w:name="_Toc5665"/>
      <w:bookmarkStart w:id="914" w:name="_Toc127151562"/>
      <w:bookmarkStart w:id="915" w:name="_Toc150480798"/>
      <w:bookmarkStart w:id="916" w:name="_Toc19193"/>
      <w:bookmarkStart w:id="917" w:name="_Toc150774765"/>
      <w:bookmarkStart w:id="918" w:name="_Toc205612628"/>
      <w:bookmarkStart w:id="919" w:name="_Toc373513384"/>
      <w:bookmarkStart w:id="920" w:name="_Toc641"/>
      <w:r>
        <w:rPr>
          <w:rFonts w:hint="eastAsia"/>
        </w:rPr>
        <w:t>附件5 商务条款偏离表</w:t>
      </w:r>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p>
    <w:p>
      <w:pPr>
        <w:pStyle w:val="22"/>
        <w:spacing w:line="360" w:lineRule="auto"/>
        <w:rPr>
          <w:rFonts w:hAnsi="宋体" w:cs="宋体"/>
          <w:sz w:val="24"/>
        </w:rPr>
      </w:pPr>
    </w:p>
    <w:p>
      <w:pPr>
        <w:spacing w:before="120" w:beforeLines="50" w:after="120" w:afterLines="50" w:line="360" w:lineRule="auto"/>
        <w:jc w:val="center"/>
      </w:pPr>
      <w:r>
        <w:rPr>
          <w:rFonts w:hint="eastAsia"/>
        </w:rPr>
        <w:t>商务条款偏离表</w:t>
      </w:r>
    </w:p>
    <w:p>
      <w:pPr>
        <w:pStyle w:val="22"/>
        <w:spacing w:line="360" w:lineRule="auto"/>
        <w:rPr>
          <w:rFonts w:hAnsi="宋体" w:cs="宋体"/>
          <w:sz w:val="24"/>
        </w:rPr>
      </w:pPr>
    </w:p>
    <w:p>
      <w:pPr>
        <w:spacing w:line="360" w:lineRule="auto"/>
        <w:rPr>
          <w:rFonts w:ascii="宋体" w:hAnsi="宋体" w:cs="宋体"/>
        </w:rPr>
      </w:pPr>
      <w:r>
        <w:rPr>
          <w:rFonts w:hint="eastAsia" w:ascii="宋体" w:hAnsi="宋体" w:cs="宋体"/>
        </w:rPr>
        <w:t>供应商名称：</w:t>
      </w:r>
      <w:r>
        <w:rPr>
          <w:rFonts w:hint="eastAsia" w:ascii="宋体" w:hAnsi="宋体" w:cs="宋体"/>
          <w:u w:val="single"/>
        </w:rPr>
        <w:t xml:space="preserve">                 </w:t>
      </w:r>
      <w:r>
        <w:rPr>
          <w:rFonts w:hint="eastAsia" w:ascii="宋体" w:hAnsi="宋体" w:cs="宋体"/>
        </w:rPr>
        <w:t>项目编号：</w:t>
      </w:r>
      <w:r>
        <w:rPr>
          <w:rFonts w:hint="eastAsia" w:ascii="宋体" w:hAnsi="宋体" w:cs="宋体"/>
          <w:u w:val="single"/>
        </w:rPr>
        <w:t xml:space="preserve">                    </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980"/>
        <w:gridCol w:w="2520"/>
        <w:gridCol w:w="270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828" w:type="dxa"/>
            <w:vAlign w:val="center"/>
          </w:tcPr>
          <w:p>
            <w:pPr>
              <w:jc w:val="center"/>
              <w:rPr>
                <w:rFonts w:ascii="宋体" w:hAnsi="宋体" w:cs="宋体"/>
              </w:rPr>
            </w:pPr>
            <w:r>
              <w:rPr>
                <w:rFonts w:hint="eastAsia" w:ascii="宋体" w:hAnsi="宋体" w:cs="宋体"/>
              </w:rPr>
              <w:t>序号</w:t>
            </w:r>
          </w:p>
        </w:tc>
        <w:tc>
          <w:tcPr>
            <w:tcW w:w="1980" w:type="dxa"/>
            <w:vAlign w:val="center"/>
          </w:tcPr>
          <w:p>
            <w:pPr>
              <w:jc w:val="center"/>
              <w:rPr>
                <w:rFonts w:ascii="宋体" w:hAnsi="宋体" w:cs="宋体"/>
              </w:rPr>
            </w:pPr>
            <w:r>
              <w:rPr>
                <w:rFonts w:hint="eastAsia" w:ascii="宋体" w:hAnsi="宋体" w:cs="宋体"/>
              </w:rPr>
              <w:t>竞争性磋商文件条目号（页码）</w:t>
            </w:r>
          </w:p>
        </w:tc>
        <w:tc>
          <w:tcPr>
            <w:tcW w:w="2520" w:type="dxa"/>
            <w:vAlign w:val="center"/>
          </w:tcPr>
          <w:p>
            <w:pPr>
              <w:jc w:val="center"/>
              <w:rPr>
                <w:rFonts w:ascii="宋体" w:hAnsi="宋体" w:cs="宋体"/>
              </w:rPr>
            </w:pPr>
            <w:r>
              <w:rPr>
                <w:rFonts w:hint="eastAsia" w:ascii="宋体" w:hAnsi="宋体" w:cs="宋体"/>
              </w:rPr>
              <w:t>竞争性磋商文件的商务条款</w:t>
            </w:r>
          </w:p>
        </w:tc>
        <w:tc>
          <w:tcPr>
            <w:tcW w:w="2700" w:type="dxa"/>
            <w:vAlign w:val="center"/>
          </w:tcPr>
          <w:p>
            <w:pPr>
              <w:jc w:val="center"/>
              <w:rPr>
                <w:rFonts w:ascii="宋体" w:hAnsi="宋体" w:cs="宋体"/>
              </w:rPr>
            </w:pPr>
            <w:r>
              <w:rPr>
                <w:rFonts w:hint="eastAsia" w:ascii="宋体" w:hAnsi="宋体" w:cs="宋体"/>
              </w:rPr>
              <w:t>响应文件的商务条款</w:t>
            </w:r>
          </w:p>
        </w:tc>
        <w:tc>
          <w:tcPr>
            <w:tcW w:w="720" w:type="dxa"/>
            <w:vAlign w:val="center"/>
          </w:tcPr>
          <w:p>
            <w:pPr>
              <w:jc w:val="center"/>
              <w:rPr>
                <w:rFonts w:ascii="宋体" w:hAnsi="宋体" w:cs="宋体"/>
              </w:rPr>
            </w:pPr>
            <w:r>
              <w:rPr>
                <w:rFonts w:hint="eastAsia" w:ascii="宋体" w:hAnsi="宋体" w:cs="宋体"/>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4" w:hRule="atLeast"/>
          <w:jc w:val="center"/>
        </w:trPr>
        <w:tc>
          <w:tcPr>
            <w:tcW w:w="828" w:type="dxa"/>
          </w:tcPr>
          <w:p>
            <w:pPr>
              <w:rPr>
                <w:rFonts w:ascii="宋体" w:hAnsi="宋体" w:cs="宋体"/>
              </w:rPr>
            </w:pPr>
          </w:p>
        </w:tc>
        <w:tc>
          <w:tcPr>
            <w:tcW w:w="1980" w:type="dxa"/>
          </w:tcPr>
          <w:p>
            <w:pPr>
              <w:rPr>
                <w:rFonts w:ascii="宋体" w:hAnsi="宋体" w:cs="宋体"/>
              </w:rPr>
            </w:pPr>
          </w:p>
        </w:tc>
        <w:tc>
          <w:tcPr>
            <w:tcW w:w="2520" w:type="dxa"/>
          </w:tcPr>
          <w:p>
            <w:pPr>
              <w:rPr>
                <w:rFonts w:ascii="宋体" w:hAnsi="宋体" w:cs="宋体"/>
              </w:rPr>
            </w:pPr>
          </w:p>
        </w:tc>
        <w:tc>
          <w:tcPr>
            <w:tcW w:w="2700" w:type="dxa"/>
          </w:tcPr>
          <w:p>
            <w:pPr>
              <w:rPr>
                <w:rFonts w:ascii="宋体" w:hAnsi="宋体" w:cs="宋体"/>
              </w:rPr>
            </w:pPr>
          </w:p>
        </w:tc>
        <w:tc>
          <w:tcPr>
            <w:tcW w:w="720" w:type="dxa"/>
          </w:tcPr>
          <w:p>
            <w:pP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 w:hRule="atLeast"/>
          <w:jc w:val="center"/>
        </w:trPr>
        <w:tc>
          <w:tcPr>
            <w:tcW w:w="828" w:type="dxa"/>
          </w:tcPr>
          <w:p>
            <w:pPr>
              <w:rPr>
                <w:rFonts w:ascii="宋体" w:hAnsi="宋体" w:cs="宋体"/>
              </w:rPr>
            </w:pPr>
          </w:p>
        </w:tc>
        <w:tc>
          <w:tcPr>
            <w:tcW w:w="1980" w:type="dxa"/>
          </w:tcPr>
          <w:p>
            <w:pPr>
              <w:rPr>
                <w:rFonts w:ascii="宋体" w:hAnsi="宋体" w:cs="宋体"/>
              </w:rPr>
            </w:pPr>
          </w:p>
        </w:tc>
        <w:tc>
          <w:tcPr>
            <w:tcW w:w="2520" w:type="dxa"/>
          </w:tcPr>
          <w:p>
            <w:pPr>
              <w:rPr>
                <w:rFonts w:ascii="宋体" w:hAnsi="宋体" w:cs="宋体"/>
              </w:rPr>
            </w:pPr>
          </w:p>
        </w:tc>
        <w:tc>
          <w:tcPr>
            <w:tcW w:w="2700" w:type="dxa"/>
          </w:tcPr>
          <w:p>
            <w:pPr>
              <w:rPr>
                <w:rFonts w:ascii="宋体" w:hAnsi="宋体" w:cs="宋体"/>
              </w:rPr>
            </w:pPr>
          </w:p>
        </w:tc>
        <w:tc>
          <w:tcPr>
            <w:tcW w:w="720" w:type="dxa"/>
          </w:tcPr>
          <w:p>
            <w:pP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 w:hRule="atLeast"/>
          <w:jc w:val="center"/>
        </w:trPr>
        <w:tc>
          <w:tcPr>
            <w:tcW w:w="828" w:type="dxa"/>
          </w:tcPr>
          <w:p>
            <w:pPr>
              <w:rPr>
                <w:rFonts w:ascii="宋体" w:hAnsi="宋体" w:cs="宋体"/>
              </w:rPr>
            </w:pPr>
          </w:p>
        </w:tc>
        <w:tc>
          <w:tcPr>
            <w:tcW w:w="1980" w:type="dxa"/>
          </w:tcPr>
          <w:p>
            <w:pPr>
              <w:rPr>
                <w:rFonts w:ascii="宋体" w:hAnsi="宋体" w:cs="宋体"/>
              </w:rPr>
            </w:pPr>
          </w:p>
        </w:tc>
        <w:tc>
          <w:tcPr>
            <w:tcW w:w="2520" w:type="dxa"/>
          </w:tcPr>
          <w:p>
            <w:pPr>
              <w:rPr>
                <w:rFonts w:ascii="宋体" w:hAnsi="宋体" w:cs="宋体"/>
              </w:rPr>
            </w:pPr>
          </w:p>
        </w:tc>
        <w:tc>
          <w:tcPr>
            <w:tcW w:w="2700" w:type="dxa"/>
          </w:tcPr>
          <w:p>
            <w:pPr>
              <w:rPr>
                <w:rFonts w:ascii="宋体" w:hAnsi="宋体" w:cs="宋体"/>
              </w:rPr>
            </w:pPr>
          </w:p>
        </w:tc>
        <w:tc>
          <w:tcPr>
            <w:tcW w:w="720" w:type="dxa"/>
          </w:tcPr>
          <w:p>
            <w:pP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8" w:hRule="atLeast"/>
          <w:jc w:val="center"/>
        </w:trPr>
        <w:tc>
          <w:tcPr>
            <w:tcW w:w="828" w:type="dxa"/>
          </w:tcPr>
          <w:p>
            <w:pPr>
              <w:rPr>
                <w:rFonts w:ascii="宋体" w:hAnsi="宋体" w:cs="宋体"/>
              </w:rPr>
            </w:pPr>
          </w:p>
        </w:tc>
        <w:tc>
          <w:tcPr>
            <w:tcW w:w="1980" w:type="dxa"/>
          </w:tcPr>
          <w:p>
            <w:pPr>
              <w:rPr>
                <w:rFonts w:ascii="宋体" w:hAnsi="宋体" w:cs="宋体"/>
              </w:rPr>
            </w:pPr>
          </w:p>
        </w:tc>
        <w:tc>
          <w:tcPr>
            <w:tcW w:w="2520" w:type="dxa"/>
          </w:tcPr>
          <w:p>
            <w:pPr>
              <w:rPr>
                <w:rFonts w:ascii="宋体" w:hAnsi="宋体" w:cs="宋体"/>
              </w:rPr>
            </w:pPr>
          </w:p>
        </w:tc>
        <w:tc>
          <w:tcPr>
            <w:tcW w:w="2700" w:type="dxa"/>
          </w:tcPr>
          <w:p>
            <w:pPr>
              <w:rPr>
                <w:rFonts w:ascii="宋体" w:hAnsi="宋体" w:cs="宋体"/>
              </w:rPr>
            </w:pPr>
          </w:p>
        </w:tc>
        <w:tc>
          <w:tcPr>
            <w:tcW w:w="720" w:type="dxa"/>
          </w:tcPr>
          <w:p>
            <w:pP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 w:hRule="atLeast"/>
          <w:jc w:val="center"/>
        </w:trPr>
        <w:tc>
          <w:tcPr>
            <w:tcW w:w="828" w:type="dxa"/>
          </w:tcPr>
          <w:p>
            <w:pPr>
              <w:rPr>
                <w:rFonts w:ascii="宋体" w:hAnsi="宋体" w:cs="宋体"/>
              </w:rPr>
            </w:pPr>
          </w:p>
        </w:tc>
        <w:tc>
          <w:tcPr>
            <w:tcW w:w="1980" w:type="dxa"/>
          </w:tcPr>
          <w:p>
            <w:pPr>
              <w:rPr>
                <w:rFonts w:ascii="宋体" w:hAnsi="宋体" w:cs="宋体"/>
              </w:rPr>
            </w:pPr>
          </w:p>
        </w:tc>
        <w:tc>
          <w:tcPr>
            <w:tcW w:w="2520" w:type="dxa"/>
          </w:tcPr>
          <w:p>
            <w:pPr>
              <w:rPr>
                <w:rFonts w:ascii="宋体" w:hAnsi="宋体" w:cs="宋体"/>
              </w:rPr>
            </w:pPr>
          </w:p>
        </w:tc>
        <w:tc>
          <w:tcPr>
            <w:tcW w:w="2700" w:type="dxa"/>
          </w:tcPr>
          <w:p>
            <w:pPr>
              <w:rPr>
                <w:rFonts w:ascii="宋体" w:hAnsi="宋体" w:cs="宋体"/>
              </w:rPr>
            </w:pPr>
          </w:p>
        </w:tc>
        <w:tc>
          <w:tcPr>
            <w:tcW w:w="720" w:type="dxa"/>
          </w:tcPr>
          <w:p>
            <w:pPr>
              <w:rPr>
                <w:rFonts w:ascii="宋体" w:hAnsi="宋体" w:cs="宋体"/>
              </w:rPr>
            </w:pPr>
          </w:p>
        </w:tc>
      </w:tr>
    </w:tbl>
    <w:p>
      <w:pPr>
        <w:pStyle w:val="22"/>
        <w:spacing w:line="360" w:lineRule="auto"/>
        <w:ind w:firstLine="480" w:firstLineChars="200"/>
        <w:rPr>
          <w:rFonts w:hAnsi="宋体" w:cs="宋体"/>
          <w:sz w:val="24"/>
        </w:rPr>
      </w:pPr>
      <w:r>
        <w:rPr>
          <w:rFonts w:hint="eastAsia" w:hAnsi="宋体" w:cs="宋体"/>
          <w:sz w:val="24"/>
        </w:rPr>
        <w:t>注：本偏离表是磋商小组评审磋商方案最重要的直观材料和主要依据，供应商必须针对本竞争性磋商文件中的各项要求是否满足填写偏离表。对于漏报的项目，采购人有权要求其补报，否则将导致废标。对竞争性磋商文件中的所有商务条款，除非本表所列明的所有偏离外，均视作供应商已对之理解和同意。</w:t>
      </w:r>
    </w:p>
    <w:p>
      <w:pPr>
        <w:pStyle w:val="22"/>
        <w:spacing w:line="360" w:lineRule="auto"/>
        <w:rPr>
          <w:rFonts w:hAnsi="宋体" w:cs="宋体"/>
          <w:sz w:val="24"/>
        </w:rPr>
      </w:pPr>
    </w:p>
    <w:p>
      <w:pPr>
        <w:pStyle w:val="22"/>
        <w:spacing w:line="360" w:lineRule="auto"/>
        <w:rPr>
          <w:rFonts w:hAnsi="宋体" w:cs="宋体"/>
          <w:sz w:val="24"/>
        </w:rPr>
      </w:pPr>
      <w:r>
        <w:rPr>
          <w:rFonts w:hint="eastAsia" w:hAnsi="宋体" w:cs="宋体"/>
          <w:sz w:val="24"/>
        </w:rPr>
        <w:t>供应商授权代表签字：____________________________</w:t>
      </w:r>
    </w:p>
    <w:p>
      <w:pPr>
        <w:pStyle w:val="22"/>
        <w:tabs>
          <w:tab w:val="left" w:pos="4620"/>
        </w:tabs>
        <w:spacing w:line="360" w:lineRule="auto"/>
        <w:rPr>
          <w:rFonts w:hAnsi="宋体" w:cs="宋体"/>
          <w:sz w:val="24"/>
        </w:rPr>
      </w:pPr>
      <w:r>
        <w:rPr>
          <w:rFonts w:hint="eastAsia" w:hAnsi="宋体" w:cs="宋体"/>
          <w:sz w:val="24"/>
        </w:rPr>
        <w:t>供应商（盖章）：</w:t>
      </w:r>
      <w:r>
        <w:rPr>
          <w:rFonts w:hint="eastAsia" w:hAnsi="宋体" w:cs="宋体"/>
          <w:u w:val="single"/>
        </w:rPr>
        <w:tab/>
      </w:r>
      <w:r>
        <w:rPr>
          <w:rFonts w:hint="eastAsia" w:hAnsi="宋体" w:cs="宋体"/>
          <w:u w:val="single"/>
        </w:rPr>
        <w:t xml:space="preserve">          </w:t>
      </w:r>
    </w:p>
    <w:p>
      <w:pPr>
        <w:rPr>
          <w:rFonts w:ascii="宋体" w:hAnsi="宋体" w:cs="宋体"/>
          <w:b/>
          <w:szCs w:val="24"/>
        </w:rPr>
      </w:pPr>
      <w:r>
        <w:rPr>
          <w:rFonts w:hint="eastAsia" w:ascii="宋体" w:hAnsi="宋体" w:cs="宋体"/>
          <w:szCs w:val="24"/>
        </w:rPr>
        <w:t xml:space="preserve">    </w:t>
      </w:r>
    </w:p>
    <w:p>
      <w:pPr>
        <w:numPr>
          <w:ilvl w:val="0"/>
          <w:numId w:val="18"/>
        </w:numPr>
        <w:tabs>
          <w:tab w:val="left" w:pos="360"/>
        </w:tabs>
        <w:ind w:left="360"/>
        <w:rPr>
          <w:rFonts w:ascii="宋体" w:hAnsi="宋体" w:cs="宋体"/>
          <w:b/>
          <w:szCs w:val="24"/>
        </w:rPr>
        <w:sectPr>
          <w:pgSz w:w="11906" w:h="16838"/>
          <w:pgMar w:top="1440" w:right="1797" w:bottom="1440" w:left="1797" w:header="851" w:footer="992" w:gutter="0"/>
          <w:cols w:space="720" w:num="1"/>
          <w:docGrid w:linePitch="326" w:charSpace="0"/>
        </w:sectPr>
      </w:pPr>
    </w:p>
    <w:bookmarkEnd w:id="709"/>
    <w:bookmarkEnd w:id="710"/>
    <w:p>
      <w:bookmarkStart w:id="921" w:name="_Toc8731"/>
      <w:bookmarkStart w:id="922" w:name="_Toc24928"/>
      <w:bookmarkStart w:id="923" w:name="_Toc18252"/>
      <w:r>
        <w:rPr>
          <w:rFonts w:hint="eastAsia"/>
        </w:rPr>
        <w:t xml:space="preserve">附件6 </w:t>
      </w:r>
      <w:bookmarkEnd w:id="921"/>
      <w:r>
        <w:rPr>
          <w:rFonts w:hint="eastAsia"/>
        </w:rPr>
        <w:t>供应商综合情况一览表</w:t>
      </w:r>
      <w:bookmarkEnd w:id="922"/>
      <w:bookmarkEnd w:id="923"/>
    </w:p>
    <w:p>
      <w:pPr>
        <w:spacing w:before="120" w:beforeLines="50" w:after="120" w:afterLines="50" w:line="360" w:lineRule="auto"/>
        <w:jc w:val="center"/>
      </w:pPr>
      <w:r>
        <w:rPr>
          <w:rFonts w:hint="eastAsia"/>
        </w:rPr>
        <w:t>6-1供应商综合情况一览表</w:t>
      </w:r>
    </w:p>
    <w:tbl>
      <w:tblPr>
        <w:tblStyle w:val="42"/>
        <w:tblW w:w="0" w:type="auto"/>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7"/>
        <w:gridCol w:w="1487"/>
        <w:gridCol w:w="2430"/>
        <w:gridCol w:w="2033"/>
        <w:gridCol w:w="19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2174"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lang w:val="zh-CN"/>
              </w:rPr>
            </w:pPr>
            <w:r>
              <w:rPr>
                <w:rFonts w:hint="eastAsia" w:ascii="宋体" w:hAnsi="宋体" w:cs="宋体"/>
                <w:lang w:val="zh-CN"/>
              </w:rPr>
              <w:t>单位名称</w:t>
            </w:r>
          </w:p>
        </w:tc>
        <w:tc>
          <w:tcPr>
            <w:tcW w:w="243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lang w:val="zh-CN"/>
              </w:rPr>
            </w:pPr>
          </w:p>
        </w:tc>
        <w:tc>
          <w:tcPr>
            <w:tcW w:w="2033"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lang w:val="zh-CN"/>
              </w:rPr>
            </w:pPr>
            <w:r>
              <w:rPr>
                <w:rFonts w:hint="eastAsia" w:ascii="宋体" w:hAnsi="宋体" w:cs="宋体"/>
                <w:lang w:val="zh-CN"/>
              </w:rPr>
              <w:t>法人代表</w:t>
            </w:r>
          </w:p>
        </w:tc>
        <w:tc>
          <w:tcPr>
            <w:tcW w:w="1927"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2174"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lang w:val="zh-CN"/>
              </w:rPr>
            </w:pPr>
            <w:r>
              <w:rPr>
                <w:rFonts w:hint="eastAsia" w:ascii="宋体" w:hAnsi="宋体" w:cs="宋体"/>
                <w:lang w:val="zh-CN"/>
              </w:rPr>
              <w:t>单位性质</w:t>
            </w:r>
          </w:p>
        </w:tc>
        <w:tc>
          <w:tcPr>
            <w:tcW w:w="243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lang w:val="zh-CN"/>
              </w:rPr>
            </w:pPr>
          </w:p>
        </w:tc>
        <w:tc>
          <w:tcPr>
            <w:tcW w:w="2033"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lang w:val="zh-CN"/>
              </w:rPr>
            </w:pPr>
            <w:r>
              <w:rPr>
                <w:rFonts w:hint="eastAsia" w:ascii="宋体" w:hAnsi="宋体" w:cs="宋体"/>
                <w:lang w:val="zh-CN"/>
              </w:rPr>
              <w:t>资质等级</w:t>
            </w:r>
          </w:p>
        </w:tc>
        <w:tc>
          <w:tcPr>
            <w:tcW w:w="1927"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2174"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lang w:val="zh-CN"/>
              </w:rPr>
            </w:pPr>
            <w:r>
              <w:rPr>
                <w:rFonts w:hint="eastAsia" w:ascii="宋体" w:hAnsi="宋体" w:cs="宋体"/>
                <w:lang w:val="zh-CN"/>
              </w:rPr>
              <w:t>注册资金</w:t>
            </w:r>
          </w:p>
        </w:tc>
        <w:tc>
          <w:tcPr>
            <w:tcW w:w="243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lang w:val="zh-CN"/>
              </w:rPr>
            </w:pPr>
          </w:p>
        </w:tc>
        <w:tc>
          <w:tcPr>
            <w:tcW w:w="2033"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lang w:val="zh-CN"/>
              </w:rPr>
            </w:pPr>
            <w:r>
              <w:rPr>
                <w:rFonts w:hint="eastAsia" w:ascii="宋体" w:hAnsi="宋体" w:cs="宋体"/>
                <w:lang w:val="zh-CN"/>
              </w:rPr>
              <w:t>单位组建时间</w:t>
            </w:r>
          </w:p>
        </w:tc>
        <w:tc>
          <w:tcPr>
            <w:tcW w:w="1927"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2174"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lang w:val="zh-CN"/>
              </w:rPr>
            </w:pPr>
            <w:r>
              <w:rPr>
                <w:rFonts w:hint="eastAsia" w:ascii="宋体" w:hAnsi="宋体" w:cs="宋体"/>
                <w:lang w:val="zh-CN"/>
              </w:rPr>
              <w:t>单位地址</w:t>
            </w:r>
          </w:p>
        </w:tc>
        <w:tc>
          <w:tcPr>
            <w:tcW w:w="243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lang w:val="zh-CN"/>
              </w:rPr>
            </w:pPr>
          </w:p>
        </w:tc>
        <w:tc>
          <w:tcPr>
            <w:tcW w:w="2033"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lang w:val="zh-CN"/>
              </w:rPr>
            </w:pPr>
            <w:r>
              <w:rPr>
                <w:rFonts w:hint="eastAsia" w:ascii="宋体" w:hAnsi="宋体" w:cs="宋体"/>
                <w:lang w:val="zh-CN"/>
              </w:rPr>
              <w:t>主要联系人</w:t>
            </w:r>
          </w:p>
        </w:tc>
        <w:tc>
          <w:tcPr>
            <w:tcW w:w="1927"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2174"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lang w:val="zh-CN"/>
              </w:rPr>
            </w:pPr>
            <w:r>
              <w:rPr>
                <w:rFonts w:hint="eastAsia" w:ascii="宋体" w:hAnsi="宋体" w:cs="宋体"/>
                <w:lang w:val="zh-CN"/>
              </w:rPr>
              <w:t>开户银行</w:t>
            </w:r>
          </w:p>
        </w:tc>
        <w:tc>
          <w:tcPr>
            <w:tcW w:w="243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lang w:val="zh-CN"/>
              </w:rPr>
            </w:pPr>
          </w:p>
        </w:tc>
        <w:tc>
          <w:tcPr>
            <w:tcW w:w="2033"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lang w:val="zh-CN"/>
              </w:rPr>
            </w:pPr>
            <w:r>
              <w:rPr>
                <w:rFonts w:hint="eastAsia" w:ascii="宋体" w:hAnsi="宋体" w:cs="宋体"/>
                <w:lang w:val="zh-CN"/>
              </w:rPr>
              <w:t>邮编</w:t>
            </w:r>
          </w:p>
        </w:tc>
        <w:tc>
          <w:tcPr>
            <w:tcW w:w="1927"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2174"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lang w:val="zh-CN"/>
              </w:rPr>
            </w:pPr>
            <w:r>
              <w:rPr>
                <w:rFonts w:hint="eastAsia" w:ascii="宋体" w:hAnsi="宋体" w:cs="宋体"/>
              </w:rPr>
              <w:t>网址</w:t>
            </w:r>
          </w:p>
        </w:tc>
        <w:tc>
          <w:tcPr>
            <w:tcW w:w="243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lang w:val="zh-CN"/>
              </w:rPr>
            </w:pPr>
          </w:p>
        </w:tc>
        <w:tc>
          <w:tcPr>
            <w:tcW w:w="2033"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lang w:val="zh-CN"/>
              </w:rPr>
            </w:pPr>
            <w:r>
              <w:rPr>
                <w:rFonts w:hint="eastAsia" w:ascii="宋体" w:hAnsi="宋体" w:cs="宋体"/>
                <w:lang w:val="zh-CN"/>
              </w:rPr>
              <w:t>电话</w:t>
            </w:r>
          </w:p>
        </w:tc>
        <w:tc>
          <w:tcPr>
            <w:tcW w:w="1927"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85" w:hRule="atLeast"/>
        </w:trPr>
        <w:tc>
          <w:tcPr>
            <w:tcW w:w="687" w:type="dxa"/>
            <w:tcBorders>
              <w:top w:val="single" w:color="auto" w:sz="4" w:space="0"/>
              <w:left w:val="single" w:color="auto" w:sz="4" w:space="0"/>
              <w:right w:val="single" w:color="auto" w:sz="4" w:space="0"/>
            </w:tcBorders>
            <w:vAlign w:val="center"/>
          </w:tcPr>
          <w:p>
            <w:pPr>
              <w:autoSpaceDE w:val="0"/>
              <w:autoSpaceDN w:val="0"/>
              <w:spacing w:line="360" w:lineRule="auto"/>
              <w:jc w:val="center"/>
              <w:rPr>
                <w:rFonts w:ascii="宋体" w:hAnsi="宋体" w:cs="宋体"/>
                <w:lang w:val="zh-CN"/>
              </w:rPr>
            </w:pPr>
            <w:r>
              <w:rPr>
                <w:rFonts w:hint="eastAsia" w:ascii="宋体" w:hAnsi="宋体" w:cs="宋体"/>
                <w:lang w:val="zh-CN"/>
              </w:rPr>
              <w:t>单位人员状况</w:t>
            </w:r>
          </w:p>
        </w:tc>
        <w:tc>
          <w:tcPr>
            <w:tcW w:w="3917"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rPr>
                <w:rFonts w:ascii="宋体" w:hAnsi="宋体" w:cs="宋体"/>
                <w:lang w:val="zh-CN"/>
              </w:rPr>
            </w:pPr>
            <w:r>
              <w:rPr>
                <w:rFonts w:hint="eastAsia" w:ascii="宋体" w:hAnsi="宋体" w:cs="宋体"/>
                <w:lang w:val="zh-CN"/>
              </w:rPr>
              <w:t>单位总人数</w:t>
            </w:r>
            <w:r>
              <w:rPr>
                <w:rFonts w:hint="eastAsia" w:ascii="宋体" w:hAnsi="宋体" w:cs="宋体"/>
                <w:u w:val="single"/>
                <w:lang w:val="zh-CN"/>
              </w:rPr>
              <w:t xml:space="preserve">     </w:t>
            </w:r>
            <w:r>
              <w:rPr>
                <w:rFonts w:hint="eastAsia" w:ascii="宋体" w:hAnsi="宋体" w:cs="宋体"/>
                <w:lang w:val="zh-CN"/>
              </w:rPr>
              <w:t>人；</w:t>
            </w:r>
          </w:p>
          <w:p>
            <w:pPr>
              <w:autoSpaceDE w:val="0"/>
              <w:autoSpaceDN w:val="0"/>
              <w:spacing w:line="360" w:lineRule="auto"/>
              <w:rPr>
                <w:rFonts w:ascii="宋体" w:hAnsi="宋体" w:cs="宋体"/>
                <w:lang w:val="zh-CN"/>
              </w:rPr>
            </w:pPr>
            <w:r>
              <w:rPr>
                <w:rFonts w:hint="eastAsia" w:ascii="宋体" w:hAnsi="宋体" w:cs="宋体"/>
              </w:rPr>
              <w:t>具有相关职称</w:t>
            </w:r>
            <w:r>
              <w:rPr>
                <w:rFonts w:hint="eastAsia" w:ascii="宋体" w:hAnsi="宋体" w:cs="宋体"/>
                <w:lang w:val="zh-CN"/>
              </w:rPr>
              <w:t>人员</w:t>
            </w:r>
            <w:r>
              <w:rPr>
                <w:rFonts w:hint="eastAsia" w:ascii="宋体" w:hAnsi="宋体" w:cs="宋体"/>
                <w:u w:val="single"/>
                <w:lang w:val="zh-CN"/>
              </w:rPr>
              <w:t xml:space="preserve">    </w:t>
            </w:r>
            <w:r>
              <w:rPr>
                <w:rFonts w:hint="eastAsia" w:ascii="宋体" w:hAnsi="宋体" w:cs="宋体"/>
                <w:lang w:val="zh-CN"/>
              </w:rPr>
              <w:t>人，</w:t>
            </w:r>
          </w:p>
          <w:p>
            <w:pPr>
              <w:autoSpaceDE w:val="0"/>
              <w:autoSpaceDN w:val="0"/>
              <w:spacing w:line="360" w:lineRule="auto"/>
              <w:rPr>
                <w:rFonts w:ascii="宋体" w:hAnsi="宋体" w:cs="宋体"/>
                <w:lang w:val="zh-CN"/>
              </w:rPr>
            </w:pPr>
            <w:r>
              <w:rPr>
                <w:rFonts w:hint="eastAsia" w:ascii="宋体" w:hAnsi="宋体" w:cs="宋体"/>
                <w:lang w:val="zh-CN"/>
              </w:rPr>
              <w:t>其中，</w:t>
            </w:r>
          </w:p>
          <w:p>
            <w:pPr>
              <w:autoSpaceDE w:val="0"/>
              <w:autoSpaceDN w:val="0"/>
              <w:spacing w:line="360" w:lineRule="auto"/>
              <w:rPr>
                <w:rFonts w:ascii="宋体" w:hAnsi="宋体" w:cs="宋体"/>
                <w:lang w:val="zh-CN"/>
              </w:rPr>
            </w:pPr>
            <w:r>
              <w:rPr>
                <w:rFonts w:hint="eastAsia" w:ascii="宋体" w:hAnsi="宋体" w:cs="宋体"/>
                <w:lang w:val="zh-CN"/>
              </w:rPr>
              <w:t xml:space="preserve">高级称职 </w:t>
            </w:r>
            <w:r>
              <w:rPr>
                <w:rFonts w:hint="eastAsia" w:ascii="宋体" w:hAnsi="宋体" w:cs="宋体"/>
                <w:u w:val="single"/>
                <w:lang w:val="zh-CN"/>
              </w:rPr>
              <w:t xml:space="preserve">         </w:t>
            </w:r>
            <w:r>
              <w:rPr>
                <w:rFonts w:hint="eastAsia" w:ascii="宋体" w:hAnsi="宋体" w:cs="宋体"/>
                <w:lang w:val="zh-CN"/>
              </w:rPr>
              <w:t xml:space="preserve"> 人</w:t>
            </w:r>
          </w:p>
          <w:p>
            <w:pPr>
              <w:autoSpaceDE w:val="0"/>
              <w:autoSpaceDN w:val="0"/>
              <w:spacing w:line="360" w:lineRule="auto"/>
              <w:rPr>
                <w:rFonts w:ascii="宋体" w:hAnsi="宋体" w:cs="宋体"/>
                <w:lang w:val="zh-CN"/>
              </w:rPr>
            </w:pPr>
            <w:r>
              <w:rPr>
                <w:rFonts w:hint="eastAsia" w:ascii="宋体" w:hAnsi="宋体" w:cs="宋体"/>
                <w:lang w:val="zh-CN"/>
              </w:rPr>
              <w:t xml:space="preserve">中级职称 </w:t>
            </w:r>
            <w:r>
              <w:rPr>
                <w:rFonts w:hint="eastAsia" w:ascii="宋体" w:hAnsi="宋体" w:cs="宋体"/>
                <w:u w:val="single"/>
                <w:lang w:val="zh-CN"/>
              </w:rPr>
              <w:t xml:space="preserve">         </w:t>
            </w:r>
            <w:r>
              <w:rPr>
                <w:rFonts w:hint="eastAsia" w:ascii="宋体" w:hAnsi="宋体" w:cs="宋体"/>
                <w:lang w:val="zh-CN"/>
              </w:rPr>
              <w:t xml:space="preserve"> 人</w:t>
            </w:r>
          </w:p>
          <w:p>
            <w:pPr>
              <w:autoSpaceDE w:val="0"/>
              <w:autoSpaceDN w:val="0"/>
              <w:spacing w:line="360" w:lineRule="auto"/>
              <w:rPr>
                <w:rFonts w:ascii="宋体" w:hAnsi="宋体" w:cs="宋体"/>
                <w:lang w:val="zh-CN"/>
              </w:rPr>
            </w:pPr>
            <w:r>
              <w:rPr>
                <w:rFonts w:hint="eastAsia" w:ascii="宋体" w:hAnsi="宋体" w:cs="宋体"/>
                <w:lang w:val="zh-CN"/>
              </w:rPr>
              <w:t>初级职称</w:t>
            </w:r>
            <w:r>
              <w:rPr>
                <w:rFonts w:hint="eastAsia" w:ascii="宋体" w:hAnsi="宋体" w:cs="宋体"/>
                <w:u w:val="single"/>
                <w:lang w:val="zh-CN"/>
              </w:rPr>
              <w:t xml:space="preserve">     </w:t>
            </w:r>
            <w:r>
              <w:rPr>
                <w:rFonts w:hint="eastAsia" w:ascii="宋体" w:hAnsi="宋体" w:cs="宋体"/>
                <w:lang w:val="zh-CN"/>
              </w:rPr>
              <w:t>人；</w:t>
            </w:r>
          </w:p>
          <w:p>
            <w:pPr>
              <w:autoSpaceDE w:val="0"/>
              <w:autoSpaceDN w:val="0"/>
              <w:spacing w:line="360" w:lineRule="auto"/>
              <w:rPr>
                <w:rFonts w:ascii="宋体" w:hAnsi="宋体" w:cs="宋体"/>
                <w:lang w:val="zh-CN"/>
              </w:rPr>
            </w:pPr>
          </w:p>
        </w:tc>
        <w:tc>
          <w:tcPr>
            <w:tcW w:w="3960"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lang w:val="zh-CN"/>
              </w:rPr>
            </w:pPr>
            <w:r>
              <w:rPr>
                <w:rFonts w:hint="eastAsia" w:ascii="宋体" w:hAnsi="宋体" w:cs="宋体"/>
                <w:lang w:val="zh-CN"/>
              </w:rPr>
              <w:t>单位固定资产总额</w:t>
            </w:r>
            <w:r>
              <w:rPr>
                <w:rFonts w:hint="eastAsia" w:ascii="宋体" w:hAnsi="宋体" w:cs="宋体"/>
                <w:u w:val="single"/>
                <w:lang w:val="zh-CN"/>
              </w:rPr>
              <w:t xml:space="preserve">           </w:t>
            </w:r>
            <w:r>
              <w:rPr>
                <w:rFonts w:hint="eastAsia" w:ascii="宋体" w:hAnsi="宋体" w:cs="宋体"/>
                <w:lang w:val="zh-CN"/>
              </w:rPr>
              <w:t>万元</w:t>
            </w:r>
          </w:p>
          <w:p>
            <w:pPr>
              <w:autoSpaceDE w:val="0"/>
              <w:autoSpaceDN w:val="0"/>
              <w:spacing w:line="360" w:lineRule="auto"/>
              <w:jc w:val="center"/>
              <w:rPr>
                <w:rFonts w:ascii="宋体" w:hAnsi="宋体" w:cs="宋体"/>
                <w:lang w:val="zh-CN"/>
              </w:rPr>
            </w:pPr>
            <w:r>
              <w:rPr>
                <w:rFonts w:hint="eastAsia" w:ascii="宋体" w:hAnsi="宋体" w:cs="宋体"/>
                <w:lang w:val="zh-CN"/>
              </w:rPr>
              <w:t>其中：</w:t>
            </w:r>
          </w:p>
          <w:p>
            <w:pPr>
              <w:autoSpaceDE w:val="0"/>
              <w:autoSpaceDN w:val="0"/>
              <w:spacing w:line="360" w:lineRule="auto"/>
              <w:jc w:val="center"/>
              <w:rPr>
                <w:rFonts w:ascii="宋体" w:hAnsi="宋体" w:cs="宋体"/>
                <w:spacing w:val="-20"/>
                <w:lang w:val="zh-CN"/>
              </w:rPr>
            </w:pPr>
            <w:r>
              <w:rPr>
                <w:rFonts w:hint="eastAsia" w:ascii="宋体" w:hAnsi="宋体" w:cs="宋体"/>
                <w:lang w:val="zh-CN"/>
              </w:rPr>
              <w:t>可用于本项目设备</w:t>
            </w:r>
            <w:r>
              <w:rPr>
                <w:rFonts w:hint="eastAsia" w:ascii="宋体" w:hAnsi="宋体" w:cs="宋体"/>
                <w:u w:val="single"/>
                <w:lang w:val="zh-CN"/>
              </w:rPr>
              <w:t xml:space="preserve">   </w:t>
            </w:r>
            <w:r>
              <w:rPr>
                <w:rFonts w:hint="eastAsia" w:ascii="宋体" w:hAnsi="宋体" w:cs="宋体"/>
                <w:spacing w:val="-20"/>
                <w:u w:val="single"/>
                <w:lang w:val="zh-CN"/>
              </w:rPr>
              <w:t xml:space="preserve">           </w:t>
            </w:r>
            <w:r>
              <w:rPr>
                <w:rFonts w:hint="eastAsia" w:ascii="宋体" w:hAnsi="宋体" w:cs="宋体"/>
                <w:spacing w:val="-20"/>
                <w:lang w:val="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19" w:hRule="atLeast"/>
        </w:trPr>
        <w:tc>
          <w:tcPr>
            <w:tcW w:w="2174" w:type="dxa"/>
            <w:gridSpan w:val="2"/>
            <w:tcBorders>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lang w:val="zh-CN"/>
              </w:rPr>
            </w:pPr>
            <w:r>
              <w:rPr>
                <w:rFonts w:hint="eastAsia" w:ascii="宋体" w:hAnsi="宋体" w:cs="宋体"/>
                <w:lang w:val="zh-CN"/>
              </w:rPr>
              <w:t>经营范围</w:t>
            </w:r>
          </w:p>
        </w:tc>
        <w:tc>
          <w:tcPr>
            <w:tcW w:w="6390" w:type="dxa"/>
            <w:gridSpan w:val="3"/>
            <w:tcBorders>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lang w:val="zh-CN"/>
              </w:rPr>
            </w:pPr>
          </w:p>
        </w:tc>
      </w:tr>
    </w:tbl>
    <w:p>
      <w:pPr>
        <w:autoSpaceDE w:val="0"/>
        <w:autoSpaceDN w:val="0"/>
        <w:spacing w:line="360" w:lineRule="auto"/>
        <w:rPr>
          <w:rFonts w:ascii="宋体" w:hAnsi="宋体" w:cs="宋体"/>
          <w:lang w:val="zh-CN"/>
        </w:rPr>
      </w:pPr>
    </w:p>
    <w:p>
      <w:pPr>
        <w:autoSpaceDE w:val="0"/>
        <w:autoSpaceDN w:val="0"/>
        <w:spacing w:line="360" w:lineRule="auto"/>
        <w:rPr>
          <w:rFonts w:ascii="宋体" w:hAnsi="宋体" w:cs="宋体"/>
          <w:lang w:val="zh-CN"/>
        </w:rPr>
      </w:pPr>
      <w:r>
        <w:rPr>
          <w:rFonts w:hint="eastAsia" w:ascii="宋体" w:hAnsi="宋体" w:cs="宋体"/>
          <w:lang w:val="zh-CN"/>
        </w:rPr>
        <w:t xml:space="preserve">授权代表（签字）：                          </w:t>
      </w:r>
      <w:r>
        <w:rPr>
          <w:rFonts w:hint="eastAsia" w:ascii="宋体" w:hAnsi="宋体" w:cs="宋体"/>
        </w:rPr>
        <w:t>供应商</w:t>
      </w:r>
      <w:r>
        <w:rPr>
          <w:rFonts w:hint="eastAsia" w:ascii="宋体" w:hAnsi="宋体" w:cs="宋体"/>
          <w:lang w:val="zh-CN"/>
        </w:rPr>
        <w:t xml:space="preserve">名称：（公章）    </w:t>
      </w:r>
    </w:p>
    <w:p>
      <w:pPr>
        <w:pStyle w:val="29"/>
        <w:tabs>
          <w:tab w:val="left" w:pos="840"/>
          <w:tab w:val="right" w:leader="dot" w:pos="8302"/>
        </w:tabs>
        <w:spacing w:before="78" w:after="78" w:line="360" w:lineRule="auto"/>
        <w:rPr>
          <w:rFonts w:ascii="宋体" w:hAnsi="宋体" w:cs="宋体"/>
          <w:lang w:val="zh-CN"/>
        </w:rPr>
      </w:pPr>
    </w:p>
    <w:p>
      <w:pPr>
        <w:autoSpaceDE w:val="0"/>
        <w:autoSpaceDN w:val="0"/>
        <w:spacing w:line="360" w:lineRule="auto"/>
        <w:ind w:firstLine="480" w:firstLineChars="200"/>
        <w:rPr>
          <w:rFonts w:ascii="宋体" w:hAnsi="宋体" w:cs="宋体"/>
          <w:lang w:val="zh-CN"/>
        </w:rPr>
      </w:pPr>
      <w:r>
        <w:rPr>
          <w:rFonts w:hint="eastAsia" w:ascii="宋体" w:hAnsi="宋体" w:cs="宋体"/>
        </w:rPr>
        <w:t>年   月  日</w:t>
      </w:r>
    </w:p>
    <w:p>
      <w:pPr>
        <w:spacing w:before="120" w:beforeLines="50" w:after="120" w:afterLines="50" w:line="360" w:lineRule="auto"/>
        <w:jc w:val="center"/>
        <w:sectPr>
          <w:pgSz w:w="11906" w:h="16838"/>
          <w:pgMar w:top="1440" w:right="1797" w:bottom="1440" w:left="1797" w:header="851" w:footer="992" w:gutter="0"/>
          <w:cols w:space="720" w:num="1"/>
          <w:docGrid w:linePitch="326" w:charSpace="0"/>
        </w:sectPr>
      </w:pPr>
      <w:bookmarkStart w:id="924" w:name="_Toc183597059"/>
      <w:bookmarkStart w:id="925" w:name="_Toc12875"/>
      <w:bookmarkStart w:id="926" w:name="_Toc99187460"/>
      <w:bookmarkStart w:id="927" w:name="_Toc67905550"/>
      <w:bookmarkStart w:id="928" w:name="_Toc94762802"/>
    </w:p>
    <w:p>
      <w:pPr>
        <w:spacing w:before="120" w:beforeLines="50" w:after="120" w:afterLines="50" w:line="360" w:lineRule="auto"/>
        <w:jc w:val="center"/>
      </w:pPr>
      <w:r>
        <w:rPr>
          <w:rFonts w:hint="eastAsia"/>
        </w:rPr>
        <w:t>6-2 供应商资质情况表</w:t>
      </w:r>
      <w:bookmarkEnd w:id="924"/>
      <w:bookmarkEnd w:id="925"/>
      <w:bookmarkEnd w:id="926"/>
      <w:bookmarkEnd w:id="927"/>
      <w:bookmarkEnd w:id="928"/>
    </w:p>
    <w:tbl>
      <w:tblPr>
        <w:tblStyle w:val="42"/>
        <w:tblW w:w="0" w:type="auto"/>
        <w:tblInd w:w="1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5"/>
        <w:gridCol w:w="480"/>
        <w:gridCol w:w="1800"/>
        <w:gridCol w:w="480"/>
        <w:gridCol w:w="1440"/>
        <w:gridCol w:w="226"/>
        <w:gridCol w:w="1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8259" w:type="dxa"/>
            <w:gridSpan w:val="7"/>
            <w:tcBorders>
              <w:top w:val="single" w:color="auto" w:sz="4" w:space="0"/>
              <w:left w:val="single" w:color="auto" w:sz="4" w:space="0"/>
              <w:bottom w:val="single" w:color="auto" w:sz="4" w:space="0"/>
              <w:right w:val="single" w:color="auto" w:sz="4" w:space="0"/>
            </w:tcBorders>
          </w:tcPr>
          <w:p>
            <w:pPr>
              <w:autoSpaceDE w:val="0"/>
              <w:autoSpaceDN w:val="0"/>
              <w:spacing w:line="360" w:lineRule="auto"/>
              <w:rPr>
                <w:rFonts w:ascii="宋体" w:hAnsi="宋体" w:cs="宋体"/>
                <w:lang w:val="zh-CN"/>
              </w:rPr>
            </w:pPr>
            <w:r>
              <w:rPr>
                <w:rFonts w:hint="eastAsia" w:ascii="宋体" w:hAnsi="宋体" w:cs="宋体"/>
                <w:lang w:val="zh-CN"/>
              </w:rPr>
              <w:t>1、一般情况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2025" w:type="dxa"/>
            <w:vMerge w:val="restart"/>
            <w:tcBorders>
              <w:top w:val="single" w:color="auto" w:sz="4" w:space="0"/>
              <w:left w:val="single" w:color="auto" w:sz="4" w:space="0"/>
              <w:right w:val="single" w:color="auto" w:sz="4" w:space="0"/>
            </w:tcBorders>
          </w:tcPr>
          <w:p>
            <w:pPr>
              <w:autoSpaceDE w:val="0"/>
              <w:autoSpaceDN w:val="0"/>
              <w:spacing w:line="360" w:lineRule="auto"/>
              <w:rPr>
                <w:rFonts w:ascii="宋体" w:hAnsi="宋体" w:cs="宋体"/>
                <w:lang w:val="zh-CN"/>
              </w:rPr>
            </w:pPr>
            <w:r>
              <w:rPr>
                <w:rFonts w:hint="eastAsia" w:ascii="宋体" w:hAnsi="宋体" w:cs="宋体"/>
              </w:rPr>
              <w:t>供应商</w:t>
            </w:r>
            <w:r>
              <w:rPr>
                <w:rFonts w:hint="eastAsia" w:ascii="宋体" w:hAnsi="宋体" w:cs="宋体"/>
                <w:lang w:val="zh-CN"/>
              </w:rPr>
              <w:t>名称</w:t>
            </w:r>
          </w:p>
          <w:p>
            <w:pPr>
              <w:autoSpaceDE w:val="0"/>
              <w:autoSpaceDN w:val="0"/>
              <w:spacing w:line="360" w:lineRule="auto"/>
              <w:rPr>
                <w:rFonts w:ascii="宋体" w:hAnsi="宋体" w:cs="宋体"/>
                <w:lang w:val="zh-CN"/>
              </w:rPr>
            </w:pPr>
          </w:p>
        </w:tc>
        <w:tc>
          <w:tcPr>
            <w:tcW w:w="2760" w:type="dxa"/>
            <w:gridSpan w:val="3"/>
            <w:vMerge w:val="restart"/>
            <w:tcBorders>
              <w:top w:val="single" w:color="auto" w:sz="4" w:space="0"/>
              <w:left w:val="single" w:color="auto" w:sz="4" w:space="0"/>
              <w:right w:val="single" w:color="auto" w:sz="4" w:space="0"/>
            </w:tcBorders>
          </w:tcPr>
          <w:p>
            <w:pPr>
              <w:autoSpaceDE w:val="0"/>
              <w:autoSpaceDN w:val="0"/>
              <w:spacing w:line="360" w:lineRule="auto"/>
              <w:rPr>
                <w:rFonts w:ascii="宋体" w:hAnsi="宋体" w:cs="宋体"/>
                <w:lang w:val="zh-CN"/>
              </w:rPr>
            </w:pPr>
          </w:p>
        </w:tc>
        <w:tc>
          <w:tcPr>
            <w:tcW w:w="1666" w:type="dxa"/>
            <w:gridSpan w:val="2"/>
            <w:tcBorders>
              <w:top w:val="single" w:color="auto" w:sz="4" w:space="0"/>
              <w:left w:val="single" w:color="auto" w:sz="4" w:space="0"/>
              <w:bottom w:val="single" w:color="auto" w:sz="4" w:space="0"/>
              <w:right w:val="single" w:color="auto" w:sz="4" w:space="0"/>
            </w:tcBorders>
          </w:tcPr>
          <w:p>
            <w:pPr>
              <w:autoSpaceDE w:val="0"/>
              <w:autoSpaceDN w:val="0"/>
              <w:spacing w:line="360" w:lineRule="auto"/>
              <w:rPr>
                <w:rFonts w:ascii="宋体" w:hAnsi="宋体" w:cs="宋体"/>
                <w:lang w:val="zh-CN"/>
              </w:rPr>
            </w:pPr>
            <w:r>
              <w:rPr>
                <w:rFonts w:hint="eastAsia" w:ascii="宋体" w:hAnsi="宋体" w:cs="宋体"/>
                <w:lang w:val="zh-CN"/>
              </w:rPr>
              <w:t>单位性质</w:t>
            </w:r>
          </w:p>
        </w:tc>
        <w:tc>
          <w:tcPr>
            <w:tcW w:w="1808" w:type="dxa"/>
            <w:tcBorders>
              <w:top w:val="single" w:color="auto" w:sz="4" w:space="0"/>
              <w:left w:val="single" w:color="auto" w:sz="4" w:space="0"/>
              <w:bottom w:val="single" w:color="auto" w:sz="4" w:space="0"/>
              <w:right w:val="single" w:color="auto" w:sz="4" w:space="0"/>
            </w:tcBorders>
          </w:tcPr>
          <w:p>
            <w:pPr>
              <w:autoSpaceDE w:val="0"/>
              <w:autoSpaceDN w:val="0"/>
              <w:spacing w:line="360" w:lineRule="auto"/>
              <w:rPr>
                <w:rFonts w:ascii="宋体" w:hAnsi="宋体" w:cs="宋体"/>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0" w:hRule="atLeast"/>
        </w:trPr>
        <w:tc>
          <w:tcPr>
            <w:tcW w:w="2025" w:type="dxa"/>
            <w:vMerge w:val="continue"/>
            <w:tcBorders>
              <w:left w:val="single" w:color="auto" w:sz="4" w:space="0"/>
              <w:bottom w:val="single" w:color="auto" w:sz="4" w:space="0"/>
              <w:right w:val="single" w:color="auto" w:sz="4" w:space="0"/>
            </w:tcBorders>
          </w:tcPr>
          <w:p>
            <w:pPr>
              <w:autoSpaceDE w:val="0"/>
              <w:autoSpaceDN w:val="0"/>
              <w:spacing w:line="360" w:lineRule="auto"/>
              <w:rPr>
                <w:rFonts w:ascii="宋体" w:hAnsi="宋体" w:cs="宋体"/>
                <w:lang w:val="zh-CN"/>
              </w:rPr>
            </w:pPr>
          </w:p>
        </w:tc>
        <w:tc>
          <w:tcPr>
            <w:tcW w:w="2760" w:type="dxa"/>
            <w:gridSpan w:val="3"/>
            <w:vMerge w:val="continue"/>
            <w:tcBorders>
              <w:left w:val="single" w:color="auto" w:sz="4" w:space="0"/>
              <w:bottom w:val="single" w:color="auto" w:sz="4" w:space="0"/>
              <w:right w:val="single" w:color="auto" w:sz="4" w:space="0"/>
            </w:tcBorders>
          </w:tcPr>
          <w:p>
            <w:pPr>
              <w:autoSpaceDE w:val="0"/>
              <w:autoSpaceDN w:val="0"/>
              <w:spacing w:line="360" w:lineRule="auto"/>
              <w:rPr>
                <w:rFonts w:ascii="宋体" w:hAnsi="宋体" w:cs="宋体"/>
                <w:lang w:val="zh-CN"/>
              </w:rPr>
            </w:pPr>
          </w:p>
        </w:tc>
        <w:tc>
          <w:tcPr>
            <w:tcW w:w="1666" w:type="dxa"/>
            <w:gridSpan w:val="2"/>
            <w:tcBorders>
              <w:top w:val="single" w:color="auto" w:sz="4" w:space="0"/>
              <w:left w:val="single" w:color="auto" w:sz="4" w:space="0"/>
              <w:bottom w:val="single" w:color="auto" w:sz="4" w:space="0"/>
              <w:right w:val="single" w:color="auto" w:sz="4" w:space="0"/>
            </w:tcBorders>
          </w:tcPr>
          <w:p>
            <w:pPr>
              <w:autoSpaceDE w:val="0"/>
              <w:autoSpaceDN w:val="0"/>
              <w:spacing w:line="360" w:lineRule="auto"/>
              <w:rPr>
                <w:rFonts w:ascii="宋体" w:hAnsi="宋体" w:cs="宋体"/>
              </w:rPr>
            </w:pPr>
            <w:r>
              <w:rPr>
                <w:rFonts w:hint="eastAsia" w:ascii="宋体" w:hAnsi="宋体" w:cs="宋体"/>
              </w:rPr>
              <w:t>注册资金</w:t>
            </w:r>
          </w:p>
        </w:tc>
        <w:tc>
          <w:tcPr>
            <w:tcW w:w="1808" w:type="dxa"/>
            <w:tcBorders>
              <w:top w:val="single" w:color="auto" w:sz="4" w:space="0"/>
              <w:left w:val="single" w:color="auto" w:sz="4" w:space="0"/>
              <w:bottom w:val="single" w:color="auto" w:sz="4" w:space="0"/>
              <w:right w:val="single" w:color="auto" w:sz="4" w:space="0"/>
            </w:tcBorders>
          </w:tcPr>
          <w:p>
            <w:pPr>
              <w:autoSpaceDE w:val="0"/>
              <w:autoSpaceDN w:val="0"/>
              <w:spacing w:line="360" w:lineRule="auto"/>
              <w:rPr>
                <w:rFonts w:ascii="宋体" w:hAnsi="宋体" w:cs="宋体"/>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2025" w:type="dxa"/>
            <w:tcBorders>
              <w:top w:val="single" w:color="auto" w:sz="4" w:space="0"/>
              <w:left w:val="single" w:color="auto" w:sz="4" w:space="0"/>
              <w:bottom w:val="single" w:color="auto" w:sz="4" w:space="0"/>
              <w:right w:val="single" w:color="auto" w:sz="4" w:space="0"/>
            </w:tcBorders>
          </w:tcPr>
          <w:p>
            <w:pPr>
              <w:autoSpaceDE w:val="0"/>
              <w:autoSpaceDN w:val="0"/>
              <w:spacing w:line="360" w:lineRule="auto"/>
              <w:rPr>
                <w:rFonts w:ascii="宋体" w:hAnsi="宋体" w:cs="宋体"/>
                <w:lang w:val="zh-CN"/>
              </w:rPr>
            </w:pPr>
            <w:r>
              <w:rPr>
                <w:rFonts w:hint="eastAsia" w:ascii="宋体" w:hAnsi="宋体" w:cs="宋体"/>
                <w:lang w:val="zh-CN"/>
              </w:rPr>
              <w:t>公司注册名称</w:t>
            </w:r>
          </w:p>
        </w:tc>
        <w:tc>
          <w:tcPr>
            <w:tcW w:w="6234" w:type="dxa"/>
            <w:gridSpan w:val="6"/>
            <w:tcBorders>
              <w:top w:val="single" w:color="auto" w:sz="4" w:space="0"/>
              <w:left w:val="single" w:color="auto" w:sz="4" w:space="0"/>
              <w:bottom w:val="single" w:color="auto" w:sz="4" w:space="0"/>
              <w:right w:val="single" w:color="auto" w:sz="4" w:space="0"/>
            </w:tcBorders>
          </w:tcPr>
          <w:p>
            <w:pPr>
              <w:autoSpaceDE w:val="0"/>
              <w:autoSpaceDN w:val="0"/>
              <w:spacing w:line="360" w:lineRule="auto"/>
              <w:rPr>
                <w:rFonts w:ascii="宋体" w:hAnsi="宋体" w:cs="宋体"/>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025" w:type="dxa"/>
            <w:tcBorders>
              <w:top w:val="single" w:color="auto" w:sz="4" w:space="0"/>
              <w:left w:val="single" w:color="auto" w:sz="4" w:space="0"/>
              <w:bottom w:val="single" w:color="auto" w:sz="4" w:space="0"/>
              <w:right w:val="single" w:color="auto" w:sz="4" w:space="0"/>
            </w:tcBorders>
          </w:tcPr>
          <w:p>
            <w:pPr>
              <w:autoSpaceDE w:val="0"/>
              <w:autoSpaceDN w:val="0"/>
              <w:spacing w:line="360" w:lineRule="auto"/>
              <w:rPr>
                <w:rFonts w:ascii="宋体" w:hAnsi="宋体" w:cs="宋体"/>
                <w:lang w:val="zh-CN"/>
              </w:rPr>
            </w:pPr>
            <w:r>
              <w:rPr>
                <w:rFonts w:hint="eastAsia" w:ascii="宋体" w:hAnsi="宋体" w:cs="宋体"/>
                <w:lang w:val="zh-CN"/>
              </w:rPr>
              <w:t>营业范围</w:t>
            </w:r>
          </w:p>
        </w:tc>
        <w:tc>
          <w:tcPr>
            <w:tcW w:w="6234" w:type="dxa"/>
            <w:gridSpan w:val="6"/>
            <w:tcBorders>
              <w:top w:val="single" w:color="auto" w:sz="4" w:space="0"/>
              <w:left w:val="single" w:color="auto" w:sz="4" w:space="0"/>
              <w:bottom w:val="single" w:color="auto" w:sz="4" w:space="0"/>
              <w:right w:val="single" w:color="auto" w:sz="4" w:space="0"/>
            </w:tcBorders>
          </w:tcPr>
          <w:p>
            <w:pPr>
              <w:autoSpaceDE w:val="0"/>
              <w:autoSpaceDN w:val="0"/>
              <w:spacing w:line="360" w:lineRule="auto"/>
              <w:rPr>
                <w:rFonts w:ascii="宋体" w:hAnsi="宋体" w:cs="宋体"/>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2025" w:type="dxa"/>
            <w:tcBorders>
              <w:top w:val="single" w:color="auto" w:sz="4" w:space="0"/>
              <w:left w:val="single" w:color="auto" w:sz="4" w:space="0"/>
              <w:bottom w:val="single" w:color="auto" w:sz="4" w:space="0"/>
              <w:right w:val="single" w:color="auto" w:sz="4" w:space="0"/>
            </w:tcBorders>
          </w:tcPr>
          <w:p>
            <w:pPr>
              <w:autoSpaceDE w:val="0"/>
              <w:autoSpaceDN w:val="0"/>
              <w:spacing w:line="360" w:lineRule="auto"/>
              <w:rPr>
                <w:rFonts w:ascii="宋体" w:hAnsi="宋体" w:cs="宋体"/>
                <w:lang w:val="zh-CN"/>
              </w:rPr>
            </w:pPr>
            <w:r>
              <w:rPr>
                <w:rFonts w:hint="eastAsia" w:ascii="宋体" w:hAnsi="宋体" w:cs="宋体"/>
                <w:lang w:val="zh-CN"/>
              </w:rPr>
              <w:t>地址</w:t>
            </w:r>
          </w:p>
        </w:tc>
        <w:tc>
          <w:tcPr>
            <w:tcW w:w="2760" w:type="dxa"/>
            <w:gridSpan w:val="3"/>
            <w:tcBorders>
              <w:top w:val="single" w:color="auto" w:sz="4" w:space="0"/>
              <w:left w:val="single" w:color="auto" w:sz="4" w:space="0"/>
              <w:bottom w:val="single" w:color="auto" w:sz="4" w:space="0"/>
              <w:right w:val="single" w:color="auto" w:sz="4" w:space="0"/>
            </w:tcBorders>
          </w:tcPr>
          <w:p>
            <w:pPr>
              <w:autoSpaceDE w:val="0"/>
              <w:autoSpaceDN w:val="0"/>
              <w:spacing w:line="360" w:lineRule="auto"/>
              <w:rPr>
                <w:rFonts w:ascii="宋体" w:hAnsi="宋体" w:cs="宋体"/>
                <w:lang w:val="zh-CN"/>
              </w:rPr>
            </w:pPr>
          </w:p>
        </w:tc>
        <w:tc>
          <w:tcPr>
            <w:tcW w:w="1666" w:type="dxa"/>
            <w:gridSpan w:val="2"/>
            <w:tcBorders>
              <w:top w:val="single" w:color="auto" w:sz="4" w:space="0"/>
              <w:left w:val="single" w:color="auto" w:sz="4" w:space="0"/>
              <w:bottom w:val="single" w:color="auto" w:sz="4" w:space="0"/>
              <w:right w:val="single" w:color="auto" w:sz="4" w:space="0"/>
            </w:tcBorders>
          </w:tcPr>
          <w:p>
            <w:pPr>
              <w:autoSpaceDE w:val="0"/>
              <w:autoSpaceDN w:val="0"/>
              <w:spacing w:line="360" w:lineRule="auto"/>
              <w:rPr>
                <w:rFonts w:ascii="宋体" w:hAnsi="宋体" w:cs="宋体"/>
                <w:lang w:val="zh-CN"/>
              </w:rPr>
            </w:pPr>
            <w:r>
              <w:rPr>
                <w:rFonts w:hint="eastAsia" w:ascii="宋体" w:hAnsi="宋体" w:cs="宋体"/>
                <w:lang w:val="zh-CN"/>
              </w:rPr>
              <w:t>邮编</w:t>
            </w:r>
          </w:p>
        </w:tc>
        <w:tc>
          <w:tcPr>
            <w:tcW w:w="1808" w:type="dxa"/>
            <w:tcBorders>
              <w:top w:val="single" w:color="auto" w:sz="4" w:space="0"/>
              <w:left w:val="single" w:color="auto" w:sz="4" w:space="0"/>
              <w:bottom w:val="single" w:color="auto" w:sz="4" w:space="0"/>
              <w:right w:val="single" w:color="auto" w:sz="4" w:space="0"/>
            </w:tcBorders>
          </w:tcPr>
          <w:p>
            <w:pPr>
              <w:autoSpaceDE w:val="0"/>
              <w:autoSpaceDN w:val="0"/>
              <w:spacing w:line="360" w:lineRule="auto"/>
              <w:rPr>
                <w:rFonts w:ascii="宋体" w:hAnsi="宋体" w:cs="宋体"/>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2025" w:type="dxa"/>
            <w:tcBorders>
              <w:top w:val="single" w:color="auto" w:sz="4" w:space="0"/>
              <w:left w:val="single" w:color="auto" w:sz="4" w:space="0"/>
              <w:bottom w:val="single" w:color="auto" w:sz="4" w:space="0"/>
              <w:right w:val="single" w:color="auto" w:sz="4" w:space="0"/>
            </w:tcBorders>
          </w:tcPr>
          <w:p>
            <w:pPr>
              <w:autoSpaceDE w:val="0"/>
              <w:autoSpaceDN w:val="0"/>
              <w:spacing w:line="360" w:lineRule="auto"/>
              <w:rPr>
                <w:rFonts w:ascii="宋体" w:hAnsi="宋体" w:cs="宋体"/>
                <w:lang w:val="zh-CN"/>
              </w:rPr>
            </w:pPr>
            <w:r>
              <w:rPr>
                <w:rFonts w:hint="eastAsia" w:ascii="宋体" w:hAnsi="宋体" w:cs="宋体"/>
                <w:lang w:val="zh-CN"/>
              </w:rPr>
              <w:t>电话</w:t>
            </w:r>
          </w:p>
        </w:tc>
        <w:tc>
          <w:tcPr>
            <w:tcW w:w="2760" w:type="dxa"/>
            <w:gridSpan w:val="3"/>
            <w:tcBorders>
              <w:top w:val="single" w:color="auto" w:sz="4" w:space="0"/>
              <w:left w:val="single" w:color="auto" w:sz="4" w:space="0"/>
              <w:bottom w:val="single" w:color="auto" w:sz="4" w:space="0"/>
              <w:right w:val="single" w:color="auto" w:sz="4" w:space="0"/>
            </w:tcBorders>
          </w:tcPr>
          <w:p>
            <w:pPr>
              <w:autoSpaceDE w:val="0"/>
              <w:autoSpaceDN w:val="0"/>
              <w:spacing w:line="360" w:lineRule="auto"/>
              <w:rPr>
                <w:rFonts w:ascii="宋体" w:hAnsi="宋体" w:cs="宋体"/>
                <w:lang w:val="zh-CN"/>
              </w:rPr>
            </w:pPr>
          </w:p>
        </w:tc>
        <w:tc>
          <w:tcPr>
            <w:tcW w:w="1666" w:type="dxa"/>
            <w:gridSpan w:val="2"/>
            <w:tcBorders>
              <w:top w:val="single" w:color="auto" w:sz="4" w:space="0"/>
              <w:left w:val="single" w:color="auto" w:sz="4" w:space="0"/>
              <w:bottom w:val="single" w:color="auto" w:sz="4" w:space="0"/>
              <w:right w:val="single" w:color="auto" w:sz="4" w:space="0"/>
            </w:tcBorders>
          </w:tcPr>
          <w:p>
            <w:pPr>
              <w:autoSpaceDE w:val="0"/>
              <w:autoSpaceDN w:val="0"/>
              <w:spacing w:line="360" w:lineRule="auto"/>
              <w:rPr>
                <w:rFonts w:ascii="宋体" w:hAnsi="宋体" w:cs="宋体"/>
                <w:lang w:val="zh-CN"/>
              </w:rPr>
            </w:pPr>
            <w:r>
              <w:rPr>
                <w:rFonts w:hint="eastAsia" w:ascii="宋体" w:hAnsi="宋体" w:cs="宋体"/>
                <w:lang w:val="zh-CN"/>
              </w:rPr>
              <w:t>传真</w:t>
            </w:r>
          </w:p>
        </w:tc>
        <w:tc>
          <w:tcPr>
            <w:tcW w:w="1808" w:type="dxa"/>
            <w:tcBorders>
              <w:top w:val="single" w:color="auto" w:sz="4" w:space="0"/>
              <w:left w:val="single" w:color="auto" w:sz="4" w:space="0"/>
              <w:bottom w:val="single" w:color="auto" w:sz="4" w:space="0"/>
              <w:right w:val="single" w:color="auto" w:sz="4" w:space="0"/>
            </w:tcBorders>
          </w:tcPr>
          <w:p>
            <w:pPr>
              <w:autoSpaceDE w:val="0"/>
              <w:autoSpaceDN w:val="0"/>
              <w:spacing w:line="360" w:lineRule="auto"/>
              <w:rPr>
                <w:rFonts w:ascii="宋体" w:hAnsi="宋体" w:cs="宋体"/>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2025" w:type="dxa"/>
            <w:tcBorders>
              <w:top w:val="single" w:color="auto" w:sz="4" w:space="0"/>
              <w:left w:val="single" w:color="auto" w:sz="4" w:space="0"/>
              <w:bottom w:val="single" w:color="auto" w:sz="4" w:space="0"/>
              <w:right w:val="single" w:color="auto" w:sz="4" w:space="0"/>
            </w:tcBorders>
          </w:tcPr>
          <w:p>
            <w:pPr>
              <w:autoSpaceDE w:val="0"/>
              <w:autoSpaceDN w:val="0"/>
              <w:spacing w:line="360" w:lineRule="auto"/>
              <w:rPr>
                <w:rFonts w:ascii="宋体" w:hAnsi="宋体" w:cs="宋体"/>
                <w:lang w:val="zh-CN"/>
              </w:rPr>
            </w:pPr>
            <w:r>
              <w:rPr>
                <w:rFonts w:hint="eastAsia" w:ascii="宋体" w:hAnsi="宋体" w:cs="宋体"/>
                <w:lang w:val="zh-CN"/>
              </w:rPr>
              <w:t>单位法人代表</w:t>
            </w:r>
          </w:p>
        </w:tc>
        <w:tc>
          <w:tcPr>
            <w:tcW w:w="2760" w:type="dxa"/>
            <w:gridSpan w:val="3"/>
            <w:tcBorders>
              <w:top w:val="single" w:color="auto" w:sz="4" w:space="0"/>
              <w:left w:val="single" w:color="auto" w:sz="4" w:space="0"/>
              <w:bottom w:val="single" w:color="auto" w:sz="4" w:space="0"/>
              <w:right w:val="single" w:color="auto" w:sz="4" w:space="0"/>
            </w:tcBorders>
          </w:tcPr>
          <w:p>
            <w:pPr>
              <w:autoSpaceDE w:val="0"/>
              <w:autoSpaceDN w:val="0"/>
              <w:spacing w:line="360" w:lineRule="auto"/>
              <w:rPr>
                <w:rFonts w:ascii="宋体" w:hAnsi="宋体" w:cs="宋体"/>
                <w:lang w:val="zh-CN"/>
              </w:rPr>
            </w:pPr>
          </w:p>
        </w:tc>
        <w:tc>
          <w:tcPr>
            <w:tcW w:w="1666" w:type="dxa"/>
            <w:gridSpan w:val="2"/>
            <w:tcBorders>
              <w:top w:val="single" w:color="auto" w:sz="4" w:space="0"/>
              <w:left w:val="single" w:color="auto" w:sz="4" w:space="0"/>
              <w:bottom w:val="single" w:color="auto" w:sz="4" w:space="0"/>
              <w:right w:val="single" w:color="auto" w:sz="4" w:space="0"/>
            </w:tcBorders>
          </w:tcPr>
          <w:p>
            <w:pPr>
              <w:autoSpaceDE w:val="0"/>
              <w:autoSpaceDN w:val="0"/>
              <w:spacing w:line="360" w:lineRule="auto"/>
              <w:rPr>
                <w:rFonts w:ascii="宋体" w:hAnsi="宋体" w:cs="宋体"/>
                <w:lang w:val="zh-CN"/>
              </w:rPr>
            </w:pPr>
            <w:r>
              <w:rPr>
                <w:rFonts w:hint="eastAsia" w:ascii="宋体" w:hAnsi="宋体" w:cs="宋体"/>
                <w:lang w:val="zh-CN"/>
              </w:rPr>
              <w:t>资质等级</w:t>
            </w:r>
          </w:p>
        </w:tc>
        <w:tc>
          <w:tcPr>
            <w:tcW w:w="1808" w:type="dxa"/>
            <w:tcBorders>
              <w:top w:val="single" w:color="auto" w:sz="4" w:space="0"/>
              <w:left w:val="single" w:color="auto" w:sz="4" w:space="0"/>
              <w:bottom w:val="single" w:color="auto" w:sz="4" w:space="0"/>
              <w:right w:val="single" w:color="auto" w:sz="4" w:space="0"/>
            </w:tcBorders>
          </w:tcPr>
          <w:p>
            <w:pPr>
              <w:autoSpaceDE w:val="0"/>
              <w:autoSpaceDN w:val="0"/>
              <w:spacing w:line="360" w:lineRule="auto"/>
              <w:rPr>
                <w:rFonts w:ascii="宋体" w:hAnsi="宋体" w:cs="宋体"/>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8259" w:type="dxa"/>
            <w:gridSpan w:val="7"/>
            <w:tcBorders>
              <w:top w:val="single" w:color="auto" w:sz="4" w:space="0"/>
              <w:left w:val="single" w:color="auto" w:sz="4" w:space="0"/>
              <w:bottom w:val="single" w:color="auto" w:sz="4" w:space="0"/>
              <w:right w:val="single" w:color="auto" w:sz="4" w:space="0"/>
            </w:tcBorders>
          </w:tcPr>
          <w:p>
            <w:pPr>
              <w:autoSpaceDE w:val="0"/>
              <w:autoSpaceDN w:val="0"/>
              <w:spacing w:line="360" w:lineRule="auto"/>
              <w:rPr>
                <w:rFonts w:ascii="宋体" w:hAnsi="宋体" w:cs="宋体"/>
                <w:lang w:val="zh-CN"/>
              </w:rPr>
            </w:pPr>
            <w:r>
              <w:rPr>
                <w:rFonts w:hint="eastAsia" w:ascii="宋体" w:hAnsi="宋体" w:cs="宋体"/>
                <w:lang w:val="zh-CN"/>
              </w:rPr>
              <w:t>2、联系人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2505" w:type="dxa"/>
            <w:gridSpan w:val="2"/>
            <w:tcBorders>
              <w:top w:val="single" w:color="auto" w:sz="4" w:space="0"/>
              <w:left w:val="single" w:color="auto" w:sz="4" w:space="0"/>
              <w:bottom w:val="single" w:color="auto" w:sz="4" w:space="0"/>
              <w:right w:val="single" w:color="auto" w:sz="4" w:space="0"/>
            </w:tcBorders>
          </w:tcPr>
          <w:p>
            <w:pPr>
              <w:autoSpaceDE w:val="0"/>
              <w:autoSpaceDN w:val="0"/>
              <w:spacing w:line="360" w:lineRule="auto"/>
              <w:rPr>
                <w:rFonts w:ascii="宋体" w:hAnsi="宋体" w:cs="宋体"/>
                <w:lang w:val="zh-CN"/>
              </w:rPr>
            </w:pPr>
            <w:r>
              <w:rPr>
                <w:rFonts w:hint="eastAsia" w:ascii="宋体" w:hAnsi="宋体" w:cs="宋体"/>
                <w:lang w:val="zh-CN"/>
              </w:rPr>
              <w:t>姓名</w:t>
            </w:r>
          </w:p>
        </w:tc>
        <w:tc>
          <w:tcPr>
            <w:tcW w:w="1800" w:type="dxa"/>
            <w:tcBorders>
              <w:top w:val="single" w:color="auto" w:sz="4" w:space="0"/>
              <w:left w:val="single" w:color="auto" w:sz="4" w:space="0"/>
              <w:bottom w:val="single" w:color="auto" w:sz="4" w:space="0"/>
              <w:right w:val="single" w:color="auto" w:sz="4" w:space="0"/>
            </w:tcBorders>
          </w:tcPr>
          <w:p>
            <w:pPr>
              <w:autoSpaceDE w:val="0"/>
              <w:autoSpaceDN w:val="0"/>
              <w:spacing w:line="360" w:lineRule="auto"/>
              <w:rPr>
                <w:rFonts w:ascii="宋体" w:hAnsi="宋体" w:cs="宋体"/>
                <w:lang w:val="zh-CN"/>
              </w:rPr>
            </w:pPr>
            <w:r>
              <w:rPr>
                <w:rFonts w:hint="eastAsia" w:ascii="宋体" w:hAnsi="宋体" w:cs="宋体"/>
                <w:lang w:val="zh-CN"/>
              </w:rPr>
              <w:t>职务</w:t>
            </w:r>
          </w:p>
        </w:tc>
        <w:tc>
          <w:tcPr>
            <w:tcW w:w="1920" w:type="dxa"/>
            <w:gridSpan w:val="2"/>
            <w:tcBorders>
              <w:top w:val="single" w:color="auto" w:sz="4" w:space="0"/>
              <w:left w:val="single" w:color="auto" w:sz="4" w:space="0"/>
              <w:bottom w:val="single" w:color="auto" w:sz="4" w:space="0"/>
              <w:right w:val="single" w:color="auto" w:sz="4" w:space="0"/>
            </w:tcBorders>
          </w:tcPr>
          <w:p>
            <w:pPr>
              <w:autoSpaceDE w:val="0"/>
              <w:autoSpaceDN w:val="0"/>
              <w:spacing w:line="360" w:lineRule="auto"/>
              <w:rPr>
                <w:rFonts w:ascii="宋体" w:hAnsi="宋体" w:cs="宋体"/>
                <w:lang w:val="zh-CN"/>
              </w:rPr>
            </w:pPr>
            <w:r>
              <w:rPr>
                <w:rFonts w:hint="eastAsia" w:ascii="宋体" w:hAnsi="宋体" w:cs="宋体"/>
                <w:lang w:val="zh-CN"/>
              </w:rPr>
              <w:t>职称</w:t>
            </w:r>
          </w:p>
        </w:tc>
        <w:tc>
          <w:tcPr>
            <w:tcW w:w="2034" w:type="dxa"/>
            <w:gridSpan w:val="2"/>
            <w:tcBorders>
              <w:top w:val="single" w:color="auto" w:sz="4" w:space="0"/>
              <w:left w:val="single" w:color="auto" w:sz="4" w:space="0"/>
              <w:bottom w:val="single" w:color="auto" w:sz="4" w:space="0"/>
              <w:right w:val="single" w:color="auto" w:sz="4" w:space="0"/>
            </w:tcBorders>
          </w:tcPr>
          <w:p>
            <w:pPr>
              <w:autoSpaceDE w:val="0"/>
              <w:autoSpaceDN w:val="0"/>
              <w:spacing w:line="360" w:lineRule="auto"/>
              <w:rPr>
                <w:rFonts w:ascii="宋体" w:hAnsi="宋体" w:cs="宋体"/>
                <w:lang w:val="zh-CN"/>
              </w:rPr>
            </w:pPr>
            <w:r>
              <w:rPr>
                <w:rFonts w:hint="eastAsia" w:ascii="宋体" w:hAnsi="宋体" w:cs="宋体"/>
                <w:lang w:val="zh-CN"/>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2505" w:type="dxa"/>
            <w:gridSpan w:val="2"/>
            <w:tcBorders>
              <w:top w:val="single" w:color="auto" w:sz="4" w:space="0"/>
              <w:left w:val="single" w:color="auto" w:sz="4" w:space="0"/>
              <w:bottom w:val="single" w:color="auto" w:sz="4" w:space="0"/>
              <w:right w:val="single" w:color="auto" w:sz="4" w:space="0"/>
            </w:tcBorders>
          </w:tcPr>
          <w:p>
            <w:pPr>
              <w:autoSpaceDE w:val="0"/>
              <w:autoSpaceDN w:val="0"/>
              <w:spacing w:line="360" w:lineRule="auto"/>
              <w:rPr>
                <w:rFonts w:ascii="宋体" w:hAnsi="宋体" w:cs="宋体"/>
                <w:lang w:val="zh-CN"/>
              </w:rPr>
            </w:pPr>
          </w:p>
        </w:tc>
        <w:tc>
          <w:tcPr>
            <w:tcW w:w="1800" w:type="dxa"/>
            <w:tcBorders>
              <w:top w:val="single" w:color="auto" w:sz="4" w:space="0"/>
              <w:left w:val="single" w:color="auto" w:sz="4" w:space="0"/>
              <w:bottom w:val="single" w:color="auto" w:sz="4" w:space="0"/>
              <w:right w:val="single" w:color="auto" w:sz="4" w:space="0"/>
            </w:tcBorders>
          </w:tcPr>
          <w:p>
            <w:pPr>
              <w:autoSpaceDE w:val="0"/>
              <w:autoSpaceDN w:val="0"/>
              <w:spacing w:line="360" w:lineRule="auto"/>
              <w:rPr>
                <w:rFonts w:ascii="宋体" w:hAnsi="宋体" w:cs="宋体"/>
                <w:lang w:val="zh-CN"/>
              </w:rPr>
            </w:pPr>
          </w:p>
        </w:tc>
        <w:tc>
          <w:tcPr>
            <w:tcW w:w="1920" w:type="dxa"/>
            <w:gridSpan w:val="2"/>
            <w:tcBorders>
              <w:top w:val="single" w:color="auto" w:sz="4" w:space="0"/>
              <w:left w:val="single" w:color="auto" w:sz="4" w:space="0"/>
              <w:bottom w:val="single" w:color="auto" w:sz="4" w:space="0"/>
              <w:right w:val="single" w:color="auto" w:sz="4" w:space="0"/>
            </w:tcBorders>
          </w:tcPr>
          <w:p>
            <w:pPr>
              <w:autoSpaceDE w:val="0"/>
              <w:autoSpaceDN w:val="0"/>
              <w:spacing w:line="360" w:lineRule="auto"/>
              <w:rPr>
                <w:rFonts w:ascii="宋体" w:hAnsi="宋体" w:cs="宋体"/>
                <w:lang w:val="zh-CN"/>
              </w:rPr>
            </w:pPr>
          </w:p>
        </w:tc>
        <w:tc>
          <w:tcPr>
            <w:tcW w:w="2034" w:type="dxa"/>
            <w:gridSpan w:val="2"/>
            <w:tcBorders>
              <w:top w:val="single" w:color="auto" w:sz="4" w:space="0"/>
              <w:left w:val="single" w:color="auto" w:sz="4" w:space="0"/>
              <w:bottom w:val="single" w:color="auto" w:sz="4" w:space="0"/>
              <w:right w:val="single" w:color="auto" w:sz="4" w:space="0"/>
            </w:tcBorders>
          </w:tcPr>
          <w:p>
            <w:pPr>
              <w:autoSpaceDE w:val="0"/>
              <w:autoSpaceDN w:val="0"/>
              <w:spacing w:line="360" w:lineRule="auto"/>
              <w:rPr>
                <w:rFonts w:ascii="宋体" w:hAnsi="宋体" w:cs="宋体"/>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6" w:hRule="atLeast"/>
        </w:trPr>
        <w:tc>
          <w:tcPr>
            <w:tcW w:w="8259" w:type="dxa"/>
            <w:gridSpan w:val="7"/>
            <w:tcBorders>
              <w:top w:val="single" w:color="auto" w:sz="4" w:space="0"/>
              <w:left w:val="single" w:color="auto" w:sz="4" w:space="0"/>
              <w:bottom w:val="single" w:color="auto" w:sz="4" w:space="0"/>
              <w:right w:val="single" w:color="auto" w:sz="4" w:space="0"/>
            </w:tcBorders>
          </w:tcPr>
          <w:p>
            <w:pPr>
              <w:autoSpaceDE w:val="0"/>
              <w:autoSpaceDN w:val="0"/>
              <w:spacing w:line="360" w:lineRule="auto"/>
              <w:rPr>
                <w:rFonts w:ascii="宋体" w:hAnsi="宋体" w:cs="宋体"/>
                <w:lang w:val="zh-CN"/>
              </w:rPr>
            </w:pPr>
          </w:p>
          <w:p>
            <w:pPr>
              <w:autoSpaceDE w:val="0"/>
              <w:autoSpaceDN w:val="0"/>
              <w:spacing w:line="360" w:lineRule="auto"/>
              <w:rPr>
                <w:rFonts w:ascii="宋体" w:hAnsi="宋体" w:cs="宋体"/>
                <w:lang w:val="zh-CN"/>
              </w:rPr>
            </w:pPr>
          </w:p>
          <w:p>
            <w:pPr>
              <w:autoSpaceDE w:val="0"/>
              <w:autoSpaceDN w:val="0"/>
              <w:spacing w:line="360" w:lineRule="auto"/>
              <w:rPr>
                <w:rFonts w:ascii="宋体" w:hAnsi="宋体" w:cs="宋体"/>
                <w:lang w:val="zh-CN"/>
              </w:rPr>
            </w:pPr>
          </w:p>
          <w:p>
            <w:pPr>
              <w:autoSpaceDE w:val="0"/>
              <w:autoSpaceDN w:val="0"/>
              <w:spacing w:line="360" w:lineRule="auto"/>
              <w:rPr>
                <w:rFonts w:ascii="宋体" w:hAnsi="宋体" w:cs="宋体"/>
                <w:lang w:val="zh-CN"/>
              </w:rPr>
            </w:pPr>
            <w:r>
              <w:rPr>
                <w:rFonts w:hint="eastAsia" w:ascii="宋体" w:hAnsi="宋体" w:cs="宋体"/>
                <w:lang w:val="zh-CN"/>
              </w:rPr>
              <w:t>授权代表签字：</w:t>
            </w:r>
          </w:p>
          <w:p>
            <w:pPr>
              <w:autoSpaceDE w:val="0"/>
              <w:autoSpaceDN w:val="0"/>
              <w:spacing w:line="360" w:lineRule="auto"/>
              <w:ind w:firstLine="360" w:firstLineChars="150"/>
              <w:rPr>
                <w:rFonts w:ascii="宋体" w:hAnsi="宋体" w:cs="宋体"/>
                <w:lang w:val="zh-CN"/>
              </w:rPr>
            </w:pPr>
          </w:p>
          <w:p>
            <w:pPr>
              <w:autoSpaceDE w:val="0"/>
              <w:autoSpaceDN w:val="0"/>
              <w:spacing w:line="360" w:lineRule="auto"/>
              <w:rPr>
                <w:rFonts w:ascii="宋体" w:hAnsi="宋体" w:cs="宋体"/>
                <w:lang w:val="zh-CN"/>
              </w:rPr>
            </w:pPr>
            <w:r>
              <w:rPr>
                <w:rFonts w:hint="eastAsia" w:ascii="宋体" w:hAnsi="宋体" w:cs="宋体"/>
                <w:lang w:val="zh-CN"/>
              </w:rPr>
              <w:t xml:space="preserve">日期：     年   月   日               </w:t>
            </w:r>
          </w:p>
        </w:tc>
      </w:tr>
    </w:tbl>
    <w:p>
      <w:pPr>
        <w:pStyle w:val="4"/>
        <w:spacing w:line="360" w:lineRule="auto"/>
        <w:rPr>
          <w:rFonts w:ascii="宋体" w:hAnsi="宋体" w:eastAsia="宋体" w:cs="宋体"/>
          <w:sz w:val="24"/>
        </w:rPr>
      </w:pPr>
    </w:p>
    <w:p>
      <w:pPr>
        <w:spacing w:line="360" w:lineRule="auto"/>
        <w:rPr>
          <w:rFonts w:ascii="宋体" w:hAnsi="宋体" w:cs="宋体"/>
        </w:rPr>
      </w:pPr>
    </w:p>
    <w:p>
      <w:pPr>
        <w:spacing w:line="360" w:lineRule="auto"/>
        <w:rPr>
          <w:rFonts w:ascii="宋体" w:hAnsi="宋体" w:cs="宋体"/>
        </w:rPr>
      </w:pPr>
    </w:p>
    <w:p>
      <w:pPr>
        <w:spacing w:line="360" w:lineRule="auto"/>
        <w:rPr>
          <w:rFonts w:ascii="宋体" w:hAnsi="宋体" w:cs="宋体"/>
        </w:rPr>
      </w:pPr>
    </w:p>
    <w:p>
      <w:pPr>
        <w:spacing w:before="120" w:beforeLines="50" w:after="120" w:afterLines="50" w:line="360" w:lineRule="auto"/>
        <w:jc w:val="center"/>
        <w:sectPr>
          <w:pgSz w:w="11906" w:h="16838"/>
          <w:pgMar w:top="1440" w:right="1797" w:bottom="1440" w:left="1797" w:header="851" w:footer="992" w:gutter="0"/>
          <w:cols w:space="720" w:num="1"/>
          <w:docGrid w:linePitch="326" w:charSpace="0"/>
        </w:sectPr>
      </w:pPr>
      <w:bookmarkStart w:id="929" w:name="_Toc183597060"/>
      <w:bookmarkStart w:id="930" w:name="_Toc94762803"/>
      <w:bookmarkStart w:id="931" w:name="_Toc99187461"/>
      <w:bookmarkStart w:id="932" w:name="_Toc15797"/>
    </w:p>
    <w:p>
      <w:pPr>
        <w:spacing w:before="120" w:beforeLines="50" w:after="120" w:afterLines="50" w:line="360" w:lineRule="auto"/>
        <w:jc w:val="center"/>
      </w:pPr>
      <w:r>
        <w:rPr>
          <w:rFonts w:hint="eastAsia"/>
        </w:rPr>
        <w:t>6-3近三年业绩一览表</w:t>
      </w:r>
      <w:bookmarkEnd w:id="929"/>
      <w:bookmarkEnd w:id="930"/>
      <w:bookmarkEnd w:id="931"/>
      <w:bookmarkEnd w:id="932"/>
    </w:p>
    <w:tbl>
      <w:tblPr>
        <w:tblStyle w:val="42"/>
        <w:tblW w:w="0" w:type="auto"/>
        <w:tblInd w:w="2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859"/>
        <w:gridCol w:w="1082"/>
        <w:gridCol w:w="1559"/>
        <w:gridCol w:w="1226"/>
        <w:gridCol w:w="1464"/>
        <w:gridCol w:w="12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trPr>
        <w:tc>
          <w:tcPr>
            <w:tcW w:w="710" w:type="dxa"/>
            <w:vAlign w:val="center"/>
          </w:tcPr>
          <w:p>
            <w:pPr>
              <w:jc w:val="center"/>
              <w:rPr>
                <w:rFonts w:ascii="宋体" w:hAnsi="宋体" w:cs="宋体"/>
                <w:lang w:val="zh-CN"/>
              </w:rPr>
            </w:pPr>
            <w:r>
              <w:rPr>
                <w:rFonts w:hint="eastAsia" w:ascii="宋体" w:hAnsi="宋体" w:cs="宋体"/>
                <w:lang w:val="zh-CN"/>
              </w:rPr>
              <w:t>序号</w:t>
            </w:r>
          </w:p>
        </w:tc>
        <w:tc>
          <w:tcPr>
            <w:tcW w:w="859" w:type="dxa"/>
            <w:vAlign w:val="center"/>
          </w:tcPr>
          <w:p>
            <w:pPr>
              <w:jc w:val="center"/>
              <w:rPr>
                <w:rFonts w:ascii="宋体" w:hAnsi="宋体" w:cs="宋体"/>
                <w:lang w:val="zh-CN"/>
              </w:rPr>
            </w:pPr>
            <w:r>
              <w:rPr>
                <w:rFonts w:hint="eastAsia" w:ascii="宋体" w:hAnsi="宋体" w:cs="宋体"/>
                <w:lang w:val="zh-CN"/>
              </w:rPr>
              <w:t>项目</w:t>
            </w:r>
          </w:p>
          <w:p>
            <w:pPr>
              <w:jc w:val="center"/>
              <w:rPr>
                <w:rFonts w:ascii="宋体" w:hAnsi="宋体" w:cs="宋体"/>
                <w:lang w:val="zh-CN"/>
              </w:rPr>
            </w:pPr>
            <w:r>
              <w:rPr>
                <w:rFonts w:hint="eastAsia" w:ascii="宋体" w:hAnsi="宋体" w:cs="宋体"/>
                <w:lang w:val="zh-CN"/>
              </w:rPr>
              <w:t>名称</w:t>
            </w:r>
          </w:p>
        </w:tc>
        <w:tc>
          <w:tcPr>
            <w:tcW w:w="1082" w:type="dxa"/>
            <w:vAlign w:val="center"/>
          </w:tcPr>
          <w:p>
            <w:pPr>
              <w:jc w:val="center"/>
              <w:rPr>
                <w:rFonts w:ascii="宋体" w:hAnsi="宋体" w:cs="宋体"/>
              </w:rPr>
            </w:pPr>
            <w:r>
              <w:rPr>
                <w:rFonts w:hint="eastAsia" w:ascii="宋体" w:hAnsi="宋体" w:cs="宋体"/>
              </w:rPr>
              <w:t>预算</w:t>
            </w:r>
          </w:p>
        </w:tc>
        <w:tc>
          <w:tcPr>
            <w:tcW w:w="1559" w:type="dxa"/>
            <w:vAlign w:val="center"/>
          </w:tcPr>
          <w:p>
            <w:pPr>
              <w:jc w:val="center"/>
              <w:rPr>
                <w:rFonts w:ascii="宋体" w:hAnsi="宋体" w:cs="宋体"/>
                <w:lang w:val="zh-CN"/>
              </w:rPr>
            </w:pPr>
            <w:r>
              <w:rPr>
                <w:rFonts w:hint="eastAsia" w:ascii="宋体" w:hAnsi="宋体" w:cs="宋体"/>
                <w:lang w:val="zh-CN"/>
              </w:rPr>
              <w:t>业主单位</w:t>
            </w:r>
          </w:p>
        </w:tc>
        <w:tc>
          <w:tcPr>
            <w:tcW w:w="1226" w:type="dxa"/>
            <w:vAlign w:val="center"/>
          </w:tcPr>
          <w:p>
            <w:pPr>
              <w:jc w:val="center"/>
              <w:rPr>
                <w:rFonts w:ascii="宋体" w:hAnsi="宋体" w:cs="宋体"/>
                <w:lang w:val="zh-CN"/>
              </w:rPr>
            </w:pPr>
            <w:r>
              <w:rPr>
                <w:rFonts w:hint="eastAsia" w:ascii="宋体" w:hAnsi="宋体" w:cs="宋体"/>
              </w:rPr>
              <w:t>服务</w:t>
            </w:r>
            <w:r>
              <w:rPr>
                <w:rFonts w:hint="eastAsia" w:ascii="宋体" w:hAnsi="宋体" w:cs="宋体"/>
                <w:lang w:val="zh-CN"/>
              </w:rPr>
              <w:t>范围</w:t>
            </w:r>
          </w:p>
        </w:tc>
        <w:tc>
          <w:tcPr>
            <w:tcW w:w="1464" w:type="dxa"/>
            <w:vAlign w:val="center"/>
          </w:tcPr>
          <w:p>
            <w:pPr>
              <w:jc w:val="center"/>
              <w:rPr>
                <w:rFonts w:ascii="宋体" w:hAnsi="宋体" w:cs="宋体"/>
                <w:lang w:val="zh-CN"/>
              </w:rPr>
            </w:pPr>
            <w:r>
              <w:rPr>
                <w:rFonts w:hint="eastAsia" w:ascii="宋体" w:hAnsi="宋体" w:cs="宋体"/>
                <w:lang w:val="zh-CN"/>
              </w:rPr>
              <w:t>服务起止时间</w:t>
            </w:r>
          </w:p>
        </w:tc>
        <w:tc>
          <w:tcPr>
            <w:tcW w:w="1284" w:type="dxa"/>
            <w:vAlign w:val="center"/>
          </w:tcPr>
          <w:p>
            <w:pPr>
              <w:jc w:val="center"/>
              <w:rPr>
                <w:rFonts w:ascii="宋体" w:hAnsi="宋体" w:cs="宋体"/>
                <w:lang w:val="zh-CN"/>
              </w:rPr>
            </w:pPr>
            <w:r>
              <w:rPr>
                <w:rFonts w:hint="eastAsia" w:ascii="宋体" w:hAnsi="宋体" w:cs="宋体"/>
                <w:lang w:val="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710" w:type="dxa"/>
          </w:tcPr>
          <w:p>
            <w:pPr>
              <w:spacing w:line="360" w:lineRule="auto"/>
              <w:jc w:val="center"/>
              <w:rPr>
                <w:rFonts w:ascii="宋体" w:hAnsi="宋体" w:cs="宋体"/>
              </w:rPr>
            </w:pPr>
          </w:p>
        </w:tc>
        <w:tc>
          <w:tcPr>
            <w:tcW w:w="859" w:type="dxa"/>
          </w:tcPr>
          <w:p>
            <w:pPr>
              <w:spacing w:line="360" w:lineRule="auto"/>
              <w:jc w:val="center"/>
              <w:rPr>
                <w:rFonts w:ascii="宋体" w:hAnsi="宋体" w:cs="宋体"/>
              </w:rPr>
            </w:pPr>
          </w:p>
        </w:tc>
        <w:tc>
          <w:tcPr>
            <w:tcW w:w="1082" w:type="dxa"/>
          </w:tcPr>
          <w:p>
            <w:pPr>
              <w:spacing w:line="360" w:lineRule="auto"/>
              <w:jc w:val="center"/>
              <w:rPr>
                <w:rFonts w:ascii="宋体" w:hAnsi="宋体" w:cs="宋体"/>
              </w:rPr>
            </w:pPr>
          </w:p>
        </w:tc>
        <w:tc>
          <w:tcPr>
            <w:tcW w:w="1559" w:type="dxa"/>
          </w:tcPr>
          <w:p>
            <w:pPr>
              <w:spacing w:line="360" w:lineRule="auto"/>
              <w:jc w:val="center"/>
              <w:rPr>
                <w:rFonts w:ascii="宋体" w:hAnsi="宋体" w:cs="宋体"/>
              </w:rPr>
            </w:pPr>
          </w:p>
        </w:tc>
        <w:tc>
          <w:tcPr>
            <w:tcW w:w="1226" w:type="dxa"/>
          </w:tcPr>
          <w:p>
            <w:pPr>
              <w:spacing w:line="360" w:lineRule="auto"/>
              <w:jc w:val="center"/>
              <w:rPr>
                <w:rFonts w:ascii="宋体" w:hAnsi="宋体" w:cs="宋体"/>
              </w:rPr>
            </w:pPr>
          </w:p>
        </w:tc>
        <w:tc>
          <w:tcPr>
            <w:tcW w:w="1464" w:type="dxa"/>
          </w:tcPr>
          <w:p>
            <w:pPr>
              <w:spacing w:line="360" w:lineRule="auto"/>
              <w:jc w:val="center"/>
              <w:rPr>
                <w:rFonts w:ascii="宋体" w:hAnsi="宋体" w:cs="宋体"/>
              </w:rPr>
            </w:pPr>
          </w:p>
        </w:tc>
        <w:tc>
          <w:tcPr>
            <w:tcW w:w="1284" w:type="dxa"/>
          </w:tcPr>
          <w:p>
            <w:pPr>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710" w:type="dxa"/>
          </w:tcPr>
          <w:p>
            <w:pPr>
              <w:spacing w:line="360" w:lineRule="auto"/>
              <w:jc w:val="center"/>
              <w:rPr>
                <w:rFonts w:ascii="宋体" w:hAnsi="宋体" w:cs="宋体"/>
              </w:rPr>
            </w:pPr>
          </w:p>
        </w:tc>
        <w:tc>
          <w:tcPr>
            <w:tcW w:w="859" w:type="dxa"/>
          </w:tcPr>
          <w:p>
            <w:pPr>
              <w:spacing w:line="360" w:lineRule="auto"/>
              <w:jc w:val="center"/>
              <w:rPr>
                <w:rFonts w:ascii="宋体" w:hAnsi="宋体" w:cs="宋体"/>
              </w:rPr>
            </w:pPr>
          </w:p>
        </w:tc>
        <w:tc>
          <w:tcPr>
            <w:tcW w:w="1082" w:type="dxa"/>
          </w:tcPr>
          <w:p>
            <w:pPr>
              <w:spacing w:line="360" w:lineRule="auto"/>
              <w:jc w:val="center"/>
              <w:rPr>
                <w:rFonts w:ascii="宋体" w:hAnsi="宋体" w:cs="宋体"/>
              </w:rPr>
            </w:pPr>
          </w:p>
        </w:tc>
        <w:tc>
          <w:tcPr>
            <w:tcW w:w="1559" w:type="dxa"/>
          </w:tcPr>
          <w:p>
            <w:pPr>
              <w:spacing w:line="360" w:lineRule="auto"/>
              <w:jc w:val="center"/>
              <w:rPr>
                <w:rFonts w:ascii="宋体" w:hAnsi="宋体" w:cs="宋体"/>
              </w:rPr>
            </w:pPr>
          </w:p>
        </w:tc>
        <w:tc>
          <w:tcPr>
            <w:tcW w:w="1226" w:type="dxa"/>
          </w:tcPr>
          <w:p>
            <w:pPr>
              <w:spacing w:line="360" w:lineRule="auto"/>
              <w:jc w:val="center"/>
              <w:rPr>
                <w:rFonts w:ascii="宋体" w:hAnsi="宋体" w:cs="宋体"/>
              </w:rPr>
            </w:pPr>
          </w:p>
        </w:tc>
        <w:tc>
          <w:tcPr>
            <w:tcW w:w="1464" w:type="dxa"/>
          </w:tcPr>
          <w:p>
            <w:pPr>
              <w:spacing w:line="360" w:lineRule="auto"/>
              <w:jc w:val="center"/>
              <w:rPr>
                <w:rFonts w:ascii="宋体" w:hAnsi="宋体" w:cs="宋体"/>
              </w:rPr>
            </w:pPr>
          </w:p>
        </w:tc>
        <w:tc>
          <w:tcPr>
            <w:tcW w:w="1284" w:type="dxa"/>
          </w:tcPr>
          <w:p>
            <w:pPr>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710" w:type="dxa"/>
          </w:tcPr>
          <w:p>
            <w:pPr>
              <w:spacing w:line="360" w:lineRule="auto"/>
              <w:jc w:val="center"/>
              <w:rPr>
                <w:rFonts w:ascii="宋体" w:hAnsi="宋体" w:cs="宋体"/>
              </w:rPr>
            </w:pPr>
          </w:p>
        </w:tc>
        <w:tc>
          <w:tcPr>
            <w:tcW w:w="859" w:type="dxa"/>
          </w:tcPr>
          <w:p>
            <w:pPr>
              <w:spacing w:line="360" w:lineRule="auto"/>
              <w:jc w:val="center"/>
              <w:rPr>
                <w:rFonts w:ascii="宋体" w:hAnsi="宋体" w:cs="宋体"/>
              </w:rPr>
            </w:pPr>
          </w:p>
        </w:tc>
        <w:tc>
          <w:tcPr>
            <w:tcW w:w="1082" w:type="dxa"/>
          </w:tcPr>
          <w:p>
            <w:pPr>
              <w:spacing w:line="360" w:lineRule="auto"/>
              <w:jc w:val="center"/>
              <w:rPr>
                <w:rFonts w:ascii="宋体" w:hAnsi="宋体" w:cs="宋体"/>
              </w:rPr>
            </w:pPr>
          </w:p>
        </w:tc>
        <w:tc>
          <w:tcPr>
            <w:tcW w:w="1559" w:type="dxa"/>
          </w:tcPr>
          <w:p>
            <w:pPr>
              <w:spacing w:line="360" w:lineRule="auto"/>
              <w:jc w:val="center"/>
              <w:rPr>
                <w:rFonts w:ascii="宋体" w:hAnsi="宋体" w:cs="宋体"/>
              </w:rPr>
            </w:pPr>
          </w:p>
        </w:tc>
        <w:tc>
          <w:tcPr>
            <w:tcW w:w="1226" w:type="dxa"/>
          </w:tcPr>
          <w:p>
            <w:pPr>
              <w:spacing w:line="360" w:lineRule="auto"/>
              <w:jc w:val="center"/>
              <w:rPr>
                <w:rFonts w:ascii="宋体" w:hAnsi="宋体" w:cs="宋体"/>
              </w:rPr>
            </w:pPr>
          </w:p>
        </w:tc>
        <w:tc>
          <w:tcPr>
            <w:tcW w:w="1464" w:type="dxa"/>
          </w:tcPr>
          <w:p>
            <w:pPr>
              <w:spacing w:line="360" w:lineRule="auto"/>
              <w:jc w:val="center"/>
              <w:rPr>
                <w:rFonts w:ascii="宋体" w:hAnsi="宋体" w:cs="宋体"/>
              </w:rPr>
            </w:pPr>
          </w:p>
        </w:tc>
        <w:tc>
          <w:tcPr>
            <w:tcW w:w="1284" w:type="dxa"/>
          </w:tcPr>
          <w:p>
            <w:pPr>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710" w:type="dxa"/>
          </w:tcPr>
          <w:p>
            <w:pPr>
              <w:spacing w:line="360" w:lineRule="auto"/>
              <w:jc w:val="center"/>
              <w:rPr>
                <w:rFonts w:ascii="宋体" w:hAnsi="宋体" w:cs="宋体"/>
              </w:rPr>
            </w:pPr>
          </w:p>
        </w:tc>
        <w:tc>
          <w:tcPr>
            <w:tcW w:w="859" w:type="dxa"/>
          </w:tcPr>
          <w:p>
            <w:pPr>
              <w:spacing w:line="360" w:lineRule="auto"/>
              <w:jc w:val="center"/>
              <w:rPr>
                <w:rFonts w:ascii="宋体" w:hAnsi="宋体" w:cs="宋体"/>
              </w:rPr>
            </w:pPr>
          </w:p>
        </w:tc>
        <w:tc>
          <w:tcPr>
            <w:tcW w:w="1082" w:type="dxa"/>
          </w:tcPr>
          <w:p>
            <w:pPr>
              <w:spacing w:line="360" w:lineRule="auto"/>
              <w:jc w:val="center"/>
              <w:rPr>
                <w:rFonts w:ascii="宋体" w:hAnsi="宋体" w:cs="宋体"/>
              </w:rPr>
            </w:pPr>
          </w:p>
        </w:tc>
        <w:tc>
          <w:tcPr>
            <w:tcW w:w="1559" w:type="dxa"/>
          </w:tcPr>
          <w:p>
            <w:pPr>
              <w:spacing w:line="360" w:lineRule="auto"/>
              <w:jc w:val="center"/>
              <w:rPr>
                <w:rFonts w:ascii="宋体" w:hAnsi="宋体" w:cs="宋体"/>
              </w:rPr>
            </w:pPr>
          </w:p>
        </w:tc>
        <w:tc>
          <w:tcPr>
            <w:tcW w:w="1226" w:type="dxa"/>
          </w:tcPr>
          <w:p>
            <w:pPr>
              <w:spacing w:line="360" w:lineRule="auto"/>
              <w:jc w:val="center"/>
              <w:rPr>
                <w:rFonts w:ascii="宋体" w:hAnsi="宋体" w:cs="宋体"/>
              </w:rPr>
            </w:pPr>
          </w:p>
        </w:tc>
        <w:tc>
          <w:tcPr>
            <w:tcW w:w="1464" w:type="dxa"/>
          </w:tcPr>
          <w:p>
            <w:pPr>
              <w:spacing w:line="360" w:lineRule="auto"/>
              <w:jc w:val="center"/>
              <w:rPr>
                <w:rFonts w:ascii="宋体" w:hAnsi="宋体" w:cs="宋体"/>
              </w:rPr>
            </w:pPr>
          </w:p>
        </w:tc>
        <w:tc>
          <w:tcPr>
            <w:tcW w:w="1284" w:type="dxa"/>
          </w:tcPr>
          <w:p>
            <w:pPr>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710" w:type="dxa"/>
          </w:tcPr>
          <w:p>
            <w:pPr>
              <w:spacing w:line="360" w:lineRule="auto"/>
              <w:jc w:val="center"/>
              <w:rPr>
                <w:rFonts w:ascii="宋体" w:hAnsi="宋体" w:cs="宋体"/>
              </w:rPr>
            </w:pPr>
          </w:p>
        </w:tc>
        <w:tc>
          <w:tcPr>
            <w:tcW w:w="859" w:type="dxa"/>
          </w:tcPr>
          <w:p>
            <w:pPr>
              <w:spacing w:line="360" w:lineRule="auto"/>
              <w:jc w:val="center"/>
              <w:rPr>
                <w:rFonts w:ascii="宋体" w:hAnsi="宋体" w:cs="宋体"/>
              </w:rPr>
            </w:pPr>
          </w:p>
        </w:tc>
        <w:tc>
          <w:tcPr>
            <w:tcW w:w="1082" w:type="dxa"/>
          </w:tcPr>
          <w:p>
            <w:pPr>
              <w:spacing w:line="360" w:lineRule="auto"/>
              <w:jc w:val="center"/>
              <w:rPr>
                <w:rFonts w:ascii="宋体" w:hAnsi="宋体" w:cs="宋体"/>
              </w:rPr>
            </w:pPr>
          </w:p>
        </w:tc>
        <w:tc>
          <w:tcPr>
            <w:tcW w:w="1559" w:type="dxa"/>
          </w:tcPr>
          <w:p>
            <w:pPr>
              <w:spacing w:line="360" w:lineRule="auto"/>
              <w:jc w:val="center"/>
              <w:rPr>
                <w:rFonts w:ascii="宋体" w:hAnsi="宋体" w:cs="宋体"/>
              </w:rPr>
            </w:pPr>
          </w:p>
        </w:tc>
        <w:tc>
          <w:tcPr>
            <w:tcW w:w="1226" w:type="dxa"/>
          </w:tcPr>
          <w:p>
            <w:pPr>
              <w:spacing w:line="360" w:lineRule="auto"/>
              <w:jc w:val="center"/>
              <w:rPr>
                <w:rFonts w:ascii="宋体" w:hAnsi="宋体" w:cs="宋体"/>
              </w:rPr>
            </w:pPr>
          </w:p>
        </w:tc>
        <w:tc>
          <w:tcPr>
            <w:tcW w:w="1464" w:type="dxa"/>
          </w:tcPr>
          <w:p>
            <w:pPr>
              <w:spacing w:line="360" w:lineRule="auto"/>
              <w:jc w:val="center"/>
              <w:rPr>
                <w:rFonts w:ascii="宋体" w:hAnsi="宋体" w:cs="宋体"/>
              </w:rPr>
            </w:pPr>
          </w:p>
        </w:tc>
        <w:tc>
          <w:tcPr>
            <w:tcW w:w="1284" w:type="dxa"/>
          </w:tcPr>
          <w:p>
            <w:pPr>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710" w:type="dxa"/>
          </w:tcPr>
          <w:p>
            <w:pPr>
              <w:spacing w:line="360" w:lineRule="auto"/>
              <w:jc w:val="center"/>
              <w:rPr>
                <w:rFonts w:ascii="宋体" w:hAnsi="宋体" w:cs="宋体"/>
              </w:rPr>
            </w:pPr>
          </w:p>
        </w:tc>
        <w:tc>
          <w:tcPr>
            <w:tcW w:w="859" w:type="dxa"/>
          </w:tcPr>
          <w:p>
            <w:pPr>
              <w:spacing w:line="360" w:lineRule="auto"/>
              <w:jc w:val="center"/>
              <w:rPr>
                <w:rFonts w:ascii="宋体" w:hAnsi="宋体" w:cs="宋体"/>
              </w:rPr>
            </w:pPr>
          </w:p>
        </w:tc>
        <w:tc>
          <w:tcPr>
            <w:tcW w:w="1082" w:type="dxa"/>
          </w:tcPr>
          <w:p>
            <w:pPr>
              <w:spacing w:line="360" w:lineRule="auto"/>
              <w:jc w:val="center"/>
              <w:rPr>
                <w:rFonts w:ascii="宋体" w:hAnsi="宋体" w:cs="宋体"/>
              </w:rPr>
            </w:pPr>
          </w:p>
        </w:tc>
        <w:tc>
          <w:tcPr>
            <w:tcW w:w="1559" w:type="dxa"/>
          </w:tcPr>
          <w:p>
            <w:pPr>
              <w:spacing w:line="360" w:lineRule="auto"/>
              <w:jc w:val="center"/>
              <w:rPr>
                <w:rFonts w:ascii="宋体" w:hAnsi="宋体" w:cs="宋体"/>
              </w:rPr>
            </w:pPr>
          </w:p>
        </w:tc>
        <w:tc>
          <w:tcPr>
            <w:tcW w:w="1226" w:type="dxa"/>
          </w:tcPr>
          <w:p>
            <w:pPr>
              <w:spacing w:line="360" w:lineRule="auto"/>
              <w:jc w:val="center"/>
              <w:rPr>
                <w:rFonts w:ascii="宋体" w:hAnsi="宋体" w:cs="宋体"/>
              </w:rPr>
            </w:pPr>
          </w:p>
        </w:tc>
        <w:tc>
          <w:tcPr>
            <w:tcW w:w="1464" w:type="dxa"/>
          </w:tcPr>
          <w:p>
            <w:pPr>
              <w:spacing w:line="360" w:lineRule="auto"/>
              <w:jc w:val="center"/>
              <w:rPr>
                <w:rFonts w:ascii="宋体" w:hAnsi="宋体" w:cs="宋体"/>
              </w:rPr>
            </w:pPr>
          </w:p>
        </w:tc>
        <w:tc>
          <w:tcPr>
            <w:tcW w:w="1284" w:type="dxa"/>
          </w:tcPr>
          <w:p>
            <w:pPr>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710" w:type="dxa"/>
          </w:tcPr>
          <w:p>
            <w:pPr>
              <w:spacing w:line="360" w:lineRule="auto"/>
              <w:jc w:val="center"/>
              <w:rPr>
                <w:rFonts w:ascii="宋体" w:hAnsi="宋体" w:cs="宋体"/>
              </w:rPr>
            </w:pPr>
          </w:p>
        </w:tc>
        <w:tc>
          <w:tcPr>
            <w:tcW w:w="859" w:type="dxa"/>
          </w:tcPr>
          <w:p>
            <w:pPr>
              <w:spacing w:line="360" w:lineRule="auto"/>
              <w:jc w:val="center"/>
              <w:rPr>
                <w:rFonts w:ascii="宋体" w:hAnsi="宋体" w:cs="宋体"/>
              </w:rPr>
            </w:pPr>
          </w:p>
        </w:tc>
        <w:tc>
          <w:tcPr>
            <w:tcW w:w="1082" w:type="dxa"/>
          </w:tcPr>
          <w:p>
            <w:pPr>
              <w:spacing w:line="360" w:lineRule="auto"/>
              <w:jc w:val="center"/>
              <w:rPr>
                <w:rFonts w:ascii="宋体" w:hAnsi="宋体" w:cs="宋体"/>
              </w:rPr>
            </w:pPr>
          </w:p>
        </w:tc>
        <w:tc>
          <w:tcPr>
            <w:tcW w:w="1559" w:type="dxa"/>
          </w:tcPr>
          <w:p>
            <w:pPr>
              <w:spacing w:line="360" w:lineRule="auto"/>
              <w:jc w:val="center"/>
              <w:rPr>
                <w:rFonts w:ascii="宋体" w:hAnsi="宋体" w:cs="宋体"/>
              </w:rPr>
            </w:pPr>
          </w:p>
        </w:tc>
        <w:tc>
          <w:tcPr>
            <w:tcW w:w="1226" w:type="dxa"/>
          </w:tcPr>
          <w:p>
            <w:pPr>
              <w:spacing w:line="360" w:lineRule="auto"/>
              <w:jc w:val="center"/>
              <w:rPr>
                <w:rFonts w:ascii="宋体" w:hAnsi="宋体" w:cs="宋体"/>
              </w:rPr>
            </w:pPr>
          </w:p>
        </w:tc>
        <w:tc>
          <w:tcPr>
            <w:tcW w:w="1464" w:type="dxa"/>
          </w:tcPr>
          <w:p>
            <w:pPr>
              <w:spacing w:line="360" w:lineRule="auto"/>
              <w:jc w:val="center"/>
              <w:rPr>
                <w:rFonts w:ascii="宋体" w:hAnsi="宋体" w:cs="宋体"/>
              </w:rPr>
            </w:pPr>
          </w:p>
        </w:tc>
        <w:tc>
          <w:tcPr>
            <w:tcW w:w="1284" w:type="dxa"/>
          </w:tcPr>
          <w:p>
            <w:pPr>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710" w:type="dxa"/>
          </w:tcPr>
          <w:p>
            <w:pPr>
              <w:spacing w:line="360" w:lineRule="auto"/>
              <w:jc w:val="center"/>
              <w:rPr>
                <w:rFonts w:ascii="宋体" w:hAnsi="宋体" w:cs="宋体"/>
              </w:rPr>
            </w:pPr>
          </w:p>
        </w:tc>
        <w:tc>
          <w:tcPr>
            <w:tcW w:w="859" w:type="dxa"/>
          </w:tcPr>
          <w:p>
            <w:pPr>
              <w:spacing w:line="360" w:lineRule="auto"/>
              <w:jc w:val="center"/>
              <w:rPr>
                <w:rFonts w:ascii="宋体" w:hAnsi="宋体" w:cs="宋体"/>
              </w:rPr>
            </w:pPr>
          </w:p>
        </w:tc>
        <w:tc>
          <w:tcPr>
            <w:tcW w:w="1082" w:type="dxa"/>
          </w:tcPr>
          <w:p>
            <w:pPr>
              <w:spacing w:line="360" w:lineRule="auto"/>
              <w:jc w:val="center"/>
              <w:rPr>
                <w:rFonts w:ascii="宋体" w:hAnsi="宋体" w:cs="宋体"/>
              </w:rPr>
            </w:pPr>
          </w:p>
        </w:tc>
        <w:tc>
          <w:tcPr>
            <w:tcW w:w="1559" w:type="dxa"/>
          </w:tcPr>
          <w:p>
            <w:pPr>
              <w:spacing w:line="360" w:lineRule="auto"/>
              <w:jc w:val="center"/>
              <w:rPr>
                <w:rFonts w:ascii="宋体" w:hAnsi="宋体" w:cs="宋体"/>
              </w:rPr>
            </w:pPr>
          </w:p>
        </w:tc>
        <w:tc>
          <w:tcPr>
            <w:tcW w:w="1226" w:type="dxa"/>
          </w:tcPr>
          <w:p>
            <w:pPr>
              <w:spacing w:line="360" w:lineRule="auto"/>
              <w:jc w:val="center"/>
              <w:rPr>
                <w:rFonts w:ascii="宋体" w:hAnsi="宋体" w:cs="宋体"/>
              </w:rPr>
            </w:pPr>
          </w:p>
        </w:tc>
        <w:tc>
          <w:tcPr>
            <w:tcW w:w="1464" w:type="dxa"/>
          </w:tcPr>
          <w:p>
            <w:pPr>
              <w:spacing w:line="360" w:lineRule="auto"/>
              <w:jc w:val="center"/>
              <w:rPr>
                <w:rFonts w:ascii="宋体" w:hAnsi="宋体" w:cs="宋体"/>
              </w:rPr>
            </w:pPr>
          </w:p>
        </w:tc>
        <w:tc>
          <w:tcPr>
            <w:tcW w:w="1284" w:type="dxa"/>
          </w:tcPr>
          <w:p>
            <w:pPr>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710" w:type="dxa"/>
          </w:tcPr>
          <w:p>
            <w:pPr>
              <w:spacing w:line="360" w:lineRule="auto"/>
              <w:jc w:val="center"/>
              <w:rPr>
                <w:rFonts w:ascii="宋体" w:hAnsi="宋体" w:cs="宋体"/>
              </w:rPr>
            </w:pPr>
          </w:p>
        </w:tc>
        <w:tc>
          <w:tcPr>
            <w:tcW w:w="859" w:type="dxa"/>
          </w:tcPr>
          <w:p>
            <w:pPr>
              <w:spacing w:line="360" w:lineRule="auto"/>
              <w:jc w:val="center"/>
              <w:rPr>
                <w:rFonts w:ascii="宋体" w:hAnsi="宋体" w:cs="宋体"/>
              </w:rPr>
            </w:pPr>
          </w:p>
        </w:tc>
        <w:tc>
          <w:tcPr>
            <w:tcW w:w="1082" w:type="dxa"/>
          </w:tcPr>
          <w:p>
            <w:pPr>
              <w:spacing w:line="360" w:lineRule="auto"/>
              <w:jc w:val="center"/>
              <w:rPr>
                <w:rFonts w:ascii="宋体" w:hAnsi="宋体" w:cs="宋体"/>
              </w:rPr>
            </w:pPr>
          </w:p>
        </w:tc>
        <w:tc>
          <w:tcPr>
            <w:tcW w:w="1559" w:type="dxa"/>
          </w:tcPr>
          <w:p>
            <w:pPr>
              <w:spacing w:line="360" w:lineRule="auto"/>
              <w:jc w:val="center"/>
              <w:rPr>
                <w:rFonts w:ascii="宋体" w:hAnsi="宋体" w:cs="宋体"/>
              </w:rPr>
            </w:pPr>
          </w:p>
        </w:tc>
        <w:tc>
          <w:tcPr>
            <w:tcW w:w="1226" w:type="dxa"/>
          </w:tcPr>
          <w:p>
            <w:pPr>
              <w:spacing w:line="360" w:lineRule="auto"/>
              <w:jc w:val="center"/>
              <w:rPr>
                <w:rFonts w:ascii="宋体" w:hAnsi="宋体" w:cs="宋体"/>
              </w:rPr>
            </w:pPr>
          </w:p>
        </w:tc>
        <w:tc>
          <w:tcPr>
            <w:tcW w:w="1464" w:type="dxa"/>
          </w:tcPr>
          <w:p>
            <w:pPr>
              <w:spacing w:line="360" w:lineRule="auto"/>
              <w:jc w:val="center"/>
              <w:rPr>
                <w:rFonts w:ascii="宋体" w:hAnsi="宋体" w:cs="宋体"/>
              </w:rPr>
            </w:pPr>
          </w:p>
        </w:tc>
        <w:tc>
          <w:tcPr>
            <w:tcW w:w="1284" w:type="dxa"/>
          </w:tcPr>
          <w:p>
            <w:pPr>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710" w:type="dxa"/>
          </w:tcPr>
          <w:p>
            <w:pPr>
              <w:spacing w:line="360" w:lineRule="auto"/>
              <w:jc w:val="center"/>
              <w:rPr>
                <w:rFonts w:ascii="宋体" w:hAnsi="宋体" w:cs="宋体"/>
              </w:rPr>
            </w:pPr>
          </w:p>
        </w:tc>
        <w:tc>
          <w:tcPr>
            <w:tcW w:w="859" w:type="dxa"/>
          </w:tcPr>
          <w:p>
            <w:pPr>
              <w:spacing w:line="360" w:lineRule="auto"/>
              <w:jc w:val="center"/>
              <w:rPr>
                <w:rFonts w:ascii="宋体" w:hAnsi="宋体" w:cs="宋体"/>
              </w:rPr>
            </w:pPr>
          </w:p>
        </w:tc>
        <w:tc>
          <w:tcPr>
            <w:tcW w:w="1082" w:type="dxa"/>
          </w:tcPr>
          <w:p>
            <w:pPr>
              <w:spacing w:line="360" w:lineRule="auto"/>
              <w:jc w:val="center"/>
              <w:rPr>
                <w:rFonts w:ascii="宋体" w:hAnsi="宋体" w:cs="宋体"/>
              </w:rPr>
            </w:pPr>
          </w:p>
        </w:tc>
        <w:tc>
          <w:tcPr>
            <w:tcW w:w="1559" w:type="dxa"/>
          </w:tcPr>
          <w:p>
            <w:pPr>
              <w:spacing w:line="360" w:lineRule="auto"/>
              <w:jc w:val="center"/>
              <w:rPr>
                <w:rFonts w:ascii="宋体" w:hAnsi="宋体" w:cs="宋体"/>
              </w:rPr>
            </w:pPr>
          </w:p>
        </w:tc>
        <w:tc>
          <w:tcPr>
            <w:tcW w:w="1226" w:type="dxa"/>
          </w:tcPr>
          <w:p>
            <w:pPr>
              <w:spacing w:line="360" w:lineRule="auto"/>
              <w:jc w:val="center"/>
              <w:rPr>
                <w:rFonts w:ascii="宋体" w:hAnsi="宋体" w:cs="宋体"/>
              </w:rPr>
            </w:pPr>
          </w:p>
        </w:tc>
        <w:tc>
          <w:tcPr>
            <w:tcW w:w="1464" w:type="dxa"/>
          </w:tcPr>
          <w:p>
            <w:pPr>
              <w:spacing w:line="360" w:lineRule="auto"/>
              <w:jc w:val="center"/>
              <w:rPr>
                <w:rFonts w:ascii="宋体" w:hAnsi="宋体" w:cs="宋体"/>
              </w:rPr>
            </w:pPr>
          </w:p>
        </w:tc>
        <w:tc>
          <w:tcPr>
            <w:tcW w:w="1284" w:type="dxa"/>
          </w:tcPr>
          <w:p>
            <w:pPr>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710" w:type="dxa"/>
          </w:tcPr>
          <w:p>
            <w:pPr>
              <w:spacing w:line="360" w:lineRule="auto"/>
              <w:jc w:val="center"/>
              <w:rPr>
                <w:rFonts w:ascii="宋体" w:hAnsi="宋体" w:cs="宋体"/>
              </w:rPr>
            </w:pPr>
          </w:p>
        </w:tc>
        <w:tc>
          <w:tcPr>
            <w:tcW w:w="859" w:type="dxa"/>
          </w:tcPr>
          <w:p>
            <w:pPr>
              <w:spacing w:line="360" w:lineRule="auto"/>
              <w:jc w:val="center"/>
              <w:rPr>
                <w:rFonts w:ascii="宋体" w:hAnsi="宋体" w:cs="宋体"/>
              </w:rPr>
            </w:pPr>
          </w:p>
        </w:tc>
        <w:tc>
          <w:tcPr>
            <w:tcW w:w="1082" w:type="dxa"/>
          </w:tcPr>
          <w:p>
            <w:pPr>
              <w:spacing w:line="360" w:lineRule="auto"/>
              <w:jc w:val="center"/>
              <w:rPr>
                <w:rFonts w:ascii="宋体" w:hAnsi="宋体" w:cs="宋体"/>
              </w:rPr>
            </w:pPr>
          </w:p>
        </w:tc>
        <w:tc>
          <w:tcPr>
            <w:tcW w:w="1559" w:type="dxa"/>
          </w:tcPr>
          <w:p>
            <w:pPr>
              <w:spacing w:line="360" w:lineRule="auto"/>
              <w:jc w:val="center"/>
              <w:rPr>
                <w:rFonts w:ascii="宋体" w:hAnsi="宋体" w:cs="宋体"/>
              </w:rPr>
            </w:pPr>
          </w:p>
        </w:tc>
        <w:tc>
          <w:tcPr>
            <w:tcW w:w="1226" w:type="dxa"/>
          </w:tcPr>
          <w:p>
            <w:pPr>
              <w:spacing w:line="360" w:lineRule="auto"/>
              <w:jc w:val="center"/>
              <w:rPr>
                <w:rFonts w:ascii="宋体" w:hAnsi="宋体" w:cs="宋体"/>
              </w:rPr>
            </w:pPr>
          </w:p>
        </w:tc>
        <w:tc>
          <w:tcPr>
            <w:tcW w:w="1464" w:type="dxa"/>
          </w:tcPr>
          <w:p>
            <w:pPr>
              <w:spacing w:line="360" w:lineRule="auto"/>
              <w:jc w:val="center"/>
              <w:rPr>
                <w:rFonts w:ascii="宋体" w:hAnsi="宋体" w:cs="宋体"/>
              </w:rPr>
            </w:pPr>
          </w:p>
        </w:tc>
        <w:tc>
          <w:tcPr>
            <w:tcW w:w="1284" w:type="dxa"/>
          </w:tcPr>
          <w:p>
            <w:pPr>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710" w:type="dxa"/>
          </w:tcPr>
          <w:p>
            <w:pPr>
              <w:spacing w:line="360" w:lineRule="auto"/>
              <w:jc w:val="center"/>
              <w:rPr>
                <w:rFonts w:ascii="宋体" w:hAnsi="宋体" w:cs="宋体"/>
              </w:rPr>
            </w:pPr>
          </w:p>
        </w:tc>
        <w:tc>
          <w:tcPr>
            <w:tcW w:w="859" w:type="dxa"/>
          </w:tcPr>
          <w:p>
            <w:pPr>
              <w:spacing w:line="360" w:lineRule="auto"/>
              <w:jc w:val="center"/>
              <w:rPr>
                <w:rFonts w:ascii="宋体" w:hAnsi="宋体" w:cs="宋体"/>
              </w:rPr>
            </w:pPr>
          </w:p>
        </w:tc>
        <w:tc>
          <w:tcPr>
            <w:tcW w:w="1082" w:type="dxa"/>
          </w:tcPr>
          <w:p>
            <w:pPr>
              <w:spacing w:line="360" w:lineRule="auto"/>
              <w:jc w:val="center"/>
              <w:rPr>
                <w:rFonts w:ascii="宋体" w:hAnsi="宋体" w:cs="宋体"/>
              </w:rPr>
            </w:pPr>
          </w:p>
        </w:tc>
        <w:tc>
          <w:tcPr>
            <w:tcW w:w="1559" w:type="dxa"/>
          </w:tcPr>
          <w:p>
            <w:pPr>
              <w:spacing w:line="360" w:lineRule="auto"/>
              <w:jc w:val="center"/>
              <w:rPr>
                <w:rFonts w:ascii="宋体" w:hAnsi="宋体" w:cs="宋体"/>
              </w:rPr>
            </w:pPr>
          </w:p>
        </w:tc>
        <w:tc>
          <w:tcPr>
            <w:tcW w:w="1226" w:type="dxa"/>
          </w:tcPr>
          <w:p>
            <w:pPr>
              <w:spacing w:line="360" w:lineRule="auto"/>
              <w:jc w:val="center"/>
              <w:rPr>
                <w:rFonts w:ascii="宋体" w:hAnsi="宋体" w:cs="宋体"/>
              </w:rPr>
            </w:pPr>
          </w:p>
        </w:tc>
        <w:tc>
          <w:tcPr>
            <w:tcW w:w="1464" w:type="dxa"/>
          </w:tcPr>
          <w:p>
            <w:pPr>
              <w:spacing w:line="360" w:lineRule="auto"/>
              <w:jc w:val="center"/>
              <w:rPr>
                <w:rFonts w:ascii="宋体" w:hAnsi="宋体" w:cs="宋体"/>
              </w:rPr>
            </w:pPr>
          </w:p>
        </w:tc>
        <w:tc>
          <w:tcPr>
            <w:tcW w:w="1284" w:type="dxa"/>
          </w:tcPr>
          <w:p>
            <w:pPr>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710" w:type="dxa"/>
          </w:tcPr>
          <w:p>
            <w:pPr>
              <w:spacing w:line="360" w:lineRule="auto"/>
              <w:jc w:val="center"/>
              <w:rPr>
                <w:rFonts w:ascii="宋体" w:hAnsi="宋体" w:cs="宋体"/>
              </w:rPr>
            </w:pPr>
          </w:p>
        </w:tc>
        <w:tc>
          <w:tcPr>
            <w:tcW w:w="859" w:type="dxa"/>
          </w:tcPr>
          <w:p>
            <w:pPr>
              <w:spacing w:line="360" w:lineRule="auto"/>
              <w:jc w:val="center"/>
              <w:rPr>
                <w:rFonts w:ascii="宋体" w:hAnsi="宋体" w:cs="宋体"/>
              </w:rPr>
            </w:pPr>
          </w:p>
        </w:tc>
        <w:tc>
          <w:tcPr>
            <w:tcW w:w="1082" w:type="dxa"/>
          </w:tcPr>
          <w:p>
            <w:pPr>
              <w:spacing w:line="360" w:lineRule="auto"/>
              <w:jc w:val="center"/>
              <w:rPr>
                <w:rFonts w:ascii="宋体" w:hAnsi="宋体" w:cs="宋体"/>
              </w:rPr>
            </w:pPr>
          </w:p>
        </w:tc>
        <w:tc>
          <w:tcPr>
            <w:tcW w:w="1559" w:type="dxa"/>
          </w:tcPr>
          <w:p>
            <w:pPr>
              <w:spacing w:line="360" w:lineRule="auto"/>
              <w:jc w:val="center"/>
              <w:rPr>
                <w:rFonts w:ascii="宋体" w:hAnsi="宋体" w:cs="宋体"/>
              </w:rPr>
            </w:pPr>
          </w:p>
        </w:tc>
        <w:tc>
          <w:tcPr>
            <w:tcW w:w="1226" w:type="dxa"/>
          </w:tcPr>
          <w:p>
            <w:pPr>
              <w:spacing w:line="360" w:lineRule="auto"/>
              <w:jc w:val="center"/>
              <w:rPr>
                <w:rFonts w:ascii="宋体" w:hAnsi="宋体" w:cs="宋体"/>
              </w:rPr>
            </w:pPr>
          </w:p>
        </w:tc>
        <w:tc>
          <w:tcPr>
            <w:tcW w:w="1464" w:type="dxa"/>
          </w:tcPr>
          <w:p>
            <w:pPr>
              <w:spacing w:line="360" w:lineRule="auto"/>
              <w:jc w:val="center"/>
              <w:rPr>
                <w:rFonts w:ascii="宋体" w:hAnsi="宋体" w:cs="宋体"/>
              </w:rPr>
            </w:pPr>
          </w:p>
        </w:tc>
        <w:tc>
          <w:tcPr>
            <w:tcW w:w="1284" w:type="dxa"/>
          </w:tcPr>
          <w:p>
            <w:pPr>
              <w:spacing w:line="360" w:lineRule="auto"/>
              <w:jc w:val="center"/>
              <w:rPr>
                <w:rFonts w:ascii="宋体" w:hAnsi="宋体" w:cs="宋体"/>
              </w:rPr>
            </w:pPr>
          </w:p>
        </w:tc>
      </w:tr>
    </w:tbl>
    <w:p>
      <w:pPr>
        <w:spacing w:line="360" w:lineRule="auto"/>
        <w:rPr>
          <w:rFonts w:ascii="宋体" w:hAnsi="宋体" w:cs="宋体"/>
        </w:rPr>
      </w:pPr>
    </w:p>
    <w:p>
      <w:pPr>
        <w:spacing w:line="360" w:lineRule="auto"/>
        <w:rPr>
          <w:rFonts w:ascii="宋体" w:hAnsi="宋体" w:cs="宋体"/>
          <w:lang w:val="zh-CN"/>
        </w:rPr>
      </w:pPr>
      <w:r>
        <w:rPr>
          <w:rFonts w:hint="eastAsia" w:ascii="宋体" w:hAnsi="宋体" w:cs="宋体"/>
        </w:rPr>
        <w:t xml:space="preserve">                                   </w:t>
      </w:r>
      <w:r>
        <w:rPr>
          <w:rFonts w:hint="eastAsia" w:ascii="宋体" w:hAnsi="宋体" w:cs="宋体"/>
          <w:lang w:val="zh-CN"/>
        </w:rPr>
        <w:t>授权代表（签字）：</w:t>
      </w:r>
    </w:p>
    <w:p>
      <w:pPr>
        <w:autoSpaceDE w:val="0"/>
        <w:autoSpaceDN w:val="0"/>
        <w:spacing w:line="360" w:lineRule="auto"/>
        <w:rPr>
          <w:rFonts w:ascii="宋体" w:hAnsi="宋体" w:cs="宋体"/>
          <w:lang w:val="zh-CN"/>
        </w:rPr>
      </w:pPr>
      <w:r>
        <w:rPr>
          <w:rFonts w:hint="eastAsia" w:ascii="宋体" w:hAnsi="宋体" w:cs="宋体"/>
        </w:rPr>
        <w:t xml:space="preserve">                                   供应商</w:t>
      </w:r>
      <w:r>
        <w:rPr>
          <w:rFonts w:hint="eastAsia" w:ascii="宋体" w:hAnsi="宋体" w:cs="宋体"/>
          <w:lang w:val="zh-CN"/>
        </w:rPr>
        <w:t>名称：（公章）</w:t>
      </w:r>
    </w:p>
    <w:p>
      <w:pPr>
        <w:autoSpaceDE w:val="0"/>
        <w:autoSpaceDN w:val="0"/>
        <w:spacing w:line="360" w:lineRule="auto"/>
        <w:ind w:firstLine="600" w:firstLineChars="250"/>
        <w:rPr>
          <w:rFonts w:ascii="宋体" w:hAnsi="宋体" w:cs="宋体"/>
          <w:lang w:val="zh-CN"/>
        </w:rPr>
      </w:pPr>
      <w:r>
        <w:rPr>
          <w:rFonts w:hint="eastAsia" w:ascii="宋体" w:hAnsi="宋体" w:cs="宋体"/>
        </w:rPr>
        <w:t xml:space="preserve">                                </w:t>
      </w:r>
      <w:r>
        <w:rPr>
          <w:rFonts w:hint="eastAsia" w:ascii="宋体" w:hAnsi="宋体" w:cs="宋体"/>
          <w:lang w:val="zh-CN"/>
        </w:rPr>
        <w:t>年   月   日</w:t>
      </w:r>
    </w:p>
    <w:p>
      <w:pPr>
        <w:autoSpaceDE w:val="0"/>
        <w:autoSpaceDN w:val="0"/>
        <w:spacing w:line="360" w:lineRule="auto"/>
        <w:rPr>
          <w:rFonts w:ascii="宋体" w:hAnsi="宋体" w:cs="宋体"/>
          <w:lang w:val="zh-CN"/>
        </w:rPr>
      </w:pPr>
    </w:p>
    <w:p>
      <w:pPr>
        <w:autoSpaceDE w:val="0"/>
        <w:autoSpaceDN w:val="0"/>
        <w:spacing w:line="360" w:lineRule="auto"/>
        <w:rPr>
          <w:rFonts w:ascii="宋体" w:hAnsi="宋体" w:cs="宋体"/>
          <w:lang w:val="zh-CN"/>
        </w:rPr>
      </w:pPr>
    </w:p>
    <w:p>
      <w:pPr>
        <w:autoSpaceDE w:val="0"/>
        <w:autoSpaceDN w:val="0"/>
        <w:spacing w:line="360" w:lineRule="auto"/>
        <w:rPr>
          <w:rFonts w:ascii="宋体" w:hAnsi="宋体" w:cs="宋体"/>
          <w:lang w:val="zh-CN"/>
        </w:rPr>
      </w:pPr>
    </w:p>
    <w:p>
      <w:pPr>
        <w:autoSpaceDE w:val="0"/>
        <w:autoSpaceDN w:val="0"/>
        <w:spacing w:line="360" w:lineRule="auto"/>
        <w:rPr>
          <w:rFonts w:ascii="宋体" w:hAnsi="宋体" w:cs="宋体"/>
          <w:lang w:val="zh-CN"/>
        </w:rPr>
      </w:pPr>
    </w:p>
    <w:p>
      <w:pPr>
        <w:sectPr>
          <w:pgSz w:w="11906" w:h="16838"/>
          <w:pgMar w:top="1440" w:right="1797" w:bottom="1440" w:left="1797" w:header="851" w:footer="992" w:gutter="0"/>
          <w:cols w:space="720" w:num="1"/>
          <w:docGrid w:linePitch="326" w:charSpace="0"/>
        </w:sectPr>
      </w:pPr>
      <w:bookmarkStart w:id="933" w:name="_Toc30140"/>
      <w:bookmarkStart w:id="934" w:name="_Toc67905554"/>
      <w:bookmarkStart w:id="935" w:name="_Toc94762806"/>
      <w:bookmarkStart w:id="936" w:name="_Toc26765"/>
      <w:bookmarkStart w:id="937" w:name="_Toc99187465"/>
      <w:bookmarkStart w:id="938" w:name="_Toc183597064"/>
    </w:p>
    <w:p>
      <w:r>
        <w:rPr>
          <w:rFonts w:hint="eastAsia"/>
        </w:rPr>
        <w:t>附件7服务方案（建议根据评分内容进行响应）</w:t>
      </w:r>
      <w:bookmarkEnd w:id="933"/>
      <w:bookmarkEnd w:id="934"/>
      <w:bookmarkEnd w:id="935"/>
      <w:bookmarkEnd w:id="936"/>
      <w:bookmarkEnd w:id="937"/>
      <w:bookmarkEnd w:id="938"/>
    </w:p>
    <w:p>
      <w:r>
        <w:rPr>
          <w:rFonts w:hint="eastAsia" w:ascii="宋体" w:hAnsi="宋体" w:cs="宋体"/>
          <w:szCs w:val="21"/>
        </w:rPr>
        <w:br w:type="page"/>
      </w:r>
      <w:bookmarkStart w:id="939" w:name="_Toc3146"/>
      <w:bookmarkStart w:id="940" w:name="_Toc21856"/>
      <w:r>
        <w:rPr>
          <w:rFonts w:hint="eastAsia"/>
        </w:rPr>
        <w:t xml:space="preserve">附件8 </w:t>
      </w:r>
      <w:bookmarkEnd w:id="939"/>
      <w:bookmarkStart w:id="941" w:name="_Toc16391"/>
      <w:r>
        <w:rPr>
          <w:rFonts w:hint="eastAsia"/>
        </w:rPr>
        <w:t>中小企业声明函（原件，中小企业参加磋商的）</w:t>
      </w:r>
      <w:bookmarkEnd w:id="940"/>
    </w:p>
    <w:p>
      <w:r>
        <w:rPr>
          <w:rFonts w:hint="eastAsia"/>
        </w:rPr>
        <w:t>（说明：供应商应保证该声明函与实际相符，否则采购人有权依法追究供应商的责任。）</w:t>
      </w:r>
    </w:p>
    <w:p>
      <w:pPr>
        <w:spacing w:line="360" w:lineRule="auto"/>
        <w:jc w:val="center"/>
        <w:rPr>
          <w:rFonts w:ascii="宋体" w:hAnsi="宋体" w:cs="宋体"/>
          <w:b/>
          <w:szCs w:val="21"/>
        </w:rPr>
      </w:pPr>
      <w:r>
        <w:rPr>
          <w:rFonts w:hint="eastAsia" w:ascii="宋体" w:hAnsi="宋体" w:cs="宋体"/>
        </w:rPr>
        <w:t>中小企业声明函</w:t>
      </w:r>
    </w:p>
    <w:p>
      <w:pPr>
        <w:spacing w:line="360" w:lineRule="auto"/>
        <w:rPr>
          <w:rFonts w:ascii="宋体" w:hAnsi="宋体" w:cs="宋体"/>
          <w:szCs w:val="21"/>
        </w:rPr>
      </w:pPr>
      <w:r>
        <w:rPr>
          <w:rFonts w:hint="eastAsia" w:ascii="宋体" w:hAnsi="宋体" w:cs="宋体"/>
          <w:szCs w:val="21"/>
        </w:rPr>
        <w:t>　　本公司（联合体）郑重声明，根据《政府采购促进中小企业发展管理办法》（财库﹝2020﹞46 号）的规定，本公司（联合体）参加</w:t>
      </w:r>
      <w:r>
        <w:rPr>
          <w:rFonts w:hint="eastAsia" w:ascii="宋体" w:hAnsi="宋体" w:cs="宋体"/>
          <w:szCs w:val="21"/>
          <w:u w:val="single"/>
        </w:rPr>
        <w:t>（单位名称）</w:t>
      </w:r>
      <w:r>
        <w:rPr>
          <w:rFonts w:hint="eastAsia" w:ascii="宋体" w:hAnsi="宋体" w:cs="宋体"/>
          <w:szCs w:val="21"/>
        </w:rPr>
        <w:t>的</w:t>
      </w:r>
      <w:r>
        <w:rPr>
          <w:rFonts w:hint="eastAsia" w:ascii="宋体" w:hAnsi="宋体" w:cs="宋体"/>
          <w:szCs w:val="21"/>
          <w:u w:val="single"/>
        </w:rPr>
        <w:t>（项目名称）</w:t>
      </w:r>
      <w:r>
        <w:rPr>
          <w:rFonts w:hint="eastAsia" w:ascii="宋体" w:hAnsi="宋体" w:cs="宋体"/>
          <w:szCs w:val="21"/>
        </w:rPr>
        <w:t>采购活动，工程的施工单位全部为符合政策要求的中小企业（或者：服务全部由符合政策要求的中小企业承接）。相关企业（含联合 体中的中小企业、签订分包意向协议的中小企业）的具体情况如下：</w:t>
      </w:r>
    </w:p>
    <w:p>
      <w:pPr>
        <w:spacing w:line="360" w:lineRule="auto"/>
        <w:ind w:firstLine="480" w:firstLineChars="200"/>
        <w:rPr>
          <w:rFonts w:ascii="宋体" w:hAnsi="宋体" w:cs="宋体"/>
          <w:szCs w:val="21"/>
        </w:rPr>
      </w:pPr>
      <w:r>
        <w:rPr>
          <w:rFonts w:hint="eastAsia" w:ascii="宋体" w:hAnsi="宋体" w:cs="宋体"/>
          <w:szCs w:val="21"/>
          <w:u w:val="single"/>
        </w:rPr>
        <w:t>（标的名称）</w:t>
      </w:r>
      <w:r>
        <w:rPr>
          <w:rFonts w:hint="eastAsia" w:ascii="宋体" w:hAnsi="宋体" w:cs="宋体"/>
          <w:szCs w:val="21"/>
        </w:rPr>
        <w:t>，属于（采购文件中明确的所属行业）；承建（承接）企业为</w:t>
      </w:r>
      <w:r>
        <w:rPr>
          <w:rFonts w:hint="eastAsia" w:ascii="宋体" w:hAnsi="宋体" w:cs="宋体"/>
          <w:szCs w:val="21"/>
          <w:u w:val="single"/>
          <w:lang w:val="zh-CN"/>
        </w:rPr>
        <w:t>（企业名称）</w:t>
      </w:r>
      <w:r>
        <w:rPr>
          <w:rFonts w:hint="eastAsia" w:ascii="宋体" w:hAnsi="宋体" w:cs="宋体"/>
          <w:szCs w:val="21"/>
        </w:rPr>
        <w:t>，从业人员</w:t>
      </w:r>
      <w:r>
        <w:rPr>
          <w:rFonts w:hint="eastAsia" w:ascii="宋体" w:hAnsi="宋体" w:cs="宋体"/>
          <w:szCs w:val="21"/>
          <w:u w:val="single"/>
        </w:rPr>
        <w:t xml:space="preserve"> </w:t>
      </w:r>
      <w:r>
        <w:rPr>
          <w:rFonts w:hint="eastAsia" w:ascii="宋体" w:hAnsi="宋体" w:cs="宋体"/>
          <w:szCs w:val="21"/>
          <w:u w:val="single"/>
        </w:rPr>
        <w:tab/>
      </w:r>
      <w:r>
        <w:rPr>
          <w:rFonts w:hint="eastAsia" w:ascii="宋体" w:hAnsi="宋体" w:cs="宋体"/>
          <w:szCs w:val="21"/>
        </w:rPr>
        <w:t xml:space="preserve">人，营业收入为 </w:t>
      </w:r>
      <w:r>
        <w:rPr>
          <w:rFonts w:hint="eastAsia" w:ascii="宋体" w:hAnsi="宋体" w:cs="宋体"/>
          <w:szCs w:val="21"/>
          <w:u w:val="single"/>
        </w:rPr>
        <w:tab/>
      </w:r>
      <w:r>
        <w:rPr>
          <w:rFonts w:hint="eastAsia" w:ascii="宋体" w:hAnsi="宋体" w:cs="宋体"/>
          <w:szCs w:val="21"/>
        </w:rPr>
        <w:t>万元，资产总额为</w:t>
      </w:r>
      <w:r>
        <w:rPr>
          <w:rFonts w:hint="eastAsia" w:ascii="宋体" w:hAnsi="宋体" w:cs="宋体"/>
          <w:szCs w:val="21"/>
          <w:u w:val="single"/>
        </w:rPr>
        <w:t xml:space="preserve"> </w:t>
      </w:r>
      <w:r>
        <w:rPr>
          <w:rFonts w:hint="eastAsia" w:ascii="宋体" w:hAnsi="宋体" w:cs="宋体"/>
          <w:szCs w:val="21"/>
          <w:u w:val="single"/>
        </w:rPr>
        <w:tab/>
      </w:r>
      <w:r>
        <w:rPr>
          <w:rFonts w:hint="eastAsia" w:ascii="宋体" w:hAnsi="宋体" w:cs="宋体"/>
          <w:szCs w:val="21"/>
        </w:rPr>
        <w:t>万元，属于</w:t>
      </w:r>
      <w:r>
        <w:rPr>
          <w:rFonts w:hint="eastAsia" w:ascii="宋体" w:hAnsi="宋体" w:cs="宋体"/>
          <w:szCs w:val="21"/>
          <w:u w:val="single"/>
        </w:rPr>
        <w:t>（</w:t>
      </w:r>
      <w:r>
        <w:rPr>
          <w:rFonts w:hint="eastAsia" w:ascii="宋体" w:hAnsi="宋体" w:cs="宋体"/>
          <w:szCs w:val="21"/>
          <w:u w:val="single"/>
          <w:lang w:val="zh-CN"/>
        </w:rPr>
        <w:t>中型企业、小型企业、微型企业</w:t>
      </w:r>
      <w:r>
        <w:rPr>
          <w:rFonts w:hint="eastAsia" w:ascii="宋体" w:hAnsi="宋体" w:cs="宋体"/>
          <w:szCs w:val="21"/>
          <w:u w:val="single"/>
        </w:rPr>
        <w:t>）</w:t>
      </w:r>
      <w:r>
        <w:rPr>
          <w:rFonts w:hint="eastAsia" w:ascii="宋体" w:hAnsi="宋体" w:cs="宋体"/>
          <w:szCs w:val="21"/>
        </w:rPr>
        <w:t>；</w:t>
      </w:r>
    </w:p>
    <w:p>
      <w:pPr>
        <w:spacing w:line="360" w:lineRule="auto"/>
        <w:ind w:firstLine="480" w:firstLineChars="200"/>
        <w:rPr>
          <w:rFonts w:ascii="宋体" w:hAnsi="宋体" w:cs="宋体"/>
          <w:szCs w:val="21"/>
        </w:rPr>
      </w:pPr>
      <w:r>
        <w:rPr>
          <w:rFonts w:hint="eastAsia" w:ascii="宋体" w:hAnsi="宋体" w:cs="宋体"/>
          <w:szCs w:val="21"/>
          <w:u w:val="single"/>
        </w:rPr>
        <w:t>（</w:t>
      </w:r>
      <w:r>
        <w:rPr>
          <w:rFonts w:hint="eastAsia" w:ascii="宋体" w:hAnsi="宋体" w:cs="宋体"/>
          <w:szCs w:val="21"/>
          <w:u w:val="single"/>
          <w:lang w:val="zh-CN"/>
        </w:rPr>
        <w:t>标的名称</w:t>
      </w:r>
      <w:r>
        <w:rPr>
          <w:rFonts w:hint="eastAsia" w:ascii="宋体" w:hAnsi="宋体" w:cs="宋体"/>
          <w:szCs w:val="21"/>
          <w:u w:val="single"/>
        </w:rPr>
        <w:t>）</w:t>
      </w:r>
      <w:r>
        <w:rPr>
          <w:rFonts w:hint="eastAsia" w:ascii="宋体" w:hAnsi="宋体" w:cs="宋体"/>
          <w:szCs w:val="21"/>
        </w:rPr>
        <w:t>，属于（</w:t>
      </w:r>
      <w:r>
        <w:rPr>
          <w:rFonts w:hint="eastAsia" w:ascii="宋体" w:hAnsi="宋体" w:cs="宋体"/>
          <w:szCs w:val="21"/>
          <w:lang w:val="zh-CN"/>
        </w:rPr>
        <w:t>采购文件中明确的所属行业）</w:t>
      </w:r>
      <w:r>
        <w:rPr>
          <w:rFonts w:hint="eastAsia" w:ascii="宋体" w:hAnsi="宋体" w:cs="宋体"/>
          <w:szCs w:val="21"/>
        </w:rPr>
        <w:t>；承建（承接）企业为</w:t>
      </w:r>
      <w:r>
        <w:rPr>
          <w:rFonts w:hint="eastAsia" w:ascii="宋体" w:hAnsi="宋体" w:cs="宋体"/>
          <w:szCs w:val="21"/>
          <w:u w:val="single"/>
        </w:rPr>
        <w:t>（</w:t>
      </w:r>
      <w:r>
        <w:rPr>
          <w:rFonts w:hint="eastAsia" w:ascii="宋体" w:hAnsi="宋体" w:cs="宋体"/>
          <w:szCs w:val="21"/>
          <w:u w:val="single"/>
          <w:lang w:val="zh-CN"/>
        </w:rPr>
        <w:t>企业名称）</w:t>
      </w:r>
      <w:r>
        <w:rPr>
          <w:rFonts w:hint="eastAsia" w:ascii="宋体" w:hAnsi="宋体" w:cs="宋体"/>
          <w:szCs w:val="21"/>
        </w:rPr>
        <w:t>，从业人员</w:t>
      </w:r>
      <w:r>
        <w:rPr>
          <w:rFonts w:hint="eastAsia" w:ascii="宋体" w:hAnsi="宋体" w:cs="宋体"/>
          <w:szCs w:val="21"/>
          <w:u w:val="single"/>
        </w:rPr>
        <w:t xml:space="preserve"> </w:t>
      </w:r>
      <w:r>
        <w:rPr>
          <w:rFonts w:hint="eastAsia" w:ascii="宋体" w:hAnsi="宋体" w:cs="宋体"/>
          <w:szCs w:val="21"/>
          <w:u w:val="single"/>
        </w:rPr>
        <w:tab/>
      </w:r>
      <w:r>
        <w:rPr>
          <w:rFonts w:hint="eastAsia" w:ascii="宋体" w:hAnsi="宋体" w:cs="宋体"/>
          <w:szCs w:val="21"/>
        </w:rPr>
        <w:t>人，营业收入为</w:t>
      </w:r>
      <w:r>
        <w:rPr>
          <w:rFonts w:hint="eastAsia" w:ascii="宋体" w:hAnsi="宋体" w:cs="宋体"/>
          <w:szCs w:val="21"/>
          <w:u w:val="single"/>
        </w:rPr>
        <w:t xml:space="preserve"> </w:t>
      </w:r>
      <w:r>
        <w:rPr>
          <w:rFonts w:hint="eastAsia" w:ascii="宋体" w:hAnsi="宋体" w:cs="宋体"/>
          <w:szCs w:val="21"/>
          <w:u w:val="single"/>
        </w:rPr>
        <w:tab/>
      </w:r>
      <w:r>
        <w:rPr>
          <w:rFonts w:hint="eastAsia" w:ascii="宋体" w:hAnsi="宋体" w:cs="宋体"/>
          <w:szCs w:val="21"/>
        </w:rPr>
        <w:t>万元，资产总额为</w:t>
      </w:r>
      <w:r>
        <w:rPr>
          <w:rFonts w:hint="eastAsia" w:ascii="宋体" w:hAnsi="宋体" w:cs="宋体"/>
          <w:szCs w:val="21"/>
          <w:u w:val="single"/>
        </w:rPr>
        <w:t xml:space="preserve"> </w:t>
      </w:r>
      <w:r>
        <w:rPr>
          <w:rFonts w:hint="eastAsia" w:ascii="宋体" w:hAnsi="宋体" w:cs="宋体"/>
          <w:szCs w:val="21"/>
          <w:u w:val="single"/>
        </w:rPr>
        <w:tab/>
      </w:r>
      <w:r>
        <w:rPr>
          <w:rFonts w:hint="eastAsia" w:ascii="宋体" w:hAnsi="宋体" w:cs="宋体"/>
          <w:szCs w:val="21"/>
        </w:rPr>
        <w:t>万元，属于</w:t>
      </w:r>
      <w:r>
        <w:rPr>
          <w:rFonts w:hint="eastAsia" w:ascii="宋体" w:hAnsi="宋体" w:cs="宋体"/>
          <w:szCs w:val="21"/>
          <w:u w:val="single"/>
        </w:rPr>
        <w:t>（</w:t>
      </w:r>
      <w:r>
        <w:rPr>
          <w:rFonts w:hint="eastAsia" w:ascii="宋体" w:hAnsi="宋体" w:cs="宋体"/>
          <w:szCs w:val="21"/>
          <w:u w:val="single"/>
          <w:lang w:val="zh-CN"/>
        </w:rPr>
        <w:t>中型企业、小型企业、微型企业）</w:t>
      </w:r>
      <w:r>
        <w:rPr>
          <w:rFonts w:hint="eastAsia" w:ascii="宋体" w:hAnsi="宋体" w:cs="宋体"/>
          <w:szCs w:val="21"/>
        </w:rPr>
        <w:t>；</w:t>
      </w:r>
    </w:p>
    <w:p>
      <w:pPr>
        <w:spacing w:line="360" w:lineRule="auto"/>
        <w:rPr>
          <w:rFonts w:ascii="宋体" w:hAnsi="宋体" w:cs="宋体"/>
          <w:szCs w:val="21"/>
        </w:rPr>
      </w:pPr>
      <w:r>
        <w:rPr>
          <w:rFonts w:hint="eastAsia" w:ascii="宋体" w:hAnsi="宋体" w:cs="宋体"/>
          <w:szCs w:val="21"/>
        </w:rPr>
        <w:t>……</w:t>
      </w:r>
    </w:p>
    <w:p>
      <w:pPr>
        <w:spacing w:line="360" w:lineRule="auto"/>
        <w:ind w:firstLine="480" w:firstLineChars="200"/>
        <w:rPr>
          <w:rFonts w:ascii="宋体" w:hAnsi="宋体" w:cs="宋体"/>
          <w:szCs w:val="21"/>
        </w:rPr>
      </w:pPr>
      <w:r>
        <w:rPr>
          <w:rFonts w:hint="eastAsia" w:ascii="宋体" w:hAnsi="宋体" w:cs="宋体"/>
          <w:szCs w:val="21"/>
        </w:rPr>
        <w:t>以上企业，不属于大企业的分支机构，不存在控股股东为大企业的情形，也不存在与大企业的负责人为同一人的情形。</w:t>
      </w:r>
    </w:p>
    <w:p>
      <w:pPr>
        <w:spacing w:line="360" w:lineRule="auto"/>
        <w:ind w:firstLine="480" w:firstLineChars="200"/>
        <w:rPr>
          <w:rFonts w:ascii="宋体" w:hAnsi="宋体" w:cs="宋体"/>
          <w:szCs w:val="21"/>
        </w:rPr>
      </w:pPr>
      <w:r>
        <w:rPr>
          <w:rFonts w:hint="eastAsia" w:ascii="宋体" w:hAnsi="宋体" w:cs="宋体"/>
          <w:szCs w:val="21"/>
        </w:rPr>
        <w:t>本企业对上述声明内容的真实性负责。如有虚假，将依法承担相应责任。</w:t>
      </w:r>
    </w:p>
    <w:p>
      <w:pPr>
        <w:spacing w:line="360" w:lineRule="auto"/>
        <w:rPr>
          <w:rFonts w:ascii="宋体" w:hAnsi="宋体" w:cs="宋体"/>
          <w:szCs w:val="21"/>
        </w:rPr>
      </w:pPr>
    </w:p>
    <w:p>
      <w:pPr>
        <w:spacing w:line="360" w:lineRule="auto"/>
        <w:rPr>
          <w:rFonts w:ascii="宋体" w:hAnsi="宋体" w:cs="宋体"/>
          <w:szCs w:val="21"/>
        </w:rPr>
      </w:pPr>
    </w:p>
    <w:p>
      <w:pPr>
        <w:spacing w:line="360" w:lineRule="auto"/>
        <w:ind w:firstLine="480" w:firstLineChars="200"/>
        <w:rPr>
          <w:rFonts w:ascii="宋体" w:hAnsi="宋体" w:cs="宋体"/>
          <w:szCs w:val="21"/>
        </w:rPr>
      </w:pPr>
      <w:r>
        <w:rPr>
          <w:rFonts w:hint="eastAsia" w:ascii="宋体" w:hAnsi="宋体" w:cs="宋体"/>
          <w:szCs w:val="21"/>
        </w:rPr>
        <w:t>企业名称（盖章）：</w:t>
      </w:r>
    </w:p>
    <w:p>
      <w:pPr>
        <w:spacing w:line="360" w:lineRule="auto"/>
        <w:ind w:firstLine="480" w:firstLineChars="200"/>
        <w:rPr>
          <w:rFonts w:ascii="宋体" w:hAnsi="宋体" w:cs="宋体"/>
          <w:sz w:val="28"/>
          <w:szCs w:val="28"/>
        </w:rPr>
      </w:pPr>
      <w:r>
        <w:rPr>
          <w:rFonts w:hint="eastAsia" w:ascii="宋体" w:hAnsi="宋体" w:cs="宋体"/>
          <w:szCs w:val="21"/>
        </w:rPr>
        <w:t>日期：</w:t>
      </w:r>
    </w:p>
    <w:p>
      <w:pPr>
        <w:spacing w:line="360" w:lineRule="auto"/>
        <w:rPr>
          <w:rFonts w:ascii="宋体" w:hAnsi="宋体" w:cs="宋体"/>
          <w:szCs w:val="24"/>
        </w:rPr>
      </w:pPr>
    </w:p>
    <w:p>
      <w:pPr>
        <w:spacing w:line="360" w:lineRule="auto"/>
        <w:rPr>
          <w:rFonts w:ascii="宋体" w:hAnsi="宋体" w:cs="宋体"/>
          <w:szCs w:val="21"/>
        </w:rPr>
      </w:pPr>
      <w:r>
        <w:rPr>
          <w:rFonts w:hint="eastAsia" w:ascii="宋体" w:hAnsi="宋体" w:cs="宋体"/>
          <w:szCs w:val="24"/>
        </w:rPr>
        <w:t>注：</w:t>
      </w:r>
      <w:r>
        <w:rPr>
          <w:rFonts w:hint="eastAsia" w:ascii="宋体" w:hAnsi="宋体" w:cs="宋体"/>
          <w:position w:val="6"/>
          <w:sz w:val="11"/>
        </w:rPr>
        <w:t>1</w:t>
      </w:r>
      <w:r>
        <w:rPr>
          <w:rFonts w:hint="eastAsia" w:ascii="宋体" w:hAnsi="宋体" w:cs="宋体"/>
          <w:sz w:val="18"/>
        </w:rPr>
        <w:t>从业人员、营业收入、资产总额填报上一年度数据，无上一年度数据的新成立企业可不填报。</w:t>
      </w:r>
    </w:p>
    <w:p>
      <w:pPr>
        <w:pStyle w:val="4"/>
        <w:spacing w:before="0" w:after="0" w:line="360" w:lineRule="auto"/>
        <w:rPr>
          <w:rFonts w:ascii="宋体" w:hAnsi="宋体" w:eastAsia="宋体" w:cs="宋体"/>
          <w:sz w:val="24"/>
          <w:szCs w:val="24"/>
        </w:rPr>
      </w:pPr>
      <w:r>
        <w:rPr>
          <w:rFonts w:hint="eastAsia" w:ascii="宋体" w:hAnsi="宋体" w:eastAsia="宋体" w:cs="宋体"/>
          <w:sz w:val="24"/>
          <w:szCs w:val="24"/>
        </w:rPr>
        <w:br w:type="page"/>
      </w:r>
      <w:bookmarkStart w:id="942" w:name="_Toc28300"/>
      <w:bookmarkStart w:id="943" w:name="_Toc4855"/>
      <w:bookmarkStart w:id="944" w:name="_Toc30555"/>
      <w:bookmarkStart w:id="945" w:name="_Toc13816"/>
      <w:bookmarkStart w:id="946" w:name="_Toc9377"/>
      <w:bookmarkStart w:id="947" w:name="_Toc6995"/>
      <w:bookmarkStart w:id="948" w:name="_Toc520382091"/>
      <w:bookmarkStart w:id="949" w:name="_Toc495677524"/>
      <w:bookmarkStart w:id="950" w:name="_Toc2033"/>
      <w:r>
        <w:rPr>
          <w:rFonts w:hint="eastAsia" w:ascii="Times New Roman" w:hAnsi="Times New Roman" w:eastAsia="宋体"/>
          <w:b w:val="0"/>
          <w:bCs w:val="0"/>
          <w:sz w:val="24"/>
          <w:szCs w:val="20"/>
        </w:rPr>
        <w:t>附件9  监狱企业证明材料（监狱企业参加的）</w:t>
      </w:r>
      <w:bookmarkEnd w:id="942"/>
      <w:bookmarkEnd w:id="943"/>
      <w:bookmarkEnd w:id="944"/>
      <w:bookmarkEnd w:id="945"/>
      <w:bookmarkEnd w:id="946"/>
      <w:bookmarkEnd w:id="947"/>
      <w:bookmarkEnd w:id="948"/>
      <w:bookmarkEnd w:id="949"/>
      <w:bookmarkEnd w:id="950"/>
    </w:p>
    <w:p>
      <w:pPr>
        <w:spacing w:line="360" w:lineRule="auto"/>
        <w:ind w:firstLine="480" w:firstLineChars="200"/>
        <w:rPr>
          <w:rFonts w:ascii="宋体" w:hAnsi="宋体" w:cs="宋体"/>
          <w:szCs w:val="21"/>
        </w:rPr>
      </w:pPr>
    </w:p>
    <w:p>
      <w:pPr>
        <w:spacing w:line="360" w:lineRule="auto"/>
        <w:ind w:firstLine="480" w:firstLineChars="200"/>
        <w:rPr>
          <w:rFonts w:ascii="宋体" w:hAnsi="宋体" w:cs="宋体"/>
          <w:szCs w:val="21"/>
        </w:rPr>
      </w:pPr>
      <w:r>
        <w:rPr>
          <w:rFonts w:hint="eastAsia" w:ascii="宋体" w:hAnsi="宋体" w:cs="宋体"/>
          <w:szCs w:val="21"/>
        </w:rPr>
        <w:t>根据《财政部 司法部关于政府采购支持监狱企业发展有关问题的通知（财库[2014]68号）》的规定提交有关部门出具的证明材料并加盖供应商公章。</w:t>
      </w:r>
    </w:p>
    <w:p>
      <w:pPr>
        <w:widowControl/>
        <w:rPr>
          <w:rFonts w:ascii="宋体" w:hAnsi="宋体" w:cs="宋体"/>
          <w:szCs w:val="24"/>
        </w:rPr>
      </w:pPr>
    </w:p>
    <w:p>
      <w:pPr>
        <w:pStyle w:val="4"/>
        <w:spacing w:before="0" w:after="0" w:line="360" w:lineRule="auto"/>
        <w:rPr>
          <w:rFonts w:ascii="宋体" w:hAnsi="宋体" w:eastAsia="宋体" w:cs="宋体"/>
          <w:sz w:val="24"/>
          <w:szCs w:val="24"/>
        </w:rPr>
      </w:pPr>
      <w:bookmarkStart w:id="951" w:name="_Toc520382092"/>
    </w:p>
    <w:p>
      <w:pPr>
        <w:pStyle w:val="4"/>
        <w:spacing w:before="0" w:after="0" w:line="360" w:lineRule="auto"/>
        <w:rPr>
          <w:rFonts w:ascii="宋体" w:hAnsi="宋体" w:eastAsia="宋体" w:cs="宋体"/>
          <w:sz w:val="24"/>
          <w:szCs w:val="24"/>
        </w:rPr>
        <w:sectPr>
          <w:pgSz w:w="11906" w:h="16838"/>
          <w:pgMar w:top="1440" w:right="1797" w:bottom="1440" w:left="1797" w:header="851" w:footer="992" w:gutter="0"/>
          <w:cols w:space="720" w:num="1"/>
          <w:docGrid w:linePitch="326" w:charSpace="0"/>
        </w:sectPr>
      </w:pPr>
      <w:bookmarkStart w:id="952" w:name="_Toc10908"/>
      <w:bookmarkStart w:id="953" w:name="_Toc9283"/>
      <w:bookmarkStart w:id="954" w:name="_Toc22655"/>
    </w:p>
    <w:p>
      <w:bookmarkStart w:id="955" w:name="_Toc21655"/>
      <w:r>
        <w:rPr>
          <w:rFonts w:hint="eastAsia"/>
        </w:rPr>
        <w:t>附件10  残疾人福利性单位证明材料（残疾人福利性单位参加的）</w:t>
      </w:r>
      <w:bookmarkEnd w:id="951"/>
      <w:bookmarkEnd w:id="952"/>
      <w:bookmarkEnd w:id="953"/>
      <w:bookmarkEnd w:id="954"/>
      <w:bookmarkEnd w:id="955"/>
    </w:p>
    <w:p>
      <w:pPr>
        <w:spacing w:line="360" w:lineRule="auto"/>
        <w:ind w:firstLine="482" w:firstLineChars="200"/>
        <w:rPr>
          <w:rFonts w:ascii="宋体" w:hAnsi="宋体" w:cs="宋体"/>
          <w:szCs w:val="21"/>
        </w:rPr>
      </w:pPr>
      <w:r>
        <w:rPr>
          <w:rFonts w:hint="eastAsia" w:ascii="宋体" w:hAnsi="宋体" w:cs="宋体"/>
          <w:b/>
          <w:szCs w:val="21"/>
        </w:rPr>
        <w:t>根据《财政部 民政部 中国残疾人联合会关于促进残疾人就业政府采购政策的通知》提交的声明函。供应商应当对声明的真实性负责，如提供的“残疾人福利性单位声明函”与事实不符，采购人有权依法追究供应商的责任。</w:t>
      </w:r>
    </w:p>
    <w:p>
      <w:pPr>
        <w:spacing w:line="360" w:lineRule="auto"/>
        <w:jc w:val="center"/>
        <w:rPr>
          <w:rFonts w:ascii="宋体" w:hAnsi="宋体" w:cs="宋体"/>
          <w:b/>
          <w:spacing w:val="6"/>
          <w:szCs w:val="21"/>
        </w:rPr>
      </w:pPr>
      <w:bookmarkStart w:id="956" w:name="OLE_LINK14"/>
    </w:p>
    <w:p>
      <w:pPr>
        <w:spacing w:line="360" w:lineRule="auto"/>
        <w:jc w:val="center"/>
        <w:rPr>
          <w:rFonts w:ascii="宋体" w:hAnsi="宋体" w:cs="宋体"/>
          <w:b/>
          <w:spacing w:val="6"/>
          <w:szCs w:val="21"/>
        </w:rPr>
      </w:pPr>
      <w:r>
        <w:rPr>
          <w:rFonts w:hint="eastAsia" w:ascii="宋体" w:hAnsi="宋体" w:cs="宋体"/>
          <w:b/>
          <w:spacing w:val="6"/>
          <w:szCs w:val="21"/>
        </w:rPr>
        <w:t>残疾人福利性单位声明函</w:t>
      </w:r>
    </w:p>
    <w:bookmarkEnd w:id="956"/>
    <w:p>
      <w:pPr>
        <w:spacing w:line="360" w:lineRule="auto"/>
        <w:rPr>
          <w:rFonts w:ascii="宋体" w:hAnsi="宋体" w:cs="宋体"/>
          <w:b/>
          <w:spacing w:val="6"/>
          <w:szCs w:val="21"/>
        </w:rPr>
      </w:pPr>
    </w:p>
    <w:p>
      <w:pPr>
        <w:spacing w:line="360" w:lineRule="auto"/>
        <w:ind w:firstLine="504" w:firstLineChars="200"/>
        <w:rPr>
          <w:rFonts w:ascii="宋体" w:hAnsi="宋体" w:cs="宋体"/>
          <w:spacing w:val="6"/>
          <w:szCs w:val="21"/>
        </w:rPr>
      </w:pPr>
      <w:r>
        <w:rPr>
          <w:rFonts w:hint="eastAsia" w:ascii="宋体" w:hAnsi="宋体" w:cs="宋体"/>
          <w:spacing w:val="6"/>
          <w:szCs w:val="21"/>
        </w:rPr>
        <w:t>本单位郑重声明，根据《财政部 民政部 中国残疾人联合会关于促进残疾人就业政府采购政策的通知》（财库</w:t>
      </w:r>
      <w:r>
        <w:rPr>
          <w:rFonts w:hint="eastAsia" w:ascii="宋体" w:hAnsi="宋体" w:cs="宋体"/>
          <w:szCs w:val="21"/>
        </w:rPr>
        <w:t>〔2017〕 141</w:t>
      </w:r>
      <w:r>
        <w:rPr>
          <w:rFonts w:hint="eastAsia" w:ascii="宋体" w:hAnsi="宋体" w:cs="宋体"/>
          <w:spacing w:val="6"/>
          <w:szCs w:val="21"/>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504" w:firstLineChars="200"/>
        <w:rPr>
          <w:rFonts w:ascii="宋体" w:hAnsi="宋体" w:cs="宋体"/>
          <w:spacing w:val="6"/>
          <w:szCs w:val="21"/>
        </w:rPr>
      </w:pPr>
      <w:r>
        <w:rPr>
          <w:rFonts w:hint="eastAsia" w:ascii="宋体" w:hAnsi="宋体" w:cs="宋体"/>
          <w:spacing w:val="6"/>
          <w:szCs w:val="21"/>
        </w:rPr>
        <w:t>本单位对上述声明的真实性负责。如有虚假，将依法承担相应责任。</w:t>
      </w:r>
    </w:p>
    <w:p>
      <w:pPr>
        <w:spacing w:line="360" w:lineRule="auto"/>
        <w:ind w:firstLine="504" w:firstLineChars="200"/>
        <w:rPr>
          <w:rFonts w:ascii="宋体" w:hAnsi="宋体" w:cs="宋体"/>
          <w:spacing w:val="6"/>
          <w:szCs w:val="21"/>
        </w:rPr>
      </w:pPr>
    </w:p>
    <w:p>
      <w:pPr>
        <w:spacing w:line="360" w:lineRule="auto"/>
        <w:ind w:firstLine="504" w:firstLineChars="200"/>
        <w:rPr>
          <w:rFonts w:ascii="宋体" w:hAnsi="宋体" w:cs="宋体"/>
          <w:spacing w:val="6"/>
          <w:szCs w:val="21"/>
        </w:rPr>
      </w:pPr>
    </w:p>
    <w:p>
      <w:pPr>
        <w:tabs>
          <w:tab w:val="left" w:pos="4860"/>
        </w:tabs>
        <w:spacing w:line="360" w:lineRule="auto"/>
        <w:ind w:right="1560" w:firstLine="504" w:firstLineChars="200"/>
        <w:jc w:val="center"/>
        <w:rPr>
          <w:rFonts w:ascii="宋体" w:hAnsi="宋体" w:cs="宋体"/>
          <w:spacing w:val="6"/>
          <w:szCs w:val="21"/>
        </w:rPr>
      </w:pPr>
      <w:r>
        <w:rPr>
          <w:rFonts w:hint="eastAsia" w:ascii="宋体" w:hAnsi="宋体" w:cs="宋体"/>
          <w:spacing w:val="6"/>
          <w:szCs w:val="21"/>
        </w:rPr>
        <w:t xml:space="preserve">               单位名称（盖章）：</w:t>
      </w:r>
    </w:p>
    <w:p>
      <w:pPr>
        <w:spacing w:line="360" w:lineRule="auto"/>
        <w:ind w:firstLine="504" w:firstLineChars="200"/>
        <w:rPr>
          <w:rFonts w:ascii="宋体" w:hAnsi="宋体" w:cs="宋体"/>
          <w:szCs w:val="24"/>
        </w:rPr>
      </w:pPr>
      <w:r>
        <w:rPr>
          <w:rFonts w:hint="eastAsia" w:ascii="宋体" w:hAnsi="宋体" w:cs="宋体"/>
          <w:spacing w:val="6"/>
          <w:szCs w:val="21"/>
        </w:rPr>
        <w:t xml:space="preserve">                          日  期：</w:t>
      </w:r>
    </w:p>
    <w:p>
      <w:pPr>
        <w:widowControl/>
        <w:spacing w:line="360" w:lineRule="auto"/>
        <w:outlineLvl w:val="0"/>
        <w:rPr>
          <w:rFonts w:ascii="宋体" w:hAnsi="宋体" w:cs="宋体"/>
          <w:szCs w:val="24"/>
        </w:rPr>
      </w:pPr>
      <w:r>
        <w:rPr>
          <w:rFonts w:hint="eastAsia" w:ascii="宋体" w:hAnsi="宋体" w:cs="宋体"/>
          <w:szCs w:val="24"/>
        </w:rPr>
        <w:br w:type="page"/>
      </w:r>
      <w:bookmarkStart w:id="957" w:name="_Toc30758"/>
      <w:bookmarkStart w:id="958" w:name="_Toc22709"/>
      <w:bookmarkStart w:id="959" w:name="_Toc15029"/>
      <w:bookmarkStart w:id="960" w:name="_Toc520382096"/>
      <w:bookmarkStart w:id="961" w:name="_Toc11838"/>
      <w:bookmarkStart w:id="962" w:name="_Toc6674"/>
      <w:bookmarkStart w:id="963" w:name="_Toc495677526"/>
      <w:bookmarkStart w:id="964" w:name="_Toc31022"/>
      <w:bookmarkStart w:id="965" w:name="_Toc11744"/>
      <w:bookmarkStart w:id="966" w:name="_Toc17620"/>
      <w:r>
        <w:rPr>
          <w:rFonts w:hint="eastAsia"/>
        </w:rPr>
        <w:t>附件11  缴纳代理服务费承诺书（格式）</w:t>
      </w:r>
      <w:bookmarkEnd w:id="957"/>
      <w:bookmarkEnd w:id="958"/>
      <w:bookmarkEnd w:id="959"/>
      <w:bookmarkEnd w:id="960"/>
      <w:bookmarkEnd w:id="961"/>
      <w:bookmarkEnd w:id="962"/>
      <w:bookmarkEnd w:id="963"/>
      <w:bookmarkEnd w:id="964"/>
      <w:bookmarkEnd w:id="965"/>
      <w:bookmarkEnd w:id="966"/>
    </w:p>
    <w:p>
      <w:pPr>
        <w:spacing w:line="360" w:lineRule="auto"/>
        <w:rPr>
          <w:rFonts w:ascii="宋体" w:hAnsi="宋体" w:cs="宋体"/>
          <w:szCs w:val="21"/>
        </w:rPr>
      </w:pPr>
    </w:p>
    <w:p>
      <w:pPr>
        <w:spacing w:line="360" w:lineRule="auto"/>
        <w:rPr>
          <w:rFonts w:ascii="宋体" w:hAnsi="宋体" w:cs="宋体"/>
          <w:szCs w:val="21"/>
        </w:rPr>
      </w:pPr>
      <w:r>
        <w:rPr>
          <w:rFonts w:hint="eastAsia" w:ascii="宋体" w:hAnsi="宋体" w:cs="宋体"/>
          <w:szCs w:val="21"/>
        </w:rPr>
        <w:t>致：国金招标有限公司</w:t>
      </w:r>
    </w:p>
    <w:p>
      <w:pPr>
        <w:spacing w:line="360" w:lineRule="auto"/>
        <w:rPr>
          <w:rFonts w:ascii="宋体" w:hAnsi="宋体" w:cs="宋体"/>
          <w:szCs w:val="21"/>
        </w:rPr>
      </w:pPr>
    </w:p>
    <w:p>
      <w:pPr>
        <w:spacing w:line="360" w:lineRule="auto"/>
        <w:rPr>
          <w:rFonts w:ascii="宋体" w:hAnsi="宋体" w:cs="宋体"/>
          <w:szCs w:val="21"/>
        </w:rPr>
      </w:pPr>
    </w:p>
    <w:p>
      <w:pPr>
        <w:spacing w:line="360" w:lineRule="auto"/>
        <w:ind w:firstLine="480" w:firstLineChars="200"/>
        <w:rPr>
          <w:rFonts w:ascii="宋体" w:hAnsi="宋体" w:cs="宋体"/>
          <w:szCs w:val="21"/>
        </w:rPr>
      </w:pPr>
      <w:r>
        <w:rPr>
          <w:rFonts w:hint="eastAsia" w:ascii="宋体" w:hAnsi="宋体" w:cs="宋体"/>
          <w:szCs w:val="21"/>
        </w:rPr>
        <w:t>我们在贵公司代理的</w:t>
      </w:r>
      <w:r>
        <w:rPr>
          <w:rFonts w:hint="eastAsia" w:ascii="宋体" w:hAnsi="宋体" w:cs="宋体"/>
          <w:szCs w:val="21"/>
          <w:u w:val="single"/>
        </w:rPr>
        <w:t xml:space="preserve">                                      </w:t>
      </w:r>
      <w:r>
        <w:rPr>
          <w:rFonts w:hint="eastAsia" w:ascii="宋体" w:hAnsi="宋体" w:cs="宋体"/>
          <w:szCs w:val="21"/>
        </w:rPr>
        <w:t>项目（项目编号：</w:t>
      </w:r>
      <w:r>
        <w:rPr>
          <w:rFonts w:hint="eastAsia" w:ascii="宋体" w:hAnsi="宋体" w:cs="宋体"/>
          <w:szCs w:val="21"/>
          <w:u w:val="single"/>
        </w:rPr>
        <w:t xml:space="preserve">                 </w:t>
      </w:r>
      <w:r>
        <w:rPr>
          <w:rFonts w:hint="eastAsia" w:ascii="宋体" w:hAnsi="宋体" w:cs="宋体"/>
          <w:szCs w:val="21"/>
        </w:rPr>
        <w:t>）竞争性磋商采购中若获成交，我们保证在领取成交通知书时按磋商文件的规定，以支票、银行汇票、电汇、现金或经贵公司认可的一种方式，向贵公司指定的银行账号，按照磋商文件中代理服务费收取标准一次性支付代理服务费。</w:t>
      </w:r>
    </w:p>
    <w:p>
      <w:pPr>
        <w:spacing w:line="360" w:lineRule="auto"/>
        <w:rPr>
          <w:rFonts w:ascii="宋体" w:hAnsi="宋体" w:cs="宋体"/>
          <w:szCs w:val="21"/>
        </w:rPr>
      </w:pPr>
    </w:p>
    <w:p>
      <w:pPr>
        <w:spacing w:line="360" w:lineRule="auto"/>
        <w:rPr>
          <w:rFonts w:ascii="宋体" w:hAnsi="宋体" w:cs="宋体"/>
          <w:szCs w:val="21"/>
        </w:rPr>
      </w:pPr>
      <w:r>
        <w:rPr>
          <w:rFonts w:hint="eastAsia" w:ascii="宋体" w:hAnsi="宋体" w:cs="宋体"/>
          <w:szCs w:val="21"/>
        </w:rPr>
        <w:t>特此承诺。</w:t>
      </w:r>
    </w:p>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r>
        <w:rPr>
          <w:rFonts w:hint="eastAsia" w:ascii="宋体" w:hAnsi="宋体" w:cs="宋体"/>
          <w:szCs w:val="21"/>
        </w:rPr>
        <w:t xml:space="preserve">承诺方法定名称（承诺方盖章）：             </w:t>
      </w:r>
    </w:p>
    <w:p>
      <w:pPr>
        <w:spacing w:line="360" w:lineRule="auto"/>
        <w:rPr>
          <w:rFonts w:ascii="宋体" w:hAnsi="宋体" w:cs="宋体"/>
          <w:szCs w:val="21"/>
        </w:rPr>
      </w:pPr>
      <w:r>
        <w:rPr>
          <w:rFonts w:hint="eastAsia" w:ascii="宋体" w:hAnsi="宋体" w:cs="宋体"/>
          <w:szCs w:val="21"/>
        </w:rPr>
        <w:t xml:space="preserve">地址：                    </w:t>
      </w:r>
    </w:p>
    <w:p>
      <w:pPr>
        <w:spacing w:line="360" w:lineRule="auto"/>
        <w:rPr>
          <w:rFonts w:ascii="宋体" w:hAnsi="宋体" w:cs="宋体"/>
          <w:szCs w:val="21"/>
        </w:rPr>
      </w:pPr>
      <w:r>
        <w:rPr>
          <w:rFonts w:hint="eastAsia" w:ascii="宋体" w:hAnsi="宋体" w:cs="宋体"/>
          <w:szCs w:val="21"/>
        </w:rPr>
        <w:t xml:space="preserve">电话：                             </w:t>
      </w:r>
    </w:p>
    <w:p>
      <w:pPr>
        <w:spacing w:line="360" w:lineRule="auto"/>
        <w:rPr>
          <w:rFonts w:ascii="宋体" w:hAnsi="宋体" w:cs="宋体"/>
          <w:szCs w:val="21"/>
        </w:rPr>
      </w:pPr>
      <w:r>
        <w:rPr>
          <w:rFonts w:hint="eastAsia" w:ascii="宋体" w:hAnsi="宋体" w:cs="宋体"/>
          <w:szCs w:val="21"/>
        </w:rPr>
        <w:t xml:space="preserve">传真：                   </w:t>
      </w:r>
    </w:p>
    <w:p>
      <w:pPr>
        <w:spacing w:line="360" w:lineRule="auto"/>
        <w:rPr>
          <w:rFonts w:ascii="宋体" w:hAnsi="宋体" w:cs="宋体"/>
          <w:szCs w:val="21"/>
        </w:rPr>
      </w:pPr>
      <w:r>
        <w:rPr>
          <w:rFonts w:hint="eastAsia" w:ascii="宋体" w:hAnsi="宋体" w:cs="宋体"/>
          <w:szCs w:val="21"/>
        </w:rPr>
        <w:t xml:space="preserve">邮编：                     </w:t>
      </w:r>
    </w:p>
    <w:p>
      <w:pPr>
        <w:spacing w:line="360" w:lineRule="auto"/>
        <w:rPr>
          <w:rFonts w:ascii="宋体" w:hAnsi="宋体" w:cs="宋体"/>
          <w:szCs w:val="21"/>
        </w:rPr>
      </w:pPr>
      <w:r>
        <w:rPr>
          <w:rFonts w:hint="eastAsia" w:ascii="宋体" w:hAnsi="宋体" w:cs="宋体"/>
          <w:szCs w:val="21"/>
        </w:rPr>
        <w:t xml:space="preserve">承诺方法定代表人或授权代表签字：                    </w:t>
      </w:r>
    </w:p>
    <w:p>
      <w:pPr>
        <w:spacing w:line="360" w:lineRule="auto"/>
        <w:rPr>
          <w:rFonts w:ascii="宋体" w:hAnsi="宋体" w:cs="宋体"/>
          <w:szCs w:val="21"/>
        </w:rPr>
      </w:pPr>
      <w:r>
        <w:rPr>
          <w:rFonts w:hint="eastAsia" w:ascii="宋体" w:hAnsi="宋体" w:cs="宋体"/>
          <w:szCs w:val="21"/>
        </w:rPr>
        <w:t xml:space="preserve">承诺日期：                   </w:t>
      </w:r>
    </w:p>
    <w:p>
      <w:pPr>
        <w:spacing w:line="360" w:lineRule="auto"/>
        <w:rPr>
          <w:rFonts w:ascii="宋体" w:hAnsi="宋体" w:cs="宋体"/>
          <w:szCs w:val="24"/>
        </w:rPr>
      </w:pPr>
    </w:p>
    <w:p>
      <w:pPr>
        <w:pStyle w:val="4"/>
        <w:spacing w:before="0" w:after="0" w:line="360" w:lineRule="auto"/>
        <w:rPr>
          <w:rFonts w:ascii="宋体" w:hAnsi="宋体" w:eastAsia="宋体" w:cs="宋体"/>
          <w:b w:val="0"/>
          <w:sz w:val="24"/>
          <w:szCs w:val="24"/>
        </w:rPr>
      </w:pPr>
      <w:bookmarkStart w:id="967" w:name="_Toc495677527"/>
      <w:r>
        <w:rPr>
          <w:rFonts w:hint="eastAsia" w:ascii="宋体" w:hAnsi="宋体" w:eastAsia="宋体" w:cs="宋体"/>
          <w:sz w:val="24"/>
          <w:szCs w:val="24"/>
        </w:rPr>
        <w:br w:type="page"/>
      </w:r>
      <w:bookmarkEnd w:id="967"/>
    </w:p>
    <w:p>
      <w:bookmarkStart w:id="968" w:name="_Toc18025"/>
      <w:bookmarkStart w:id="969" w:name="_Toc6884"/>
      <w:bookmarkStart w:id="970" w:name="_Toc520382098"/>
      <w:bookmarkStart w:id="971" w:name="_Toc191"/>
      <w:bookmarkStart w:id="972" w:name="_Toc514330246"/>
      <w:bookmarkStart w:id="973" w:name="_Toc30391"/>
      <w:r>
        <w:rPr>
          <w:rFonts w:hint="eastAsia"/>
        </w:rPr>
        <w:t>附件12  代理服务费收费标准</w:t>
      </w:r>
      <w:bookmarkEnd w:id="968"/>
      <w:bookmarkEnd w:id="969"/>
      <w:bookmarkEnd w:id="970"/>
      <w:bookmarkEnd w:id="971"/>
      <w:bookmarkEnd w:id="972"/>
      <w:bookmarkEnd w:id="973"/>
    </w:p>
    <w:p>
      <w:pPr>
        <w:spacing w:line="360" w:lineRule="auto"/>
        <w:rPr>
          <w:rFonts w:ascii="宋体" w:hAnsi="宋体" w:cs="宋体"/>
          <w:szCs w:val="21"/>
        </w:rPr>
      </w:pPr>
      <w:r>
        <w:rPr>
          <w:rFonts w:hint="eastAsia" w:ascii="宋体" w:hAnsi="宋体" w:cs="宋体"/>
          <w:sz w:val="30"/>
          <w:szCs w:val="30"/>
        </w:rPr>
        <w:drawing>
          <wp:inline distT="0" distB="0" distL="0" distR="0">
            <wp:extent cx="5113020" cy="2880360"/>
            <wp:effectExtent l="0" t="0" r="0" b="0"/>
            <wp:docPr id="4" name="图片 1" descr="http://www.dhbj.cn/pic/b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http://www.dhbj.cn/pic/bz.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5113020" cy="2880360"/>
                    </a:xfrm>
                    <a:prstGeom prst="rect">
                      <a:avLst/>
                    </a:prstGeom>
                    <a:noFill/>
                    <a:ln>
                      <a:noFill/>
                    </a:ln>
                  </pic:spPr>
                </pic:pic>
              </a:graphicData>
            </a:graphic>
          </wp:inline>
        </w:drawing>
      </w:r>
    </w:p>
    <w:p>
      <w:pPr>
        <w:spacing w:line="360" w:lineRule="auto"/>
        <w:rPr>
          <w:rFonts w:ascii="宋体" w:hAnsi="宋体" w:cs="宋体"/>
          <w:szCs w:val="21"/>
        </w:rPr>
        <w:sectPr>
          <w:pgSz w:w="11906" w:h="16838"/>
          <w:pgMar w:top="1440" w:right="1797" w:bottom="1440" w:left="1797" w:header="851" w:footer="992" w:gutter="0"/>
          <w:cols w:space="720" w:num="1"/>
          <w:docGrid w:linePitch="326" w:charSpace="0"/>
        </w:sectPr>
      </w:pPr>
      <w:r>
        <w:rPr>
          <w:rFonts w:hint="eastAsia" w:ascii="宋体" w:hAnsi="宋体" w:cs="宋体"/>
          <w:szCs w:val="21"/>
        </w:rPr>
        <w:t>注：代理服务费收费按差额定率累进法计算。</w:t>
      </w:r>
    </w:p>
    <w:p>
      <w:bookmarkStart w:id="974" w:name="_Toc23716"/>
      <w:bookmarkStart w:id="975" w:name="_Toc4220"/>
      <w:r>
        <w:rPr>
          <w:rFonts w:hint="eastAsia"/>
        </w:rPr>
        <w:t>附件13最后报价表</w:t>
      </w:r>
      <w:bookmarkEnd w:id="941"/>
      <w:bookmarkEnd w:id="974"/>
      <w:bookmarkEnd w:id="975"/>
    </w:p>
    <w:p>
      <w:pPr>
        <w:tabs>
          <w:tab w:val="left" w:pos="5580"/>
        </w:tabs>
        <w:spacing w:line="360" w:lineRule="auto"/>
        <w:jc w:val="center"/>
        <w:rPr>
          <w:rFonts w:ascii="宋体" w:hAnsi="宋体" w:cs="宋体"/>
          <w:szCs w:val="21"/>
        </w:rPr>
      </w:pPr>
      <w:r>
        <w:rPr>
          <w:rFonts w:hint="eastAsia" w:ascii="宋体" w:hAnsi="宋体" w:cs="宋体"/>
          <w:b/>
          <w:sz w:val="32"/>
          <w:szCs w:val="32"/>
        </w:rPr>
        <w:t>最后报价表</w:t>
      </w:r>
    </w:p>
    <w:p>
      <w:pPr>
        <w:tabs>
          <w:tab w:val="left" w:pos="5580"/>
        </w:tabs>
        <w:spacing w:line="360" w:lineRule="auto"/>
        <w:rPr>
          <w:rFonts w:ascii="宋体" w:hAnsi="宋体" w:cs="宋体"/>
          <w:szCs w:val="21"/>
          <w:u w:val="single"/>
        </w:rPr>
      </w:pPr>
      <w:r>
        <w:rPr>
          <w:rFonts w:hint="eastAsia" w:ascii="宋体" w:hAnsi="宋体" w:cs="宋体"/>
          <w:szCs w:val="21"/>
        </w:rPr>
        <w:t>项目编号：</w:t>
      </w:r>
      <w:r>
        <w:rPr>
          <w:rFonts w:hint="eastAsia" w:ascii="宋体" w:hAnsi="宋体" w:cs="宋体"/>
          <w:szCs w:val="21"/>
          <w:u w:val="single"/>
        </w:rPr>
        <w:t xml:space="preserve">                           </w:t>
      </w:r>
      <w:r>
        <w:rPr>
          <w:rFonts w:hint="eastAsia" w:ascii="宋体" w:hAnsi="宋体" w:cs="宋体"/>
          <w:szCs w:val="21"/>
        </w:rPr>
        <w:t>项目名称：</w:t>
      </w:r>
      <w:r>
        <w:rPr>
          <w:rFonts w:hint="eastAsia" w:ascii="宋体" w:hAnsi="宋体" w:cs="宋体"/>
          <w:szCs w:val="21"/>
          <w:u w:val="single"/>
        </w:rPr>
        <w:t xml:space="preserve">                       </w:t>
      </w: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5"/>
        <w:gridCol w:w="5538"/>
        <w:gridCol w:w="3185"/>
        <w:gridCol w:w="4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085" w:type="dxa"/>
            <w:vAlign w:val="center"/>
          </w:tcPr>
          <w:p>
            <w:pPr>
              <w:spacing w:line="360" w:lineRule="auto"/>
              <w:jc w:val="center"/>
              <w:rPr>
                <w:rFonts w:ascii="宋体" w:hAnsi="宋体" w:cs="宋体"/>
              </w:rPr>
            </w:pPr>
            <w:r>
              <w:rPr>
                <w:rFonts w:hint="eastAsia" w:ascii="宋体" w:hAnsi="宋体" w:cs="宋体"/>
              </w:rPr>
              <w:t>序号</w:t>
            </w:r>
          </w:p>
        </w:tc>
        <w:tc>
          <w:tcPr>
            <w:tcW w:w="5538" w:type="dxa"/>
            <w:vAlign w:val="center"/>
          </w:tcPr>
          <w:p>
            <w:pPr>
              <w:spacing w:line="360" w:lineRule="auto"/>
              <w:jc w:val="center"/>
              <w:rPr>
                <w:rFonts w:ascii="宋体" w:hAnsi="宋体" w:cs="宋体"/>
              </w:rPr>
            </w:pPr>
            <w:r>
              <w:rPr>
                <w:rFonts w:hint="eastAsia" w:ascii="宋体" w:hAnsi="宋体" w:cs="宋体"/>
                <w:szCs w:val="24"/>
              </w:rPr>
              <w:t>细目</w:t>
            </w:r>
          </w:p>
        </w:tc>
        <w:tc>
          <w:tcPr>
            <w:tcW w:w="3185" w:type="dxa"/>
            <w:vAlign w:val="center"/>
          </w:tcPr>
          <w:p>
            <w:pPr>
              <w:spacing w:line="360" w:lineRule="auto"/>
              <w:jc w:val="center"/>
              <w:rPr>
                <w:rFonts w:ascii="宋体" w:hAnsi="宋体" w:cs="宋体"/>
              </w:rPr>
            </w:pPr>
            <w:r>
              <w:rPr>
                <w:rFonts w:hint="eastAsia" w:ascii="宋体" w:hAnsi="宋体" w:cs="宋体"/>
              </w:rPr>
              <w:t>含税金额（单价）</w:t>
            </w:r>
          </w:p>
        </w:tc>
        <w:tc>
          <w:tcPr>
            <w:tcW w:w="4210" w:type="dxa"/>
            <w:vAlign w:val="center"/>
          </w:tcPr>
          <w:p>
            <w:pPr>
              <w:spacing w:line="360" w:lineRule="auto"/>
              <w:jc w:val="center"/>
              <w:rPr>
                <w:rFonts w:ascii="宋体" w:hAnsi="宋体" w:cs="宋体"/>
              </w:rPr>
            </w:pPr>
            <w:r>
              <w:rPr>
                <w:rFonts w:hint="eastAsia" w:ascii="宋体" w:hAnsi="宋体" w:cs="宋体"/>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085" w:type="dxa"/>
            <w:vAlign w:val="center"/>
          </w:tcPr>
          <w:p>
            <w:pPr>
              <w:spacing w:line="360" w:lineRule="auto"/>
              <w:jc w:val="center"/>
              <w:rPr>
                <w:rFonts w:ascii="宋体" w:hAnsi="宋体" w:cs="宋体"/>
              </w:rPr>
            </w:pPr>
            <w:r>
              <w:rPr>
                <w:rFonts w:hint="eastAsia" w:ascii="宋体" w:hAnsi="宋体" w:cs="宋体"/>
              </w:rPr>
              <w:t>01</w:t>
            </w:r>
          </w:p>
        </w:tc>
        <w:tc>
          <w:tcPr>
            <w:tcW w:w="5538" w:type="dxa"/>
            <w:vAlign w:val="center"/>
          </w:tcPr>
          <w:p>
            <w:pPr>
              <w:spacing w:line="360" w:lineRule="auto"/>
              <w:jc w:val="center"/>
              <w:rPr>
                <w:rFonts w:ascii="宋体" w:hAnsi="宋体" w:cs="宋体"/>
              </w:rPr>
            </w:pPr>
          </w:p>
        </w:tc>
        <w:tc>
          <w:tcPr>
            <w:tcW w:w="3185" w:type="dxa"/>
            <w:vAlign w:val="center"/>
          </w:tcPr>
          <w:p>
            <w:pPr>
              <w:spacing w:line="360" w:lineRule="auto"/>
              <w:jc w:val="center"/>
              <w:rPr>
                <w:rFonts w:ascii="宋体" w:hAnsi="宋体" w:cs="宋体"/>
              </w:rPr>
            </w:pPr>
          </w:p>
        </w:tc>
        <w:tc>
          <w:tcPr>
            <w:tcW w:w="4210" w:type="dxa"/>
            <w:vAlign w:val="center"/>
          </w:tcPr>
          <w:p>
            <w:pPr>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085" w:type="dxa"/>
            <w:vAlign w:val="center"/>
          </w:tcPr>
          <w:p>
            <w:pPr>
              <w:spacing w:line="360" w:lineRule="auto"/>
              <w:jc w:val="center"/>
              <w:rPr>
                <w:rFonts w:ascii="宋体" w:hAnsi="宋体" w:cs="宋体"/>
              </w:rPr>
            </w:pPr>
            <w:r>
              <w:rPr>
                <w:rFonts w:hint="eastAsia" w:ascii="宋体" w:hAnsi="宋体" w:cs="宋体"/>
              </w:rPr>
              <w:t>……</w:t>
            </w:r>
          </w:p>
        </w:tc>
        <w:tc>
          <w:tcPr>
            <w:tcW w:w="5538" w:type="dxa"/>
            <w:vAlign w:val="center"/>
          </w:tcPr>
          <w:p>
            <w:pPr>
              <w:spacing w:line="360" w:lineRule="auto"/>
              <w:jc w:val="center"/>
              <w:rPr>
                <w:rFonts w:ascii="宋体" w:hAnsi="宋体" w:cs="宋体"/>
              </w:rPr>
            </w:pPr>
          </w:p>
        </w:tc>
        <w:tc>
          <w:tcPr>
            <w:tcW w:w="3185" w:type="dxa"/>
            <w:vAlign w:val="center"/>
          </w:tcPr>
          <w:p>
            <w:pPr>
              <w:spacing w:line="360" w:lineRule="auto"/>
              <w:jc w:val="center"/>
              <w:rPr>
                <w:rFonts w:ascii="宋体" w:hAnsi="宋体" w:cs="宋体"/>
              </w:rPr>
            </w:pPr>
          </w:p>
        </w:tc>
        <w:tc>
          <w:tcPr>
            <w:tcW w:w="4210" w:type="dxa"/>
            <w:vAlign w:val="center"/>
          </w:tcPr>
          <w:p>
            <w:pPr>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085" w:type="dxa"/>
            <w:vAlign w:val="center"/>
          </w:tcPr>
          <w:p>
            <w:pPr>
              <w:spacing w:line="360" w:lineRule="auto"/>
              <w:jc w:val="center"/>
              <w:rPr>
                <w:rFonts w:ascii="宋体" w:hAnsi="宋体" w:cs="宋体"/>
              </w:rPr>
            </w:pPr>
          </w:p>
        </w:tc>
        <w:tc>
          <w:tcPr>
            <w:tcW w:w="5538" w:type="dxa"/>
            <w:vAlign w:val="center"/>
          </w:tcPr>
          <w:p>
            <w:pPr>
              <w:spacing w:line="360" w:lineRule="auto"/>
              <w:jc w:val="center"/>
              <w:rPr>
                <w:rFonts w:ascii="宋体" w:hAnsi="宋体" w:cs="宋体"/>
              </w:rPr>
            </w:pPr>
          </w:p>
        </w:tc>
        <w:tc>
          <w:tcPr>
            <w:tcW w:w="3185" w:type="dxa"/>
            <w:vAlign w:val="center"/>
          </w:tcPr>
          <w:p>
            <w:pPr>
              <w:spacing w:line="360" w:lineRule="auto"/>
              <w:jc w:val="center"/>
              <w:rPr>
                <w:rFonts w:ascii="宋体" w:hAnsi="宋体" w:cs="宋体"/>
              </w:rPr>
            </w:pPr>
          </w:p>
        </w:tc>
        <w:tc>
          <w:tcPr>
            <w:tcW w:w="4210" w:type="dxa"/>
            <w:vAlign w:val="center"/>
          </w:tcPr>
          <w:p>
            <w:pPr>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085" w:type="dxa"/>
            <w:vAlign w:val="center"/>
          </w:tcPr>
          <w:p>
            <w:pPr>
              <w:spacing w:line="360" w:lineRule="auto"/>
              <w:jc w:val="center"/>
              <w:rPr>
                <w:rFonts w:ascii="宋体" w:hAnsi="宋体" w:cs="宋体"/>
              </w:rPr>
            </w:pPr>
          </w:p>
        </w:tc>
        <w:tc>
          <w:tcPr>
            <w:tcW w:w="5538" w:type="dxa"/>
            <w:vAlign w:val="center"/>
          </w:tcPr>
          <w:p>
            <w:pPr>
              <w:spacing w:line="360" w:lineRule="auto"/>
              <w:jc w:val="center"/>
              <w:rPr>
                <w:rFonts w:ascii="宋体" w:hAnsi="宋体" w:cs="宋体"/>
              </w:rPr>
            </w:pPr>
          </w:p>
        </w:tc>
        <w:tc>
          <w:tcPr>
            <w:tcW w:w="3185" w:type="dxa"/>
            <w:vAlign w:val="center"/>
          </w:tcPr>
          <w:p>
            <w:pPr>
              <w:spacing w:line="360" w:lineRule="auto"/>
              <w:jc w:val="center"/>
              <w:rPr>
                <w:rFonts w:ascii="宋体" w:hAnsi="宋体" w:cs="宋体"/>
              </w:rPr>
            </w:pPr>
          </w:p>
        </w:tc>
        <w:tc>
          <w:tcPr>
            <w:tcW w:w="4210" w:type="dxa"/>
            <w:vAlign w:val="center"/>
          </w:tcPr>
          <w:p>
            <w:pPr>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085" w:type="dxa"/>
            <w:vAlign w:val="center"/>
          </w:tcPr>
          <w:p>
            <w:pPr>
              <w:spacing w:line="360" w:lineRule="auto"/>
              <w:jc w:val="center"/>
              <w:rPr>
                <w:rFonts w:ascii="宋体" w:hAnsi="宋体" w:cs="宋体"/>
              </w:rPr>
            </w:pPr>
          </w:p>
        </w:tc>
        <w:tc>
          <w:tcPr>
            <w:tcW w:w="5538" w:type="dxa"/>
            <w:vAlign w:val="center"/>
          </w:tcPr>
          <w:p>
            <w:pPr>
              <w:spacing w:line="360" w:lineRule="auto"/>
              <w:jc w:val="center"/>
              <w:rPr>
                <w:rFonts w:ascii="宋体" w:hAnsi="宋体" w:cs="宋体"/>
              </w:rPr>
            </w:pPr>
          </w:p>
        </w:tc>
        <w:tc>
          <w:tcPr>
            <w:tcW w:w="3185" w:type="dxa"/>
            <w:vAlign w:val="center"/>
          </w:tcPr>
          <w:p>
            <w:pPr>
              <w:spacing w:line="360" w:lineRule="auto"/>
              <w:jc w:val="center"/>
              <w:rPr>
                <w:rFonts w:ascii="宋体" w:hAnsi="宋体" w:cs="宋体"/>
              </w:rPr>
            </w:pPr>
          </w:p>
        </w:tc>
        <w:tc>
          <w:tcPr>
            <w:tcW w:w="4210" w:type="dxa"/>
            <w:vAlign w:val="center"/>
          </w:tcPr>
          <w:p>
            <w:pPr>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6623" w:type="dxa"/>
            <w:gridSpan w:val="2"/>
            <w:vAlign w:val="center"/>
          </w:tcPr>
          <w:p>
            <w:pPr>
              <w:spacing w:line="360" w:lineRule="auto"/>
              <w:rPr>
                <w:rFonts w:ascii="宋体" w:hAnsi="宋体" w:cs="宋体"/>
              </w:rPr>
            </w:pPr>
            <w:r>
              <w:rPr>
                <w:rFonts w:hint="eastAsia" w:ascii="宋体" w:hAnsi="宋体" w:cs="宋体"/>
              </w:rPr>
              <w:t>报价总价（大写）：</w:t>
            </w:r>
          </w:p>
        </w:tc>
        <w:tc>
          <w:tcPr>
            <w:tcW w:w="7395" w:type="dxa"/>
            <w:gridSpan w:val="2"/>
            <w:vAlign w:val="center"/>
          </w:tcPr>
          <w:p>
            <w:pPr>
              <w:spacing w:line="360" w:lineRule="auto"/>
              <w:rPr>
                <w:rFonts w:ascii="宋体" w:hAnsi="宋体" w:cs="宋体"/>
              </w:rPr>
            </w:pPr>
            <w:r>
              <w:rPr>
                <w:rFonts w:hint="eastAsia" w:ascii="宋体" w:hAnsi="宋体" w:cs="宋体"/>
              </w:rPr>
              <w:t>报价总价（小写）：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trPr>
        <w:tc>
          <w:tcPr>
            <w:tcW w:w="14018" w:type="dxa"/>
            <w:gridSpan w:val="4"/>
            <w:vAlign w:val="center"/>
          </w:tcPr>
          <w:p>
            <w:pPr>
              <w:tabs>
                <w:tab w:val="left" w:pos="5580"/>
              </w:tabs>
              <w:spacing w:line="360" w:lineRule="auto"/>
              <w:jc w:val="both"/>
              <w:rPr>
                <w:rFonts w:ascii="宋体" w:hAnsi="宋体" w:cs="宋体"/>
                <w:szCs w:val="21"/>
              </w:rPr>
            </w:pPr>
            <w:r>
              <w:rPr>
                <w:rFonts w:hint="eastAsia" w:ascii="宋体" w:hAnsi="宋体" w:cs="宋体"/>
                <w:szCs w:val="21"/>
              </w:rPr>
              <w:t>服务承诺：</w:t>
            </w:r>
          </w:p>
          <w:p>
            <w:pPr>
              <w:spacing w:line="360" w:lineRule="auto"/>
              <w:jc w:val="center"/>
              <w:rPr>
                <w:rFonts w:ascii="宋体" w:hAnsi="宋体" w:cs="宋体"/>
              </w:rPr>
            </w:pPr>
          </w:p>
        </w:tc>
      </w:tr>
    </w:tbl>
    <w:p>
      <w:pPr>
        <w:tabs>
          <w:tab w:val="left" w:pos="5580"/>
        </w:tabs>
        <w:spacing w:line="360" w:lineRule="auto"/>
        <w:rPr>
          <w:rFonts w:ascii="宋体" w:hAnsi="宋体" w:cs="宋体"/>
          <w:b/>
          <w:szCs w:val="21"/>
        </w:rPr>
      </w:pPr>
    </w:p>
    <w:p>
      <w:pPr>
        <w:tabs>
          <w:tab w:val="left" w:pos="5580"/>
        </w:tabs>
        <w:spacing w:line="360" w:lineRule="auto"/>
        <w:ind w:firstLine="480" w:firstLineChars="200"/>
        <w:rPr>
          <w:rFonts w:ascii="宋体" w:hAnsi="宋体" w:cs="宋体"/>
          <w:szCs w:val="21"/>
          <w:u w:val="single"/>
        </w:rPr>
      </w:pPr>
      <w:r>
        <w:rPr>
          <w:rFonts w:hint="eastAsia" w:ascii="宋体" w:hAnsi="宋体" w:cs="宋体"/>
          <w:szCs w:val="21"/>
        </w:rPr>
        <w:t>供应商名称（盖章）：</w:t>
      </w:r>
      <w:r>
        <w:rPr>
          <w:rFonts w:hint="eastAsia" w:ascii="宋体" w:hAnsi="宋体" w:cs="宋体"/>
          <w:szCs w:val="21"/>
          <w:u w:val="single"/>
        </w:rPr>
        <w:t xml:space="preserve">                       </w:t>
      </w:r>
    </w:p>
    <w:p>
      <w:pPr>
        <w:tabs>
          <w:tab w:val="left" w:pos="5580"/>
        </w:tabs>
        <w:spacing w:line="360" w:lineRule="auto"/>
        <w:ind w:firstLine="480" w:firstLineChars="200"/>
        <w:rPr>
          <w:rFonts w:ascii="宋体" w:hAnsi="宋体" w:cs="宋体"/>
          <w:szCs w:val="21"/>
          <w:u w:val="single"/>
        </w:rPr>
      </w:pPr>
      <w:r>
        <w:rPr>
          <w:rFonts w:hint="eastAsia" w:ascii="宋体" w:hAnsi="宋体" w:cs="宋体"/>
          <w:szCs w:val="21"/>
        </w:rPr>
        <w:t>供应商授权代表（签字）：</w:t>
      </w:r>
      <w:r>
        <w:rPr>
          <w:rFonts w:hint="eastAsia" w:ascii="宋体" w:hAnsi="宋体" w:cs="宋体"/>
          <w:szCs w:val="21"/>
          <w:u w:val="single"/>
        </w:rPr>
        <w:tab/>
      </w:r>
    </w:p>
    <w:p>
      <w:pPr>
        <w:spacing w:before="26" w:line="312" w:lineRule="exact"/>
        <w:ind w:left="809" w:right="35" w:hanging="590"/>
        <w:rPr>
          <w:rFonts w:ascii="宋体" w:hAnsi="宋体" w:cs="宋体"/>
          <w:b/>
        </w:rPr>
      </w:pPr>
      <w:r>
        <w:rPr>
          <w:rFonts w:hint="eastAsia" w:ascii="宋体" w:hAnsi="宋体" w:cs="宋体"/>
        </w:rPr>
        <w:t>注：</w:t>
      </w:r>
      <w:r>
        <w:rPr>
          <w:rFonts w:hint="eastAsia" w:ascii="宋体" w:hAnsi="宋体" w:cs="宋体"/>
          <w:b/>
          <w:spacing w:val="2"/>
        </w:rPr>
        <w:t>注</w:t>
      </w:r>
      <w:r>
        <w:rPr>
          <w:rFonts w:hint="eastAsia" w:ascii="宋体" w:hAnsi="宋体" w:cs="宋体"/>
          <w:b/>
          <w:spacing w:val="-10"/>
        </w:rPr>
        <w:t>：</w:t>
      </w:r>
      <w:r>
        <w:rPr>
          <w:rFonts w:hint="eastAsia" w:ascii="宋体" w:hAnsi="宋体" w:cs="宋体"/>
          <w:b/>
          <w:spacing w:val="2"/>
        </w:rPr>
        <w:t>1</w:t>
      </w:r>
      <w:r>
        <w:rPr>
          <w:rFonts w:hint="eastAsia" w:ascii="宋体" w:hAnsi="宋体" w:cs="宋体"/>
          <w:b/>
          <w:spacing w:val="-7"/>
        </w:rPr>
        <w:t>、</w:t>
      </w:r>
      <w:r>
        <w:rPr>
          <w:rFonts w:hint="eastAsia" w:ascii="宋体" w:hAnsi="宋体" w:cs="宋体"/>
          <w:b/>
        </w:rPr>
        <w:t>未按</w:t>
      </w:r>
      <w:r>
        <w:rPr>
          <w:rFonts w:hint="eastAsia" w:ascii="宋体" w:hAnsi="宋体" w:cs="宋体"/>
          <w:b/>
          <w:spacing w:val="2"/>
        </w:rPr>
        <w:t>照</w:t>
      </w:r>
      <w:r>
        <w:rPr>
          <w:rFonts w:hint="eastAsia" w:ascii="宋体" w:hAnsi="宋体" w:cs="宋体"/>
          <w:b/>
        </w:rPr>
        <w:t>本</w:t>
      </w:r>
      <w:r>
        <w:rPr>
          <w:rFonts w:hint="eastAsia" w:ascii="宋体" w:hAnsi="宋体" w:cs="宋体"/>
          <w:b/>
          <w:spacing w:val="2"/>
        </w:rPr>
        <w:t>报</w:t>
      </w:r>
      <w:r>
        <w:rPr>
          <w:rFonts w:hint="eastAsia" w:ascii="宋体" w:hAnsi="宋体" w:cs="宋体"/>
          <w:b/>
        </w:rPr>
        <w:t>价</w:t>
      </w:r>
      <w:r>
        <w:rPr>
          <w:rFonts w:hint="eastAsia" w:ascii="宋体" w:hAnsi="宋体" w:cs="宋体"/>
          <w:b/>
          <w:spacing w:val="2"/>
        </w:rPr>
        <w:t>表</w:t>
      </w:r>
      <w:r>
        <w:rPr>
          <w:rFonts w:hint="eastAsia" w:ascii="宋体" w:hAnsi="宋体" w:cs="宋体"/>
          <w:b/>
        </w:rPr>
        <w:t>的</w:t>
      </w:r>
      <w:r>
        <w:rPr>
          <w:rFonts w:hint="eastAsia" w:ascii="宋体" w:hAnsi="宋体" w:cs="宋体"/>
          <w:b/>
          <w:spacing w:val="2"/>
        </w:rPr>
        <w:t>格</w:t>
      </w:r>
      <w:r>
        <w:rPr>
          <w:rFonts w:hint="eastAsia" w:ascii="宋体" w:hAnsi="宋体" w:cs="宋体"/>
          <w:b/>
        </w:rPr>
        <w:t>式要</w:t>
      </w:r>
      <w:r>
        <w:rPr>
          <w:rFonts w:hint="eastAsia" w:ascii="宋体" w:hAnsi="宋体" w:cs="宋体"/>
          <w:b/>
          <w:spacing w:val="2"/>
        </w:rPr>
        <w:t>求</w:t>
      </w:r>
      <w:r>
        <w:rPr>
          <w:rFonts w:hint="eastAsia" w:ascii="宋体" w:hAnsi="宋体" w:cs="宋体"/>
          <w:b/>
        </w:rPr>
        <w:t>填</w:t>
      </w:r>
      <w:r>
        <w:rPr>
          <w:rFonts w:hint="eastAsia" w:ascii="宋体" w:hAnsi="宋体" w:cs="宋体"/>
          <w:b/>
          <w:spacing w:val="2"/>
        </w:rPr>
        <w:t>写</w:t>
      </w:r>
      <w:r>
        <w:rPr>
          <w:rFonts w:hint="eastAsia" w:ascii="宋体" w:hAnsi="宋体" w:cs="宋体"/>
          <w:b/>
        </w:rPr>
        <w:t>报价</w:t>
      </w:r>
      <w:r>
        <w:rPr>
          <w:rFonts w:hint="eastAsia" w:ascii="宋体" w:hAnsi="宋体" w:cs="宋体"/>
          <w:b/>
          <w:spacing w:val="2"/>
        </w:rPr>
        <w:t>表</w:t>
      </w:r>
      <w:r>
        <w:rPr>
          <w:rFonts w:hint="eastAsia" w:ascii="宋体" w:hAnsi="宋体" w:cs="宋体"/>
          <w:b/>
        </w:rPr>
        <w:t>的</w:t>
      </w:r>
      <w:r>
        <w:rPr>
          <w:rFonts w:hint="eastAsia" w:ascii="宋体" w:hAnsi="宋体" w:cs="宋体"/>
          <w:b/>
          <w:spacing w:val="-7"/>
        </w:rPr>
        <w:t>，</w:t>
      </w:r>
      <w:r>
        <w:rPr>
          <w:rFonts w:hint="eastAsia" w:ascii="宋体" w:hAnsi="宋体" w:cs="宋体"/>
          <w:b/>
        </w:rPr>
        <w:t>将</w:t>
      </w:r>
      <w:r>
        <w:rPr>
          <w:rFonts w:hint="eastAsia" w:ascii="宋体" w:hAnsi="宋体" w:cs="宋体"/>
          <w:b/>
          <w:spacing w:val="2"/>
        </w:rPr>
        <w:t>造</w:t>
      </w:r>
      <w:r>
        <w:rPr>
          <w:rFonts w:hint="eastAsia" w:ascii="宋体" w:hAnsi="宋体" w:cs="宋体"/>
          <w:b/>
        </w:rPr>
        <w:t>成非</w:t>
      </w:r>
      <w:r>
        <w:rPr>
          <w:rFonts w:hint="eastAsia" w:ascii="宋体" w:hAnsi="宋体" w:cs="宋体"/>
          <w:b/>
          <w:spacing w:val="2"/>
        </w:rPr>
        <w:t>实</w:t>
      </w:r>
      <w:r>
        <w:rPr>
          <w:rFonts w:hint="eastAsia" w:ascii="宋体" w:hAnsi="宋体" w:cs="宋体"/>
          <w:b/>
        </w:rPr>
        <w:t>质应答</w:t>
      </w:r>
      <w:r>
        <w:rPr>
          <w:rFonts w:hint="eastAsia" w:ascii="宋体" w:hAnsi="宋体" w:cs="宋体"/>
          <w:b/>
          <w:spacing w:val="-10"/>
        </w:rPr>
        <w:t>，</w:t>
      </w:r>
      <w:r>
        <w:rPr>
          <w:rFonts w:hint="eastAsia" w:ascii="宋体" w:hAnsi="宋体" w:cs="宋体"/>
          <w:b/>
          <w:spacing w:val="2"/>
        </w:rPr>
        <w:t>从</w:t>
      </w:r>
      <w:r>
        <w:rPr>
          <w:rFonts w:hint="eastAsia" w:ascii="宋体" w:hAnsi="宋体" w:cs="宋体"/>
          <w:b/>
        </w:rPr>
        <w:t>而导</w:t>
      </w:r>
      <w:r>
        <w:rPr>
          <w:rFonts w:hint="eastAsia" w:ascii="宋体" w:hAnsi="宋体" w:cs="宋体"/>
          <w:b/>
          <w:spacing w:val="2"/>
        </w:rPr>
        <w:t>致</w:t>
      </w:r>
      <w:r>
        <w:rPr>
          <w:rFonts w:hint="eastAsia" w:ascii="宋体" w:hAnsi="宋体" w:cs="宋体"/>
          <w:b/>
        </w:rPr>
        <w:t>该</w:t>
      </w:r>
      <w:r>
        <w:rPr>
          <w:rFonts w:hint="eastAsia" w:ascii="宋体" w:hAnsi="宋体" w:cs="宋体"/>
          <w:b/>
          <w:spacing w:val="2"/>
        </w:rPr>
        <w:t>应答无</w:t>
      </w:r>
      <w:r>
        <w:rPr>
          <w:rFonts w:hint="eastAsia" w:ascii="宋体" w:hAnsi="宋体" w:cs="宋体"/>
          <w:b/>
        </w:rPr>
        <w:t>效。</w:t>
      </w:r>
    </w:p>
    <w:p>
      <w:pPr>
        <w:spacing w:line="480" w:lineRule="auto"/>
        <w:ind w:firstLine="720" w:firstLineChars="294"/>
        <w:rPr>
          <w:rFonts w:ascii="宋体" w:hAnsi="宋体" w:cs="宋体"/>
          <w:b/>
          <w:position w:val="-1"/>
        </w:rPr>
        <w:sectPr>
          <w:pgSz w:w="16838" w:h="11906" w:orient="landscape"/>
          <w:pgMar w:top="1797" w:right="1440" w:bottom="1797" w:left="1440" w:header="851" w:footer="992" w:gutter="0"/>
          <w:cols w:space="720" w:num="1"/>
          <w:docGrid w:linePitch="326" w:charSpace="0"/>
        </w:sectPr>
      </w:pPr>
      <w:r>
        <w:rPr>
          <w:rFonts w:hint="eastAsia" w:ascii="宋体" w:hAnsi="宋体" w:cs="宋体"/>
          <w:b/>
          <w:spacing w:val="2"/>
          <w:position w:val="-1"/>
        </w:rPr>
        <w:t>2</w:t>
      </w:r>
      <w:r>
        <w:rPr>
          <w:rFonts w:hint="eastAsia" w:ascii="宋体" w:hAnsi="宋体" w:cs="宋体"/>
          <w:b/>
          <w:position w:val="-1"/>
        </w:rPr>
        <w:t>、</w:t>
      </w:r>
      <w:r>
        <w:rPr>
          <w:rFonts w:hint="eastAsia" w:ascii="宋体" w:hAnsi="宋体" w:cs="宋体"/>
          <w:b/>
          <w:spacing w:val="2"/>
          <w:position w:val="-1"/>
        </w:rPr>
        <w:t>此</w:t>
      </w:r>
      <w:r>
        <w:rPr>
          <w:rFonts w:hint="eastAsia" w:ascii="宋体" w:hAnsi="宋体" w:cs="宋体"/>
          <w:b/>
          <w:position w:val="-1"/>
        </w:rPr>
        <w:t>表不</w:t>
      </w:r>
      <w:r>
        <w:rPr>
          <w:rFonts w:hint="eastAsia" w:ascii="宋体" w:hAnsi="宋体" w:cs="宋体"/>
          <w:b/>
          <w:spacing w:val="2"/>
          <w:position w:val="-1"/>
        </w:rPr>
        <w:t>需</w:t>
      </w:r>
      <w:r>
        <w:rPr>
          <w:rFonts w:hint="eastAsia" w:ascii="宋体" w:hAnsi="宋体" w:cs="宋体"/>
          <w:b/>
          <w:position w:val="-1"/>
        </w:rPr>
        <w:t>装</w:t>
      </w:r>
      <w:r>
        <w:rPr>
          <w:rFonts w:hint="eastAsia" w:ascii="宋体" w:hAnsi="宋体" w:cs="宋体"/>
          <w:b/>
          <w:spacing w:val="2"/>
          <w:position w:val="-1"/>
        </w:rPr>
        <w:t>入</w:t>
      </w:r>
      <w:r>
        <w:rPr>
          <w:rFonts w:hint="eastAsia" w:ascii="宋体" w:hAnsi="宋体" w:cs="宋体"/>
          <w:b/>
          <w:position w:val="-1"/>
        </w:rPr>
        <w:t>响应文件中</w:t>
      </w:r>
      <w:r>
        <w:rPr>
          <w:rFonts w:hint="eastAsia" w:ascii="宋体" w:hAnsi="宋体" w:cs="宋体"/>
          <w:b/>
          <w:spacing w:val="2"/>
          <w:position w:val="-1"/>
        </w:rPr>
        <w:t>，细目按照服务需求书填写，与分项报价表一致。</w:t>
      </w:r>
      <w:r>
        <w:rPr>
          <w:rFonts w:hint="eastAsia" w:ascii="宋体" w:hAnsi="宋体" w:cs="宋体"/>
          <w:b/>
          <w:position w:val="-1"/>
        </w:rPr>
        <w:t>请</w:t>
      </w:r>
      <w:r>
        <w:rPr>
          <w:rFonts w:hint="eastAsia" w:ascii="宋体" w:hAnsi="宋体" w:cs="宋体"/>
          <w:b/>
          <w:spacing w:val="2"/>
          <w:position w:val="-1"/>
        </w:rPr>
        <w:t>自</w:t>
      </w:r>
      <w:r>
        <w:rPr>
          <w:rFonts w:hint="eastAsia" w:ascii="宋体" w:hAnsi="宋体" w:cs="宋体"/>
          <w:b/>
          <w:position w:val="-1"/>
        </w:rPr>
        <w:t>备3</w:t>
      </w:r>
      <w:r>
        <w:rPr>
          <w:rFonts w:hint="eastAsia" w:ascii="宋体" w:hAnsi="宋体" w:cs="宋体"/>
          <w:b/>
          <w:spacing w:val="-60"/>
          <w:position w:val="-1"/>
        </w:rPr>
        <w:t xml:space="preserve"> </w:t>
      </w:r>
      <w:r>
        <w:rPr>
          <w:rFonts w:hint="eastAsia" w:ascii="宋体" w:hAnsi="宋体" w:cs="宋体"/>
          <w:b/>
          <w:spacing w:val="2"/>
          <w:position w:val="-1"/>
        </w:rPr>
        <w:t>份，</w:t>
      </w:r>
      <w:r>
        <w:rPr>
          <w:rFonts w:hint="eastAsia" w:ascii="宋体" w:hAnsi="宋体" w:cs="宋体"/>
          <w:b/>
          <w:position w:val="-1"/>
        </w:rPr>
        <w:t>签字</w:t>
      </w:r>
      <w:r>
        <w:rPr>
          <w:rFonts w:hint="eastAsia" w:ascii="宋体" w:hAnsi="宋体" w:cs="宋体"/>
          <w:b/>
          <w:spacing w:val="2"/>
          <w:position w:val="-1"/>
        </w:rPr>
        <w:t>、</w:t>
      </w:r>
      <w:r>
        <w:rPr>
          <w:rFonts w:hint="eastAsia" w:ascii="宋体" w:hAnsi="宋体" w:cs="宋体"/>
          <w:b/>
          <w:position w:val="-1"/>
        </w:rPr>
        <w:t>盖</w:t>
      </w:r>
      <w:r>
        <w:rPr>
          <w:rFonts w:hint="eastAsia" w:ascii="宋体" w:hAnsi="宋体" w:cs="宋体"/>
          <w:b/>
          <w:spacing w:val="2"/>
          <w:position w:val="-1"/>
        </w:rPr>
        <w:t>章</w:t>
      </w:r>
      <w:r>
        <w:rPr>
          <w:rFonts w:hint="eastAsia" w:ascii="宋体" w:hAnsi="宋体" w:cs="宋体"/>
          <w:b/>
          <w:position w:val="-1"/>
        </w:rPr>
        <w:t>后备</w:t>
      </w:r>
      <w:r>
        <w:rPr>
          <w:rFonts w:hint="eastAsia" w:ascii="宋体" w:hAnsi="宋体" w:cs="宋体"/>
          <w:b/>
          <w:spacing w:val="2"/>
          <w:position w:val="-1"/>
        </w:rPr>
        <w:t>用</w:t>
      </w:r>
      <w:r>
        <w:rPr>
          <w:rFonts w:hint="eastAsia" w:ascii="宋体" w:hAnsi="宋体" w:cs="宋体"/>
          <w:b/>
          <w:position w:val="-1"/>
        </w:rPr>
        <w:t>。</w:t>
      </w:r>
    </w:p>
    <w:p>
      <w:bookmarkStart w:id="976" w:name="_Toc19392"/>
      <w:r>
        <w:rPr>
          <w:rFonts w:hint="eastAsia"/>
        </w:rPr>
        <w:t>附件14——供应商认为必要的辅助资料（如有）</w:t>
      </w:r>
      <w:bookmarkEnd w:id="976"/>
    </w:p>
    <w:sectPr>
      <w:pgSz w:w="11906" w:h="16838"/>
      <w:pgMar w:top="1440" w:right="1797" w:bottom="1440" w:left="1797" w:header="851" w:footer="992" w:gutter="0"/>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10" w:usb3="00000000" w:csb0="0004009F" w:csb1="00000000"/>
  </w:font>
  <w:font w:name="Cambria">
    <w:panose1 w:val="02040503050406030204"/>
    <w:charset w:val="00"/>
    <w:family w:val="roman"/>
    <w:pitch w:val="default"/>
    <w:sig w:usb0="E00006FF" w:usb1="420024FF" w:usb2="0200000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Lucida Grande">
    <w:altName w:val="Courier New"/>
    <w:panose1 w:val="00000000000000000000"/>
    <w:charset w:val="00"/>
    <w:family w:val="auto"/>
    <w:pitch w:val="default"/>
    <w:sig w:usb0="00000000" w:usb1="00000000" w:usb2="00000000" w:usb3="00000000" w:csb0="000001BF" w:csb1="00000000"/>
  </w:font>
  <w:font w:name="ヒラギノ角ゴ Pro W3">
    <w:altName w:val="Yu Gothic"/>
    <w:panose1 w:val="00000000000000000000"/>
    <w:charset w:val="80"/>
    <w:family w:val="auto"/>
    <w:pitch w:val="default"/>
    <w:sig w:usb0="00000000" w:usb1="00000000" w:usb2="00000012" w:usb3="00000000" w:csb0="0002000D" w:csb1="00000000"/>
  </w:font>
  <w:font w:name="Yu Gothic">
    <w:panose1 w:val="020B0400000000000000"/>
    <w:charset w:val="80"/>
    <w:family w:val="auto"/>
    <w:pitch w:val="default"/>
    <w:sig w:usb0="E00002FF" w:usb1="2AC7FDFF" w:usb2="00000016" w:usb3="00000000" w:csb0="2002009F" w:csb1="00000000"/>
  </w:font>
  <w:font w:name="MetaPlusLF">
    <w:altName w:val="Courier New"/>
    <w:panose1 w:val="00000000000000000000"/>
    <w:charset w:val="00"/>
    <w:family w:val="auto"/>
    <w:pitch w:val="default"/>
    <w:sig w:usb0="00000000" w:usb1="00000000" w:usb2="00000000" w:usb3="00000000" w:csb0="00000097"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10" w:usb3="00000000" w:csb0="00040000" w:csb1="00000000"/>
  </w:font>
  <w:font w:name="Arial Unicode MS">
    <w:altName w:val="Arial"/>
    <w:panose1 w:val="020B0604020202020204"/>
    <w:charset w:val="00"/>
    <w:family w:val="auto"/>
    <w:pitch w:val="default"/>
    <w:sig w:usb0="00000000" w:usb1="00000000"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framePr w:wrap="around" w:vAnchor="text" w:hAnchor="margin" w:xAlign="center" w:y="1"/>
      <w:ind w:right="360"/>
      <w:jc w:val="right"/>
      <w:rPr>
        <w:rStyle w:val="46"/>
      </w:rPr>
    </w:pPr>
  </w:p>
  <w:p>
    <w:pPr>
      <w:pStyle w:val="2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framePr w:wrap="around" w:vAnchor="text" w:hAnchor="margin" w:xAlign="right" w:y="1"/>
      <w:rPr>
        <w:rStyle w:val="46"/>
      </w:rPr>
    </w:pPr>
    <w:r>
      <w:fldChar w:fldCharType="begin"/>
    </w:r>
    <w:r>
      <w:rPr>
        <w:rStyle w:val="46"/>
      </w:rPr>
      <w:instrText xml:space="preserve">PAGE  </w:instrText>
    </w:r>
    <w:r>
      <w:fldChar w:fldCharType="end"/>
    </w:r>
  </w:p>
  <w:p>
    <w:pPr>
      <w:pStyle w:val="2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tabs>
        <w:tab w:val="center" w:pos="4156"/>
        <w:tab w:val="right" w:pos="8073"/>
        <w:tab w:val="clear" w:pos="4153"/>
      </w:tabs>
      <w:ind w:right="360"/>
      <w:rPr>
        <w:rStyle w:val="46"/>
      </w:rPr>
    </w:pPr>
    <w:r>
      <mc:AlternateContent>
        <mc:Choice Requires="wps">
          <w:drawing>
            <wp:anchor distT="0" distB="0" distL="114300" distR="114300" simplePos="0" relativeHeight="251659264" behindDoc="0" locked="0" layoutInCell="1" allowOverlap="1">
              <wp:simplePos x="0" y="0"/>
              <wp:positionH relativeFrom="margin">
                <wp:posOffset>2597150</wp:posOffset>
              </wp:positionH>
              <wp:positionV relativeFrom="paragraph">
                <wp:posOffset>-2540</wp:posOffset>
              </wp:positionV>
              <wp:extent cx="161925" cy="191770"/>
              <wp:effectExtent l="0" t="0" r="9525" b="18415"/>
              <wp:wrapNone/>
              <wp:docPr id="2" name="文本框 1029"/>
              <wp:cNvGraphicFramePr/>
              <a:graphic xmlns:a="http://schemas.openxmlformats.org/drawingml/2006/main">
                <a:graphicData uri="http://schemas.microsoft.com/office/word/2010/wordprocessingShape">
                  <wps:wsp>
                    <wps:cNvSpPr txBox="1">
                      <a:spLocks noChangeArrowheads="1"/>
                    </wps:cNvSpPr>
                    <wps:spPr bwMode="auto">
                      <a:xfrm>
                        <a:off x="0" y="0"/>
                        <a:ext cx="162232" cy="191729"/>
                      </a:xfrm>
                      <a:prstGeom prst="rect">
                        <a:avLst/>
                      </a:prstGeom>
                      <a:noFill/>
                      <a:ln>
                        <a:noFill/>
                      </a:ln>
                    </wps:spPr>
                    <wps:txbx>
                      <w:txbxContent>
                        <w:p>
                          <w:pPr>
                            <w:pStyle w:val="27"/>
                          </w:pPr>
                          <w:r>
                            <w:fldChar w:fldCharType="begin"/>
                          </w:r>
                          <w:r>
                            <w:instrText xml:space="preserve"> PAGE  \* MERGEFORMAT </w:instrText>
                          </w:r>
                          <w:r>
                            <w:fldChar w:fldCharType="separate"/>
                          </w:r>
                          <w:r>
                            <w:t>22</w:t>
                          </w:r>
                          <w:r>
                            <w:fldChar w:fldCharType="end"/>
                          </w:r>
                        </w:p>
                      </w:txbxContent>
                    </wps:txbx>
                    <wps:bodyPr rot="0" vert="horz" wrap="square" lIns="0" tIns="0" rIns="0" bIns="0" anchor="t" anchorCtr="0" upright="1">
                      <a:noAutofit/>
                    </wps:bodyPr>
                  </wps:wsp>
                </a:graphicData>
              </a:graphic>
            </wp:anchor>
          </w:drawing>
        </mc:Choice>
        <mc:Fallback>
          <w:pict>
            <v:shape id="文本框 1029" o:spid="_x0000_s1026" o:spt="202" type="#_x0000_t202" style="position:absolute;left:0pt;margin-left:204.5pt;margin-top:-0.2pt;height:15.1pt;width:12.75pt;mso-position-horizontal-relative:margin;z-index:251659264;mso-width-relative:page;mso-height-relative:page;" filled="f" stroked="f" coordsize="21600,21600" o:gfxdata="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Q8c9tgAAAAIAQAADwAAAAAAAAABACAA&#10;AAAiAAAAZHJzL2Rvd25yZXYueG1sUEsBAhQAFAAAAAgAh07iQOpscHANAgAABwQAAA4AAAAAAAAA&#10;AQAgAAAAJwEAAGRycy9lMm9Eb2MueG1sUEsFBgAAAAAGAAYAWQEAAKYFAAAAAA==&#10;">
              <v:fill on="f" focussize="0,0"/>
              <v:stroke on="f"/>
              <v:imagedata o:title=""/>
              <o:lock v:ext="edit" aspectratio="f"/>
              <v:textbox inset="0mm,0mm,0mm,0mm">
                <w:txbxContent>
                  <w:p>
                    <w:pPr>
                      <w:pStyle w:val="27"/>
                    </w:pPr>
                    <w:r>
                      <w:fldChar w:fldCharType="begin"/>
                    </w:r>
                    <w:r>
                      <w:instrText xml:space="preserve"> PAGE  \* MERGEFORMAT </w:instrText>
                    </w:r>
                    <w:r>
                      <w:fldChar w:fldCharType="separate"/>
                    </w:r>
                    <w:r>
                      <w:t>22</w:t>
                    </w:r>
                    <w:r>
                      <w:fldChar w:fldCharType="end"/>
                    </w:r>
                  </w:p>
                </w:txbxContent>
              </v:textbox>
            </v:shape>
          </w:pict>
        </mc:Fallback>
      </mc:AlternateContent>
    </w:r>
    <w:r>
      <w:rPr>
        <w:rStyle w:val="46"/>
        <w:rFonts w:hint="eastAsia"/>
      </w:rPr>
      <w:tab/>
    </w:r>
    <w:r>
      <w:rPr>
        <w:rStyle w:val="46"/>
        <w:rFonts w:hint="eastAsia"/>
      </w:rPr>
      <w:tab/>
    </w:r>
    <w:r>
      <w:rPr>
        <w:rStyle w:val="46"/>
        <w:rFonts w:hint="eastAsia"/>
      </w:rPr>
      <w:tab/>
    </w:r>
  </w:p>
  <w:p>
    <w:pPr>
      <w:pStyle w:val="27"/>
      <w:jc w:val="righ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4935" cy="152400"/>
              <wp:effectExtent l="0" t="0" r="0" b="0"/>
              <wp:wrapNone/>
              <wp:docPr id="1" name="文本框 1030"/>
              <wp:cNvGraphicFramePr/>
              <a:graphic xmlns:a="http://schemas.openxmlformats.org/drawingml/2006/main">
                <a:graphicData uri="http://schemas.microsoft.com/office/word/2010/wordprocessingShape">
                  <wps:wsp>
                    <wps:cNvSpPr txBox="1">
                      <a:spLocks noChangeArrowheads="1"/>
                    </wps:cNvSpPr>
                    <wps:spPr bwMode="auto">
                      <a:xfrm>
                        <a:off x="0" y="0"/>
                        <a:ext cx="114935" cy="152400"/>
                      </a:xfrm>
                      <a:prstGeom prst="rect">
                        <a:avLst/>
                      </a:prstGeom>
                      <a:noFill/>
                      <a:ln>
                        <a:noFill/>
                      </a:ln>
                    </wps:spPr>
                    <wps:txbx>
                      <w:txbxContent>
                        <w:p>
                          <w:pPr>
                            <w:pStyle w:val="27"/>
                          </w:pPr>
                          <w:r>
                            <w:fldChar w:fldCharType="begin"/>
                          </w:r>
                          <w:r>
                            <w:instrText xml:space="preserve"> PAGE  \* MERGEFORMAT </w:instrText>
                          </w:r>
                          <w:r>
                            <w:fldChar w:fldCharType="separate"/>
                          </w:r>
                          <w:r>
                            <w:t>28</w:t>
                          </w:r>
                          <w:r>
                            <w:fldChar w:fldCharType="end"/>
                          </w:r>
                        </w:p>
                      </w:txbxContent>
                    </wps:txbx>
                    <wps:bodyPr rot="0" vert="horz" wrap="none" lIns="0" tIns="0" rIns="0" bIns="0" anchor="t" anchorCtr="0" upright="1">
                      <a:spAutoFit/>
                    </wps:bodyPr>
                  </wps:wsp>
                </a:graphicData>
              </a:graphic>
            </wp:anchor>
          </w:drawing>
        </mc:Choice>
        <mc:Fallback>
          <w:pict>
            <v:shape id="文本框 1030" o:spid="_x0000_s1026" o:spt="202" type="#_x0000_t202" style="position:absolute;left:0pt;margin-top:0pt;height:12pt;width:9.05pt;mso-position-horizontal:center;mso-position-horizontal-relative:margin;mso-wrap-style:none;z-index:251660288;mso-width-relative:page;mso-height-relative:page;" filled="f" stroked="f" coordsize="21600,21600" o:gfxdata="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&#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FGFrU3QAAAAAwEAAA8AAAAAAAAAAQAgAAAAIgAAAGRy&#10;cy9kb3ducmV2LnhtbFBLAQIUABQAAAAIAIdO4kC3B9tGDQIAAAUEAAAOAAAAAAAAAAEAIAAAAB8B&#10;AABkcnMvZTJvRG9jLnhtbFBLBQYAAAAABgAGAFkBAACeBQAAAAA=&#10;">
              <v:fill on="f" focussize="0,0"/>
              <v:stroke on="f"/>
              <v:imagedata o:title=""/>
              <o:lock v:ext="edit" aspectratio="f"/>
              <v:textbox inset="0mm,0mm,0mm,0mm" style="mso-fit-shape-to-text:t;">
                <w:txbxContent>
                  <w:p>
                    <w:pPr>
                      <w:pStyle w:val="27"/>
                    </w:pPr>
                    <w:r>
                      <w:fldChar w:fldCharType="begin"/>
                    </w:r>
                    <w:r>
                      <w:instrText xml:space="preserve"> PAGE  \* MERGEFORMAT </w:instrText>
                    </w:r>
                    <w:r>
                      <w:fldChar w:fldCharType="separate"/>
                    </w:r>
                    <w:r>
                      <w:t>28</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left"/>
      <w:rPr>
        <w:rFonts w:ascii="宋体"/>
      </w:rPr>
    </w:pPr>
    <w:r>
      <w:rPr>
        <w:rFonts w:hint="eastAsia" w:ascii="宋体"/>
      </w:rPr>
      <w:t xml:space="preserve">中国电子进出口总公司                                        </w:t>
    </w:r>
    <w:r>
      <w:rPr>
        <w:rFonts w:ascii="宋体"/>
      </w:rPr>
      <w:t xml:space="preserve">  </w:t>
    </w:r>
    <w:r>
      <w:rPr>
        <w:rFonts w:hint="eastAsia" w:ascii="宋体"/>
      </w:rPr>
      <w:t xml:space="preserve">         0714-EMTC-2159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double" w:color="auto" w:sz="8" w:space="1"/>
      </w:pBdr>
      <w:ind w:firstLine="1620" w:firstLineChars="900"/>
      <w:jc w:val="right"/>
      <w:rPr>
        <w:rFonts w:eastAsia="仿宋_GB2312"/>
      </w:rPr>
    </w:pPr>
    <w:r>
      <w:rPr>
        <w:rFonts w:hint="eastAsia" w:eastAsia="仿宋_GB2312"/>
      </w:rPr>
      <w:t xml:space="preserve">                                            </w:t>
    </w:r>
    <w:r>
      <w:rPr>
        <w:rFonts w:hint="eastAsia" w:eastAsia="仿宋_GB2312"/>
        <w:sz w:val="15"/>
        <w:szCs w:val="15"/>
      </w:rPr>
      <w:t xml:space="preserve">    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double" w:color="auto" w:sz="8" w:space="1"/>
      </w:pBdr>
      <w:ind w:firstLine="1620" w:firstLineChars="900"/>
      <w:jc w:val="right"/>
      <w:rPr>
        <w:rFonts w:eastAsia="仿宋_GB2312"/>
      </w:rPr>
    </w:pPr>
    <w:r>
      <w:rPr>
        <w:rFonts w:hint="eastAsia" w:eastAsia="仿宋_GB2312"/>
      </w:rPr>
      <w:t xml:space="preserve">                                    </w:t>
    </w:r>
    <w:r>
      <w:rPr>
        <w:rFonts w:hint="eastAsia" w:eastAsia="仿宋_GB2312"/>
        <w:sz w:val="15"/>
        <w:szCs w:val="15"/>
      </w:rPr>
      <w:t>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2309C7"/>
    <w:multiLevelType w:val="singleLevel"/>
    <w:tmpl w:val="802309C7"/>
    <w:lvl w:ilvl="0" w:tentative="0">
      <w:start w:val="1"/>
      <w:numFmt w:val="decimal"/>
      <w:suff w:val="space"/>
      <w:lvlText w:val="（%1）"/>
      <w:lvlJc w:val="left"/>
    </w:lvl>
  </w:abstractNum>
  <w:abstractNum w:abstractNumId="1">
    <w:nsid w:val="86D4B4D8"/>
    <w:multiLevelType w:val="singleLevel"/>
    <w:tmpl w:val="86D4B4D8"/>
    <w:lvl w:ilvl="0" w:tentative="0">
      <w:start w:val="1"/>
      <w:numFmt w:val="chineseCounting"/>
      <w:suff w:val="nothing"/>
      <w:lvlText w:val="%1、"/>
      <w:lvlJc w:val="left"/>
      <w:pPr>
        <w:ind w:left="-160" w:firstLine="420"/>
      </w:pPr>
      <w:rPr>
        <w:rFonts w:hint="eastAsia" w:ascii="宋体" w:hAnsi="宋体" w:eastAsia="宋体" w:cs="宋体"/>
        <w:sz w:val="24"/>
        <w:szCs w:val="24"/>
      </w:rPr>
    </w:lvl>
  </w:abstractNum>
  <w:abstractNum w:abstractNumId="2">
    <w:nsid w:val="B982393B"/>
    <w:multiLevelType w:val="singleLevel"/>
    <w:tmpl w:val="B982393B"/>
    <w:lvl w:ilvl="0" w:tentative="0">
      <w:start w:val="1"/>
      <w:numFmt w:val="decimal"/>
      <w:lvlText w:val="(%1)"/>
      <w:lvlJc w:val="left"/>
      <w:pPr>
        <w:ind w:left="425" w:hanging="425"/>
      </w:pPr>
      <w:rPr>
        <w:rFonts w:hint="default"/>
      </w:rPr>
    </w:lvl>
  </w:abstractNum>
  <w:abstractNum w:abstractNumId="3">
    <w:nsid w:val="F9582365"/>
    <w:multiLevelType w:val="singleLevel"/>
    <w:tmpl w:val="F9582365"/>
    <w:lvl w:ilvl="0" w:tentative="0">
      <w:start w:val="1"/>
      <w:numFmt w:val="decimal"/>
      <w:suff w:val="nothing"/>
      <w:lvlText w:val="%1."/>
      <w:lvlJc w:val="left"/>
      <w:pPr>
        <w:ind w:left="0" w:firstLine="0"/>
      </w:pPr>
      <w:rPr>
        <w:rFonts w:hint="eastAsia"/>
      </w:rPr>
    </w:lvl>
  </w:abstractNum>
  <w:abstractNum w:abstractNumId="4">
    <w:nsid w:val="FCFA1AAA"/>
    <w:multiLevelType w:val="singleLevel"/>
    <w:tmpl w:val="FCFA1AAA"/>
    <w:lvl w:ilvl="0" w:tentative="0">
      <w:start w:val="1"/>
      <w:numFmt w:val="chineseCounting"/>
      <w:suff w:val="nothing"/>
      <w:lvlText w:val="%1、"/>
      <w:lvlJc w:val="left"/>
      <w:rPr>
        <w:rFonts w:hint="eastAsia"/>
      </w:rPr>
    </w:lvl>
  </w:abstractNum>
  <w:abstractNum w:abstractNumId="5">
    <w:nsid w:val="00000002"/>
    <w:multiLevelType w:val="multilevel"/>
    <w:tmpl w:val="00000002"/>
    <w:lvl w:ilvl="0" w:tentative="0">
      <w:start w:val="0"/>
      <w:numFmt w:val="decimal"/>
      <w:lvlText w:val=""/>
      <w:lvlJc w:val="left"/>
      <w:pPr>
        <w:tabs>
          <w:tab w:val="left" w:pos="0"/>
        </w:tabs>
        <w:ind w:left="0" w:firstLine="0"/>
      </w:pPr>
    </w:lvl>
    <w:lvl w:ilvl="1" w:tentative="0">
      <w:start w:val="0"/>
      <w:numFmt w:val="decimal"/>
      <w:lvlText w:val=""/>
      <w:lvlJc w:val="left"/>
      <w:pPr>
        <w:tabs>
          <w:tab w:val="left" w:pos="0"/>
        </w:tabs>
        <w:ind w:left="0" w:firstLine="0"/>
      </w:pPr>
    </w:lvl>
    <w:lvl w:ilvl="2" w:tentative="0">
      <w:start w:val="0"/>
      <w:numFmt w:val="decimal"/>
      <w:lvlText w:val=""/>
      <w:lvlJc w:val="left"/>
      <w:pPr>
        <w:tabs>
          <w:tab w:val="left" w:pos="0"/>
        </w:tabs>
        <w:ind w:left="0" w:firstLine="0"/>
      </w:pPr>
    </w:lvl>
    <w:lvl w:ilvl="3" w:tentative="0">
      <w:start w:val="0"/>
      <w:numFmt w:val="decimal"/>
      <w:lvlText w:val=""/>
      <w:lvlJc w:val="left"/>
      <w:pPr>
        <w:tabs>
          <w:tab w:val="left" w:pos="0"/>
        </w:tabs>
        <w:ind w:left="0" w:firstLine="0"/>
      </w:pPr>
    </w:lvl>
    <w:lvl w:ilvl="4" w:tentative="0">
      <w:start w:val="0"/>
      <w:numFmt w:val="decimal"/>
      <w:lvlText w:val=""/>
      <w:lvlJc w:val="left"/>
      <w:pPr>
        <w:tabs>
          <w:tab w:val="left" w:pos="0"/>
        </w:tabs>
        <w:ind w:left="0" w:firstLine="0"/>
      </w:pPr>
    </w:lvl>
    <w:lvl w:ilvl="5" w:tentative="0">
      <w:start w:val="0"/>
      <w:numFmt w:val="decimal"/>
      <w:lvlText w:val=""/>
      <w:lvlJc w:val="left"/>
      <w:pPr>
        <w:tabs>
          <w:tab w:val="left" w:pos="0"/>
        </w:tabs>
        <w:ind w:left="0" w:firstLine="0"/>
      </w:pPr>
    </w:lvl>
    <w:lvl w:ilvl="6" w:tentative="0">
      <w:start w:val="0"/>
      <w:numFmt w:val="decimal"/>
      <w:lvlText w:val=""/>
      <w:lvlJc w:val="left"/>
      <w:pPr>
        <w:tabs>
          <w:tab w:val="left" w:pos="0"/>
        </w:tabs>
        <w:ind w:left="0" w:firstLine="0"/>
      </w:pPr>
    </w:lvl>
    <w:lvl w:ilvl="7" w:tentative="0">
      <w:start w:val="0"/>
      <w:numFmt w:val="decimal"/>
      <w:lvlText w:val=""/>
      <w:lvlJc w:val="left"/>
      <w:pPr>
        <w:tabs>
          <w:tab w:val="left" w:pos="0"/>
        </w:tabs>
        <w:ind w:left="0" w:firstLine="0"/>
      </w:pPr>
    </w:lvl>
    <w:lvl w:ilvl="8" w:tentative="0">
      <w:start w:val="0"/>
      <w:numFmt w:val="decimal"/>
      <w:lvlText w:val=""/>
      <w:lvlJc w:val="left"/>
      <w:pPr>
        <w:tabs>
          <w:tab w:val="left" w:pos="0"/>
        </w:tabs>
        <w:ind w:left="0" w:firstLine="0"/>
      </w:pPr>
    </w:lvl>
  </w:abstractNum>
  <w:abstractNum w:abstractNumId="6">
    <w:nsid w:val="0000000A"/>
    <w:multiLevelType w:val="multilevel"/>
    <w:tmpl w:val="0000000A"/>
    <w:lvl w:ilvl="0" w:tentative="0">
      <w:start w:val="1"/>
      <w:numFmt w:val="decimal"/>
      <w:lvlText w:val="%1．"/>
      <w:lvlJc w:val="left"/>
      <w:pPr>
        <w:tabs>
          <w:tab w:val="left" w:pos="768"/>
        </w:tabs>
        <w:ind w:left="768" w:hanging="360"/>
      </w:pPr>
      <w:rPr>
        <w:rFonts w:hint="eastAsia"/>
      </w:rPr>
    </w:lvl>
    <w:lvl w:ilvl="1" w:tentative="0">
      <w:start w:val="1"/>
      <w:numFmt w:val="decimal"/>
      <w:lvlText w:val="%2、"/>
      <w:lvlJc w:val="left"/>
      <w:pPr>
        <w:tabs>
          <w:tab w:val="left" w:pos="1188"/>
        </w:tabs>
        <w:ind w:left="1188" w:hanging="360"/>
      </w:pPr>
      <w:rPr>
        <w:rFonts w:hint="eastAsia"/>
      </w:rPr>
    </w:lvl>
    <w:lvl w:ilvl="2" w:tentative="0">
      <w:start w:val="1"/>
      <w:numFmt w:val="decimal"/>
      <w:lvlText w:val="（%3）"/>
      <w:lvlJc w:val="left"/>
      <w:pPr>
        <w:tabs>
          <w:tab w:val="left" w:pos="1968"/>
        </w:tabs>
        <w:ind w:left="1968" w:hanging="720"/>
      </w:pPr>
      <w:rPr>
        <w:rFonts w:hint="eastAsia"/>
        <w:u w:val="none"/>
      </w:rPr>
    </w:lvl>
    <w:lvl w:ilvl="3" w:tentative="0">
      <w:start w:val="1"/>
      <w:numFmt w:val="decimal"/>
      <w:lvlText w:val="%4."/>
      <w:lvlJc w:val="left"/>
      <w:pPr>
        <w:tabs>
          <w:tab w:val="left" w:pos="2088"/>
        </w:tabs>
        <w:ind w:left="2088" w:hanging="420"/>
      </w:pPr>
    </w:lvl>
    <w:lvl w:ilvl="4" w:tentative="0">
      <w:start w:val="1"/>
      <w:numFmt w:val="lowerLetter"/>
      <w:lvlText w:val="%5)"/>
      <w:lvlJc w:val="left"/>
      <w:pPr>
        <w:tabs>
          <w:tab w:val="left" w:pos="2508"/>
        </w:tabs>
        <w:ind w:left="2508" w:hanging="420"/>
      </w:pPr>
    </w:lvl>
    <w:lvl w:ilvl="5" w:tentative="0">
      <w:start w:val="1"/>
      <w:numFmt w:val="lowerRoman"/>
      <w:lvlText w:val="%6."/>
      <w:lvlJc w:val="right"/>
      <w:pPr>
        <w:tabs>
          <w:tab w:val="left" w:pos="2928"/>
        </w:tabs>
        <w:ind w:left="2928" w:hanging="420"/>
      </w:pPr>
    </w:lvl>
    <w:lvl w:ilvl="6" w:tentative="0">
      <w:start w:val="1"/>
      <w:numFmt w:val="decimal"/>
      <w:lvlText w:val="%7."/>
      <w:lvlJc w:val="left"/>
      <w:pPr>
        <w:tabs>
          <w:tab w:val="left" w:pos="3348"/>
        </w:tabs>
        <w:ind w:left="3348" w:hanging="420"/>
      </w:pPr>
    </w:lvl>
    <w:lvl w:ilvl="7" w:tentative="0">
      <w:start w:val="1"/>
      <w:numFmt w:val="lowerLetter"/>
      <w:lvlText w:val="%8)"/>
      <w:lvlJc w:val="left"/>
      <w:pPr>
        <w:tabs>
          <w:tab w:val="left" w:pos="3768"/>
        </w:tabs>
        <w:ind w:left="3768" w:hanging="420"/>
      </w:pPr>
    </w:lvl>
    <w:lvl w:ilvl="8" w:tentative="0">
      <w:start w:val="1"/>
      <w:numFmt w:val="lowerRoman"/>
      <w:lvlText w:val="%9."/>
      <w:lvlJc w:val="right"/>
      <w:pPr>
        <w:tabs>
          <w:tab w:val="left" w:pos="4188"/>
        </w:tabs>
        <w:ind w:left="4188" w:hanging="420"/>
      </w:pPr>
    </w:lvl>
  </w:abstractNum>
  <w:abstractNum w:abstractNumId="7">
    <w:nsid w:val="00000016"/>
    <w:multiLevelType w:val="multilevel"/>
    <w:tmpl w:val="00000016"/>
    <w:lvl w:ilvl="0" w:tentative="0">
      <w:start w:val="1"/>
      <w:numFmt w:val="decimal"/>
      <w:lvlText w:val="%1."/>
      <w:lvlJc w:val="left"/>
      <w:pPr>
        <w:tabs>
          <w:tab w:val="left" w:pos="360"/>
        </w:tabs>
        <w:ind w:left="0" w:firstLine="0"/>
      </w:pPr>
      <w:rPr>
        <w:rFonts w:hint="eastAsia"/>
      </w:rPr>
    </w:lvl>
    <w:lvl w:ilvl="1" w:tentative="0">
      <w:start w:val="1"/>
      <w:numFmt w:val="decimal"/>
      <w:lvlText w:val="%1.%2"/>
      <w:lvlJc w:val="left"/>
      <w:pPr>
        <w:tabs>
          <w:tab w:val="left" w:pos="360"/>
        </w:tabs>
        <w:ind w:left="0" w:firstLine="0"/>
      </w:pPr>
      <w:rPr>
        <w:rFonts w:hint="eastAsia"/>
      </w:rPr>
    </w:lvl>
    <w:lvl w:ilvl="2" w:tentative="0">
      <w:start w:val="1"/>
      <w:numFmt w:val="decimal"/>
      <w:lvlText w:val="%1.%2.%3"/>
      <w:lvlJc w:val="left"/>
      <w:pPr>
        <w:tabs>
          <w:tab w:val="left" w:pos="720"/>
        </w:tabs>
        <w:ind w:left="0" w:firstLine="0"/>
      </w:pPr>
      <w:rPr>
        <w:rFonts w:hint="eastAsia"/>
      </w:rPr>
    </w:lvl>
    <w:lvl w:ilvl="3" w:tentative="0">
      <w:start w:val="0"/>
      <w:numFmt w:val="none"/>
      <w:lvlText w:val=""/>
      <w:lvlJc w:val="left"/>
      <w:pPr>
        <w:tabs>
          <w:tab w:val="left" w:pos="360"/>
        </w:tabs>
        <w:ind w:left="0" w:firstLine="0"/>
      </w:pPr>
    </w:lvl>
    <w:lvl w:ilvl="4" w:tentative="0">
      <w:start w:val="1"/>
      <w:numFmt w:val="decimal"/>
      <w:lvlText w:val="%1.%2.%3.%4.%5."/>
      <w:lvlJc w:val="right"/>
      <w:pPr>
        <w:tabs>
          <w:tab w:val="left" w:pos="0"/>
        </w:tabs>
        <w:ind w:left="992" w:hanging="992"/>
      </w:pPr>
      <w:rPr>
        <w:rFonts w:hint="eastAsia"/>
      </w:rPr>
    </w:lvl>
    <w:lvl w:ilvl="5" w:tentative="0">
      <w:start w:val="1"/>
      <w:numFmt w:val="decimal"/>
      <w:lvlText w:val="%1.%2.%3.%4.%5.%6.ȁ"/>
      <w:lvlJc w:val="left"/>
      <w:pPr>
        <w:tabs>
          <w:tab w:val="left" w:pos="1134"/>
        </w:tabs>
        <w:ind w:left="0" w:hanging="1134"/>
      </w:pPr>
      <w:rPr>
        <w:rFonts w:hint="eastAsia"/>
      </w:rPr>
    </w:lvl>
    <w:lvl w:ilvl="6" w:tentative="0">
      <w:start w:val="0"/>
      <w:numFmt w:val="none"/>
      <w:lvlText w:val=""/>
      <w:lvlJc w:val="left"/>
      <w:pPr>
        <w:tabs>
          <w:tab w:val="left" w:pos="360"/>
        </w:tabs>
        <w:ind w:left="0" w:firstLine="0"/>
      </w:pPr>
    </w:lvl>
    <w:lvl w:ilvl="7" w:tentative="0">
      <w:start w:val="0"/>
      <w:numFmt w:val="none"/>
      <w:lvlText w:val=""/>
      <w:lvlJc w:val="left"/>
      <w:pPr>
        <w:tabs>
          <w:tab w:val="left" w:pos="360"/>
        </w:tabs>
        <w:ind w:left="0" w:firstLine="0"/>
      </w:pPr>
    </w:lvl>
    <w:lvl w:ilvl="8" w:tentative="0">
      <w:start w:val="0"/>
      <w:numFmt w:val="none"/>
      <w:lvlText w:val=""/>
      <w:lvlJc w:val="left"/>
      <w:pPr>
        <w:tabs>
          <w:tab w:val="left" w:pos="360"/>
        </w:tabs>
        <w:ind w:left="0" w:firstLine="0"/>
      </w:pPr>
    </w:lvl>
  </w:abstractNum>
  <w:abstractNum w:abstractNumId="8">
    <w:nsid w:val="0000001E"/>
    <w:multiLevelType w:val="multilevel"/>
    <w:tmpl w:val="0000001E"/>
    <w:lvl w:ilvl="0" w:tentative="0">
      <w:start w:val="0"/>
      <w:numFmt w:val="decimal"/>
      <w:lvlText w:val=""/>
      <w:lvlJc w:val="left"/>
      <w:pPr>
        <w:tabs>
          <w:tab w:val="left" w:pos="0"/>
        </w:tabs>
        <w:ind w:left="0" w:firstLine="0"/>
      </w:pPr>
    </w:lvl>
    <w:lvl w:ilvl="1" w:tentative="0">
      <w:start w:val="0"/>
      <w:numFmt w:val="decimal"/>
      <w:lvlText w:val=""/>
      <w:lvlJc w:val="left"/>
      <w:pPr>
        <w:tabs>
          <w:tab w:val="left" w:pos="0"/>
        </w:tabs>
        <w:ind w:left="0" w:firstLine="0"/>
      </w:pPr>
    </w:lvl>
    <w:lvl w:ilvl="2" w:tentative="0">
      <w:start w:val="0"/>
      <w:numFmt w:val="decimal"/>
      <w:lvlText w:val=""/>
      <w:lvlJc w:val="left"/>
      <w:pPr>
        <w:tabs>
          <w:tab w:val="left" w:pos="0"/>
        </w:tabs>
        <w:ind w:left="0" w:firstLine="0"/>
      </w:pPr>
    </w:lvl>
    <w:lvl w:ilvl="3" w:tentative="0">
      <w:start w:val="0"/>
      <w:numFmt w:val="decimal"/>
      <w:lvlText w:val=""/>
      <w:lvlJc w:val="left"/>
      <w:pPr>
        <w:tabs>
          <w:tab w:val="left" w:pos="0"/>
        </w:tabs>
        <w:ind w:left="0" w:firstLine="0"/>
      </w:pPr>
    </w:lvl>
    <w:lvl w:ilvl="4" w:tentative="0">
      <w:start w:val="0"/>
      <w:numFmt w:val="decimal"/>
      <w:lvlText w:val=""/>
      <w:lvlJc w:val="left"/>
      <w:pPr>
        <w:tabs>
          <w:tab w:val="left" w:pos="0"/>
        </w:tabs>
        <w:ind w:left="0" w:firstLine="0"/>
      </w:pPr>
    </w:lvl>
    <w:lvl w:ilvl="5" w:tentative="0">
      <w:start w:val="0"/>
      <w:numFmt w:val="decimal"/>
      <w:lvlText w:val=""/>
      <w:lvlJc w:val="left"/>
      <w:pPr>
        <w:tabs>
          <w:tab w:val="left" w:pos="0"/>
        </w:tabs>
        <w:ind w:left="0" w:firstLine="0"/>
      </w:pPr>
    </w:lvl>
    <w:lvl w:ilvl="6" w:tentative="0">
      <w:start w:val="0"/>
      <w:numFmt w:val="decimal"/>
      <w:lvlText w:val=""/>
      <w:lvlJc w:val="left"/>
      <w:pPr>
        <w:tabs>
          <w:tab w:val="left" w:pos="0"/>
        </w:tabs>
        <w:ind w:left="0" w:firstLine="0"/>
      </w:pPr>
    </w:lvl>
    <w:lvl w:ilvl="7" w:tentative="0">
      <w:start w:val="0"/>
      <w:numFmt w:val="decimal"/>
      <w:lvlText w:val=""/>
      <w:lvlJc w:val="left"/>
      <w:pPr>
        <w:tabs>
          <w:tab w:val="left" w:pos="0"/>
        </w:tabs>
        <w:ind w:left="0" w:firstLine="0"/>
      </w:pPr>
    </w:lvl>
    <w:lvl w:ilvl="8" w:tentative="0">
      <w:start w:val="0"/>
      <w:numFmt w:val="decimal"/>
      <w:lvlText w:val=""/>
      <w:lvlJc w:val="left"/>
      <w:pPr>
        <w:tabs>
          <w:tab w:val="left" w:pos="0"/>
        </w:tabs>
        <w:ind w:left="0" w:firstLine="0"/>
      </w:pPr>
    </w:lvl>
  </w:abstractNum>
  <w:abstractNum w:abstractNumId="9">
    <w:nsid w:val="07D7FE7C"/>
    <w:multiLevelType w:val="singleLevel"/>
    <w:tmpl w:val="07D7FE7C"/>
    <w:lvl w:ilvl="0" w:tentative="0">
      <w:start w:val="1"/>
      <w:numFmt w:val="decimal"/>
      <w:suff w:val="nothing"/>
      <w:lvlText w:val="%1．"/>
      <w:lvlJc w:val="left"/>
      <w:pPr>
        <w:ind w:left="0" w:firstLine="400"/>
      </w:pPr>
      <w:rPr>
        <w:rFonts w:hint="default" w:ascii="宋体" w:hAnsi="宋体" w:eastAsia="宋体" w:cs="宋体"/>
        <w:sz w:val="24"/>
        <w:szCs w:val="24"/>
      </w:rPr>
    </w:lvl>
  </w:abstractNum>
  <w:abstractNum w:abstractNumId="10">
    <w:nsid w:val="0FFE4791"/>
    <w:multiLevelType w:val="singleLevel"/>
    <w:tmpl w:val="0FFE4791"/>
    <w:lvl w:ilvl="0" w:tentative="0">
      <w:start w:val="1"/>
      <w:numFmt w:val="decimal"/>
      <w:lvlText w:val="%1)"/>
      <w:lvlJc w:val="left"/>
      <w:pPr>
        <w:tabs>
          <w:tab w:val="left" w:pos="397"/>
        </w:tabs>
        <w:ind w:left="397" w:hanging="397"/>
      </w:pPr>
      <w:rPr>
        <w:rFonts w:hint="eastAsia"/>
      </w:rPr>
    </w:lvl>
  </w:abstractNum>
  <w:abstractNum w:abstractNumId="11">
    <w:nsid w:val="145546C5"/>
    <w:multiLevelType w:val="multilevel"/>
    <w:tmpl w:val="145546C5"/>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317C6291"/>
    <w:multiLevelType w:val="singleLevel"/>
    <w:tmpl w:val="317C6291"/>
    <w:lvl w:ilvl="0" w:tentative="0">
      <w:start w:val="7"/>
      <w:numFmt w:val="chineseCounting"/>
      <w:suff w:val="nothing"/>
      <w:lvlText w:val="%1、"/>
      <w:lvlJc w:val="left"/>
      <w:rPr>
        <w:rFonts w:hint="eastAsia"/>
      </w:rPr>
    </w:lvl>
  </w:abstractNum>
  <w:abstractNum w:abstractNumId="13">
    <w:nsid w:val="400B6E6F"/>
    <w:multiLevelType w:val="singleLevel"/>
    <w:tmpl w:val="400B6E6F"/>
    <w:lvl w:ilvl="0" w:tentative="0">
      <w:start w:val="1"/>
      <w:numFmt w:val="decimalEnclosedCircleChinese"/>
      <w:suff w:val="nothing"/>
      <w:lvlText w:val="%1　"/>
      <w:lvlJc w:val="left"/>
      <w:pPr>
        <w:ind w:left="0" w:firstLine="400"/>
      </w:pPr>
      <w:rPr>
        <w:rFonts w:hint="eastAsia"/>
      </w:rPr>
    </w:lvl>
  </w:abstractNum>
  <w:abstractNum w:abstractNumId="14">
    <w:nsid w:val="4FDD1914"/>
    <w:multiLevelType w:val="multilevel"/>
    <w:tmpl w:val="4FDD191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64FBC227"/>
    <w:multiLevelType w:val="singleLevel"/>
    <w:tmpl w:val="64FBC227"/>
    <w:lvl w:ilvl="0" w:tentative="0">
      <w:start w:val="1"/>
      <w:numFmt w:val="decimal"/>
      <w:suff w:val="nothing"/>
      <w:lvlText w:val="%1．"/>
      <w:lvlJc w:val="left"/>
      <w:pPr>
        <w:ind w:left="0" w:firstLine="400"/>
      </w:pPr>
      <w:rPr>
        <w:rFonts w:hint="default" w:ascii="仿宋_GB2312" w:hAnsi="仿宋_GB2312" w:eastAsia="仿宋_GB2312" w:cs="仿宋_GB2312"/>
        <w:sz w:val="24"/>
        <w:szCs w:val="24"/>
      </w:rPr>
    </w:lvl>
  </w:abstractNum>
  <w:abstractNum w:abstractNumId="16">
    <w:nsid w:val="76C12C51"/>
    <w:multiLevelType w:val="multilevel"/>
    <w:tmpl w:val="76C12C51"/>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7B7B7B16"/>
    <w:multiLevelType w:val="multilevel"/>
    <w:tmpl w:val="7B7B7B16"/>
    <w:lvl w:ilvl="0" w:tentative="0">
      <w:start w:val="4"/>
      <w:numFmt w:val="japaneseCounting"/>
      <w:lvlText w:val="%1、"/>
      <w:lvlJc w:val="left"/>
      <w:pPr>
        <w:tabs>
          <w:tab w:val="left" w:pos="0"/>
        </w:tabs>
        <w:ind w:left="660" w:hanging="660"/>
      </w:pPr>
      <w:rPr>
        <w:rFonts w:hint="default"/>
      </w:r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num w:numId="1">
    <w:abstractNumId w:val="12"/>
  </w:num>
  <w:num w:numId="2">
    <w:abstractNumId w:val="7"/>
  </w:num>
  <w:num w:numId="3">
    <w:abstractNumId w:val="8"/>
  </w:num>
  <w:num w:numId="4">
    <w:abstractNumId w:val="17"/>
  </w:num>
  <w:num w:numId="5">
    <w:abstractNumId w:val="2"/>
  </w:num>
  <w:num w:numId="6">
    <w:abstractNumId w:val="0"/>
  </w:num>
  <w:num w:numId="7">
    <w:abstractNumId w:val="1"/>
  </w:num>
  <w:num w:numId="8">
    <w:abstractNumId w:val="16"/>
  </w:num>
  <w:num w:numId="9">
    <w:abstractNumId w:val="11"/>
  </w:num>
  <w:num w:numId="10">
    <w:abstractNumId w:val="13"/>
  </w:num>
  <w:num w:numId="11">
    <w:abstractNumId w:val="9"/>
  </w:num>
  <w:num w:numId="12">
    <w:abstractNumId w:val="15"/>
  </w:num>
  <w:num w:numId="13">
    <w:abstractNumId w:val="4"/>
  </w:num>
  <w:num w:numId="14">
    <w:abstractNumId w:val="3"/>
  </w:num>
  <w:num w:numId="15">
    <w:abstractNumId w:val="14"/>
  </w:num>
  <w:num w:numId="16">
    <w:abstractNumId w:val="10"/>
  </w:num>
  <w:num w:numId="17">
    <w:abstractNumId w:val="6"/>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I2YjU0ZTA3YjcyZWVmZDNhOGU3YmI1NzViMDg1YzUifQ=="/>
  </w:docVars>
  <w:rsids>
    <w:rsidRoot w:val="00EE4967"/>
    <w:rsid w:val="00012E0C"/>
    <w:rsid w:val="00055884"/>
    <w:rsid w:val="00062016"/>
    <w:rsid w:val="00080EC8"/>
    <w:rsid w:val="000944A4"/>
    <w:rsid w:val="000E46C2"/>
    <w:rsid w:val="0012365D"/>
    <w:rsid w:val="00144493"/>
    <w:rsid w:val="00144F71"/>
    <w:rsid w:val="001734E1"/>
    <w:rsid w:val="00175E00"/>
    <w:rsid w:val="00190DD7"/>
    <w:rsid w:val="001D2F7B"/>
    <w:rsid w:val="001F6004"/>
    <w:rsid w:val="002046C5"/>
    <w:rsid w:val="0024014E"/>
    <w:rsid w:val="002457EB"/>
    <w:rsid w:val="00263007"/>
    <w:rsid w:val="00265B8F"/>
    <w:rsid w:val="0028279F"/>
    <w:rsid w:val="00286167"/>
    <w:rsid w:val="002A1A98"/>
    <w:rsid w:val="002B41B4"/>
    <w:rsid w:val="002C12AA"/>
    <w:rsid w:val="002D5DD2"/>
    <w:rsid w:val="002F1F82"/>
    <w:rsid w:val="002F6D42"/>
    <w:rsid w:val="00323882"/>
    <w:rsid w:val="00342EAE"/>
    <w:rsid w:val="00361C27"/>
    <w:rsid w:val="00364E84"/>
    <w:rsid w:val="0038214A"/>
    <w:rsid w:val="00392DB5"/>
    <w:rsid w:val="003972C4"/>
    <w:rsid w:val="003A528E"/>
    <w:rsid w:val="004140D6"/>
    <w:rsid w:val="00426373"/>
    <w:rsid w:val="004320B5"/>
    <w:rsid w:val="00485710"/>
    <w:rsid w:val="004A668D"/>
    <w:rsid w:val="004B0BD7"/>
    <w:rsid w:val="004E60D0"/>
    <w:rsid w:val="004F7D74"/>
    <w:rsid w:val="005128D4"/>
    <w:rsid w:val="00517A5C"/>
    <w:rsid w:val="005266B5"/>
    <w:rsid w:val="00530237"/>
    <w:rsid w:val="00530E8A"/>
    <w:rsid w:val="00552202"/>
    <w:rsid w:val="00556677"/>
    <w:rsid w:val="00571D76"/>
    <w:rsid w:val="00583F08"/>
    <w:rsid w:val="0058679C"/>
    <w:rsid w:val="00586A8E"/>
    <w:rsid w:val="00596EC5"/>
    <w:rsid w:val="005B1C37"/>
    <w:rsid w:val="005D59FB"/>
    <w:rsid w:val="005E11FD"/>
    <w:rsid w:val="00642982"/>
    <w:rsid w:val="00666CB1"/>
    <w:rsid w:val="0069545A"/>
    <w:rsid w:val="006A2297"/>
    <w:rsid w:val="006D6E9B"/>
    <w:rsid w:val="00703039"/>
    <w:rsid w:val="00706F81"/>
    <w:rsid w:val="0073202F"/>
    <w:rsid w:val="007532F4"/>
    <w:rsid w:val="0076128C"/>
    <w:rsid w:val="00762C13"/>
    <w:rsid w:val="007663B9"/>
    <w:rsid w:val="00776DC1"/>
    <w:rsid w:val="00787D9B"/>
    <w:rsid w:val="007B5EB8"/>
    <w:rsid w:val="007B6733"/>
    <w:rsid w:val="007D4661"/>
    <w:rsid w:val="007D503D"/>
    <w:rsid w:val="007E1F9B"/>
    <w:rsid w:val="007E7039"/>
    <w:rsid w:val="008301FF"/>
    <w:rsid w:val="00830CA9"/>
    <w:rsid w:val="00832C8D"/>
    <w:rsid w:val="0084150E"/>
    <w:rsid w:val="00852087"/>
    <w:rsid w:val="00873BE1"/>
    <w:rsid w:val="00884676"/>
    <w:rsid w:val="008B252F"/>
    <w:rsid w:val="00935511"/>
    <w:rsid w:val="00936F16"/>
    <w:rsid w:val="00967B25"/>
    <w:rsid w:val="00983FC6"/>
    <w:rsid w:val="009D7DCC"/>
    <w:rsid w:val="009F0D9B"/>
    <w:rsid w:val="00A4504A"/>
    <w:rsid w:val="00A56001"/>
    <w:rsid w:val="00A63FA0"/>
    <w:rsid w:val="00A671AC"/>
    <w:rsid w:val="00AC7DB5"/>
    <w:rsid w:val="00AE18CF"/>
    <w:rsid w:val="00B17B03"/>
    <w:rsid w:val="00B23533"/>
    <w:rsid w:val="00B23AA3"/>
    <w:rsid w:val="00B37C71"/>
    <w:rsid w:val="00B51D99"/>
    <w:rsid w:val="00B5245D"/>
    <w:rsid w:val="00B60B5C"/>
    <w:rsid w:val="00B62FB1"/>
    <w:rsid w:val="00B9109C"/>
    <w:rsid w:val="00BA3D56"/>
    <w:rsid w:val="00BA3D94"/>
    <w:rsid w:val="00BB248C"/>
    <w:rsid w:val="00BC5A38"/>
    <w:rsid w:val="00BD3E33"/>
    <w:rsid w:val="00C02747"/>
    <w:rsid w:val="00C04C50"/>
    <w:rsid w:val="00C27B1E"/>
    <w:rsid w:val="00C425D9"/>
    <w:rsid w:val="00C4408B"/>
    <w:rsid w:val="00C74303"/>
    <w:rsid w:val="00CC0958"/>
    <w:rsid w:val="00CC5555"/>
    <w:rsid w:val="00CD3DB2"/>
    <w:rsid w:val="00CE1DF3"/>
    <w:rsid w:val="00D10B27"/>
    <w:rsid w:val="00D351E9"/>
    <w:rsid w:val="00D40B84"/>
    <w:rsid w:val="00D50EF5"/>
    <w:rsid w:val="00D664B5"/>
    <w:rsid w:val="00D73E88"/>
    <w:rsid w:val="00D8635C"/>
    <w:rsid w:val="00DA1A8D"/>
    <w:rsid w:val="00DA5E37"/>
    <w:rsid w:val="00DC1A01"/>
    <w:rsid w:val="00DC6D36"/>
    <w:rsid w:val="00DE0576"/>
    <w:rsid w:val="00DE5069"/>
    <w:rsid w:val="00DF089F"/>
    <w:rsid w:val="00DF4227"/>
    <w:rsid w:val="00E236C0"/>
    <w:rsid w:val="00E46BD7"/>
    <w:rsid w:val="00E621FF"/>
    <w:rsid w:val="00E90950"/>
    <w:rsid w:val="00E94145"/>
    <w:rsid w:val="00ED19E4"/>
    <w:rsid w:val="00EE4967"/>
    <w:rsid w:val="00F16F09"/>
    <w:rsid w:val="00F60872"/>
    <w:rsid w:val="00FB4225"/>
    <w:rsid w:val="00FC0768"/>
    <w:rsid w:val="00FC39D5"/>
    <w:rsid w:val="00FC61EC"/>
    <w:rsid w:val="00FD4F86"/>
    <w:rsid w:val="00FD6ACA"/>
    <w:rsid w:val="00FF43BA"/>
    <w:rsid w:val="021F19F0"/>
    <w:rsid w:val="022E73B0"/>
    <w:rsid w:val="023B2AAD"/>
    <w:rsid w:val="02867176"/>
    <w:rsid w:val="03E75AD6"/>
    <w:rsid w:val="03FE1D22"/>
    <w:rsid w:val="0512502C"/>
    <w:rsid w:val="05161AD5"/>
    <w:rsid w:val="05513BE7"/>
    <w:rsid w:val="058A141A"/>
    <w:rsid w:val="072C394E"/>
    <w:rsid w:val="07E94E10"/>
    <w:rsid w:val="083E11BD"/>
    <w:rsid w:val="08A40A11"/>
    <w:rsid w:val="08C549C9"/>
    <w:rsid w:val="0A421FEC"/>
    <w:rsid w:val="0A4A7B5A"/>
    <w:rsid w:val="0AAD112B"/>
    <w:rsid w:val="0ABB3D24"/>
    <w:rsid w:val="0B701E9D"/>
    <w:rsid w:val="0BF85960"/>
    <w:rsid w:val="0C1209CB"/>
    <w:rsid w:val="0C3C6854"/>
    <w:rsid w:val="0C9E13CD"/>
    <w:rsid w:val="0CE7550F"/>
    <w:rsid w:val="0D1A533C"/>
    <w:rsid w:val="0D310C89"/>
    <w:rsid w:val="0E092C75"/>
    <w:rsid w:val="0E3177FA"/>
    <w:rsid w:val="0F0B488C"/>
    <w:rsid w:val="0F6A6DCC"/>
    <w:rsid w:val="100F4D7D"/>
    <w:rsid w:val="10640883"/>
    <w:rsid w:val="10733BAB"/>
    <w:rsid w:val="1087099A"/>
    <w:rsid w:val="10E15B02"/>
    <w:rsid w:val="11B07801"/>
    <w:rsid w:val="12016582"/>
    <w:rsid w:val="122D6359"/>
    <w:rsid w:val="1334547E"/>
    <w:rsid w:val="139E0E1B"/>
    <w:rsid w:val="14291AAA"/>
    <w:rsid w:val="144009CC"/>
    <w:rsid w:val="148D00CE"/>
    <w:rsid w:val="1518015B"/>
    <w:rsid w:val="154B3126"/>
    <w:rsid w:val="1565226D"/>
    <w:rsid w:val="16163D55"/>
    <w:rsid w:val="1652210C"/>
    <w:rsid w:val="16615526"/>
    <w:rsid w:val="169A52CE"/>
    <w:rsid w:val="16E93991"/>
    <w:rsid w:val="171B53AB"/>
    <w:rsid w:val="172F2734"/>
    <w:rsid w:val="17994C06"/>
    <w:rsid w:val="18226C6D"/>
    <w:rsid w:val="187B39D5"/>
    <w:rsid w:val="19AC0C5A"/>
    <w:rsid w:val="19FD1115"/>
    <w:rsid w:val="1A2716D0"/>
    <w:rsid w:val="1A2D0A1C"/>
    <w:rsid w:val="1A343B69"/>
    <w:rsid w:val="1A3E2DF5"/>
    <w:rsid w:val="1A7C35E1"/>
    <w:rsid w:val="1AE04D83"/>
    <w:rsid w:val="1AE2260B"/>
    <w:rsid w:val="1B143DF0"/>
    <w:rsid w:val="1BE6165C"/>
    <w:rsid w:val="1BE912CA"/>
    <w:rsid w:val="1C3D6511"/>
    <w:rsid w:val="1E5C4679"/>
    <w:rsid w:val="1E774A5F"/>
    <w:rsid w:val="1ECF77CC"/>
    <w:rsid w:val="1EF240AB"/>
    <w:rsid w:val="1F5053A9"/>
    <w:rsid w:val="1F92365F"/>
    <w:rsid w:val="20007918"/>
    <w:rsid w:val="204F333E"/>
    <w:rsid w:val="2194441D"/>
    <w:rsid w:val="21DB3251"/>
    <w:rsid w:val="22983829"/>
    <w:rsid w:val="237C7B6F"/>
    <w:rsid w:val="23921496"/>
    <w:rsid w:val="23AA30A1"/>
    <w:rsid w:val="243B4AD7"/>
    <w:rsid w:val="24422C3A"/>
    <w:rsid w:val="248F566D"/>
    <w:rsid w:val="24BD634D"/>
    <w:rsid w:val="24BF274B"/>
    <w:rsid w:val="252720C1"/>
    <w:rsid w:val="253F37C9"/>
    <w:rsid w:val="256646EA"/>
    <w:rsid w:val="25C824A7"/>
    <w:rsid w:val="284210BA"/>
    <w:rsid w:val="28720670"/>
    <w:rsid w:val="293F5F33"/>
    <w:rsid w:val="2A5276F4"/>
    <w:rsid w:val="2B0C34F4"/>
    <w:rsid w:val="2B1969A6"/>
    <w:rsid w:val="2BDF19FB"/>
    <w:rsid w:val="2BDF31D5"/>
    <w:rsid w:val="2C1E1160"/>
    <w:rsid w:val="2C9B7F25"/>
    <w:rsid w:val="2D103CBE"/>
    <w:rsid w:val="2D1B7991"/>
    <w:rsid w:val="2D1C3F06"/>
    <w:rsid w:val="2D597028"/>
    <w:rsid w:val="2DD475C6"/>
    <w:rsid w:val="2E680C38"/>
    <w:rsid w:val="2F4E5817"/>
    <w:rsid w:val="2F747F35"/>
    <w:rsid w:val="2FAF276C"/>
    <w:rsid w:val="2FB92EA7"/>
    <w:rsid w:val="30357A3C"/>
    <w:rsid w:val="305566CF"/>
    <w:rsid w:val="315B1C59"/>
    <w:rsid w:val="32477439"/>
    <w:rsid w:val="32E53573"/>
    <w:rsid w:val="33B43168"/>
    <w:rsid w:val="33EE3BCD"/>
    <w:rsid w:val="33F25841"/>
    <w:rsid w:val="34320CD8"/>
    <w:rsid w:val="34826AA6"/>
    <w:rsid w:val="3596571B"/>
    <w:rsid w:val="360B03F9"/>
    <w:rsid w:val="36490753"/>
    <w:rsid w:val="36F140AA"/>
    <w:rsid w:val="37130486"/>
    <w:rsid w:val="373F4487"/>
    <w:rsid w:val="376D6C22"/>
    <w:rsid w:val="384557A2"/>
    <w:rsid w:val="38490B27"/>
    <w:rsid w:val="386A4254"/>
    <w:rsid w:val="38C72BB6"/>
    <w:rsid w:val="390C63CC"/>
    <w:rsid w:val="398212EF"/>
    <w:rsid w:val="3A0E414B"/>
    <w:rsid w:val="3A2F7DA6"/>
    <w:rsid w:val="3A646741"/>
    <w:rsid w:val="3B331152"/>
    <w:rsid w:val="3B5A0904"/>
    <w:rsid w:val="3BC96405"/>
    <w:rsid w:val="3BCF180E"/>
    <w:rsid w:val="3BD26DB2"/>
    <w:rsid w:val="3BE564EB"/>
    <w:rsid w:val="3C650E53"/>
    <w:rsid w:val="3C9D0E21"/>
    <w:rsid w:val="3C9E0428"/>
    <w:rsid w:val="3CA5463F"/>
    <w:rsid w:val="3D5F2D37"/>
    <w:rsid w:val="3DBC488A"/>
    <w:rsid w:val="3ED54B18"/>
    <w:rsid w:val="3F1F55A6"/>
    <w:rsid w:val="3FD86C9A"/>
    <w:rsid w:val="3FD95080"/>
    <w:rsid w:val="3FE45680"/>
    <w:rsid w:val="406F7717"/>
    <w:rsid w:val="40787DA0"/>
    <w:rsid w:val="408D58CD"/>
    <w:rsid w:val="418C29B5"/>
    <w:rsid w:val="41AF0761"/>
    <w:rsid w:val="41D13A4A"/>
    <w:rsid w:val="427B040D"/>
    <w:rsid w:val="42B21FB1"/>
    <w:rsid w:val="42DC323B"/>
    <w:rsid w:val="430B58D7"/>
    <w:rsid w:val="434B068D"/>
    <w:rsid w:val="436F03CF"/>
    <w:rsid w:val="437339B0"/>
    <w:rsid w:val="438E2578"/>
    <w:rsid w:val="44127266"/>
    <w:rsid w:val="44AE0212"/>
    <w:rsid w:val="456C7FCC"/>
    <w:rsid w:val="458B2C88"/>
    <w:rsid w:val="45912351"/>
    <w:rsid w:val="45EB1FAA"/>
    <w:rsid w:val="46157FC6"/>
    <w:rsid w:val="46C144D1"/>
    <w:rsid w:val="46EF71F3"/>
    <w:rsid w:val="47824710"/>
    <w:rsid w:val="47934333"/>
    <w:rsid w:val="47E0648E"/>
    <w:rsid w:val="48671A80"/>
    <w:rsid w:val="48710E0D"/>
    <w:rsid w:val="489565B3"/>
    <w:rsid w:val="4A364A7D"/>
    <w:rsid w:val="4A505E79"/>
    <w:rsid w:val="4AF91215"/>
    <w:rsid w:val="4B9C6D07"/>
    <w:rsid w:val="4BAB5A6C"/>
    <w:rsid w:val="4C2B3324"/>
    <w:rsid w:val="4D796ED9"/>
    <w:rsid w:val="4DA62712"/>
    <w:rsid w:val="4DB00400"/>
    <w:rsid w:val="4DD4222A"/>
    <w:rsid w:val="4DE9612E"/>
    <w:rsid w:val="4E450AD9"/>
    <w:rsid w:val="4E463507"/>
    <w:rsid w:val="4E7001F3"/>
    <w:rsid w:val="4EBF2565"/>
    <w:rsid w:val="4ECB7DF8"/>
    <w:rsid w:val="4F4232B8"/>
    <w:rsid w:val="4F4C3FB7"/>
    <w:rsid w:val="50B71FE2"/>
    <w:rsid w:val="51A71ED1"/>
    <w:rsid w:val="52294E87"/>
    <w:rsid w:val="53006C8B"/>
    <w:rsid w:val="53641BD2"/>
    <w:rsid w:val="5385728B"/>
    <w:rsid w:val="549C49E4"/>
    <w:rsid w:val="553D434C"/>
    <w:rsid w:val="565B535E"/>
    <w:rsid w:val="56E74A44"/>
    <w:rsid w:val="58507E34"/>
    <w:rsid w:val="59B12AF9"/>
    <w:rsid w:val="5A020C13"/>
    <w:rsid w:val="5A507EB3"/>
    <w:rsid w:val="5B0F0497"/>
    <w:rsid w:val="5B2E0875"/>
    <w:rsid w:val="5B5A4671"/>
    <w:rsid w:val="5C4C054F"/>
    <w:rsid w:val="5D5432B2"/>
    <w:rsid w:val="5D73079F"/>
    <w:rsid w:val="5E1D3741"/>
    <w:rsid w:val="5E45460D"/>
    <w:rsid w:val="5EAA2D52"/>
    <w:rsid w:val="5ECC2400"/>
    <w:rsid w:val="5EDF724C"/>
    <w:rsid w:val="5FBC2A6B"/>
    <w:rsid w:val="60795A64"/>
    <w:rsid w:val="61126951"/>
    <w:rsid w:val="61893871"/>
    <w:rsid w:val="61931644"/>
    <w:rsid w:val="61BB36CC"/>
    <w:rsid w:val="62A33287"/>
    <w:rsid w:val="63CB1A8B"/>
    <w:rsid w:val="641758C8"/>
    <w:rsid w:val="6520677F"/>
    <w:rsid w:val="654C4398"/>
    <w:rsid w:val="65705714"/>
    <w:rsid w:val="66596FF2"/>
    <w:rsid w:val="67B17439"/>
    <w:rsid w:val="68482460"/>
    <w:rsid w:val="693A47E9"/>
    <w:rsid w:val="69855891"/>
    <w:rsid w:val="69C779BF"/>
    <w:rsid w:val="6A3A451D"/>
    <w:rsid w:val="6A5529D9"/>
    <w:rsid w:val="6AA2717A"/>
    <w:rsid w:val="6BB42046"/>
    <w:rsid w:val="6C4253E6"/>
    <w:rsid w:val="6C6B7621"/>
    <w:rsid w:val="6C832144"/>
    <w:rsid w:val="6CD17BA7"/>
    <w:rsid w:val="6D4A3EB5"/>
    <w:rsid w:val="6D614388"/>
    <w:rsid w:val="6DBC4C0A"/>
    <w:rsid w:val="6EA06A8B"/>
    <w:rsid w:val="6F054B53"/>
    <w:rsid w:val="6F1524F6"/>
    <w:rsid w:val="6F2D2C14"/>
    <w:rsid w:val="6F48016B"/>
    <w:rsid w:val="70B0102E"/>
    <w:rsid w:val="70B62A54"/>
    <w:rsid w:val="70CC31C9"/>
    <w:rsid w:val="713D2F78"/>
    <w:rsid w:val="725F0C6D"/>
    <w:rsid w:val="72F40DD5"/>
    <w:rsid w:val="73D013A3"/>
    <w:rsid w:val="74084278"/>
    <w:rsid w:val="74956897"/>
    <w:rsid w:val="759E5296"/>
    <w:rsid w:val="75A8304B"/>
    <w:rsid w:val="75DE7DB7"/>
    <w:rsid w:val="75FC5C71"/>
    <w:rsid w:val="76E10138"/>
    <w:rsid w:val="77523A54"/>
    <w:rsid w:val="779F151E"/>
    <w:rsid w:val="77A85EA1"/>
    <w:rsid w:val="783B2401"/>
    <w:rsid w:val="786C2509"/>
    <w:rsid w:val="790C366B"/>
    <w:rsid w:val="79DA108C"/>
    <w:rsid w:val="7A667151"/>
    <w:rsid w:val="7A6C0D99"/>
    <w:rsid w:val="7B4E7DC1"/>
    <w:rsid w:val="7C16258F"/>
    <w:rsid w:val="7C411BBD"/>
    <w:rsid w:val="7C9A3546"/>
    <w:rsid w:val="7CCF0B56"/>
    <w:rsid w:val="7CFC3F0D"/>
    <w:rsid w:val="7D200392"/>
    <w:rsid w:val="7DC93D8E"/>
    <w:rsid w:val="7E8D1816"/>
    <w:rsid w:val="7ECF6420"/>
    <w:rsid w:val="7EDE3BB9"/>
    <w:rsid w:val="7F665DE5"/>
    <w:rsid w:val="7FB34F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textAlignment w:val="baseline"/>
    </w:pPr>
    <w:rPr>
      <w:rFonts w:ascii="Times New Roman" w:hAnsi="Times New Roman" w:eastAsia="宋体" w:cs="Times New Roman"/>
      <w:sz w:val="24"/>
      <w:lang w:val="en-US" w:eastAsia="zh-CN" w:bidi="ar-SA"/>
    </w:rPr>
  </w:style>
  <w:style w:type="paragraph" w:styleId="3">
    <w:name w:val="heading 1"/>
    <w:basedOn w:val="1"/>
    <w:next w:val="1"/>
    <w:link w:val="51"/>
    <w:qFormat/>
    <w:uiPriority w:val="0"/>
    <w:pPr>
      <w:keepNext/>
      <w:keepLines/>
      <w:tabs>
        <w:tab w:val="left" w:pos="0"/>
      </w:tabs>
      <w:spacing w:before="340" w:after="330" w:line="578" w:lineRule="atLeast"/>
      <w:outlineLvl w:val="0"/>
    </w:pPr>
    <w:rPr>
      <w:b/>
      <w:bCs/>
      <w:kern w:val="44"/>
      <w:sz w:val="44"/>
      <w:szCs w:val="44"/>
    </w:rPr>
  </w:style>
  <w:style w:type="paragraph" w:styleId="4">
    <w:name w:val="heading 2"/>
    <w:basedOn w:val="1"/>
    <w:next w:val="5"/>
    <w:link w:val="163"/>
    <w:qFormat/>
    <w:uiPriority w:val="0"/>
    <w:pPr>
      <w:keepNext/>
      <w:keepLines/>
      <w:widowControl/>
      <w:spacing w:before="260" w:after="260" w:line="416" w:lineRule="atLeast"/>
      <w:outlineLvl w:val="1"/>
    </w:pPr>
    <w:rPr>
      <w:rFonts w:ascii="Arial" w:hAnsi="Arial" w:eastAsia="黑体"/>
      <w:b/>
      <w:bCs/>
      <w:sz w:val="32"/>
      <w:szCs w:val="32"/>
    </w:rPr>
  </w:style>
  <w:style w:type="paragraph" w:styleId="6">
    <w:name w:val="heading 3"/>
    <w:basedOn w:val="1"/>
    <w:next w:val="1"/>
    <w:qFormat/>
    <w:uiPriority w:val="0"/>
    <w:pPr>
      <w:keepNext/>
      <w:keepLines/>
      <w:spacing w:before="260" w:after="260" w:line="416" w:lineRule="atLeast"/>
      <w:outlineLvl w:val="2"/>
    </w:pPr>
    <w:rPr>
      <w:b/>
      <w:bCs/>
      <w:sz w:val="32"/>
      <w:szCs w:val="32"/>
    </w:rPr>
  </w:style>
  <w:style w:type="paragraph" w:styleId="7">
    <w:name w:val="heading 4"/>
    <w:basedOn w:val="1"/>
    <w:next w:val="1"/>
    <w:qFormat/>
    <w:uiPriority w:val="0"/>
    <w:pPr>
      <w:keepNext/>
      <w:keepLines/>
      <w:spacing w:before="280" w:after="290" w:line="376" w:lineRule="atLeast"/>
      <w:outlineLvl w:val="3"/>
    </w:pPr>
    <w:rPr>
      <w:rFonts w:ascii="Arial" w:hAnsi="Arial" w:eastAsia="黑体"/>
      <w:b/>
      <w:bCs/>
      <w:sz w:val="28"/>
      <w:szCs w:val="28"/>
    </w:rPr>
  </w:style>
  <w:style w:type="paragraph" w:styleId="8">
    <w:name w:val="heading 5"/>
    <w:basedOn w:val="1"/>
    <w:next w:val="1"/>
    <w:qFormat/>
    <w:uiPriority w:val="0"/>
    <w:pPr>
      <w:keepNext/>
      <w:keepLines/>
      <w:spacing w:before="280" w:after="290" w:line="376" w:lineRule="atLeast"/>
      <w:outlineLvl w:val="4"/>
    </w:pPr>
    <w:rPr>
      <w:b/>
      <w:bCs/>
      <w:sz w:val="28"/>
      <w:szCs w:val="28"/>
    </w:rPr>
  </w:style>
  <w:style w:type="paragraph" w:styleId="9">
    <w:name w:val="heading 6"/>
    <w:basedOn w:val="1"/>
    <w:next w:val="1"/>
    <w:qFormat/>
    <w:uiPriority w:val="0"/>
    <w:pPr>
      <w:keepNext/>
      <w:keepLines/>
      <w:spacing w:before="240" w:after="64" w:line="320" w:lineRule="atLeast"/>
      <w:outlineLvl w:val="5"/>
    </w:pPr>
    <w:rPr>
      <w:rFonts w:ascii="Arial" w:hAnsi="Arial" w:eastAsia="黑体"/>
      <w:b/>
      <w:bCs/>
      <w:szCs w:val="24"/>
    </w:rPr>
  </w:style>
  <w:style w:type="paragraph" w:styleId="10">
    <w:name w:val="heading 7"/>
    <w:basedOn w:val="1"/>
    <w:next w:val="1"/>
    <w:qFormat/>
    <w:uiPriority w:val="0"/>
    <w:pPr>
      <w:keepNext/>
      <w:keepLines/>
      <w:spacing w:before="240" w:after="64" w:line="320" w:lineRule="atLeast"/>
      <w:outlineLvl w:val="6"/>
    </w:pPr>
    <w:rPr>
      <w:b/>
      <w:bCs/>
      <w:szCs w:val="24"/>
    </w:rPr>
  </w:style>
  <w:style w:type="paragraph" w:styleId="11">
    <w:name w:val="heading 8"/>
    <w:basedOn w:val="1"/>
    <w:next w:val="1"/>
    <w:qFormat/>
    <w:uiPriority w:val="0"/>
    <w:pPr>
      <w:keepNext/>
      <w:keepLines/>
      <w:spacing w:before="240" w:after="64" w:line="320" w:lineRule="atLeast"/>
      <w:outlineLvl w:val="7"/>
    </w:pPr>
    <w:rPr>
      <w:rFonts w:ascii="Arial" w:hAnsi="Arial" w:eastAsia="黑体"/>
      <w:szCs w:val="24"/>
    </w:rPr>
  </w:style>
  <w:style w:type="paragraph" w:styleId="12">
    <w:name w:val="heading 9"/>
    <w:basedOn w:val="1"/>
    <w:next w:val="1"/>
    <w:qFormat/>
    <w:uiPriority w:val="0"/>
    <w:pPr>
      <w:keepNext/>
      <w:keepLines/>
      <w:spacing w:before="240" w:after="64" w:line="320" w:lineRule="atLeast"/>
      <w:outlineLvl w:val="8"/>
    </w:pPr>
    <w:rPr>
      <w:rFonts w:ascii="Arial" w:hAnsi="Arial" w:eastAsia="黑体"/>
      <w:sz w:val="21"/>
      <w:szCs w:val="21"/>
    </w:rPr>
  </w:style>
  <w:style w:type="character" w:default="1" w:styleId="44">
    <w:name w:val="Default Paragraph Font"/>
    <w:semiHidden/>
    <w:unhideWhenUsed/>
    <w:qFormat/>
    <w:uiPriority w:val="1"/>
  </w:style>
  <w:style w:type="table" w:default="1" w:styleId="4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162"/>
    <w:qFormat/>
    <w:uiPriority w:val="0"/>
    <w:pPr>
      <w:adjustRightInd/>
      <w:jc w:val="both"/>
      <w:textAlignment w:val="auto"/>
    </w:pPr>
    <w:rPr>
      <w:kern w:val="2"/>
      <w:sz w:val="28"/>
    </w:rPr>
  </w:style>
  <w:style w:type="paragraph" w:styleId="5">
    <w:name w:val="Normal Indent"/>
    <w:basedOn w:val="1"/>
    <w:qFormat/>
    <w:uiPriority w:val="0"/>
    <w:pPr>
      <w:ind w:firstLine="200" w:firstLineChars="200"/>
    </w:pPr>
  </w:style>
  <w:style w:type="paragraph" w:styleId="13">
    <w:name w:val="toc 7"/>
    <w:basedOn w:val="1"/>
    <w:next w:val="1"/>
    <w:qFormat/>
    <w:uiPriority w:val="0"/>
    <w:pPr>
      <w:ind w:left="1200"/>
    </w:pPr>
    <w:rPr>
      <w:sz w:val="20"/>
    </w:rPr>
  </w:style>
  <w:style w:type="paragraph" w:styleId="14">
    <w:name w:val="caption"/>
    <w:basedOn w:val="1"/>
    <w:next w:val="1"/>
    <w:qFormat/>
    <w:uiPriority w:val="0"/>
    <w:pPr>
      <w:spacing w:line="480" w:lineRule="auto"/>
    </w:pPr>
    <w:rPr>
      <w:rFonts w:ascii="华文中宋" w:eastAsia="华文中宋"/>
      <w:kern w:val="2"/>
      <w:sz w:val="36"/>
    </w:rPr>
  </w:style>
  <w:style w:type="paragraph" w:styleId="15">
    <w:name w:val="Document Map"/>
    <w:basedOn w:val="1"/>
    <w:qFormat/>
    <w:uiPriority w:val="0"/>
    <w:pPr>
      <w:shd w:val="clear" w:color="auto" w:fill="000080"/>
    </w:pPr>
  </w:style>
  <w:style w:type="paragraph" w:styleId="16">
    <w:name w:val="annotation text"/>
    <w:basedOn w:val="1"/>
    <w:qFormat/>
    <w:uiPriority w:val="0"/>
    <w:rPr>
      <w:rFonts w:ascii="Calibri" w:hAnsi="Calibri"/>
    </w:rPr>
  </w:style>
  <w:style w:type="paragraph" w:styleId="17">
    <w:name w:val="Salutation"/>
    <w:basedOn w:val="1"/>
    <w:next w:val="1"/>
    <w:qFormat/>
    <w:uiPriority w:val="0"/>
    <w:pPr>
      <w:adjustRightInd/>
      <w:ind w:firstLine="300" w:firstLineChars="300"/>
      <w:textAlignment w:val="auto"/>
    </w:pPr>
    <w:rPr>
      <w:rFonts w:ascii="宋体"/>
      <w:b/>
      <w:snapToGrid w:val="0"/>
      <w:szCs w:val="24"/>
      <w:lang w:val="en-GB" w:eastAsia="en-US"/>
    </w:rPr>
  </w:style>
  <w:style w:type="paragraph" w:styleId="18">
    <w:name w:val="Body Text 3"/>
    <w:basedOn w:val="1"/>
    <w:qFormat/>
    <w:uiPriority w:val="0"/>
    <w:pPr>
      <w:tabs>
        <w:tab w:val="left" w:pos="0"/>
      </w:tabs>
      <w:adjustRightInd/>
      <w:spacing w:after="120"/>
      <w:jc w:val="both"/>
      <w:textAlignment w:val="auto"/>
    </w:pPr>
    <w:rPr>
      <w:kern w:val="2"/>
      <w:sz w:val="16"/>
      <w:szCs w:val="16"/>
    </w:rPr>
  </w:style>
  <w:style w:type="paragraph" w:styleId="19">
    <w:name w:val="Body Text Indent"/>
    <w:basedOn w:val="1"/>
    <w:link w:val="161"/>
    <w:qFormat/>
    <w:uiPriority w:val="0"/>
    <w:pPr>
      <w:ind w:left="460" w:leftChars="460"/>
    </w:pPr>
    <w:rPr>
      <w:rFonts w:ascii="宋体"/>
      <w:szCs w:val="21"/>
    </w:rPr>
  </w:style>
  <w:style w:type="paragraph" w:styleId="20">
    <w:name w:val="toc 5"/>
    <w:basedOn w:val="1"/>
    <w:next w:val="1"/>
    <w:qFormat/>
    <w:uiPriority w:val="0"/>
    <w:pPr>
      <w:ind w:left="720"/>
    </w:pPr>
    <w:rPr>
      <w:sz w:val="20"/>
    </w:rPr>
  </w:style>
  <w:style w:type="paragraph" w:styleId="21">
    <w:name w:val="toc 3"/>
    <w:basedOn w:val="1"/>
    <w:next w:val="1"/>
    <w:qFormat/>
    <w:uiPriority w:val="0"/>
    <w:pPr>
      <w:ind w:left="240"/>
    </w:pPr>
    <w:rPr>
      <w:sz w:val="20"/>
    </w:rPr>
  </w:style>
  <w:style w:type="paragraph" w:styleId="22">
    <w:name w:val="Plain Text"/>
    <w:basedOn w:val="1"/>
    <w:qFormat/>
    <w:uiPriority w:val="0"/>
    <w:pPr>
      <w:adjustRightInd/>
      <w:jc w:val="both"/>
      <w:textAlignment w:val="auto"/>
    </w:pPr>
    <w:rPr>
      <w:rFonts w:ascii="宋体"/>
      <w:kern w:val="2"/>
      <w:sz w:val="21"/>
      <w:szCs w:val="21"/>
    </w:rPr>
  </w:style>
  <w:style w:type="paragraph" w:styleId="23">
    <w:name w:val="toc 8"/>
    <w:basedOn w:val="1"/>
    <w:next w:val="1"/>
    <w:qFormat/>
    <w:uiPriority w:val="0"/>
    <w:pPr>
      <w:ind w:left="1440"/>
    </w:pPr>
    <w:rPr>
      <w:sz w:val="20"/>
    </w:rPr>
  </w:style>
  <w:style w:type="paragraph" w:styleId="24">
    <w:name w:val="Date"/>
    <w:basedOn w:val="1"/>
    <w:next w:val="1"/>
    <w:qFormat/>
    <w:uiPriority w:val="0"/>
    <w:pPr>
      <w:adjustRightInd/>
      <w:ind w:left="2500" w:leftChars="2500"/>
      <w:jc w:val="both"/>
      <w:textAlignment w:val="auto"/>
    </w:pPr>
    <w:rPr>
      <w:kern w:val="2"/>
      <w:sz w:val="21"/>
    </w:rPr>
  </w:style>
  <w:style w:type="paragraph" w:styleId="25">
    <w:name w:val="Body Text Indent 2"/>
    <w:basedOn w:val="1"/>
    <w:next w:val="16"/>
    <w:qFormat/>
    <w:uiPriority w:val="0"/>
    <w:pPr>
      <w:ind w:firstLine="200" w:firstLineChars="200"/>
      <w:jc w:val="both"/>
    </w:pPr>
    <w:rPr>
      <w:szCs w:val="21"/>
    </w:rPr>
  </w:style>
  <w:style w:type="paragraph" w:styleId="26">
    <w:name w:val="Balloon Text"/>
    <w:basedOn w:val="1"/>
    <w:qFormat/>
    <w:uiPriority w:val="0"/>
    <w:rPr>
      <w:sz w:val="18"/>
      <w:szCs w:val="18"/>
    </w:rPr>
  </w:style>
  <w:style w:type="paragraph" w:styleId="27">
    <w:name w:val="footer"/>
    <w:basedOn w:val="1"/>
    <w:qFormat/>
    <w:uiPriority w:val="0"/>
    <w:pPr>
      <w:tabs>
        <w:tab w:val="center" w:pos="4153"/>
        <w:tab w:val="right" w:pos="8306"/>
      </w:tabs>
      <w:spacing w:line="240" w:lineRule="atLeast"/>
    </w:pPr>
    <w:rPr>
      <w:sz w:val="18"/>
    </w:rPr>
  </w:style>
  <w:style w:type="paragraph" w:styleId="28">
    <w:name w:val="header"/>
    <w:basedOn w:val="1"/>
    <w:next w:val="2"/>
    <w:qFormat/>
    <w:uiPriority w:val="0"/>
    <w:pPr>
      <w:pBdr>
        <w:bottom w:val="single" w:color="auto" w:sz="6" w:space="1"/>
      </w:pBdr>
      <w:tabs>
        <w:tab w:val="center" w:pos="4153"/>
        <w:tab w:val="right" w:pos="8306"/>
      </w:tabs>
      <w:spacing w:line="240" w:lineRule="atLeast"/>
      <w:jc w:val="center"/>
    </w:pPr>
    <w:rPr>
      <w:sz w:val="18"/>
    </w:rPr>
  </w:style>
  <w:style w:type="paragraph" w:styleId="29">
    <w:name w:val="toc 1"/>
    <w:basedOn w:val="1"/>
    <w:next w:val="1"/>
    <w:qFormat/>
    <w:uiPriority w:val="39"/>
    <w:pPr>
      <w:spacing w:before="360"/>
    </w:pPr>
    <w:rPr>
      <w:rFonts w:ascii="Arial" w:hAnsi="Arial" w:cs="Arial"/>
      <w:b/>
      <w:bCs/>
      <w:caps/>
      <w:szCs w:val="24"/>
    </w:rPr>
  </w:style>
  <w:style w:type="paragraph" w:styleId="30">
    <w:name w:val="toc 4"/>
    <w:basedOn w:val="1"/>
    <w:next w:val="1"/>
    <w:qFormat/>
    <w:uiPriority w:val="0"/>
    <w:pPr>
      <w:ind w:left="480"/>
    </w:pPr>
    <w:rPr>
      <w:sz w:val="20"/>
    </w:rPr>
  </w:style>
  <w:style w:type="paragraph" w:styleId="31">
    <w:name w:val="List"/>
    <w:basedOn w:val="1"/>
    <w:qFormat/>
    <w:uiPriority w:val="0"/>
    <w:pPr>
      <w:adjustRightInd/>
      <w:ind w:left="420" w:hanging="420"/>
      <w:jc w:val="both"/>
      <w:textAlignment w:val="auto"/>
    </w:pPr>
    <w:rPr>
      <w:rFonts w:ascii="Calibri" w:hAnsi="Calibri"/>
      <w:kern w:val="2"/>
      <w:sz w:val="21"/>
    </w:rPr>
  </w:style>
  <w:style w:type="paragraph" w:styleId="32">
    <w:name w:val="toc 6"/>
    <w:basedOn w:val="1"/>
    <w:next w:val="1"/>
    <w:qFormat/>
    <w:uiPriority w:val="0"/>
    <w:pPr>
      <w:ind w:left="960"/>
    </w:pPr>
    <w:rPr>
      <w:sz w:val="20"/>
    </w:rPr>
  </w:style>
  <w:style w:type="paragraph" w:styleId="33">
    <w:name w:val="Body Text Indent 3"/>
    <w:basedOn w:val="1"/>
    <w:qFormat/>
    <w:uiPriority w:val="0"/>
    <w:pPr>
      <w:ind w:firstLine="570"/>
    </w:pPr>
    <w:rPr>
      <w:sz w:val="28"/>
    </w:rPr>
  </w:style>
  <w:style w:type="paragraph" w:styleId="34">
    <w:name w:val="toc 2"/>
    <w:basedOn w:val="1"/>
    <w:next w:val="1"/>
    <w:qFormat/>
    <w:uiPriority w:val="0"/>
    <w:pPr>
      <w:spacing w:before="240"/>
    </w:pPr>
    <w:rPr>
      <w:b/>
      <w:bCs/>
      <w:sz w:val="20"/>
    </w:rPr>
  </w:style>
  <w:style w:type="paragraph" w:styleId="35">
    <w:name w:val="toc 9"/>
    <w:basedOn w:val="1"/>
    <w:next w:val="1"/>
    <w:qFormat/>
    <w:uiPriority w:val="0"/>
    <w:pPr>
      <w:ind w:left="1680"/>
    </w:pPr>
    <w:rPr>
      <w:sz w:val="20"/>
    </w:rPr>
  </w:style>
  <w:style w:type="paragraph" w:styleId="36">
    <w:name w:val="Body Text 2"/>
    <w:basedOn w:val="1"/>
    <w:qFormat/>
    <w:uiPriority w:val="0"/>
    <w:pPr>
      <w:spacing w:after="120" w:line="480" w:lineRule="auto"/>
    </w:pPr>
  </w:style>
  <w:style w:type="paragraph" w:styleId="37">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textAlignment w:val="auto"/>
    </w:pPr>
    <w:rPr>
      <w:rFonts w:ascii="宋体" w:cs="宋体"/>
      <w:szCs w:val="24"/>
    </w:rPr>
  </w:style>
  <w:style w:type="paragraph" w:styleId="38">
    <w:name w:val="Normal (Web)"/>
    <w:basedOn w:val="1"/>
    <w:qFormat/>
    <w:uiPriority w:val="0"/>
    <w:pPr>
      <w:widowControl/>
      <w:adjustRightInd/>
      <w:spacing w:before="100" w:beforeAutospacing="1" w:after="100" w:afterAutospacing="1"/>
      <w:textAlignment w:val="auto"/>
    </w:pPr>
    <w:rPr>
      <w:rFonts w:ascii="宋体"/>
      <w:szCs w:val="24"/>
      <w:lang w:eastAsia="en-US"/>
    </w:rPr>
  </w:style>
  <w:style w:type="paragraph" w:styleId="39">
    <w:name w:val="index 1"/>
    <w:basedOn w:val="1"/>
    <w:next w:val="1"/>
    <w:qFormat/>
    <w:uiPriority w:val="0"/>
    <w:pPr>
      <w:adjustRightInd/>
      <w:snapToGrid w:val="0"/>
      <w:jc w:val="both"/>
      <w:textAlignment w:val="auto"/>
    </w:pPr>
    <w:rPr>
      <w:kern w:val="2"/>
      <w:sz w:val="21"/>
      <w:szCs w:val="21"/>
    </w:rPr>
  </w:style>
  <w:style w:type="paragraph" w:styleId="40">
    <w:name w:val="Title"/>
    <w:basedOn w:val="1"/>
    <w:qFormat/>
    <w:uiPriority w:val="0"/>
    <w:pPr>
      <w:tabs>
        <w:tab w:val="left" w:pos="0"/>
      </w:tabs>
      <w:adjustRightInd/>
      <w:ind w:left="-25"/>
      <w:jc w:val="center"/>
      <w:textAlignment w:val="auto"/>
      <w:outlineLvl w:val="0"/>
    </w:pPr>
    <w:rPr>
      <w:b/>
      <w:kern w:val="2"/>
      <w:sz w:val="32"/>
    </w:rPr>
  </w:style>
  <w:style w:type="paragraph" w:styleId="41">
    <w:name w:val="annotation subject"/>
    <w:basedOn w:val="16"/>
    <w:next w:val="16"/>
    <w:qFormat/>
    <w:uiPriority w:val="0"/>
    <w:rPr>
      <w:b/>
      <w:bCs/>
    </w:rPr>
  </w:style>
  <w:style w:type="table" w:styleId="43">
    <w:name w:val="Table Grid"/>
    <w:basedOn w:val="4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5">
    <w:name w:val="Strong"/>
    <w:qFormat/>
    <w:uiPriority w:val="0"/>
    <w:rPr>
      <w:b/>
      <w:bCs/>
    </w:rPr>
  </w:style>
  <w:style w:type="character" w:styleId="46">
    <w:name w:val="page number"/>
    <w:basedOn w:val="44"/>
    <w:qFormat/>
    <w:uiPriority w:val="0"/>
  </w:style>
  <w:style w:type="character" w:styleId="47">
    <w:name w:val="FollowedHyperlink"/>
    <w:qFormat/>
    <w:uiPriority w:val="0"/>
    <w:rPr>
      <w:color w:val="800080"/>
      <w:u w:val="single"/>
    </w:rPr>
  </w:style>
  <w:style w:type="character" w:styleId="48">
    <w:name w:val="Hyperlink"/>
    <w:qFormat/>
    <w:uiPriority w:val="99"/>
    <w:rPr>
      <w:color w:val="0000FF"/>
      <w:u w:val="single"/>
    </w:rPr>
  </w:style>
  <w:style w:type="character" w:styleId="49">
    <w:name w:val="annotation reference"/>
    <w:qFormat/>
    <w:uiPriority w:val="0"/>
    <w:rPr>
      <w:sz w:val="21"/>
      <w:szCs w:val="21"/>
    </w:rPr>
  </w:style>
  <w:style w:type="paragraph" w:customStyle="1" w:styleId="50">
    <w:name w:val="TOC 标题1"/>
    <w:basedOn w:val="3"/>
    <w:next w:val="1"/>
    <w:unhideWhenUsed/>
    <w:qFormat/>
    <w:uiPriority w:val="39"/>
    <w:pPr>
      <w:widowControl/>
      <w:spacing w:before="480" w:after="0" w:line="276" w:lineRule="auto"/>
      <w:outlineLvl w:val="9"/>
    </w:pPr>
    <w:rPr>
      <w:rFonts w:ascii="Cambria" w:hAnsi="Cambria"/>
      <w:color w:val="365F91"/>
      <w:kern w:val="0"/>
      <w:sz w:val="28"/>
      <w:szCs w:val="28"/>
    </w:rPr>
  </w:style>
  <w:style w:type="character" w:customStyle="1" w:styleId="51">
    <w:name w:val="标题 1 字符"/>
    <w:link w:val="3"/>
    <w:qFormat/>
    <w:uiPriority w:val="0"/>
    <w:rPr>
      <w:b/>
      <w:bCs/>
      <w:kern w:val="44"/>
      <w:sz w:val="44"/>
      <w:szCs w:val="44"/>
    </w:rPr>
  </w:style>
  <w:style w:type="character" w:customStyle="1" w:styleId="52">
    <w:name w:val="称呼 Char1"/>
    <w:qFormat/>
    <w:uiPriority w:val="0"/>
    <w:rPr>
      <w:sz w:val="24"/>
    </w:rPr>
  </w:style>
  <w:style w:type="character" w:customStyle="1" w:styleId="53">
    <w:name w:val="批注文字 Char"/>
    <w:qFormat/>
    <w:uiPriority w:val="0"/>
    <w:rPr>
      <w:rFonts w:ascii="Calibri" w:hAnsi="Calibri" w:eastAsia="宋体"/>
      <w:sz w:val="24"/>
    </w:rPr>
  </w:style>
  <w:style w:type="character" w:customStyle="1" w:styleId="54">
    <w:name w:val="c21"/>
    <w:qFormat/>
    <w:uiPriority w:val="0"/>
    <w:rPr>
      <w:rFonts w:ascii="ˎ̥" w:hAnsi="ˎ̥"/>
      <w:color w:val="000000"/>
      <w:sz w:val="20"/>
      <w:szCs w:val="20"/>
      <w:u w:val="none"/>
    </w:rPr>
  </w:style>
  <w:style w:type="character" w:customStyle="1" w:styleId="55">
    <w:name w:val="h3 Char"/>
    <w:qFormat/>
    <w:uiPriority w:val="0"/>
    <w:rPr>
      <w:rFonts w:eastAsia="宋体"/>
      <w:b/>
      <w:bCs/>
      <w:sz w:val="32"/>
      <w:szCs w:val="32"/>
      <w:lang w:val="en-US" w:eastAsia="zh-CN" w:bidi="ar-SA"/>
    </w:rPr>
  </w:style>
  <w:style w:type="character" w:customStyle="1" w:styleId="56">
    <w:name w:val="纯文本 Char1"/>
    <w:qFormat/>
    <w:uiPriority w:val="0"/>
    <w:rPr>
      <w:rFonts w:ascii="宋体" w:eastAsia="宋体"/>
      <w:kern w:val="2"/>
      <w:sz w:val="21"/>
      <w:szCs w:val="21"/>
      <w:lang w:val="en-US" w:eastAsia="zh-CN" w:bidi="ar-SA"/>
    </w:rPr>
  </w:style>
  <w:style w:type="character" w:customStyle="1" w:styleId="57">
    <w:name w:val="！alt+i Char"/>
    <w:qFormat/>
    <w:uiPriority w:val="0"/>
    <w:rPr>
      <w:rFonts w:ascii="Lucida Grande" w:hAnsi="Lucida Grande" w:eastAsia="ヒラギノ角ゴ Pro W3"/>
      <w:b/>
      <w:color w:val="000000"/>
      <w:kern w:val="2"/>
      <w:sz w:val="28"/>
      <w:u w:val="single"/>
    </w:rPr>
  </w:style>
  <w:style w:type="character" w:customStyle="1" w:styleId="58">
    <w:name w:val="tcnt3"/>
    <w:basedOn w:val="44"/>
    <w:qFormat/>
    <w:uiPriority w:val="0"/>
  </w:style>
  <w:style w:type="character" w:customStyle="1" w:styleId="59">
    <w:name w:val="样式1 Char"/>
    <w:qFormat/>
    <w:uiPriority w:val="0"/>
    <w:rPr>
      <w:rFonts w:ascii="宋体" w:eastAsia="宋体"/>
      <w:sz w:val="21"/>
      <w:szCs w:val="21"/>
      <w:lang w:val="en-US" w:eastAsia="zh-CN" w:bidi="ar-SA"/>
    </w:rPr>
  </w:style>
  <w:style w:type="character" w:customStyle="1" w:styleId="60">
    <w:name w:val="chanpin拷贝"/>
    <w:basedOn w:val="44"/>
    <w:qFormat/>
    <w:uiPriority w:val="0"/>
  </w:style>
  <w:style w:type="character" w:customStyle="1" w:styleId="61">
    <w:name w:val="chanpin1"/>
    <w:qFormat/>
    <w:uiPriority w:val="0"/>
    <w:rPr>
      <w:rFonts w:ascii="ˎ̥" w:hAnsi="ˎ̥"/>
      <w:color w:val="000000"/>
      <w:sz w:val="20"/>
      <w:szCs w:val="20"/>
      <w:u w:val="none"/>
    </w:rPr>
  </w:style>
  <w:style w:type="paragraph" w:customStyle="1" w:styleId="62">
    <w:name w:val="四级条标题"/>
    <w:basedOn w:val="1"/>
    <w:next w:val="1"/>
    <w:qFormat/>
    <w:uiPriority w:val="0"/>
    <w:pPr>
      <w:widowControl/>
      <w:tabs>
        <w:tab w:val="left" w:pos="360"/>
        <w:tab w:val="left" w:pos="840"/>
      </w:tabs>
      <w:adjustRightInd/>
      <w:spacing w:line="460" w:lineRule="exact"/>
      <w:ind w:hanging="840"/>
      <w:jc w:val="both"/>
      <w:textAlignment w:val="auto"/>
      <w:outlineLvl w:val="4"/>
    </w:pPr>
    <w:rPr>
      <w:rFonts w:ascii="宋体" w:hAnsi="宋体" w:eastAsia="黑体"/>
      <w:b/>
      <w:sz w:val="28"/>
    </w:rPr>
  </w:style>
  <w:style w:type="paragraph" w:customStyle="1" w:styleId="63">
    <w:name w:val="列出段落1"/>
    <w:basedOn w:val="1"/>
    <w:qFormat/>
    <w:uiPriority w:val="0"/>
    <w:pPr>
      <w:widowControl/>
      <w:adjustRightInd/>
      <w:ind w:firstLine="200" w:firstLineChars="200"/>
      <w:textAlignment w:val="auto"/>
    </w:pPr>
    <w:rPr>
      <w:rFonts w:ascii="MetaPlusLF" w:hAnsi="MetaPlusLF"/>
      <w:sz w:val="20"/>
    </w:rPr>
  </w:style>
  <w:style w:type="paragraph" w:customStyle="1" w:styleId="64">
    <w:name w:val="样式 6 小四"/>
    <w:qFormat/>
    <w:uiPriority w:val="0"/>
    <w:pPr>
      <w:widowControl w:val="0"/>
      <w:jc w:val="both"/>
    </w:pPr>
    <w:rPr>
      <w:rFonts w:ascii="宋体" w:hAnsi="宋体" w:eastAsia="等线" w:cs="Times New Roman"/>
      <w:sz w:val="24"/>
      <w:lang w:val="en-US" w:eastAsia="zh-CN" w:bidi="ar-SA"/>
    </w:rPr>
  </w:style>
  <w:style w:type="paragraph" w:customStyle="1" w:styleId="65">
    <w:name w:val="样式 宋体 五号 行距: 单倍行距"/>
    <w:basedOn w:val="1"/>
    <w:qFormat/>
    <w:uiPriority w:val="0"/>
    <w:rPr>
      <w:rFonts w:ascii="宋体"/>
      <w:sz w:val="21"/>
    </w:rPr>
  </w:style>
  <w:style w:type="paragraph" w:customStyle="1" w:styleId="66">
    <w:name w:val="内加粗"/>
    <w:basedOn w:val="1"/>
    <w:qFormat/>
    <w:uiPriority w:val="0"/>
    <w:pPr>
      <w:adjustRightInd/>
      <w:spacing w:line="560" w:lineRule="exact"/>
      <w:ind w:firstLine="200" w:firstLineChars="200"/>
      <w:textAlignment w:val="auto"/>
    </w:pPr>
    <w:rPr>
      <w:rFonts w:ascii="宋体"/>
      <w:b/>
      <w:szCs w:val="28"/>
    </w:rPr>
  </w:style>
  <w:style w:type="paragraph" w:customStyle="1" w:styleId="67">
    <w:name w:val="正文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68">
    <w:name w:val="样式 样式 样式 标题 2 + 宋体 五号 非加粗 黑色 + 段前: 6 磅 段后: 0 磅 行距: 单倍行距 + 段前: 12..."/>
    <w:basedOn w:val="69"/>
    <w:qFormat/>
    <w:uiPriority w:val="0"/>
    <w:pPr>
      <w:tabs>
        <w:tab w:val="left" w:pos="1140"/>
      </w:tabs>
      <w:spacing w:before="240"/>
    </w:pPr>
  </w:style>
  <w:style w:type="paragraph" w:customStyle="1" w:styleId="69">
    <w:name w:val="样式 样式 标题 2 + 宋体 五号 非加粗 黑色 + 段前: 6 磅 段后: 0 磅 行距: 单倍行距"/>
    <w:basedOn w:val="70"/>
    <w:qFormat/>
    <w:uiPriority w:val="0"/>
    <w:pPr>
      <w:tabs>
        <w:tab w:val="left" w:pos="1140"/>
      </w:tabs>
      <w:spacing w:before="120" w:after="0" w:line="240" w:lineRule="auto"/>
    </w:pPr>
    <w:rPr>
      <w:szCs w:val="20"/>
    </w:rPr>
  </w:style>
  <w:style w:type="paragraph" w:customStyle="1" w:styleId="70">
    <w:name w:val="样式 标题 2 + 宋体 五号 非加粗 黑色"/>
    <w:basedOn w:val="4"/>
    <w:qFormat/>
    <w:uiPriority w:val="0"/>
    <w:pPr>
      <w:tabs>
        <w:tab w:val="left" w:pos="1140"/>
      </w:tabs>
      <w:ind w:left="1140"/>
    </w:pPr>
    <w:rPr>
      <w:rFonts w:ascii="宋体" w:eastAsia="宋体"/>
      <w:b w:val="0"/>
      <w:bCs w:val="0"/>
      <w:color w:val="000000"/>
      <w:sz w:val="21"/>
    </w:rPr>
  </w:style>
  <w:style w:type="paragraph" w:customStyle="1" w:styleId="71">
    <w:name w:val="正文斜下划线"/>
    <w:basedOn w:val="72"/>
    <w:qFormat/>
    <w:uiPriority w:val="0"/>
    <w:pPr>
      <w:ind w:firstLine="560"/>
    </w:pPr>
    <w:rPr>
      <w:i/>
      <w:iCs/>
      <w:u w:val="single"/>
    </w:rPr>
  </w:style>
  <w:style w:type="paragraph" w:customStyle="1" w:styleId="72">
    <w:name w:val="正文空2格  1."/>
    <w:basedOn w:val="1"/>
    <w:qFormat/>
    <w:uiPriority w:val="0"/>
    <w:pPr>
      <w:spacing w:line="360" w:lineRule="auto"/>
      <w:ind w:firstLine="480" w:firstLineChars="200"/>
    </w:pPr>
    <w:rPr>
      <w:rFonts w:ascii="宋体" w:eastAsia="仿宋" w:cs="宋体"/>
      <w:sz w:val="28"/>
    </w:rPr>
  </w:style>
  <w:style w:type="paragraph" w:customStyle="1" w:styleId="73">
    <w:name w:val="列出段落2"/>
    <w:basedOn w:val="1"/>
    <w:qFormat/>
    <w:uiPriority w:val="0"/>
    <w:pPr>
      <w:adjustRightInd/>
      <w:ind w:firstLine="200" w:firstLineChars="200"/>
      <w:jc w:val="both"/>
      <w:textAlignment w:val="auto"/>
    </w:pPr>
    <w:rPr>
      <w:rFonts w:ascii="Calibri" w:hAnsi="Calibri"/>
      <w:kern w:val="2"/>
      <w:szCs w:val="24"/>
    </w:rPr>
  </w:style>
  <w:style w:type="paragraph" w:customStyle="1" w:styleId="74">
    <w:name w:val="Char"/>
    <w:basedOn w:val="1"/>
    <w:qFormat/>
    <w:uiPriority w:val="0"/>
    <w:pPr>
      <w:widowControl/>
      <w:adjustRightInd/>
      <w:spacing w:after="160" w:line="240" w:lineRule="exact"/>
      <w:textAlignment w:val="auto"/>
    </w:pPr>
    <w:rPr>
      <w:rFonts w:ascii="Verdana" w:hAnsi="Verdana"/>
      <w:sz w:val="20"/>
      <w:lang w:eastAsia="en-US"/>
    </w:rPr>
  </w:style>
  <w:style w:type="paragraph" w:customStyle="1" w:styleId="75">
    <w:name w:val="样式 小四"/>
    <w:qFormat/>
    <w:uiPriority w:val="0"/>
    <w:pPr>
      <w:widowControl w:val="0"/>
    </w:pPr>
    <w:rPr>
      <w:rFonts w:ascii="宋体" w:hAnsi="Times New Roman" w:eastAsia="宋体" w:cs="Times New Roman"/>
      <w:kern w:val="2"/>
      <w:sz w:val="24"/>
      <w:szCs w:val="21"/>
      <w:lang w:val="en-US" w:eastAsia="zh-CN" w:bidi="ar-SA"/>
    </w:rPr>
  </w:style>
  <w:style w:type="paragraph" w:customStyle="1" w:styleId="76">
    <w:name w:val="PMtextBullet"/>
    <w:basedOn w:val="77"/>
    <w:qFormat/>
    <w:uiPriority w:val="0"/>
    <w:pPr>
      <w:tabs>
        <w:tab w:val="left" w:pos="2520"/>
      </w:tabs>
      <w:spacing w:after="200"/>
      <w:ind w:left="2520" w:firstLine="288"/>
    </w:pPr>
  </w:style>
  <w:style w:type="paragraph" w:customStyle="1" w:styleId="77">
    <w:name w:val="PMstyle"/>
    <w:qFormat/>
    <w:uiPriority w:val="0"/>
    <w:rPr>
      <w:rFonts w:ascii="Tahoma" w:hAnsi="Tahoma" w:eastAsia="宋体" w:cs="Times New Roman"/>
      <w:sz w:val="22"/>
      <w:lang w:val="en-US" w:eastAsia="zh-CN" w:bidi="ar-SA"/>
    </w:rPr>
  </w:style>
  <w:style w:type="paragraph" w:customStyle="1" w:styleId="78">
    <w:name w:val="列出段落21"/>
    <w:basedOn w:val="1"/>
    <w:qFormat/>
    <w:uiPriority w:val="0"/>
    <w:pPr>
      <w:adjustRightInd/>
      <w:ind w:firstLine="200" w:firstLineChars="200"/>
      <w:jc w:val="both"/>
      <w:textAlignment w:val="auto"/>
    </w:pPr>
    <w:rPr>
      <w:rFonts w:ascii="Calibri" w:hAnsi="Calibri"/>
      <w:kern w:val="2"/>
      <w:sz w:val="21"/>
      <w:szCs w:val="21"/>
    </w:rPr>
  </w:style>
  <w:style w:type="paragraph" w:customStyle="1" w:styleId="79">
    <w:name w:val="样式 二号"/>
    <w:qFormat/>
    <w:uiPriority w:val="0"/>
    <w:pPr>
      <w:widowControl w:val="0"/>
      <w:jc w:val="both"/>
      <w:outlineLvl w:val="0"/>
    </w:pPr>
    <w:rPr>
      <w:rFonts w:ascii="Times New Roman" w:hAnsi="Times New Roman" w:eastAsia="宋体" w:cs="Times New Roman"/>
      <w:b/>
      <w:bCs/>
      <w:kern w:val="44"/>
      <w:sz w:val="44"/>
      <w:szCs w:val="44"/>
      <w:lang w:val="en-US" w:eastAsia="zh-CN" w:bidi="ar-SA"/>
    </w:rPr>
  </w:style>
  <w:style w:type="paragraph" w:customStyle="1" w:styleId="80">
    <w:name w:val="正文3"/>
    <w:next w:val="8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81">
    <w:name w:val="正文3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82">
    <w:name w:val="样式 my正文 +"/>
    <w:basedOn w:val="83"/>
    <w:qFormat/>
    <w:uiPriority w:val="0"/>
  </w:style>
  <w:style w:type="paragraph" w:customStyle="1" w:styleId="83">
    <w:name w:val="my正文"/>
    <w:basedOn w:val="19"/>
    <w:qFormat/>
    <w:uiPriority w:val="0"/>
    <w:pPr>
      <w:spacing w:line="360" w:lineRule="auto"/>
      <w:ind w:left="0" w:leftChars="0" w:firstLine="225" w:firstLineChars="225"/>
      <w:jc w:val="both"/>
      <w:textAlignment w:val="auto"/>
    </w:pPr>
    <w:rPr>
      <w:rFonts w:eastAsia="仿宋_GB2312"/>
      <w:szCs w:val="20"/>
    </w:rPr>
  </w:style>
  <w:style w:type="paragraph" w:customStyle="1" w:styleId="84">
    <w:name w:val="样式1"/>
    <w:basedOn w:val="1"/>
    <w:qFormat/>
    <w:uiPriority w:val="0"/>
    <w:pPr>
      <w:tabs>
        <w:tab w:val="left" w:pos="0"/>
      </w:tabs>
      <w:jc w:val="both"/>
    </w:pPr>
    <w:rPr>
      <w:rFonts w:ascii="宋体"/>
      <w:sz w:val="21"/>
      <w:szCs w:val="21"/>
    </w:rPr>
  </w:style>
  <w:style w:type="paragraph" w:customStyle="1" w:styleId="85">
    <w:name w:val="样式 标题 4 + 段前: 5 磅 段后: 5 磅 行距: 单倍行距"/>
    <w:basedOn w:val="7"/>
    <w:qFormat/>
    <w:uiPriority w:val="0"/>
    <w:pPr>
      <w:tabs>
        <w:tab w:val="left" w:pos="1680"/>
      </w:tabs>
      <w:spacing w:before="100" w:after="100" w:line="240" w:lineRule="auto"/>
      <w:ind w:left="1680" w:hanging="420"/>
    </w:pPr>
    <w:rPr>
      <w:szCs w:val="20"/>
    </w:rPr>
  </w:style>
  <w:style w:type="paragraph" w:customStyle="1" w:styleId="86">
    <w:name w:val="_Style 2"/>
    <w:basedOn w:val="1"/>
    <w:qFormat/>
    <w:uiPriority w:val="0"/>
    <w:pPr>
      <w:adjustRightInd/>
      <w:ind w:firstLine="200" w:firstLineChars="200"/>
      <w:jc w:val="both"/>
      <w:textAlignment w:val="auto"/>
    </w:pPr>
    <w:rPr>
      <w:rFonts w:ascii="等线" w:eastAsia="等线"/>
      <w:kern w:val="2"/>
      <w:szCs w:val="24"/>
    </w:rPr>
  </w:style>
  <w:style w:type="paragraph" w:customStyle="1" w:styleId="87">
    <w:name w:val="样式 2 10 磅"/>
    <w:qFormat/>
    <w:uiPriority w:val="0"/>
    <w:pPr>
      <w:widowControl w:val="0"/>
      <w:ind w:firstLine="200" w:firstLineChars="200"/>
      <w:jc w:val="both"/>
    </w:pPr>
    <w:rPr>
      <w:rFonts w:ascii="Times New Roman" w:hAnsi="Times New Roman" w:eastAsia="宋体" w:cs="Times New Roman"/>
      <w:szCs w:val="21"/>
      <w:lang w:val="en-US" w:eastAsia="zh-CN" w:bidi="ar-SA"/>
    </w:rPr>
  </w:style>
  <w:style w:type="paragraph" w:customStyle="1" w:styleId="88">
    <w:name w:val="样式2"/>
    <w:basedOn w:val="1"/>
    <w:qFormat/>
    <w:uiPriority w:val="0"/>
    <w:pPr>
      <w:tabs>
        <w:tab w:val="left" w:pos="567"/>
      </w:tabs>
      <w:ind w:left="567" w:hanging="567"/>
      <w:jc w:val="both"/>
    </w:pPr>
    <w:rPr>
      <w:rFonts w:ascii="宋体"/>
      <w:sz w:val="21"/>
      <w:szCs w:val="21"/>
    </w:rPr>
  </w:style>
  <w:style w:type="paragraph" w:customStyle="1" w:styleId="89">
    <w:name w:val="样式 8 10 磅"/>
    <w:next w:val="9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90">
    <w:name w:val="样式 样式 样式 样式 标题 2 + 宋体 五号 非加粗 黑色 + 段前: 6 磅 段后: 0 磅 行距: 单倍行距 + 段前:..."/>
    <w:basedOn w:val="68"/>
    <w:qFormat/>
    <w:uiPriority w:val="0"/>
    <w:rPr>
      <w:b/>
      <w:bCs/>
    </w:rPr>
  </w:style>
  <w:style w:type="paragraph" w:customStyle="1" w:styleId="91">
    <w:name w:val="列出段落5"/>
    <w:basedOn w:val="1"/>
    <w:qFormat/>
    <w:uiPriority w:val="0"/>
    <w:pPr>
      <w:adjustRightInd/>
      <w:ind w:firstLine="200" w:firstLineChars="200"/>
      <w:jc w:val="both"/>
      <w:textAlignment w:val="auto"/>
    </w:pPr>
    <w:rPr>
      <w:kern w:val="2"/>
      <w:sz w:val="21"/>
    </w:rPr>
  </w:style>
  <w:style w:type="paragraph" w:customStyle="1" w:styleId="92">
    <w:name w:val="样式 9 10 磅"/>
    <w:next w:val="69"/>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93">
    <w:name w:val="样式 5 10 磅"/>
    <w:qFormat/>
    <w:uiPriority w:val="0"/>
    <w:pPr>
      <w:widowControl w:val="0"/>
      <w:ind w:firstLine="200" w:firstLineChars="200"/>
      <w:jc w:val="both"/>
    </w:pPr>
    <w:rPr>
      <w:rFonts w:ascii="Times New Roman" w:hAnsi="Times New Roman" w:eastAsia="宋体" w:cs="Times New Roman"/>
      <w:szCs w:val="21"/>
      <w:lang w:val="en-US" w:eastAsia="zh-CN" w:bidi="ar-SA"/>
    </w:rPr>
  </w:style>
  <w:style w:type="paragraph" w:customStyle="1" w:styleId="94">
    <w:name w:val="Char Char Char Char Char Char Char Char Char Char"/>
    <w:basedOn w:val="1"/>
    <w:qFormat/>
    <w:uiPriority w:val="0"/>
    <w:pPr>
      <w:widowControl/>
      <w:adjustRightInd/>
      <w:spacing w:after="160" w:line="240" w:lineRule="exact"/>
      <w:textAlignment w:val="auto"/>
    </w:pPr>
  </w:style>
  <w:style w:type="paragraph" w:customStyle="1" w:styleId="95">
    <w:name w:val="正文4"/>
    <w:next w:val="96"/>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96">
    <w:name w:val="正文5"/>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97">
    <w:name w:val="样式 宋体 五号 两端对齐 行距: 单倍行距1"/>
    <w:basedOn w:val="1"/>
    <w:qFormat/>
    <w:uiPriority w:val="0"/>
    <w:pPr>
      <w:jc w:val="both"/>
    </w:pPr>
    <w:rPr>
      <w:rFonts w:ascii="宋体"/>
      <w:sz w:val="21"/>
    </w:rPr>
  </w:style>
  <w:style w:type="paragraph" w:customStyle="1" w:styleId="98">
    <w:name w:val="样式 7 10 磅"/>
    <w:next w:val="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99">
    <w:name w:val="正文列项_字母"/>
    <w:basedOn w:val="1"/>
    <w:qFormat/>
    <w:uiPriority w:val="0"/>
    <w:pPr>
      <w:tabs>
        <w:tab w:val="left" w:pos="0"/>
      </w:tabs>
      <w:autoSpaceDE w:val="0"/>
      <w:autoSpaceDN w:val="0"/>
      <w:adjustRightInd/>
      <w:spacing w:line="460" w:lineRule="exact"/>
      <w:ind w:left="480" w:leftChars="300" w:hanging="180" w:hangingChars="180"/>
      <w:jc w:val="both"/>
      <w:textAlignment w:val="auto"/>
      <w:outlineLvl w:val="6"/>
    </w:pPr>
    <w:rPr>
      <w:rFonts w:ascii="宋体"/>
      <w:sz w:val="28"/>
    </w:rPr>
  </w:style>
  <w:style w:type="paragraph" w:customStyle="1" w:styleId="100">
    <w:name w:val="样式 标题 2 + 宋体 行距: 1.5 倍行距"/>
    <w:basedOn w:val="4"/>
    <w:qFormat/>
    <w:uiPriority w:val="0"/>
    <w:pPr>
      <w:adjustRightInd/>
      <w:spacing w:line="360" w:lineRule="auto"/>
      <w:ind w:left="792"/>
      <w:jc w:val="both"/>
      <w:textAlignment w:val="auto"/>
    </w:pPr>
    <w:rPr>
      <w:rFonts w:ascii="宋体" w:eastAsia="宋体" w:cs="宋体"/>
      <w:bCs w:val="0"/>
      <w:kern w:val="2"/>
      <w:sz w:val="28"/>
      <w:szCs w:val="20"/>
    </w:rPr>
  </w:style>
  <w:style w:type="paragraph" w:customStyle="1" w:styleId="101">
    <w:name w:val="样式 标题 3h3H3sect1.2.3 + 五号 段前: 6 磅 段后: 6 磅 行距: 单倍行距"/>
    <w:basedOn w:val="6"/>
    <w:qFormat/>
    <w:uiPriority w:val="0"/>
    <w:pPr>
      <w:tabs>
        <w:tab w:val="left" w:pos="1260"/>
      </w:tabs>
      <w:spacing w:before="120" w:after="120" w:line="240" w:lineRule="auto"/>
      <w:ind w:left="1260" w:hanging="420"/>
    </w:pPr>
    <w:rPr>
      <w:sz w:val="21"/>
      <w:szCs w:val="20"/>
    </w:rPr>
  </w:style>
  <w:style w:type="paragraph" w:customStyle="1" w:styleId="102">
    <w:name w:val="HQ表格标题"/>
    <w:basedOn w:val="1"/>
    <w:qFormat/>
    <w:uiPriority w:val="0"/>
    <w:pPr>
      <w:adjustRightInd/>
      <w:jc w:val="center"/>
      <w:textAlignment w:val="auto"/>
    </w:pPr>
    <w:rPr>
      <w:rFonts w:ascii="Calibri" w:hAnsi="Calibri" w:cs="宋体"/>
      <w:b/>
      <w:bCs/>
      <w:kern w:val="2"/>
      <w:sz w:val="21"/>
    </w:rPr>
  </w:style>
  <w:style w:type="paragraph" w:customStyle="1" w:styleId="103">
    <w:name w:val="xl23"/>
    <w:basedOn w:val="1"/>
    <w:qFormat/>
    <w:uiPriority w:val="0"/>
    <w:pPr>
      <w:widowControl/>
      <w:adjustRightInd/>
      <w:spacing w:before="100" w:beforeAutospacing="1" w:after="100" w:afterAutospacing="1" w:line="360" w:lineRule="auto"/>
      <w:jc w:val="both"/>
      <w:textAlignment w:val="top"/>
    </w:pPr>
    <w:rPr>
      <w:szCs w:val="24"/>
    </w:rPr>
  </w:style>
  <w:style w:type="paragraph" w:customStyle="1" w:styleId="104">
    <w:name w:val="样式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5">
    <w:name w:val="HQ表格正文居中"/>
    <w:basedOn w:val="1"/>
    <w:qFormat/>
    <w:uiPriority w:val="0"/>
    <w:pPr>
      <w:adjustRightInd/>
      <w:jc w:val="center"/>
      <w:textAlignment w:val="auto"/>
    </w:pPr>
    <w:rPr>
      <w:rFonts w:ascii="Calibri" w:hAnsi="Calibri" w:cs="宋体"/>
      <w:kern w:val="2"/>
      <w:sz w:val="21"/>
    </w:rPr>
  </w:style>
  <w:style w:type="paragraph" w:customStyle="1" w:styleId="106">
    <w:name w:val="正文_0"/>
    <w:next w:val="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07">
    <w:name w:val="样式6"/>
    <w:basedOn w:val="4"/>
    <w:qFormat/>
    <w:uiPriority w:val="0"/>
    <w:pPr>
      <w:adjustRightInd/>
      <w:spacing w:before="0" w:after="0" w:line="560" w:lineRule="exact"/>
      <w:jc w:val="both"/>
      <w:textAlignment w:val="auto"/>
    </w:pPr>
    <w:rPr>
      <w:rFonts w:eastAsia="宋体"/>
      <w:b w:val="0"/>
      <w:kern w:val="2"/>
      <w:sz w:val="28"/>
    </w:rPr>
  </w:style>
  <w:style w:type="paragraph" w:customStyle="1" w:styleId="108">
    <w:name w:val="正文首行缩进（绿盟科技）"/>
    <w:basedOn w:val="1"/>
    <w:qFormat/>
    <w:uiPriority w:val="0"/>
    <w:pPr>
      <w:widowControl/>
      <w:adjustRightInd/>
      <w:spacing w:after="50" w:line="300" w:lineRule="auto"/>
      <w:ind w:firstLine="200" w:firstLineChars="200"/>
      <w:textAlignment w:val="auto"/>
    </w:pPr>
    <w:rPr>
      <w:rFonts w:ascii="Arial" w:hAnsi="Arial"/>
      <w:sz w:val="21"/>
      <w:szCs w:val="21"/>
    </w:rPr>
  </w:style>
  <w:style w:type="paragraph" w:customStyle="1" w:styleId="109">
    <w:name w:val="默认段落字体 Para Char Char Char Char"/>
    <w:basedOn w:val="1"/>
    <w:qFormat/>
    <w:uiPriority w:val="0"/>
    <w:pPr>
      <w:adjustRightInd/>
      <w:jc w:val="both"/>
      <w:textAlignment w:val="auto"/>
    </w:pPr>
    <w:rPr>
      <w:rFonts w:ascii="Arial" w:hAnsi="Arial" w:cs="Arial"/>
      <w:kern w:val="2"/>
      <w:sz w:val="21"/>
      <w:szCs w:val="21"/>
    </w:rPr>
  </w:style>
  <w:style w:type="paragraph" w:customStyle="1" w:styleId="110">
    <w:name w:val="Char1 Char Char Char"/>
    <w:basedOn w:val="1"/>
    <w:qFormat/>
    <w:uiPriority w:val="0"/>
    <w:pPr>
      <w:adjustRightInd/>
      <w:jc w:val="both"/>
      <w:textAlignment w:val="auto"/>
    </w:pPr>
    <w:rPr>
      <w:rFonts w:ascii="Tahoma" w:hAnsi="Tahoma"/>
      <w:kern w:val="2"/>
    </w:rPr>
  </w:style>
  <w:style w:type="paragraph" w:customStyle="1" w:styleId="111">
    <w:name w:val="图文"/>
    <w:basedOn w:val="1"/>
    <w:qFormat/>
    <w:uiPriority w:val="0"/>
    <w:pPr>
      <w:snapToGrid w:val="0"/>
      <w:spacing w:after="50" w:line="360" w:lineRule="auto"/>
      <w:jc w:val="both"/>
      <w:textAlignment w:val="auto"/>
    </w:pPr>
    <w:rPr>
      <w:kern w:val="2"/>
      <w:szCs w:val="24"/>
    </w:rPr>
  </w:style>
  <w:style w:type="paragraph" w:customStyle="1" w:styleId="112">
    <w:name w:val="Char Char Char"/>
    <w:basedOn w:val="1"/>
    <w:qFormat/>
    <w:uiPriority w:val="0"/>
    <w:pPr>
      <w:adjustRightInd/>
      <w:jc w:val="both"/>
      <w:textAlignment w:val="auto"/>
    </w:pPr>
    <w:rPr>
      <w:rFonts w:ascii="Tahoma" w:hAnsi="Tahoma"/>
      <w:kern w:val="2"/>
    </w:rPr>
  </w:style>
  <w:style w:type="paragraph" w:styleId="113">
    <w:name w:val="List Paragraph"/>
    <w:basedOn w:val="1"/>
    <w:qFormat/>
    <w:uiPriority w:val="0"/>
    <w:pPr>
      <w:adjustRightInd/>
      <w:ind w:firstLine="200" w:firstLineChars="200"/>
      <w:jc w:val="both"/>
      <w:textAlignment w:val="auto"/>
    </w:pPr>
    <w:rPr>
      <w:kern w:val="2"/>
      <w:sz w:val="21"/>
      <w:szCs w:val="24"/>
    </w:rPr>
  </w:style>
  <w:style w:type="paragraph" w:customStyle="1" w:styleId="114">
    <w:name w:val="样式 标题 5 + 段前: 5 磅 段后: 5 磅 行距: 单倍行距"/>
    <w:basedOn w:val="8"/>
    <w:qFormat/>
    <w:uiPriority w:val="0"/>
    <w:pPr>
      <w:tabs>
        <w:tab w:val="left" w:pos="2100"/>
      </w:tabs>
      <w:spacing w:before="100" w:after="100" w:line="240" w:lineRule="auto"/>
      <w:ind w:left="2100" w:hanging="420"/>
    </w:pPr>
    <w:rPr>
      <w:szCs w:val="20"/>
    </w:rPr>
  </w:style>
  <w:style w:type="paragraph" w:customStyle="1" w:styleId="115">
    <w:name w:val="WPSOffice手动目录 1"/>
    <w:qFormat/>
    <w:uiPriority w:val="0"/>
    <w:rPr>
      <w:rFonts w:ascii="Times New Roman" w:hAnsi="Times New Roman" w:eastAsia="宋体" w:cs="Times New Roman"/>
      <w:lang w:val="en-US" w:eastAsia="zh-CN" w:bidi="ar-SA"/>
    </w:rPr>
  </w:style>
  <w:style w:type="paragraph" w:customStyle="1" w:styleId="116">
    <w:name w:val="样式 标题 1 + 四号 居中 段前: 12 磅 段后: 12 磅 行距: 单倍行距"/>
    <w:basedOn w:val="3"/>
    <w:qFormat/>
    <w:uiPriority w:val="0"/>
    <w:pPr>
      <w:spacing w:before="240" w:after="240" w:line="240" w:lineRule="auto"/>
      <w:jc w:val="center"/>
    </w:pPr>
    <w:rPr>
      <w:sz w:val="28"/>
      <w:szCs w:val="20"/>
    </w:rPr>
  </w:style>
  <w:style w:type="paragraph" w:customStyle="1" w:styleId="117">
    <w:name w:val="Body Text 21"/>
    <w:basedOn w:val="1"/>
    <w:qFormat/>
    <w:uiPriority w:val="0"/>
    <w:pPr>
      <w:spacing w:before="240" w:line="400" w:lineRule="exact"/>
      <w:ind w:firstLine="357"/>
      <w:jc w:val="both"/>
    </w:pPr>
    <w:rPr>
      <w:kern w:val="2"/>
      <w:sz w:val="28"/>
    </w:rPr>
  </w:style>
  <w:style w:type="paragraph" w:customStyle="1" w:styleId="118">
    <w:name w:val="样式 1 10 磅"/>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19">
    <w:name w:val="HQ表格正文"/>
    <w:basedOn w:val="1"/>
    <w:qFormat/>
    <w:uiPriority w:val="0"/>
    <w:pPr>
      <w:adjustRightInd/>
      <w:spacing w:line="276" w:lineRule="auto"/>
      <w:jc w:val="both"/>
      <w:textAlignment w:val="auto"/>
    </w:pPr>
    <w:rPr>
      <w:rFonts w:ascii="宋体" w:cs="宋体"/>
      <w:sz w:val="21"/>
    </w:rPr>
  </w:style>
  <w:style w:type="paragraph" w:customStyle="1" w:styleId="120">
    <w:name w:val="Char2"/>
    <w:basedOn w:val="1"/>
    <w:qFormat/>
    <w:uiPriority w:val="0"/>
    <w:pPr>
      <w:widowControl/>
      <w:adjustRightInd/>
      <w:spacing w:after="160" w:line="240" w:lineRule="exact"/>
      <w:textAlignment w:val="auto"/>
    </w:pPr>
    <w:rPr>
      <w:kern w:val="2"/>
      <w:sz w:val="21"/>
      <w:szCs w:val="24"/>
    </w:rPr>
  </w:style>
  <w:style w:type="paragraph" w:customStyle="1" w:styleId="121">
    <w:name w:val="样式 宋体 五号 两端对齐 行距: 单倍行距"/>
    <w:basedOn w:val="1"/>
    <w:qFormat/>
    <w:uiPriority w:val="0"/>
    <w:pPr>
      <w:jc w:val="both"/>
    </w:pPr>
    <w:rPr>
      <w:rFonts w:ascii="宋体"/>
      <w:sz w:val="21"/>
    </w:rPr>
  </w:style>
  <w:style w:type="paragraph" w:customStyle="1" w:styleId="122">
    <w:name w:val="无间隔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3">
    <w:name w:val="样式 4 小四"/>
    <w:qFormat/>
    <w:uiPriority w:val="0"/>
    <w:rPr>
      <w:rFonts w:ascii="Times New Roman" w:hAnsi="Times New Roman" w:eastAsia="宋体" w:cs="Times New Roman"/>
      <w:sz w:val="24"/>
      <w:szCs w:val="24"/>
      <w:lang w:val="en-US" w:eastAsia="en-US" w:bidi="ar-SA"/>
    </w:rPr>
  </w:style>
  <w:style w:type="paragraph" w:customStyle="1" w:styleId="124">
    <w:name w:val="WW-普通文字"/>
    <w:basedOn w:val="1"/>
    <w:qFormat/>
    <w:uiPriority w:val="0"/>
    <w:pPr>
      <w:widowControl/>
      <w:suppressAutoHyphens/>
      <w:adjustRightInd/>
      <w:spacing w:before="280" w:after="280" w:line="360" w:lineRule="auto"/>
      <w:textAlignment w:val="auto"/>
    </w:pPr>
    <w:rPr>
      <w:rFonts w:ascii="宋体"/>
      <w:kern w:val="2"/>
      <w:lang w:eastAsia="ar-SA"/>
    </w:rPr>
  </w:style>
  <w:style w:type="paragraph" w:customStyle="1" w:styleId="125">
    <w:name w:val="Char Char Char Char Char Char Char Char Char Char Char Char Char"/>
    <w:basedOn w:val="1"/>
    <w:qFormat/>
    <w:uiPriority w:val="0"/>
    <w:pPr>
      <w:widowControl/>
      <w:adjustRightInd/>
      <w:spacing w:after="160" w:line="240" w:lineRule="exact"/>
      <w:textAlignment w:val="auto"/>
    </w:pPr>
    <w:rPr>
      <w:rFonts w:ascii="Verdana" w:hAnsi="Verdana"/>
      <w:sz w:val="20"/>
      <w:lang w:eastAsia="en-US"/>
    </w:rPr>
  </w:style>
  <w:style w:type="paragraph" w:customStyle="1" w:styleId="126">
    <w:name w:val="正文2"/>
    <w:next w:val="67"/>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27">
    <w:name w:val="样式 4 10 磅"/>
    <w:qFormat/>
    <w:uiPriority w:val="0"/>
    <w:pPr>
      <w:widowControl w:val="0"/>
      <w:ind w:firstLine="200" w:firstLineChars="200"/>
      <w:jc w:val="both"/>
    </w:pPr>
    <w:rPr>
      <w:rFonts w:ascii="Times New Roman" w:hAnsi="Times New Roman" w:eastAsia="宋体" w:cs="Times New Roman"/>
      <w:szCs w:val="21"/>
      <w:lang w:val="en-US" w:eastAsia="zh-CN" w:bidi="ar-SA"/>
    </w:rPr>
  </w:style>
  <w:style w:type="paragraph" w:customStyle="1" w:styleId="128">
    <w:name w:val="PMletterTextBullet"/>
    <w:basedOn w:val="129"/>
    <w:qFormat/>
    <w:uiPriority w:val="0"/>
    <w:pPr>
      <w:tabs>
        <w:tab w:val="left" w:pos="840"/>
        <w:tab w:val="left" w:pos="1800"/>
      </w:tabs>
      <w:ind w:left="1800" w:hanging="360"/>
    </w:pPr>
  </w:style>
  <w:style w:type="paragraph" w:customStyle="1" w:styleId="129">
    <w:name w:val="PMletterText"/>
    <w:basedOn w:val="77"/>
    <w:qFormat/>
    <w:uiPriority w:val="0"/>
    <w:pPr>
      <w:spacing w:before="240"/>
      <w:ind w:left="720"/>
    </w:pPr>
  </w:style>
  <w:style w:type="paragraph" w:customStyle="1" w:styleId="130">
    <w:name w:val="内文"/>
    <w:basedOn w:val="1"/>
    <w:qFormat/>
    <w:uiPriority w:val="0"/>
    <w:pPr>
      <w:adjustRightInd/>
      <w:spacing w:line="560" w:lineRule="exact"/>
      <w:ind w:firstLine="200" w:firstLineChars="200"/>
      <w:textAlignment w:val="auto"/>
    </w:pPr>
    <w:rPr>
      <w:rFonts w:ascii="宋体"/>
      <w:szCs w:val="28"/>
    </w:rPr>
  </w:style>
  <w:style w:type="paragraph" w:customStyle="1" w:styleId="131">
    <w:name w:val="Table Paragraph"/>
    <w:basedOn w:val="1"/>
    <w:qFormat/>
    <w:uiPriority w:val="1"/>
    <w:rPr>
      <w:rFonts w:ascii="宋体" w:hAnsi="宋体" w:cs="宋体"/>
      <w:lang w:val="zh-CN" w:bidi="zh-CN"/>
    </w:rPr>
  </w:style>
  <w:style w:type="paragraph" w:customStyle="1" w:styleId="132">
    <w:name w:val="正文列项_数字"/>
    <w:basedOn w:val="1"/>
    <w:qFormat/>
    <w:uiPriority w:val="0"/>
    <w:pPr>
      <w:tabs>
        <w:tab w:val="left" w:pos="0"/>
      </w:tabs>
      <w:autoSpaceDE w:val="0"/>
      <w:autoSpaceDN w:val="0"/>
      <w:adjustRightInd/>
      <w:spacing w:line="460" w:lineRule="exact"/>
      <w:ind w:left="680" w:leftChars="530" w:hanging="150" w:hangingChars="150"/>
      <w:jc w:val="both"/>
      <w:textAlignment w:val="auto"/>
      <w:outlineLvl w:val="7"/>
    </w:pPr>
    <w:rPr>
      <w:rFonts w:ascii="宋体"/>
      <w:sz w:val="28"/>
    </w:rPr>
  </w:style>
  <w:style w:type="paragraph" w:customStyle="1" w:styleId="133">
    <w:name w:val="Default"/>
    <w:next w:val="126"/>
    <w:qFormat/>
    <w:uiPriority w:val="0"/>
    <w:pPr>
      <w:widowControl w:val="0"/>
      <w:autoSpaceDE w:val="0"/>
      <w:autoSpaceDN w:val="0"/>
      <w:adjustRightInd w:val="0"/>
    </w:pPr>
    <w:rPr>
      <w:rFonts w:ascii="黑体" w:hAnsi="黑体" w:eastAsia="宋体" w:cs="黑体"/>
      <w:color w:val="000000"/>
      <w:sz w:val="24"/>
      <w:szCs w:val="24"/>
      <w:lang w:val="en-US" w:eastAsia="zh-CN" w:bidi="ar-SA"/>
    </w:rPr>
  </w:style>
  <w:style w:type="paragraph" w:customStyle="1" w:styleId="134">
    <w:name w:val="样式 样式 标题 4 + 段前: 5 磅 段后: 5 磅 行距: 单倍行距 + 五号"/>
    <w:basedOn w:val="85"/>
    <w:qFormat/>
    <w:uiPriority w:val="0"/>
    <w:rPr>
      <w:sz w:val="21"/>
    </w:rPr>
  </w:style>
  <w:style w:type="paragraph" w:customStyle="1" w:styleId="135">
    <w:name w:val="样式 标题 2 + 宋体 五号 行距: 单倍行距"/>
    <w:basedOn w:val="4"/>
    <w:qFormat/>
    <w:uiPriority w:val="0"/>
    <w:pPr>
      <w:tabs>
        <w:tab w:val="left" w:pos="1140"/>
      </w:tabs>
      <w:spacing w:line="240" w:lineRule="auto"/>
      <w:ind w:left="1140"/>
    </w:pPr>
    <w:rPr>
      <w:rFonts w:ascii="宋体" w:eastAsia="宋体"/>
      <w:sz w:val="21"/>
      <w:szCs w:val="20"/>
    </w:rPr>
  </w:style>
  <w:style w:type="paragraph" w:customStyle="1" w:styleId="136">
    <w:name w:val="样式 10 10 磅"/>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37">
    <w:name w:val="图中文字"/>
    <w:basedOn w:val="1"/>
    <w:qFormat/>
    <w:uiPriority w:val="0"/>
    <w:pPr>
      <w:snapToGrid w:val="0"/>
      <w:spacing w:line="0" w:lineRule="atLeast"/>
      <w:jc w:val="center"/>
      <w:textAlignment w:val="auto"/>
    </w:pPr>
    <w:rPr>
      <w:kern w:val="2"/>
    </w:rPr>
  </w:style>
  <w:style w:type="paragraph" w:customStyle="1" w:styleId="138">
    <w:name w:val="正文 A"/>
    <w:qFormat/>
    <w:uiPriority w:val="0"/>
    <w:pPr>
      <w:widowControl w:val="0"/>
      <w:jc w:val="both"/>
    </w:pPr>
    <w:rPr>
      <w:rFonts w:ascii="Times New Roman" w:hAnsi="Times New Roman" w:eastAsia="ヒラギノ角ゴ Pro W3" w:cs="Times New Roman"/>
      <w:color w:val="000000"/>
      <w:kern w:val="2"/>
      <w:sz w:val="21"/>
      <w:lang w:val="en-US" w:eastAsia="zh-CN" w:bidi="ar-SA"/>
    </w:rPr>
  </w:style>
  <w:style w:type="paragraph" w:customStyle="1" w:styleId="139">
    <w:name w:val="彩色列表 - 着色 11"/>
    <w:basedOn w:val="1"/>
    <w:qFormat/>
    <w:uiPriority w:val="0"/>
    <w:pPr>
      <w:ind w:firstLine="200" w:firstLineChars="200"/>
    </w:pPr>
  </w:style>
  <w:style w:type="paragraph" w:customStyle="1" w:styleId="140">
    <w:name w:val="样式 5 小四"/>
    <w:qFormat/>
    <w:uiPriority w:val="0"/>
    <w:rPr>
      <w:rFonts w:ascii="Times New Roman" w:hAnsi="Times New Roman" w:eastAsia="宋体" w:cs="Times New Roman"/>
      <w:sz w:val="24"/>
      <w:szCs w:val="24"/>
      <w:lang w:val="en-US" w:eastAsia="en-US" w:bidi="ar-SA"/>
    </w:rPr>
  </w:style>
  <w:style w:type="paragraph" w:customStyle="1" w:styleId="141">
    <w:name w:val="HQ表格正文居中-加粗"/>
    <w:basedOn w:val="1"/>
    <w:qFormat/>
    <w:uiPriority w:val="0"/>
    <w:pPr>
      <w:adjustRightInd/>
      <w:spacing w:line="276" w:lineRule="auto"/>
      <w:jc w:val="center"/>
      <w:textAlignment w:val="auto"/>
    </w:pPr>
    <w:rPr>
      <w:rFonts w:ascii="宋体" w:cs="宋体"/>
      <w:b/>
      <w:bCs/>
      <w:kern w:val="2"/>
      <w:sz w:val="21"/>
      <w:szCs w:val="24"/>
    </w:rPr>
  </w:style>
  <w:style w:type="paragraph" w:customStyle="1" w:styleId="142">
    <w:name w:val="样式 HQ段落 + 加粗 + 首行缩进:  2 字符"/>
    <w:basedOn w:val="1"/>
    <w:qFormat/>
    <w:uiPriority w:val="0"/>
    <w:pPr>
      <w:adjustRightInd/>
      <w:ind w:firstLine="480"/>
      <w:jc w:val="both"/>
      <w:textAlignment w:val="auto"/>
    </w:pPr>
    <w:rPr>
      <w:rFonts w:ascii="Calibri" w:hAnsi="Calibri" w:eastAsia="黑体" w:cs="宋体"/>
      <w:b/>
      <w:bCs/>
      <w:kern w:val="2"/>
      <w:sz w:val="21"/>
    </w:rPr>
  </w:style>
  <w:style w:type="paragraph" w:customStyle="1" w:styleId="143">
    <w:name w:val="样式 6 10 磅"/>
    <w:qFormat/>
    <w:uiPriority w:val="0"/>
    <w:pPr>
      <w:widowControl w:val="0"/>
      <w:ind w:firstLine="200" w:firstLineChars="200"/>
      <w:jc w:val="both"/>
    </w:pPr>
    <w:rPr>
      <w:rFonts w:ascii="Times New Roman" w:hAnsi="Times New Roman" w:eastAsia="宋体" w:cs="Times New Roman"/>
      <w:szCs w:val="21"/>
      <w:lang w:val="en-US" w:eastAsia="zh-CN" w:bidi="ar-SA"/>
    </w:rPr>
  </w:style>
  <w:style w:type="paragraph" w:customStyle="1" w:styleId="144">
    <w:name w:val="Char Char Char Char"/>
    <w:basedOn w:val="1"/>
    <w:qFormat/>
    <w:uiPriority w:val="0"/>
    <w:pPr>
      <w:adjustRightInd/>
      <w:jc w:val="both"/>
      <w:textAlignment w:val="auto"/>
    </w:pPr>
    <w:rPr>
      <w:rFonts w:ascii="Tahoma" w:hAnsi="Tahoma"/>
      <w:kern w:val="2"/>
    </w:rPr>
  </w:style>
  <w:style w:type="paragraph" w:customStyle="1" w:styleId="145">
    <w:name w:val="修订1"/>
    <w:qFormat/>
    <w:uiPriority w:val="0"/>
    <w:rPr>
      <w:rFonts w:ascii="Times New Roman" w:hAnsi="Times New Roman" w:eastAsia="宋体" w:cs="Times New Roman"/>
      <w:sz w:val="24"/>
      <w:lang w:val="en-US" w:eastAsia="zh-CN" w:bidi="ar-SA"/>
    </w:rPr>
  </w:style>
  <w:style w:type="paragraph" w:customStyle="1" w:styleId="146">
    <w:name w:val="Body Text Indent 21"/>
    <w:basedOn w:val="1"/>
    <w:qFormat/>
    <w:uiPriority w:val="0"/>
    <w:pPr>
      <w:ind w:left="720" w:hanging="720"/>
      <w:jc w:val="both"/>
    </w:pPr>
    <w:rPr>
      <w:b/>
      <w:kern w:val="2"/>
      <w:sz w:val="28"/>
    </w:rPr>
  </w:style>
  <w:style w:type="paragraph" w:customStyle="1" w:styleId="147">
    <w:name w:val="样式 7 小四"/>
    <w:qFormat/>
    <w:uiPriority w:val="0"/>
    <w:pPr>
      <w:widowControl w:val="0"/>
      <w:jc w:val="both"/>
    </w:pPr>
    <w:rPr>
      <w:rFonts w:ascii="宋体" w:hAnsi="宋体" w:eastAsia="等线" w:cs="Times New Roman"/>
      <w:sz w:val="24"/>
      <w:lang w:val="en-US" w:eastAsia="zh-CN" w:bidi="ar-SA"/>
    </w:rPr>
  </w:style>
  <w:style w:type="paragraph" w:customStyle="1" w:styleId="148">
    <w:name w:val="HQ段落"/>
    <w:basedOn w:val="1"/>
    <w:qFormat/>
    <w:uiPriority w:val="0"/>
    <w:pPr>
      <w:adjustRightInd/>
      <w:ind w:firstLine="480"/>
      <w:jc w:val="both"/>
      <w:textAlignment w:val="auto"/>
    </w:pPr>
    <w:rPr>
      <w:rFonts w:ascii="Calibri" w:hAnsi="Calibri" w:cs="宋体"/>
      <w:kern w:val="2"/>
      <w:sz w:val="21"/>
    </w:rPr>
  </w:style>
  <w:style w:type="paragraph" w:customStyle="1" w:styleId="149">
    <w:name w:val="样式4"/>
    <w:basedOn w:val="34"/>
    <w:qFormat/>
    <w:uiPriority w:val="0"/>
    <w:pPr>
      <w:adjustRightInd/>
      <w:ind w:left="420"/>
      <w:jc w:val="both"/>
      <w:textAlignment w:val="auto"/>
    </w:pPr>
    <w:rPr>
      <w:kern w:val="2"/>
      <w:sz w:val="28"/>
    </w:rPr>
  </w:style>
  <w:style w:type="paragraph" w:customStyle="1" w:styleId="150">
    <w:name w:val="xl27"/>
    <w:basedOn w:val="1"/>
    <w:qFormat/>
    <w:uiPriority w:val="0"/>
    <w:pPr>
      <w:widowControl/>
      <w:adjustRightInd/>
      <w:spacing w:before="100" w:beforeAutospacing="1" w:after="100" w:afterAutospacing="1"/>
      <w:jc w:val="center"/>
      <w:textAlignment w:val="auto"/>
    </w:pPr>
    <w:rPr>
      <w:rFonts w:ascii="Arial Unicode MS" w:eastAsia="Arial Unicode MS" w:cs="Arial Unicode MS"/>
      <w:szCs w:val="24"/>
    </w:rPr>
  </w:style>
  <w:style w:type="paragraph" w:customStyle="1" w:styleId="151">
    <w:name w:val="样式 3 小四"/>
    <w:qFormat/>
    <w:uiPriority w:val="0"/>
    <w:rPr>
      <w:rFonts w:ascii="Times New Roman" w:hAnsi="Times New Roman" w:eastAsia="宋体" w:cs="Times New Roman"/>
      <w:sz w:val="24"/>
      <w:szCs w:val="24"/>
      <w:lang w:val="en-US" w:eastAsia="en-US" w:bidi="ar-SA"/>
    </w:rPr>
  </w:style>
  <w:style w:type="paragraph" w:customStyle="1" w:styleId="152">
    <w:name w:val="样式 1 小四"/>
    <w:qFormat/>
    <w:uiPriority w:val="0"/>
    <w:rPr>
      <w:rFonts w:ascii="Times New Roman" w:hAnsi="Times New Roman" w:eastAsia="宋体" w:cs="Times New Roman"/>
      <w:sz w:val="24"/>
      <w:szCs w:val="24"/>
      <w:lang w:val="en-US" w:eastAsia="en-US" w:bidi="ar-SA"/>
    </w:rPr>
  </w:style>
  <w:style w:type="paragraph" w:customStyle="1" w:styleId="153">
    <w:name w:val="样式5"/>
    <w:basedOn w:val="3"/>
    <w:qFormat/>
    <w:uiPriority w:val="0"/>
    <w:pPr>
      <w:adjustRightInd/>
      <w:spacing w:line="576" w:lineRule="auto"/>
      <w:jc w:val="both"/>
      <w:textAlignment w:val="auto"/>
    </w:pPr>
    <w:rPr>
      <w:sz w:val="28"/>
    </w:rPr>
  </w:style>
  <w:style w:type="paragraph" w:customStyle="1" w:styleId="154">
    <w:name w:val="xl5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both"/>
      <w:textAlignment w:val="top"/>
    </w:pPr>
    <w:rPr>
      <w:rFonts w:ascii="Arial Unicode MS" w:eastAsia="Arial Unicode MS" w:cs="Arial Unicode MS"/>
      <w:b/>
      <w:bCs/>
      <w:color w:val="000000"/>
      <w:sz w:val="16"/>
      <w:szCs w:val="16"/>
    </w:rPr>
  </w:style>
  <w:style w:type="paragraph" w:customStyle="1" w:styleId="155">
    <w:name w:val="样式 3 10 磅"/>
    <w:qFormat/>
    <w:uiPriority w:val="0"/>
    <w:pPr>
      <w:widowControl w:val="0"/>
      <w:ind w:firstLine="200" w:firstLineChars="200"/>
      <w:jc w:val="both"/>
    </w:pPr>
    <w:rPr>
      <w:rFonts w:ascii="Times New Roman" w:hAnsi="Times New Roman" w:eastAsia="宋体" w:cs="Times New Roman"/>
      <w:szCs w:val="21"/>
      <w:lang w:val="en-US" w:eastAsia="zh-CN" w:bidi="ar-SA"/>
    </w:rPr>
  </w:style>
  <w:style w:type="paragraph" w:customStyle="1" w:styleId="156">
    <w:name w:val="Definition Term"/>
    <w:basedOn w:val="1"/>
    <w:next w:val="157"/>
    <w:qFormat/>
    <w:uiPriority w:val="0"/>
  </w:style>
  <w:style w:type="paragraph" w:customStyle="1" w:styleId="157">
    <w:name w:val="Definition List"/>
    <w:basedOn w:val="1"/>
    <w:next w:val="156"/>
    <w:qFormat/>
    <w:uiPriority w:val="0"/>
    <w:pPr>
      <w:ind w:left="360"/>
    </w:pPr>
  </w:style>
  <w:style w:type="paragraph" w:customStyle="1" w:styleId="158">
    <w:name w:val="样式 2 小四"/>
    <w:qFormat/>
    <w:uiPriority w:val="0"/>
    <w:rPr>
      <w:rFonts w:ascii="Times New Roman" w:hAnsi="Times New Roman" w:eastAsia="宋体" w:cs="Times New Roman"/>
      <w:sz w:val="24"/>
      <w:szCs w:val="24"/>
      <w:lang w:val="en-US" w:eastAsia="en-US" w:bidi="ar-SA"/>
    </w:rPr>
  </w:style>
  <w:style w:type="paragraph" w:customStyle="1" w:styleId="159">
    <w:name w:val="样式 样式 标题 5 + 段前: 5 磅 段后: 5 磅 行距: 单倍行距 + 五号"/>
    <w:basedOn w:val="114"/>
    <w:qFormat/>
    <w:uiPriority w:val="0"/>
    <w:rPr>
      <w:sz w:val="21"/>
    </w:rPr>
  </w:style>
  <w:style w:type="paragraph" w:customStyle="1" w:styleId="160">
    <w:name w:val="首行缩进"/>
    <w:basedOn w:val="1"/>
    <w:qFormat/>
    <w:uiPriority w:val="0"/>
    <w:pPr>
      <w:spacing w:line="360" w:lineRule="auto"/>
      <w:ind w:firstLine="480" w:firstLineChars="200"/>
    </w:pPr>
    <w:rPr>
      <w:szCs w:val="22"/>
      <w:lang w:val="zh-CN"/>
    </w:rPr>
  </w:style>
  <w:style w:type="character" w:customStyle="1" w:styleId="161">
    <w:name w:val="正文文本缩进 字符"/>
    <w:basedOn w:val="44"/>
    <w:link w:val="19"/>
    <w:qFormat/>
    <w:uiPriority w:val="0"/>
    <w:rPr>
      <w:rFonts w:ascii="宋体"/>
      <w:sz w:val="24"/>
      <w:szCs w:val="21"/>
    </w:rPr>
  </w:style>
  <w:style w:type="character" w:customStyle="1" w:styleId="162">
    <w:name w:val="正文文本 字符"/>
    <w:basedOn w:val="44"/>
    <w:link w:val="2"/>
    <w:qFormat/>
    <w:uiPriority w:val="0"/>
    <w:rPr>
      <w:kern w:val="2"/>
      <w:sz w:val="28"/>
    </w:rPr>
  </w:style>
  <w:style w:type="character" w:customStyle="1" w:styleId="163">
    <w:name w:val="标题 2 字符"/>
    <w:link w:val="4"/>
    <w:qFormat/>
    <w:uiPriority w:val="0"/>
    <w:rPr>
      <w:rFonts w:ascii="Arial" w:hAnsi="Arial" w:eastAsia="黑体"/>
      <w:b/>
      <w:bCs/>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2.jpeg"/><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3601823-26B2-A44A-B3CD-D6D04C0D78DC}">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65</Pages>
  <Words>4567</Words>
  <Characters>26033</Characters>
  <Lines>216</Lines>
  <Paragraphs>61</Paragraphs>
  <TotalTime>0</TotalTime>
  <ScaleCrop>false</ScaleCrop>
  <LinksUpToDate>false</LinksUpToDate>
  <CharactersWithSpaces>30539</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2022-07-07T09:32:00Z</dcterms:created>
  <dc:creator>张智恒</dc:creator>
  <cp:lastModifiedBy>招标代理杨振豪</cp:lastModifiedBy>
  <cp:lastPrinted>2022-07-12T02:41:00Z</cp:lastPrinted>
  <dcterms:modified xsi:type="dcterms:W3CDTF">2022-09-02T03:07:54Z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C4328B2EB7A14C44AACD614942A4204F</vt:lpwstr>
  </property>
</Properties>
</file>