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sz w:val="56"/>
          <w:szCs w:val="56"/>
        </w:rPr>
      </w:pPr>
      <w:r>
        <w:rPr>
          <w:rFonts w:hint="eastAsia"/>
          <w:sz w:val="56"/>
          <w:szCs w:val="56"/>
          <w:lang w:val="en-US" w:eastAsia="zh-CN"/>
        </w:rPr>
        <w:t>唐河县滨河街道基础设施提升及土地整理项目等两个项目咨询机构采购</w:t>
      </w:r>
    </w:p>
    <w:p/>
    <w:p>
      <w:pPr>
        <w:pStyle w:val="3"/>
      </w:pPr>
    </w:p>
    <w:p>
      <w:pPr>
        <w:pStyle w:val="4"/>
      </w:pPr>
    </w:p>
    <w:p>
      <w:pPr>
        <w:pStyle w:val="3"/>
      </w:pPr>
    </w:p>
    <w:p>
      <w:pPr>
        <w:pStyle w:val="38"/>
      </w:pPr>
    </w:p>
    <w:p/>
    <w:p>
      <w:pPr>
        <w:pStyle w:val="3"/>
        <w:spacing w:before="9"/>
        <w:jc w:val="center"/>
        <w:rPr>
          <w:b/>
          <w:sz w:val="96"/>
          <w:szCs w:val="32"/>
        </w:rPr>
      </w:pPr>
      <w:r>
        <w:rPr>
          <w:rFonts w:hint="eastAsia"/>
          <w:b/>
          <w:sz w:val="96"/>
          <w:szCs w:val="32"/>
        </w:rPr>
        <w:t>竞争性磋商文件</w:t>
      </w:r>
    </w:p>
    <w:p>
      <w:pPr>
        <w:pStyle w:val="3"/>
        <w:spacing w:before="9"/>
        <w:jc w:val="center"/>
        <w:rPr>
          <w:b/>
          <w:sz w:val="96"/>
          <w:szCs w:val="32"/>
        </w:rPr>
      </w:pPr>
    </w:p>
    <w:p>
      <w:pPr>
        <w:jc w:val="center"/>
        <w:rPr>
          <w:sz w:val="32"/>
        </w:rPr>
      </w:pPr>
      <w:r>
        <w:rPr>
          <w:spacing w:val="-1"/>
          <w:sz w:val="32"/>
        </w:rPr>
        <w:t>采购编号：</w:t>
      </w:r>
      <w:r>
        <w:rPr>
          <w:rFonts w:hint="eastAsia"/>
          <w:spacing w:val="-1"/>
          <w:sz w:val="32"/>
          <w:lang w:val="en-US" w:eastAsia="zh-CN"/>
        </w:rPr>
        <w:t>唐财采购竞争性磋商-2022-129</w:t>
      </w:r>
      <w:r>
        <w:rPr>
          <w:rFonts w:hint="eastAsia"/>
          <w:spacing w:val="-1"/>
          <w:sz w:val="32"/>
        </w:rPr>
        <w:t xml:space="preserve"> </w:t>
      </w:r>
    </w:p>
    <w:p>
      <w:pPr>
        <w:pStyle w:val="3"/>
        <w:rPr>
          <w:sz w:val="20"/>
        </w:rPr>
      </w:pPr>
    </w:p>
    <w:p>
      <w:pPr>
        <w:pStyle w:val="3"/>
        <w:rPr>
          <w:sz w:val="20"/>
        </w:rPr>
      </w:pPr>
    </w:p>
    <w:p>
      <w:pPr>
        <w:pStyle w:val="3"/>
        <w:rPr>
          <w:sz w:val="20"/>
        </w:rPr>
      </w:pPr>
    </w:p>
    <w:p>
      <w:pPr>
        <w:pStyle w:val="3"/>
        <w:rPr>
          <w:sz w:val="20"/>
        </w:rPr>
      </w:pPr>
    </w:p>
    <w:p>
      <w:pPr>
        <w:pStyle w:val="3"/>
        <w:spacing w:before="11"/>
      </w:pPr>
    </w:p>
    <w:p>
      <w:pPr>
        <w:pStyle w:val="3"/>
        <w:rPr>
          <w:sz w:val="32"/>
        </w:rPr>
      </w:pPr>
    </w:p>
    <w:p>
      <w:pPr>
        <w:pStyle w:val="3"/>
        <w:rPr>
          <w:sz w:val="32"/>
        </w:rPr>
      </w:pPr>
    </w:p>
    <w:p>
      <w:pPr>
        <w:pStyle w:val="3"/>
        <w:rPr>
          <w:sz w:val="32"/>
        </w:rPr>
      </w:pPr>
    </w:p>
    <w:p>
      <w:pPr>
        <w:pStyle w:val="3"/>
        <w:rPr>
          <w:sz w:val="32"/>
        </w:rPr>
      </w:pPr>
    </w:p>
    <w:p>
      <w:pPr>
        <w:pStyle w:val="4"/>
        <w:rPr>
          <w:sz w:val="32"/>
        </w:rPr>
      </w:pPr>
    </w:p>
    <w:p>
      <w:pPr>
        <w:tabs>
          <w:tab w:val="left" w:pos="2932"/>
          <w:tab w:val="left" w:pos="3856"/>
          <w:tab w:val="left" w:pos="5844"/>
          <w:tab w:val="left" w:pos="9041"/>
        </w:tabs>
        <w:jc w:val="center"/>
        <w:rPr>
          <w:b/>
          <w:sz w:val="32"/>
          <w:szCs w:val="21"/>
        </w:rPr>
      </w:pPr>
      <w:r>
        <w:rPr>
          <w:b/>
          <w:sz w:val="32"/>
          <w:szCs w:val="21"/>
        </w:rPr>
        <w:t>采</w:t>
      </w:r>
      <w:r>
        <w:rPr>
          <w:rFonts w:hint="eastAsia"/>
          <w:b/>
          <w:sz w:val="32"/>
          <w:szCs w:val="21"/>
        </w:rPr>
        <w:t xml:space="preserve">   </w:t>
      </w:r>
      <w:r>
        <w:rPr>
          <w:b/>
          <w:sz w:val="32"/>
          <w:szCs w:val="21"/>
        </w:rPr>
        <w:t>购</w:t>
      </w:r>
      <w:r>
        <w:rPr>
          <w:rFonts w:hint="eastAsia"/>
          <w:b/>
          <w:sz w:val="32"/>
          <w:szCs w:val="21"/>
        </w:rPr>
        <w:t xml:space="preserve">   </w:t>
      </w:r>
      <w:r>
        <w:rPr>
          <w:b/>
          <w:sz w:val="32"/>
          <w:szCs w:val="21"/>
        </w:rPr>
        <w:t>人：</w:t>
      </w:r>
      <w:r>
        <w:rPr>
          <w:rFonts w:hint="eastAsia"/>
          <w:b/>
          <w:sz w:val="32"/>
          <w:szCs w:val="21"/>
          <w:u w:val="single"/>
          <w:lang w:val="en-US" w:eastAsia="zh-CN"/>
        </w:rPr>
        <w:t>河南梵力建筑工程有限公司</w:t>
      </w:r>
    </w:p>
    <w:p>
      <w:pPr>
        <w:tabs>
          <w:tab w:val="left" w:pos="3655"/>
          <w:tab w:val="left" w:pos="5462"/>
          <w:tab w:val="left" w:pos="9881"/>
        </w:tabs>
        <w:spacing w:before="207" w:line="235" w:lineRule="auto"/>
        <w:ind w:right="322"/>
        <w:jc w:val="center"/>
        <w:rPr>
          <w:b/>
          <w:spacing w:val="-2"/>
          <w:sz w:val="32"/>
          <w:szCs w:val="21"/>
          <w:u w:val="single"/>
        </w:rPr>
      </w:pPr>
      <w:r>
        <w:rPr>
          <w:b/>
          <w:sz w:val="32"/>
          <w:szCs w:val="21"/>
        </w:rPr>
        <w:t>采购代理机构：</w:t>
      </w:r>
      <w:r>
        <w:rPr>
          <w:rFonts w:hint="eastAsia"/>
          <w:b/>
          <w:spacing w:val="-2"/>
          <w:sz w:val="32"/>
          <w:szCs w:val="21"/>
          <w:u w:val="single"/>
        </w:rPr>
        <w:t>唐河县唐兴工程造价咨询有限公司</w:t>
      </w:r>
    </w:p>
    <w:p>
      <w:pPr>
        <w:tabs>
          <w:tab w:val="left" w:pos="3655"/>
          <w:tab w:val="left" w:pos="5462"/>
          <w:tab w:val="left" w:pos="9881"/>
        </w:tabs>
        <w:spacing w:before="207" w:line="235" w:lineRule="auto"/>
        <w:ind w:right="322"/>
        <w:jc w:val="center"/>
        <w:rPr>
          <w:b/>
          <w:sz w:val="32"/>
          <w:szCs w:val="21"/>
        </w:rPr>
      </w:pPr>
      <w:r>
        <w:rPr>
          <w:b/>
          <w:sz w:val="32"/>
          <w:szCs w:val="21"/>
        </w:rPr>
        <w:t>日</w:t>
      </w:r>
      <w:r>
        <w:rPr>
          <w:rFonts w:hint="eastAsia"/>
          <w:b/>
          <w:sz w:val="32"/>
          <w:szCs w:val="21"/>
        </w:rPr>
        <w:t xml:space="preserve">        </w:t>
      </w:r>
      <w:r>
        <w:rPr>
          <w:b/>
          <w:sz w:val="32"/>
          <w:szCs w:val="21"/>
        </w:rPr>
        <w:t>期：</w:t>
      </w:r>
      <w:r>
        <w:rPr>
          <w:b/>
          <w:w w:val="95"/>
          <w:sz w:val="32"/>
          <w:szCs w:val="21"/>
          <w:u w:val="single"/>
        </w:rPr>
        <w:t>二零二</w:t>
      </w:r>
      <w:r>
        <w:rPr>
          <w:rFonts w:hint="eastAsia"/>
          <w:b/>
          <w:w w:val="95"/>
          <w:sz w:val="32"/>
          <w:szCs w:val="21"/>
          <w:u w:val="single"/>
        </w:rPr>
        <w:t>二</w:t>
      </w:r>
      <w:r>
        <w:rPr>
          <w:b/>
          <w:w w:val="95"/>
          <w:sz w:val="32"/>
          <w:szCs w:val="21"/>
          <w:u w:val="single"/>
        </w:rPr>
        <w:t>年</w:t>
      </w:r>
      <w:r>
        <w:rPr>
          <w:rFonts w:hint="eastAsia"/>
          <w:b/>
          <w:w w:val="95"/>
          <w:sz w:val="32"/>
          <w:szCs w:val="21"/>
          <w:u w:val="single"/>
          <w:lang w:val="en-US" w:eastAsia="zh-CN"/>
        </w:rPr>
        <w:t>八</w:t>
      </w:r>
      <w:r>
        <w:rPr>
          <w:b/>
          <w:w w:val="95"/>
          <w:sz w:val="32"/>
          <w:szCs w:val="21"/>
          <w:u w:val="single"/>
        </w:rPr>
        <w:t>月</w:t>
      </w:r>
    </w:p>
    <w:p>
      <w:pPr>
        <w:spacing w:line="235" w:lineRule="auto"/>
        <w:jc w:val="center"/>
        <w:rPr>
          <w:sz w:val="36"/>
        </w:rPr>
        <w:sectPr>
          <w:type w:val="continuous"/>
          <w:pgSz w:w="11910" w:h="16840"/>
          <w:pgMar w:top="1580" w:right="840" w:bottom="280" w:left="860" w:header="720" w:footer="720" w:gutter="0"/>
          <w:cols w:space="720" w:num="1"/>
        </w:sectPr>
      </w:pPr>
    </w:p>
    <w:p>
      <w:pPr>
        <w:tabs>
          <w:tab w:val="left" w:pos="1300"/>
        </w:tabs>
        <w:spacing w:before="1"/>
        <w:ind w:right="16"/>
        <w:jc w:val="center"/>
        <w:rPr>
          <w:b/>
          <w:bCs/>
          <w:sz w:val="52"/>
        </w:rPr>
      </w:pPr>
      <w:r>
        <w:rPr>
          <w:b/>
          <w:bCs/>
          <w:sz w:val="52"/>
        </w:rPr>
        <w:t>目</w:t>
      </w:r>
      <w:r>
        <w:rPr>
          <w:b/>
          <w:bCs/>
          <w:sz w:val="52"/>
        </w:rPr>
        <w:tab/>
      </w:r>
      <w:r>
        <w:rPr>
          <w:b/>
          <w:bCs/>
          <w:sz w:val="52"/>
        </w:rPr>
        <w:t>录</w:t>
      </w:r>
    </w:p>
    <w:sdt>
      <w:sdtPr>
        <w:rPr>
          <w:sz w:val="21"/>
        </w:rPr>
        <w:id w:val="147477373"/>
        <w15:color w:val="DBDBDB"/>
        <w:docPartObj>
          <w:docPartGallery w:val="Table of Contents"/>
          <w:docPartUnique/>
        </w:docPartObj>
      </w:sdtPr>
      <w:sdtEndPr>
        <w:rPr>
          <w:rFonts w:ascii="Times New Roman"/>
          <w:sz w:val="28"/>
          <w:szCs w:val="21"/>
        </w:rPr>
      </w:sdtEndPr>
      <w:sdtContent>
        <w:p>
          <w:pPr>
            <w:jc w:val="center"/>
          </w:pPr>
        </w:p>
        <w:p>
          <w:pPr>
            <w:pStyle w:val="18"/>
            <w:tabs>
              <w:tab w:val="right" w:leader="dot" w:pos="10210"/>
            </w:tabs>
            <w:spacing w:line="480" w:lineRule="auto"/>
            <w:rPr>
              <w:sz w:val="28"/>
            </w:rPr>
          </w:pPr>
          <w:r>
            <w:rPr>
              <w:rFonts w:ascii="Times New Roman"/>
              <w:b w:val="0"/>
              <w:bCs w:val="0"/>
              <w:sz w:val="28"/>
            </w:rPr>
            <w:fldChar w:fldCharType="begin"/>
          </w:r>
          <w:r>
            <w:rPr>
              <w:rFonts w:ascii="Times New Roman"/>
              <w:b w:val="0"/>
              <w:bCs w:val="0"/>
              <w:sz w:val="28"/>
            </w:rPr>
            <w:instrText xml:space="preserve">TOC \o "1-3" \h \u </w:instrText>
          </w:r>
          <w:r>
            <w:rPr>
              <w:rFonts w:ascii="Times New Roman"/>
              <w:b w:val="0"/>
              <w:bCs w:val="0"/>
              <w:sz w:val="28"/>
            </w:rPr>
            <w:fldChar w:fldCharType="separate"/>
          </w:r>
          <w:r>
            <w:fldChar w:fldCharType="begin"/>
          </w:r>
          <w:r>
            <w:instrText xml:space="preserve"> HYPERLINK \l "_Toc25043" </w:instrText>
          </w:r>
          <w:r>
            <w:fldChar w:fldCharType="separate"/>
          </w:r>
          <w:r>
            <w:rPr>
              <w:spacing w:val="-1"/>
              <w:sz w:val="28"/>
            </w:rPr>
            <w:t>第一部分</w:t>
          </w:r>
          <w:r>
            <w:rPr>
              <w:rFonts w:hint="eastAsia"/>
              <w:spacing w:val="-1"/>
              <w:sz w:val="28"/>
            </w:rPr>
            <w:t xml:space="preserve"> </w:t>
          </w:r>
          <w:r>
            <w:rPr>
              <w:spacing w:val="-1"/>
              <w:sz w:val="28"/>
            </w:rPr>
            <w:t>竞争性磋商公告</w:t>
          </w:r>
          <w:r>
            <w:rPr>
              <w:sz w:val="28"/>
            </w:rPr>
            <w:tab/>
          </w:r>
          <w:r>
            <w:rPr>
              <w:sz w:val="28"/>
            </w:rPr>
            <w:fldChar w:fldCharType="begin"/>
          </w:r>
          <w:r>
            <w:rPr>
              <w:sz w:val="28"/>
            </w:rPr>
            <w:instrText xml:space="preserve"> PAGEREF _Toc25043 \h </w:instrText>
          </w:r>
          <w:r>
            <w:rPr>
              <w:sz w:val="28"/>
            </w:rPr>
            <w:fldChar w:fldCharType="separate"/>
          </w:r>
          <w:r>
            <w:rPr>
              <w:sz w:val="28"/>
            </w:rPr>
            <w:t>1</w:t>
          </w:r>
          <w:r>
            <w:rPr>
              <w:sz w:val="28"/>
            </w:rPr>
            <w:fldChar w:fldCharType="end"/>
          </w:r>
          <w:r>
            <w:rPr>
              <w:sz w:val="28"/>
            </w:rPr>
            <w:fldChar w:fldCharType="end"/>
          </w:r>
        </w:p>
        <w:p>
          <w:pPr>
            <w:pStyle w:val="18"/>
            <w:tabs>
              <w:tab w:val="right" w:leader="dot" w:pos="10210"/>
            </w:tabs>
            <w:spacing w:line="480" w:lineRule="auto"/>
            <w:rPr>
              <w:sz w:val="28"/>
            </w:rPr>
          </w:pPr>
          <w:r>
            <w:fldChar w:fldCharType="begin"/>
          </w:r>
          <w:r>
            <w:instrText xml:space="preserve"> HYPERLINK \l "_Toc16029" </w:instrText>
          </w:r>
          <w:r>
            <w:fldChar w:fldCharType="separate"/>
          </w:r>
          <w:r>
            <w:rPr>
              <w:spacing w:val="14"/>
              <w:sz w:val="28"/>
            </w:rPr>
            <w:t>第二部分 供应商须知</w:t>
          </w:r>
          <w:r>
            <w:rPr>
              <w:sz w:val="28"/>
            </w:rPr>
            <w:tab/>
          </w:r>
          <w:r>
            <w:rPr>
              <w:sz w:val="28"/>
            </w:rPr>
            <w:fldChar w:fldCharType="begin"/>
          </w:r>
          <w:r>
            <w:rPr>
              <w:sz w:val="28"/>
            </w:rPr>
            <w:instrText xml:space="preserve"> PAGEREF _Toc16029 \h </w:instrText>
          </w:r>
          <w:r>
            <w:rPr>
              <w:sz w:val="28"/>
            </w:rPr>
            <w:fldChar w:fldCharType="separate"/>
          </w:r>
          <w:r>
            <w:rPr>
              <w:sz w:val="28"/>
            </w:rPr>
            <w:t>6</w:t>
          </w:r>
          <w:r>
            <w:rPr>
              <w:sz w:val="28"/>
            </w:rPr>
            <w:fldChar w:fldCharType="end"/>
          </w:r>
          <w:r>
            <w:rPr>
              <w:sz w:val="28"/>
            </w:rPr>
            <w:fldChar w:fldCharType="end"/>
          </w:r>
        </w:p>
        <w:p>
          <w:pPr>
            <w:pStyle w:val="18"/>
            <w:tabs>
              <w:tab w:val="right" w:leader="dot" w:pos="10210"/>
            </w:tabs>
            <w:spacing w:line="480" w:lineRule="auto"/>
            <w:rPr>
              <w:sz w:val="28"/>
            </w:rPr>
          </w:pPr>
          <w:r>
            <w:fldChar w:fldCharType="begin"/>
          </w:r>
          <w:r>
            <w:instrText xml:space="preserve"> HYPERLINK \l "_Toc14431" </w:instrText>
          </w:r>
          <w:r>
            <w:fldChar w:fldCharType="separate"/>
          </w:r>
          <w:r>
            <w:rPr>
              <w:sz w:val="28"/>
              <w:szCs w:val="28"/>
            </w:rPr>
            <w:t>供应商须知前附表</w:t>
          </w:r>
          <w:r>
            <w:rPr>
              <w:sz w:val="28"/>
            </w:rPr>
            <w:tab/>
          </w:r>
          <w:r>
            <w:rPr>
              <w:sz w:val="28"/>
            </w:rPr>
            <w:fldChar w:fldCharType="begin"/>
          </w:r>
          <w:r>
            <w:rPr>
              <w:sz w:val="28"/>
            </w:rPr>
            <w:instrText xml:space="preserve"> PAGEREF _Toc14431 \h </w:instrText>
          </w:r>
          <w:r>
            <w:rPr>
              <w:sz w:val="28"/>
            </w:rPr>
            <w:fldChar w:fldCharType="separate"/>
          </w:r>
          <w:r>
            <w:rPr>
              <w:sz w:val="28"/>
            </w:rPr>
            <w:t>6</w:t>
          </w:r>
          <w:r>
            <w:rPr>
              <w:sz w:val="28"/>
            </w:rPr>
            <w:fldChar w:fldCharType="end"/>
          </w:r>
          <w:r>
            <w:rPr>
              <w:sz w:val="28"/>
            </w:rPr>
            <w:fldChar w:fldCharType="end"/>
          </w:r>
        </w:p>
        <w:p>
          <w:pPr>
            <w:pStyle w:val="18"/>
            <w:tabs>
              <w:tab w:val="right" w:leader="dot" w:pos="10210"/>
            </w:tabs>
            <w:spacing w:line="480" w:lineRule="auto"/>
            <w:rPr>
              <w:sz w:val="28"/>
            </w:rPr>
          </w:pPr>
          <w:r>
            <w:fldChar w:fldCharType="begin"/>
          </w:r>
          <w:r>
            <w:instrText xml:space="preserve"> HYPERLINK \l "_Toc16173" </w:instrText>
          </w:r>
          <w:r>
            <w:fldChar w:fldCharType="separate"/>
          </w:r>
          <w:r>
            <w:rPr>
              <w:spacing w:val="16"/>
              <w:sz w:val="28"/>
            </w:rPr>
            <w:t>第三部分 供应商须知正文部分</w:t>
          </w:r>
          <w:r>
            <w:rPr>
              <w:sz w:val="28"/>
            </w:rPr>
            <w:tab/>
          </w:r>
          <w:r>
            <w:rPr>
              <w:sz w:val="28"/>
            </w:rPr>
            <w:fldChar w:fldCharType="begin"/>
          </w:r>
          <w:r>
            <w:rPr>
              <w:sz w:val="28"/>
            </w:rPr>
            <w:instrText xml:space="preserve"> PAGEREF _Toc16173 \h </w:instrText>
          </w:r>
          <w:r>
            <w:rPr>
              <w:sz w:val="28"/>
            </w:rPr>
            <w:fldChar w:fldCharType="separate"/>
          </w:r>
          <w:r>
            <w:rPr>
              <w:sz w:val="28"/>
            </w:rPr>
            <w:t>8</w:t>
          </w:r>
          <w:r>
            <w:rPr>
              <w:sz w:val="28"/>
            </w:rPr>
            <w:fldChar w:fldCharType="end"/>
          </w:r>
          <w:r>
            <w:rPr>
              <w:sz w:val="28"/>
            </w:rPr>
            <w:fldChar w:fldCharType="end"/>
          </w:r>
          <w:bookmarkStart w:id="12" w:name="_GoBack"/>
          <w:bookmarkEnd w:id="12"/>
        </w:p>
        <w:p>
          <w:pPr>
            <w:pStyle w:val="18"/>
            <w:tabs>
              <w:tab w:val="right" w:leader="dot" w:pos="10210"/>
            </w:tabs>
            <w:spacing w:line="480" w:lineRule="auto"/>
            <w:rPr>
              <w:sz w:val="28"/>
            </w:rPr>
          </w:pPr>
          <w:r>
            <w:fldChar w:fldCharType="begin"/>
          </w:r>
          <w:r>
            <w:instrText xml:space="preserve"> HYPERLINK \l "_Toc8500" </w:instrText>
          </w:r>
          <w:r>
            <w:fldChar w:fldCharType="separate"/>
          </w:r>
          <w:r>
            <w:rPr>
              <w:spacing w:val="16"/>
              <w:sz w:val="28"/>
            </w:rPr>
            <w:t>第四部分 合同格式</w:t>
          </w:r>
          <w:r>
            <w:rPr>
              <w:sz w:val="28"/>
            </w:rPr>
            <w:tab/>
          </w:r>
          <w:r>
            <w:rPr>
              <w:sz w:val="28"/>
            </w:rPr>
            <w:fldChar w:fldCharType="begin"/>
          </w:r>
          <w:r>
            <w:rPr>
              <w:sz w:val="28"/>
            </w:rPr>
            <w:instrText xml:space="preserve"> PAGEREF _Toc8500 \h </w:instrText>
          </w:r>
          <w:r>
            <w:rPr>
              <w:sz w:val="28"/>
            </w:rPr>
            <w:fldChar w:fldCharType="separate"/>
          </w:r>
          <w:r>
            <w:rPr>
              <w:sz w:val="28"/>
            </w:rPr>
            <w:t>22</w:t>
          </w:r>
          <w:r>
            <w:rPr>
              <w:sz w:val="28"/>
            </w:rPr>
            <w:fldChar w:fldCharType="end"/>
          </w:r>
          <w:r>
            <w:rPr>
              <w:sz w:val="28"/>
            </w:rPr>
            <w:fldChar w:fldCharType="end"/>
          </w:r>
        </w:p>
        <w:p>
          <w:pPr>
            <w:pStyle w:val="18"/>
            <w:tabs>
              <w:tab w:val="right" w:leader="dot" w:pos="10210"/>
            </w:tabs>
            <w:spacing w:line="480" w:lineRule="auto"/>
            <w:rPr>
              <w:sz w:val="28"/>
            </w:rPr>
          </w:pPr>
          <w:r>
            <w:fldChar w:fldCharType="begin"/>
          </w:r>
          <w:r>
            <w:instrText xml:space="preserve"> HYPERLINK \l "_Toc24507" </w:instrText>
          </w:r>
          <w:r>
            <w:fldChar w:fldCharType="separate"/>
          </w:r>
          <w:r>
            <w:rPr>
              <w:spacing w:val="9"/>
              <w:sz w:val="28"/>
            </w:rPr>
            <w:t>第五部分 电子标响应</w:t>
          </w:r>
          <w:r>
            <w:rPr>
              <w:rFonts w:hint="eastAsia"/>
              <w:spacing w:val="9"/>
              <w:sz w:val="28"/>
            </w:rPr>
            <w:t>性</w:t>
          </w:r>
          <w:r>
            <w:rPr>
              <w:spacing w:val="9"/>
              <w:sz w:val="28"/>
            </w:rPr>
            <w:t>文件格式</w:t>
          </w:r>
          <w:r>
            <w:rPr>
              <w:sz w:val="28"/>
            </w:rPr>
            <w:tab/>
          </w:r>
          <w:r>
            <w:rPr>
              <w:sz w:val="28"/>
            </w:rPr>
            <w:fldChar w:fldCharType="begin"/>
          </w:r>
          <w:r>
            <w:rPr>
              <w:sz w:val="28"/>
            </w:rPr>
            <w:instrText xml:space="preserve"> PAGEREF _Toc24507 \h </w:instrText>
          </w:r>
          <w:r>
            <w:rPr>
              <w:sz w:val="28"/>
            </w:rPr>
            <w:fldChar w:fldCharType="separate"/>
          </w:r>
          <w:r>
            <w:rPr>
              <w:sz w:val="28"/>
            </w:rPr>
            <w:t>25</w:t>
          </w:r>
          <w:r>
            <w:rPr>
              <w:sz w:val="28"/>
            </w:rPr>
            <w:fldChar w:fldCharType="end"/>
          </w:r>
          <w:r>
            <w:rPr>
              <w:sz w:val="28"/>
            </w:rPr>
            <w:fldChar w:fldCharType="end"/>
          </w:r>
        </w:p>
        <w:p>
          <w:pPr>
            <w:pStyle w:val="3"/>
            <w:spacing w:line="480" w:lineRule="auto"/>
            <w:rPr>
              <w:rFonts w:ascii="Times New Roman"/>
              <w:sz w:val="28"/>
            </w:rPr>
          </w:pPr>
          <w:r>
            <w:rPr>
              <w:rFonts w:ascii="Times New Roman"/>
              <w:sz w:val="28"/>
            </w:rPr>
            <w:fldChar w:fldCharType="end"/>
          </w:r>
        </w:p>
      </w:sdtContent>
    </w:sdt>
    <w:p>
      <w:pPr>
        <w:pStyle w:val="3"/>
        <w:rPr>
          <w:rFonts w:ascii="Times New Roman"/>
          <w:sz w:val="20"/>
        </w:rPr>
      </w:pPr>
    </w:p>
    <w:p>
      <w:pPr>
        <w:pStyle w:val="3"/>
        <w:spacing w:before="10"/>
        <w:rPr>
          <w:rFonts w:ascii="Times New Roman"/>
          <w:sz w:val="26"/>
        </w:rPr>
      </w:pPr>
    </w:p>
    <w:p>
      <w:pPr>
        <w:pStyle w:val="4"/>
        <w:rPr>
          <w:rFonts w:ascii="Times New Roman"/>
          <w:sz w:val="26"/>
        </w:rPr>
      </w:pPr>
    </w:p>
    <w:p>
      <w:pPr>
        <w:pStyle w:val="4"/>
        <w:rPr>
          <w:rFonts w:ascii="Times New Roman"/>
          <w:sz w:val="26"/>
        </w:rPr>
      </w:pPr>
    </w:p>
    <w:p>
      <w:pPr>
        <w:pStyle w:val="4"/>
        <w:rPr>
          <w:rFonts w:ascii="Times New Roman"/>
          <w:sz w:val="26"/>
        </w:rPr>
      </w:pPr>
    </w:p>
    <w:p>
      <w:pPr>
        <w:pStyle w:val="4"/>
        <w:rPr>
          <w:rFonts w:ascii="Times New Roman"/>
          <w:sz w:val="26"/>
        </w:rPr>
      </w:pPr>
    </w:p>
    <w:p>
      <w:pPr>
        <w:pStyle w:val="4"/>
        <w:rPr>
          <w:rFonts w:ascii="Times New Roman"/>
          <w:sz w:val="26"/>
        </w:rPr>
      </w:pPr>
    </w:p>
    <w:p>
      <w:pPr>
        <w:pStyle w:val="4"/>
        <w:rPr>
          <w:rFonts w:ascii="Times New Roman"/>
          <w:sz w:val="26"/>
        </w:rPr>
      </w:pPr>
    </w:p>
    <w:p>
      <w:pPr>
        <w:pStyle w:val="4"/>
        <w:rPr>
          <w:rFonts w:ascii="Times New Roman"/>
          <w:sz w:val="26"/>
        </w:rPr>
      </w:pPr>
    </w:p>
    <w:p>
      <w:pPr>
        <w:pStyle w:val="4"/>
        <w:rPr>
          <w:rFonts w:ascii="Times New Roman"/>
          <w:sz w:val="26"/>
        </w:rPr>
      </w:pPr>
    </w:p>
    <w:p>
      <w:pPr>
        <w:pStyle w:val="4"/>
        <w:rPr>
          <w:rFonts w:ascii="Times New Roman"/>
          <w:sz w:val="26"/>
        </w:rPr>
      </w:pPr>
    </w:p>
    <w:p>
      <w:pPr>
        <w:pStyle w:val="5"/>
        <w:ind w:left="0" w:firstLine="2786" w:firstLineChars="700"/>
        <w:rPr>
          <w:spacing w:val="-1"/>
        </w:rPr>
        <w:sectPr>
          <w:headerReference r:id="rId3" w:type="default"/>
          <w:footerReference r:id="rId4" w:type="default"/>
          <w:pgSz w:w="11910" w:h="16840"/>
          <w:pgMar w:top="1320" w:right="840" w:bottom="1000" w:left="860" w:header="1131" w:footer="805" w:gutter="0"/>
          <w:pgNumType w:start="1"/>
          <w:cols w:space="720" w:num="1"/>
        </w:sectPr>
      </w:pPr>
      <w:bookmarkStart w:id="0" w:name="_Toc25043"/>
    </w:p>
    <w:p>
      <w:pPr>
        <w:pStyle w:val="5"/>
        <w:ind w:left="0" w:firstLine="2786" w:firstLineChars="700"/>
      </w:pPr>
      <w:r>
        <w:rPr>
          <w:spacing w:val="-1"/>
        </w:rPr>
        <w:t>第一部分</w:t>
      </w:r>
      <w:r>
        <w:rPr>
          <w:rFonts w:hint="eastAsia"/>
          <w:spacing w:val="-1"/>
        </w:rPr>
        <w:t xml:space="preserve"> </w:t>
      </w:r>
      <w:r>
        <w:rPr>
          <w:spacing w:val="-1"/>
        </w:rPr>
        <w:t>竞争性磋商公告</w:t>
      </w:r>
      <w:bookmarkEnd w:id="0"/>
    </w:p>
    <w:p>
      <w:pPr>
        <w:spacing w:before="74" w:line="280" w:lineRule="auto"/>
        <w:ind w:left="373" w:right="390"/>
        <w:jc w:val="center"/>
        <w:rPr>
          <w:b/>
          <w:color w:val="333333"/>
          <w:sz w:val="36"/>
          <w:szCs w:val="21"/>
        </w:rPr>
      </w:pPr>
      <w:r>
        <w:rPr>
          <w:rFonts w:hint="eastAsia"/>
          <w:b/>
          <w:color w:val="333333"/>
          <w:sz w:val="36"/>
          <w:szCs w:val="21"/>
          <w:lang w:val="en-US" w:eastAsia="zh-CN"/>
        </w:rPr>
        <w:t>唐河县滨河街道基础设施提升及土地整理项目等两个项目咨询机构采购</w:t>
      </w:r>
      <w:r>
        <w:rPr>
          <w:b/>
          <w:color w:val="333333"/>
          <w:sz w:val="36"/>
          <w:szCs w:val="21"/>
        </w:rPr>
        <w:t>竞争性磋商公告</w:t>
      </w:r>
    </w:p>
    <w:p>
      <w:pPr>
        <w:pStyle w:val="38"/>
        <w:rPr>
          <w:rFonts w:ascii="宋体" w:hAnsi="宋体" w:cs="宋体"/>
          <w:color w:val="333333"/>
        </w:rPr>
      </w:pPr>
    </w:p>
    <w:tbl>
      <w:tblPr>
        <w:tblW w:w="5000" w:type="pct"/>
        <w:tblInd w:w="-28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0204"/>
        <w:gridCol w:w="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rPr>
        <w:tc>
          <w:tcPr>
            <w:tcW w:w="0" w:type="auto"/>
            <w:shd w:val="clear"/>
            <w:vAlign w:val="center"/>
          </w:tcPr>
          <w:p>
            <w:pPr>
              <w:pStyle w:val="19"/>
              <w:keepNext w:val="0"/>
              <w:keepLines w:val="0"/>
              <w:pageBreakBefore w:val="0"/>
              <w:widowControl/>
              <w:suppressLineNumbers w:val="0"/>
              <w:kinsoku/>
              <w:overflowPunct/>
              <w:topLinePunct w:val="0"/>
              <w:bidi w:val="0"/>
              <w:adjustRightInd/>
              <w:snapToGrid/>
              <w:spacing w:before="0" w:beforeAutospacing="0" w:after="0" w:afterAutospacing="0" w:line="360" w:lineRule="auto"/>
              <w:ind w:left="0" w:right="0"/>
              <w:jc w:val="left"/>
              <w:textAlignment w:val="auto"/>
              <w:rPr>
                <w:rFonts w:eastAsia="宋体"/>
                <w:sz w:val="24"/>
              </w:rPr>
            </w:pPr>
            <w:r>
              <w:rPr>
                <w:rFonts w:ascii="微软雅黑" w:hAnsi="微软雅黑" w:eastAsia="宋体" w:cs="微软雅黑"/>
                <w:color w:val="333333"/>
                <w:sz w:val="24"/>
                <w:szCs w:val="21"/>
              </w:rPr>
              <w:t>项目概况</w:t>
            </w:r>
          </w:p>
          <w:p>
            <w:pPr>
              <w:pStyle w:val="19"/>
              <w:keepNext w:val="0"/>
              <w:keepLines w:val="0"/>
              <w:pageBreakBefore w:val="0"/>
              <w:widowControl/>
              <w:suppressLineNumbers w:val="0"/>
              <w:kinsoku/>
              <w:overflowPunct/>
              <w:topLinePunct w:val="0"/>
              <w:bidi w:val="0"/>
              <w:adjustRightInd/>
              <w:snapToGrid/>
              <w:spacing w:before="0" w:beforeAutospacing="0" w:after="0" w:afterAutospacing="0" w:line="360" w:lineRule="auto"/>
              <w:ind w:left="0" w:right="0"/>
              <w:jc w:val="left"/>
              <w:textAlignment w:val="auto"/>
              <w:rPr>
                <w:rFonts w:eastAsia="宋体"/>
                <w:sz w:val="24"/>
              </w:rPr>
            </w:pPr>
            <w:r>
              <w:rPr>
                <w:rFonts w:hint="eastAsia" w:ascii="微软雅黑" w:hAnsi="微软雅黑" w:eastAsia="宋体" w:cs="微软雅黑"/>
                <w:color w:val="333333"/>
                <w:sz w:val="24"/>
                <w:szCs w:val="21"/>
              </w:rPr>
              <w:t>唐河县滨河街道基础设施提升及土地整理项目等两个项目咨询机构采购招标项目的潜在投标人应在唐河县公共资源交易中心网站（http://www.thggzy.cn）获取招标文件，并于2022年08月31日09时00分（北京时间）前递交响应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rPr>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一、项目基本情况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rPr>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1、项目编号：唐财采购竞争性磋商-2022-129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rPr>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2、项目名称：唐河县滨河街道基础设施提升及土地整理项目等两个项目咨询机构采购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rPr>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3、采购方式：竞争性磋商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rPr>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4、预算金额：1,250,000.00元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rPr>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 xml:space="preserve">最高限价：1250000元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gridSpan w:val="2"/>
            <w:shd w:val="clear"/>
            <w:vAlign w:val="center"/>
          </w:tcPr>
          <w:tbl>
            <w:tblPr>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10"/>
              <w:gridCol w:w="2549"/>
              <w:gridCol w:w="3568"/>
              <w:gridCol w:w="1529"/>
              <w:gridCol w:w="203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250" w:type="pct"/>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序号</w:t>
                  </w:r>
                </w:p>
              </w:tc>
              <w:tc>
                <w:tcPr>
                  <w:tcW w:w="1250" w:type="pct"/>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包号</w:t>
                  </w:r>
                </w:p>
              </w:tc>
              <w:tc>
                <w:tcPr>
                  <w:tcW w:w="1750" w:type="pct"/>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包名称</w:t>
                  </w:r>
                </w:p>
              </w:tc>
              <w:tc>
                <w:tcPr>
                  <w:tcW w:w="750" w:type="pct"/>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包预算（元）</w:t>
                  </w:r>
                </w:p>
              </w:tc>
              <w:tc>
                <w:tcPr>
                  <w:tcW w:w="1000" w:type="pct"/>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包最高限价（元）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w:t>
                  </w:r>
                </w:p>
              </w:tc>
              <w:tc>
                <w:tcPr>
                  <w:tcW w:w="0" w:type="auto"/>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唐财采购竞争性磋商-2022-129-1</w:t>
                  </w:r>
                </w:p>
              </w:tc>
              <w:tc>
                <w:tcPr>
                  <w:tcW w:w="0" w:type="auto"/>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唐河县滨河街道基础设施提升及土地整理项目等两个项目咨询机构采购</w:t>
                  </w:r>
                </w:p>
              </w:tc>
              <w:tc>
                <w:tcPr>
                  <w:tcW w:w="0" w:type="auto"/>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1250000</w:t>
                  </w:r>
                </w:p>
              </w:tc>
              <w:tc>
                <w:tcPr>
                  <w:tcW w:w="0" w:type="auto"/>
                  <w:shd w:val="clear"/>
                  <w:vAlign w:val="center"/>
                </w:tcPr>
                <w:p>
                  <w:pPr>
                    <w:keepNext w:val="0"/>
                    <w:keepLines w:val="0"/>
                    <w:pageBreakBefore w:val="0"/>
                    <w:widowControl/>
                    <w:suppressLineNumbers w:val="0"/>
                    <w:kinsoku/>
                    <w:wordWrap w:val="0"/>
                    <w:overflowPunct/>
                    <w:topLinePunct w:val="0"/>
                    <w:bidi w:val="0"/>
                    <w:adjustRightInd/>
                    <w:snapToGrid/>
                    <w:spacing w:beforeAutospacing="0" w:afterAutospacing="0" w:line="360" w:lineRule="auto"/>
                    <w:jc w:val="center"/>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1250000</w:t>
                  </w:r>
                </w:p>
              </w:tc>
            </w:tr>
          </w:tbl>
          <w:p>
            <w:pPr>
              <w:keepNext w:val="0"/>
              <w:keepLines w:val="0"/>
              <w:pageBreakBefore w:val="0"/>
              <w:widowControl/>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5、采购需求（包括但不限于标的的名称、数量、简要技术需求或服务要求等）</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（1）项目实施地点：唐河县境内；</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（2）资金来源：自筹资金，已落实；</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（3）项目内容：为项目全流程投融资提供全过程咨询服务、编制可行性研究报告以及其他所必须的咨询服务</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（4）质量要求：符合国家相关规范及行业标准。</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（5）标段划分：共一个标段</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6、合同履行期限：因字数限制，详见磋商文件</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7、本项目是否接受联合体投标：否</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8、是否接受进口产品：否</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二、申请人资格要求：</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1、满足《中华人民共和国政府采购法》第二十二条规定；</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2、落实政府采购政策满足的资格要求：</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本项目执行扶持中小企业、监狱企业和残疾人福利性单位发展的政策。</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3、本项目的特定资格要求</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（1）具有独立承担民事责任的能力，供应商须要具备独立法人资格，且具有合格的营业执照、税务登记证、组织机构代码证或“三证合一”的营业执照；</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（2）供应商须具有工程咨询单位甲级资信证书；</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（3）供应商提供2020年或2021年经审计的财务报告；</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（4）供应商提供近半年任意一个月依法缴纳税收和社会保障资金的良好记录；</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（5）参加政府采购活动前三年内，在经营活动中没有重大违法记录的书面声明；（法定代表人或授权代理人签字并加盖公章）；</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（6）与本采购项目的其他供应商之间不得有隶属关系或为同一母公司。单位负责人为同一人或者存在控股、管理关系的不同单位，不得同时参加本项目的采购.(出具声明函)</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7）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提供查询结果网页截图，查询时间：不得早于公告发布之日】；</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（8）满足法律、行政法规及本项目招标文件规定的其他条件；</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（9）本次招标不接受联合体投标，不得分包、转包；</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注：本项目实行资格后审，审查内容以投标截止时间前填报上传南阳市企业诚信库信息为准，过期更改的诚信库信息不作为本项目评审依据。开评标现场不接受诚信库信息原件。诚信库上传信息必须内容齐全，真实有效，原件扫描件清晰可辨。否则，由此造成应得分而未得分或资格审查不合格等情况的，由投标人承担责任。</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三、获取采购文件</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1.时间：2022年08月19日 至 2022年08月25日，每天上午00:00至12:00，下午12:00至23:59（北京时间，法定节假日除外。）</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2.地点：唐河县公共资源交易中心网站（http://www.thggzy.cn）</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3.方式：网上下载。潜在供应商在南阳市公共资源交易中心办理CA数字证书，在南阳市交易平台诚信库进行登记注册，验证通过后可直接运用CA证书登录唐河县公共资源交易中心网站（www.thggzy.cn）诚信库会员系统进行网上下载采购文件。唐河县公共资源交易平台与南阳市公共资源交易平台诚信库系统互认共享、CA数字证书互认共享。</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4.售价：0元</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四、响应文件提交</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1.时间：2022年08月31日09时00分（北京时间）</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2.地点：唐河县公共资源交易中心网站（http://www.thggzy.cn）</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五、响应文件开启</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1.时间：2022年08月31日09时00分（北京时间）</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2.地点：唐河县公共资源交易中心第一开标室</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六、发布公告的媒介及招标公告期限</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 xml:space="preserve">本次招标公告在《河南省政府采购网》、《中国招标投标公共服务平台》、《中国政府采购网》和《唐河县公共资源交易中心》上发布， 招标公告期限为三个工作日。 </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七、其他补充事宜</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1、成功下载本项目采购文件的响应人为参与本项目政府采购活动合格响应人。</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2、该项目需要使用不见面开标，响应人无需前往现场来参与投标。各响应人根据手册要求，提前做好相关准备工作。附件：操作手册地址(下载中心或办事指南中自行下载)、不见面开标大厅地址：唐河县公共资源交易中心网站首页“不见面开标大厅”模块。</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3、该项目自行上传投标文件，无需寄送和递交非加密投标文件光盘等。需要注意开标前登录不见面系统进行签到，若在开标前未进行签到视为放弃本次投标。</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4、因响应人无需现场参与开标，所有准备工作需自行准备到位。开标过程中如遇到紧急事项，可在不见面开标大厅中进行提出异议或文字交流。严重问题可拨打现场技术电话：0377-68513077</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5、不见面开标过程中，如响应人准备不到位，造成无法及时解密、网络问题等情况造成开标无法继续的，视为该投标人自动放弃投标（30分钟内），将被退回响应文件。</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6、电子版响应文件应在磋商文件规定的投标截止时间前到达交易系统。逾期到达交易系统的电子投标文件视为放弃本次投标。</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7、网上不见面开标过程中，如因响应人准备不到位或网络问题造成未能及时解密的情况导致开标无法继续的，视为该响应人自动放弃投标，签到时间段截止后不再执行投标文件解密。</w:t>
            </w:r>
            <w:r>
              <w:rPr>
                <w:rFonts w:hint="eastAsia" w:ascii="微软雅黑" w:hAnsi="微软雅黑" w:eastAsia="宋体" w:cs="微软雅黑"/>
                <w:color w:val="333333"/>
                <w:kern w:val="0"/>
                <w:sz w:val="24"/>
                <w:szCs w:val="21"/>
                <w:bdr w:val="none" w:color="auto" w:sz="0" w:space="0"/>
                <w:lang w:val="en-US" w:eastAsia="zh-CN" w:bidi="ar"/>
              </w:rPr>
              <w:br w:type="textWrapping"/>
            </w:r>
            <w:r>
              <w:rPr>
                <w:rFonts w:hint="eastAsia" w:ascii="微软雅黑" w:hAnsi="微软雅黑" w:eastAsia="宋体" w:cs="微软雅黑"/>
                <w:color w:val="333333"/>
                <w:kern w:val="0"/>
                <w:sz w:val="24"/>
                <w:szCs w:val="21"/>
                <w:bdr w:val="none" w:color="auto" w:sz="0" w:space="0"/>
                <w:lang w:val="en-US" w:eastAsia="zh-CN" w:bidi="ar"/>
              </w:rPr>
              <w:t>8、二次报价时间及报价注意事项：请响应人在签到结束后，时刻注意系统提示信息，磋商小组会在系统上发起二次报价，请响应人及时在规定的时间段内填报二次报价。二次报价结束后方可离开。</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八、凡对本次招标提出询问，请按照以下方式联系</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1. 采购人信息</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名称：河南梵力建筑工程有限公司</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地址：唐河县泗州街道滨河路外滩57号楼</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联系人：张女士</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联系方式：18736552132</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2.采购代理机构信息（如有）</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名称：唐河县唐兴工程造价咨询有限公司</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地址：南阳市唐河县滨河街道凤山路财政局院内</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联系人：周先生</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联系方式：18737736749</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3.项目联系方式</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项目联系人：周先生</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p>
            <w:pPr>
              <w:keepNext w:val="0"/>
              <w:keepLines w:val="0"/>
              <w:pageBreakBefore w:val="0"/>
              <w:widowControl/>
              <w:suppressLineNumbers w:val="0"/>
              <w:kinsoku/>
              <w:overflowPunct/>
              <w:topLinePunct w:val="0"/>
              <w:bidi w:val="0"/>
              <w:adjustRightInd/>
              <w:snapToGrid/>
              <w:spacing w:beforeAutospacing="0" w:afterAutospacing="0" w:line="360" w:lineRule="auto"/>
              <w:jc w:val="left"/>
              <w:textAlignment w:val="auto"/>
              <w:rPr>
                <w:rFonts w:hint="eastAsia" w:ascii="微软雅黑" w:hAnsi="微软雅黑" w:eastAsia="宋体" w:cs="微软雅黑"/>
                <w:color w:val="333333"/>
                <w:sz w:val="24"/>
                <w:szCs w:val="21"/>
              </w:rPr>
            </w:pPr>
            <w:r>
              <w:rPr>
                <w:rFonts w:hint="eastAsia" w:ascii="微软雅黑" w:hAnsi="微软雅黑" w:eastAsia="宋体" w:cs="微软雅黑"/>
                <w:color w:val="333333"/>
                <w:kern w:val="0"/>
                <w:sz w:val="24"/>
                <w:szCs w:val="21"/>
                <w:bdr w:val="none" w:color="auto" w:sz="0" w:space="0"/>
                <w:lang w:val="en-US" w:eastAsia="zh-CN" w:bidi="ar"/>
              </w:rPr>
              <w:t>联系方式：18737736749</w:t>
            </w:r>
          </w:p>
        </w:tc>
        <w:tc>
          <w:tcPr>
            <w:tcW w:w="0" w:type="auto"/>
            <w:shd w:val="clear"/>
            <w:vAlign w:val="center"/>
          </w:tcPr>
          <w:p>
            <w:pPr>
              <w:keepNext w:val="0"/>
              <w:keepLines w:val="0"/>
              <w:pageBreakBefore w:val="0"/>
              <w:widowControl/>
              <w:kinsoku/>
              <w:overflowPunct/>
              <w:topLinePunct w:val="0"/>
              <w:bidi w:val="0"/>
              <w:adjustRightInd/>
              <w:snapToGrid/>
              <w:spacing w:beforeAutospacing="0" w:afterAutospacing="0" w:line="360" w:lineRule="auto"/>
              <w:textAlignment w:val="auto"/>
              <w:rPr>
                <w:rFonts w:hint="eastAsia" w:ascii="微软雅黑" w:hAnsi="微软雅黑" w:eastAsia="宋体" w:cs="微软雅黑"/>
                <w:color w:val="333333"/>
                <w:sz w:val="24"/>
                <w:szCs w:val="21"/>
              </w:rPr>
            </w:pPr>
          </w:p>
        </w:tc>
      </w:tr>
    </w:tbl>
    <w:p>
      <w:pPr>
        <w:sectPr>
          <w:footerReference r:id="rId5" w:type="default"/>
          <w:pgSz w:w="11910" w:h="16840"/>
          <w:pgMar w:top="1320" w:right="840" w:bottom="1000" w:left="860" w:header="1131" w:footer="805" w:gutter="0"/>
          <w:pgNumType w:start="1"/>
          <w:cols w:space="720" w:num="1"/>
        </w:sectPr>
      </w:pPr>
    </w:p>
    <w:p>
      <w:pPr>
        <w:pStyle w:val="5"/>
        <w:spacing w:before="3"/>
        <w:ind w:left="0"/>
        <w:jc w:val="center"/>
      </w:pPr>
      <w:bookmarkStart w:id="1" w:name="_Toc16029"/>
      <w:r>
        <w:rPr>
          <w:spacing w:val="14"/>
        </w:rPr>
        <w:t>第二部分 供应商须知</w:t>
      </w:r>
      <w:bookmarkEnd w:id="1"/>
    </w:p>
    <w:p>
      <w:pPr>
        <w:spacing w:before="71"/>
        <w:jc w:val="center"/>
        <w:outlineLvl w:val="1"/>
        <w:rPr>
          <w:b/>
          <w:sz w:val="16"/>
        </w:rPr>
      </w:pPr>
      <w:bookmarkStart w:id="2" w:name="_Toc14431"/>
      <w:r>
        <w:rPr>
          <w:b/>
          <w:sz w:val="24"/>
          <w:szCs w:val="28"/>
        </w:rPr>
        <w:t>供应商须知前附表</w:t>
      </w:r>
      <w:bookmarkEnd w:id="2"/>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6"/>
        <w:gridCol w:w="2270"/>
        <w:gridCol w:w="6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1" w:hRule="atLeast"/>
          <w:jc w:val="center"/>
        </w:trPr>
        <w:tc>
          <w:tcPr>
            <w:tcW w:w="816" w:type="dxa"/>
            <w:vAlign w:val="center"/>
          </w:tcPr>
          <w:p>
            <w:pPr>
              <w:pStyle w:val="43"/>
              <w:spacing w:line="360" w:lineRule="exact"/>
              <w:jc w:val="center"/>
              <w:rPr>
                <w:b/>
                <w:bCs/>
                <w:sz w:val="21"/>
              </w:rPr>
            </w:pPr>
            <w:r>
              <w:rPr>
                <w:b/>
                <w:bCs/>
                <w:sz w:val="21"/>
              </w:rPr>
              <w:t>序号</w:t>
            </w:r>
          </w:p>
        </w:tc>
        <w:tc>
          <w:tcPr>
            <w:tcW w:w="2270" w:type="dxa"/>
            <w:vAlign w:val="center"/>
          </w:tcPr>
          <w:p>
            <w:pPr>
              <w:pStyle w:val="43"/>
              <w:spacing w:line="360" w:lineRule="exact"/>
              <w:jc w:val="center"/>
              <w:rPr>
                <w:b/>
                <w:bCs/>
                <w:sz w:val="21"/>
              </w:rPr>
            </w:pPr>
            <w:r>
              <w:rPr>
                <w:b/>
                <w:bCs/>
                <w:sz w:val="21"/>
              </w:rPr>
              <w:t>条款名称</w:t>
            </w:r>
          </w:p>
        </w:tc>
        <w:tc>
          <w:tcPr>
            <w:tcW w:w="6377" w:type="dxa"/>
            <w:vAlign w:val="center"/>
          </w:tcPr>
          <w:p>
            <w:pPr>
              <w:pStyle w:val="43"/>
              <w:spacing w:line="360" w:lineRule="exact"/>
              <w:jc w:val="center"/>
              <w:rPr>
                <w:b/>
                <w:bCs/>
                <w:sz w:val="21"/>
              </w:rPr>
            </w:pPr>
            <w:r>
              <w:rPr>
                <w:b/>
                <w:bCs/>
                <w:sz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16" w:type="dxa"/>
            <w:vAlign w:val="center"/>
          </w:tcPr>
          <w:p>
            <w:pPr>
              <w:pStyle w:val="43"/>
              <w:spacing w:line="360" w:lineRule="exact"/>
              <w:jc w:val="center"/>
              <w:rPr>
                <w:sz w:val="21"/>
              </w:rPr>
            </w:pPr>
            <w:r>
              <w:rPr>
                <w:sz w:val="21"/>
              </w:rPr>
              <w:t>1</w:t>
            </w:r>
          </w:p>
        </w:tc>
        <w:tc>
          <w:tcPr>
            <w:tcW w:w="2270" w:type="dxa"/>
            <w:vAlign w:val="center"/>
          </w:tcPr>
          <w:p>
            <w:pPr>
              <w:pStyle w:val="43"/>
              <w:spacing w:line="360" w:lineRule="exact"/>
              <w:jc w:val="center"/>
              <w:rPr>
                <w:sz w:val="21"/>
              </w:rPr>
            </w:pPr>
            <w:r>
              <w:rPr>
                <w:sz w:val="21"/>
              </w:rPr>
              <w:t>项目名称</w:t>
            </w:r>
          </w:p>
        </w:tc>
        <w:tc>
          <w:tcPr>
            <w:tcW w:w="6377" w:type="dxa"/>
          </w:tcPr>
          <w:p>
            <w:pPr>
              <w:pStyle w:val="43"/>
              <w:spacing w:line="360" w:lineRule="exact"/>
              <w:rPr>
                <w:sz w:val="21"/>
              </w:rPr>
            </w:pPr>
            <w:r>
              <w:rPr>
                <w:rFonts w:hint="eastAsia"/>
                <w:sz w:val="21"/>
                <w:lang w:val="en-US" w:eastAsia="zh-CN"/>
              </w:rPr>
              <w:t>唐河县滨河街道基础设施提升及土地整理项目等两个项目咨询机构采购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9" w:hRule="atLeast"/>
          <w:jc w:val="center"/>
        </w:trPr>
        <w:tc>
          <w:tcPr>
            <w:tcW w:w="816" w:type="dxa"/>
            <w:vAlign w:val="center"/>
          </w:tcPr>
          <w:p>
            <w:pPr>
              <w:pStyle w:val="43"/>
              <w:spacing w:line="360" w:lineRule="exact"/>
              <w:jc w:val="center"/>
              <w:rPr>
                <w:sz w:val="21"/>
              </w:rPr>
            </w:pPr>
            <w:r>
              <w:rPr>
                <w:sz w:val="21"/>
              </w:rPr>
              <w:t>2</w:t>
            </w:r>
          </w:p>
        </w:tc>
        <w:tc>
          <w:tcPr>
            <w:tcW w:w="2270" w:type="dxa"/>
            <w:vAlign w:val="center"/>
          </w:tcPr>
          <w:p>
            <w:pPr>
              <w:pStyle w:val="43"/>
              <w:spacing w:line="360" w:lineRule="exact"/>
              <w:jc w:val="center"/>
              <w:rPr>
                <w:sz w:val="21"/>
              </w:rPr>
            </w:pPr>
            <w:r>
              <w:rPr>
                <w:sz w:val="21"/>
              </w:rPr>
              <w:t>采购人（招标人）</w:t>
            </w:r>
          </w:p>
        </w:tc>
        <w:tc>
          <w:tcPr>
            <w:tcW w:w="6377" w:type="dxa"/>
          </w:tcPr>
          <w:p>
            <w:pPr>
              <w:pStyle w:val="43"/>
              <w:spacing w:line="360" w:lineRule="exact"/>
              <w:rPr>
                <w:sz w:val="21"/>
              </w:rPr>
            </w:pPr>
            <w:r>
              <w:rPr>
                <w:rFonts w:hint="eastAsia"/>
                <w:sz w:val="21"/>
              </w:rPr>
              <w:t>名称：</w:t>
            </w:r>
            <w:r>
              <w:rPr>
                <w:rFonts w:hint="eastAsia"/>
                <w:sz w:val="21"/>
                <w:lang w:val="en-US" w:eastAsia="zh-CN"/>
              </w:rPr>
              <w:t>河南梵力建筑工程有限公司</w:t>
            </w:r>
          </w:p>
          <w:p>
            <w:pPr>
              <w:pStyle w:val="43"/>
              <w:spacing w:line="360" w:lineRule="exact"/>
              <w:rPr>
                <w:rFonts w:hint="eastAsia" w:eastAsia="宋体"/>
                <w:sz w:val="21"/>
                <w:lang w:eastAsia="zh-CN"/>
              </w:rPr>
            </w:pPr>
            <w:r>
              <w:rPr>
                <w:rFonts w:hint="eastAsia"/>
                <w:sz w:val="21"/>
              </w:rPr>
              <w:t>联系人：</w:t>
            </w:r>
            <w:r>
              <w:rPr>
                <w:rFonts w:hint="eastAsia"/>
                <w:sz w:val="21"/>
                <w:lang w:val="en-US" w:eastAsia="zh-CN"/>
              </w:rPr>
              <w:t>张女士</w:t>
            </w:r>
          </w:p>
          <w:p>
            <w:pPr>
              <w:pStyle w:val="43"/>
              <w:spacing w:line="360" w:lineRule="exact"/>
              <w:rPr>
                <w:sz w:val="21"/>
              </w:rPr>
            </w:pPr>
            <w:r>
              <w:rPr>
                <w:rFonts w:hint="eastAsia"/>
                <w:sz w:val="21"/>
              </w:rPr>
              <w:t>电话：</w:t>
            </w:r>
            <w:r>
              <w:rPr>
                <w:rFonts w:hint="eastAsia"/>
                <w:sz w:val="21"/>
                <w:lang w:val="en-US" w:eastAsia="zh-CN"/>
              </w:rPr>
              <w:t>18736552132</w:t>
            </w:r>
            <w:r>
              <w:rPr>
                <w:rFonts w:hint="eastAsia"/>
                <w:sz w:val="21"/>
              </w:rPr>
              <w:t xml:space="preserve"> </w:t>
            </w:r>
          </w:p>
          <w:p>
            <w:pPr>
              <w:pStyle w:val="43"/>
              <w:spacing w:line="360" w:lineRule="exact"/>
              <w:rPr>
                <w:sz w:val="21"/>
              </w:rPr>
            </w:pPr>
            <w:r>
              <w:rPr>
                <w:rFonts w:hint="eastAsia"/>
                <w:sz w:val="21"/>
              </w:rPr>
              <w:t>地址：</w:t>
            </w:r>
            <w:r>
              <w:rPr>
                <w:rFonts w:hint="eastAsia"/>
                <w:sz w:val="21"/>
                <w:lang w:val="en-US" w:eastAsia="zh-CN"/>
              </w:rPr>
              <w:t xml:space="preserve">唐河县泗州街道滨河路外滩57号楼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0" w:hRule="atLeast"/>
          <w:jc w:val="center"/>
        </w:trPr>
        <w:tc>
          <w:tcPr>
            <w:tcW w:w="816" w:type="dxa"/>
            <w:vAlign w:val="center"/>
          </w:tcPr>
          <w:p>
            <w:pPr>
              <w:pStyle w:val="43"/>
              <w:spacing w:line="360" w:lineRule="exact"/>
              <w:jc w:val="center"/>
              <w:rPr>
                <w:sz w:val="21"/>
              </w:rPr>
            </w:pPr>
            <w:r>
              <w:rPr>
                <w:sz w:val="21"/>
              </w:rPr>
              <w:t>3</w:t>
            </w:r>
          </w:p>
        </w:tc>
        <w:tc>
          <w:tcPr>
            <w:tcW w:w="2270" w:type="dxa"/>
            <w:vAlign w:val="center"/>
          </w:tcPr>
          <w:p>
            <w:pPr>
              <w:pStyle w:val="43"/>
              <w:spacing w:line="360" w:lineRule="exact"/>
              <w:jc w:val="center"/>
              <w:rPr>
                <w:sz w:val="21"/>
              </w:rPr>
            </w:pPr>
            <w:r>
              <w:rPr>
                <w:sz w:val="21"/>
              </w:rPr>
              <w:t>招标代理机构</w:t>
            </w:r>
          </w:p>
        </w:tc>
        <w:tc>
          <w:tcPr>
            <w:tcW w:w="6377" w:type="dxa"/>
          </w:tcPr>
          <w:p>
            <w:pPr>
              <w:pStyle w:val="43"/>
              <w:spacing w:line="360" w:lineRule="exact"/>
              <w:rPr>
                <w:sz w:val="21"/>
              </w:rPr>
            </w:pPr>
            <w:r>
              <w:rPr>
                <w:sz w:val="21"/>
              </w:rPr>
              <w:t>名</w:t>
            </w:r>
            <w:r>
              <w:rPr>
                <w:rFonts w:hint="eastAsia"/>
                <w:sz w:val="21"/>
              </w:rPr>
              <w:t>称：唐河县唐兴工程造价咨询有限公司</w:t>
            </w:r>
          </w:p>
          <w:p>
            <w:pPr>
              <w:pStyle w:val="43"/>
              <w:spacing w:line="360" w:lineRule="exact"/>
              <w:rPr>
                <w:sz w:val="21"/>
              </w:rPr>
            </w:pPr>
            <w:r>
              <w:rPr>
                <w:rFonts w:hint="eastAsia"/>
                <w:sz w:val="21"/>
              </w:rPr>
              <w:t>地址：唐河县滨河街道凤山路财政局院内</w:t>
            </w:r>
          </w:p>
          <w:p>
            <w:pPr>
              <w:pStyle w:val="43"/>
              <w:spacing w:line="360" w:lineRule="exact"/>
              <w:rPr>
                <w:sz w:val="21"/>
              </w:rPr>
            </w:pPr>
            <w:r>
              <w:rPr>
                <w:rFonts w:hint="eastAsia"/>
                <w:sz w:val="21"/>
              </w:rPr>
              <w:t>项目联系人：周先生</w:t>
            </w:r>
          </w:p>
          <w:p>
            <w:pPr>
              <w:pStyle w:val="43"/>
              <w:spacing w:line="360" w:lineRule="exact"/>
              <w:rPr>
                <w:rFonts w:hint="default" w:eastAsia="宋体"/>
                <w:sz w:val="21"/>
                <w:lang w:val="en-US" w:eastAsia="zh-CN"/>
              </w:rPr>
            </w:pPr>
            <w:r>
              <w:rPr>
                <w:rFonts w:hint="eastAsia"/>
                <w:sz w:val="21"/>
              </w:rPr>
              <w:t>联系方式：</w:t>
            </w:r>
            <w:r>
              <w:rPr>
                <w:rFonts w:hint="eastAsia"/>
                <w:sz w:val="21"/>
                <w:lang w:val="en-US" w:eastAsia="zh-CN"/>
              </w:rPr>
              <w:t>18737736749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4" w:hRule="atLeast"/>
          <w:jc w:val="center"/>
        </w:trPr>
        <w:tc>
          <w:tcPr>
            <w:tcW w:w="816" w:type="dxa"/>
            <w:vAlign w:val="center"/>
          </w:tcPr>
          <w:p>
            <w:pPr>
              <w:pStyle w:val="43"/>
              <w:spacing w:line="360" w:lineRule="exact"/>
              <w:jc w:val="center"/>
              <w:rPr>
                <w:sz w:val="21"/>
              </w:rPr>
            </w:pPr>
            <w:r>
              <w:rPr>
                <w:sz w:val="21"/>
              </w:rPr>
              <w:t>4</w:t>
            </w:r>
          </w:p>
        </w:tc>
        <w:tc>
          <w:tcPr>
            <w:tcW w:w="2270" w:type="dxa"/>
            <w:vAlign w:val="center"/>
          </w:tcPr>
          <w:p>
            <w:pPr>
              <w:pStyle w:val="43"/>
              <w:spacing w:line="360" w:lineRule="exact"/>
              <w:jc w:val="center"/>
              <w:rPr>
                <w:sz w:val="21"/>
              </w:rPr>
            </w:pPr>
            <w:r>
              <w:rPr>
                <w:sz w:val="21"/>
              </w:rPr>
              <w:t>供应商的资格条件</w:t>
            </w:r>
          </w:p>
        </w:tc>
        <w:tc>
          <w:tcPr>
            <w:tcW w:w="6377" w:type="dxa"/>
          </w:tcPr>
          <w:p>
            <w:pPr>
              <w:pStyle w:val="43"/>
              <w:spacing w:line="360" w:lineRule="exact"/>
              <w:rPr>
                <w:b/>
                <w:sz w:val="21"/>
              </w:rPr>
            </w:pPr>
            <w:r>
              <w:rPr>
                <w:sz w:val="21"/>
              </w:rPr>
              <w:t>详见磋商公告 “二、</w:t>
            </w:r>
            <w:r>
              <w:rPr>
                <w:b/>
                <w:sz w:val="21"/>
              </w:rPr>
              <w:t>申请人资格要求”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816" w:type="dxa"/>
            <w:vAlign w:val="center"/>
          </w:tcPr>
          <w:p>
            <w:pPr>
              <w:pStyle w:val="43"/>
              <w:spacing w:line="360" w:lineRule="exact"/>
              <w:jc w:val="center"/>
              <w:rPr>
                <w:sz w:val="21"/>
              </w:rPr>
            </w:pPr>
            <w:r>
              <w:rPr>
                <w:sz w:val="21"/>
              </w:rPr>
              <w:t>5</w:t>
            </w:r>
          </w:p>
        </w:tc>
        <w:tc>
          <w:tcPr>
            <w:tcW w:w="2270" w:type="dxa"/>
            <w:vAlign w:val="center"/>
          </w:tcPr>
          <w:p>
            <w:pPr>
              <w:pStyle w:val="43"/>
              <w:spacing w:line="360" w:lineRule="exact"/>
              <w:jc w:val="center"/>
              <w:rPr>
                <w:sz w:val="21"/>
              </w:rPr>
            </w:pPr>
            <w:r>
              <w:rPr>
                <w:sz w:val="21"/>
              </w:rPr>
              <w:t>采购内容</w:t>
            </w:r>
          </w:p>
        </w:tc>
        <w:tc>
          <w:tcPr>
            <w:tcW w:w="6377" w:type="dxa"/>
          </w:tcPr>
          <w:p>
            <w:pPr>
              <w:pStyle w:val="43"/>
              <w:spacing w:line="360" w:lineRule="exact"/>
              <w:rPr>
                <w:sz w:val="21"/>
              </w:rPr>
            </w:pPr>
            <w:r>
              <w:rPr>
                <w:sz w:val="21"/>
              </w:rPr>
              <w:t>详见磋商</w:t>
            </w:r>
            <w:r>
              <w:rPr>
                <w:rFonts w:hint="eastAsia"/>
                <w:sz w:val="21"/>
              </w:rPr>
              <w:t xml:space="preserve">公告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9" w:hRule="atLeast"/>
          <w:jc w:val="center"/>
        </w:trPr>
        <w:tc>
          <w:tcPr>
            <w:tcW w:w="816" w:type="dxa"/>
            <w:vAlign w:val="center"/>
          </w:tcPr>
          <w:p>
            <w:pPr>
              <w:pStyle w:val="43"/>
              <w:spacing w:line="360" w:lineRule="exact"/>
              <w:jc w:val="center"/>
              <w:rPr>
                <w:sz w:val="21"/>
              </w:rPr>
            </w:pPr>
            <w:r>
              <w:rPr>
                <w:sz w:val="21"/>
              </w:rPr>
              <w:t>6</w:t>
            </w:r>
          </w:p>
        </w:tc>
        <w:tc>
          <w:tcPr>
            <w:tcW w:w="2270" w:type="dxa"/>
            <w:vAlign w:val="center"/>
          </w:tcPr>
          <w:p>
            <w:pPr>
              <w:pStyle w:val="43"/>
              <w:spacing w:line="360" w:lineRule="exact"/>
              <w:jc w:val="center"/>
              <w:rPr>
                <w:sz w:val="21"/>
              </w:rPr>
            </w:pPr>
            <w:r>
              <w:rPr>
                <w:rFonts w:hint="eastAsia"/>
                <w:sz w:val="21"/>
              </w:rPr>
              <w:t>服务期限</w:t>
            </w:r>
          </w:p>
        </w:tc>
        <w:tc>
          <w:tcPr>
            <w:tcW w:w="6377" w:type="dxa"/>
          </w:tcPr>
          <w:p>
            <w:pPr>
              <w:pStyle w:val="43"/>
              <w:spacing w:line="360" w:lineRule="exact"/>
              <w:rPr>
                <w:sz w:val="21"/>
              </w:rPr>
            </w:pPr>
            <w:r>
              <w:rPr>
                <w:rFonts w:hint="eastAsia"/>
                <w:sz w:val="21"/>
              </w:rPr>
              <w:t xml:space="preserve">自本项目咨询服务合同签订之日起至项目获得金融机构授信为止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9" w:hRule="atLeast"/>
          <w:jc w:val="center"/>
        </w:trPr>
        <w:tc>
          <w:tcPr>
            <w:tcW w:w="816" w:type="dxa"/>
            <w:vAlign w:val="center"/>
          </w:tcPr>
          <w:p>
            <w:pPr>
              <w:pStyle w:val="43"/>
              <w:spacing w:line="360" w:lineRule="exact"/>
              <w:jc w:val="center"/>
              <w:rPr>
                <w:sz w:val="21"/>
              </w:rPr>
            </w:pPr>
            <w:r>
              <w:rPr>
                <w:sz w:val="21"/>
              </w:rPr>
              <w:t>7</w:t>
            </w:r>
          </w:p>
        </w:tc>
        <w:tc>
          <w:tcPr>
            <w:tcW w:w="2270" w:type="dxa"/>
            <w:vAlign w:val="center"/>
          </w:tcPr>
          <w:p>
            <w:pPr>
              <w:pStyle w:val="43"/>
              <w:spacing w:line="360" w:lineRule="exact"/>
              <w:jc w:val="center"/>
              <w:rPr>
                <w:sz w:val="21"/>
              </w:rPr>
            </w:pPr>
            <w:r>
              <w:rPr>
                <w:sz w:val="21"/>
              </w:rPr>
              <w:t>质量要求</w:t>
            </w:r>
          </w:p>
        </w:tc>
        <w:tc>
          <w:tcPr>
            <w:tcW w:w="6377" w:type="dxa"/>
          </w:tcPr>
          <w:p>
            <w:pPr>
              <w:pStyle w:val="43"/>
              <w:spacing w:line="360" w:lineRule="exact"/>
              <w:rPr>
                <w:sz w:val="21"/>
              </w:rPr>
            </w:pPr>
            <w:r>
              <w:rPr>
                <w:sz w:val="21"/>
              </w:rPr>
              <w:t>符合国家相关规范及行业标准。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1" w:hRule="atLeast"/>
          <w:jc w:val="center"/>
        </w:trPr>
        <w:tc>
          <w:tcPr>
            <w:tcW w:w="816" w:type="dxa"/>
            <w:vAlign w:val="center"/>
          </w:tcPr>
          <w:p>
            <w:pPr>
              <w:pStyle w:val="43"/>
              <w:spacing w:line="360" w:lineRule="exact"/>
              <w:jc w:val="center"/>
              <w:rPr>
                <w:rFonts w:hint="eastAsia" w:eastAsia="宋体"/>
                <w:sz w:val="21"/>
                <w:lang w:eastAsia="zh-CN"/>
              </w:rPr>
            </w:pPr>
            <w:r>
              <w:rPr>
                <w:rFonts w:hint="eastAsia"/>
                <w:sz w:val="21"/>
                <w:lang w:val="en-US" w:eastAsia="zh-CN"/>
              </w:rPr>
              <w:t>8</w:t>
            </w:r>
          </w:p>
        </w:tc>
        <w:tc>
          <w:tcPr>
            <w:tcW w:w="2270" w:type="dxa"/>
            <w:vAlign w:val="center"/>
          </w:tcPr>
          <w:p>
            <w:pPr>
              <w:pStyle w:val="43"/>
              <w:spacing w:line="360" w:lineRule="exact"/>
              <w:jc w:val="center"/>
              <w:rPr>
                <w:sz w:val="21"/>
              </w:rPr>
            </w:pPr>
            <w:r>
              <w:rPr>
                <w:sz w:val="21"/>
              </w:rPr>
              <w:t>踏勘现场</w:t>
            </w:r>
          </w:p>
        </w:tc>
        <w:tc>
          <w:tcPr>
            <w:tcW w:w="6377" w:type="dxa"/>
          </w:tcPr>
          <w:p>
            <w:pPr>
              <w:pStyle w:val="43"/>
              <w:spacing w:line="360" w:lineRule="exact"/>
              <w:rPr>
                <w:sz w:val="21"/>
              </w:rPr>
            </w:pPr>
            <w:r>
              <w:rPr>
                <w:sz w:val="21"/>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816" w:type="dxa"/>
            <w:vAlign w:val="center"/>
          </w:tcPr>
          <w:p>
            <w:pPr>
              <w:pStyle w:val="43"/>
              <w:spacing w:line="360" w:lineRule="exact"/>
              <w:jc w:val="center"/>
              <w:rPr>
                <w:rFonts w:hint="eastAsia" w:eastAsia="宋体"/>
                <w:sz w:val="21"/>
                <w:lang w:eastAsia="zh-CN"/>
              </w:rPr>
            </w:pPr>
            <w:r>
              <w:rPr>
                <w:rFonts w:hint="eastAsia"/>
                <w:sz w:val="21"/>
                <w:lang w:val="en-US" w:eastAsia="zh-CN"/>
              </w:rPr>
              <w:t>9</w:t>
            </w:r>
          </w:p>
        </w:tc>
        <w:tc>
          <w:tcPr>
            <w:tcW w:w="2270" w:type="dxa"/>
            <w:vAlign w:val="center"/>
          </w:tcPr>
          <w:p>
            <w:pPr>
              <w:pStyle w:val="43"/>
              <w:spacing w:line="360" w:lineRule="exact"/>
              <w:jc w:val="center"/>
              <w:rPr>
                <w:sz w:val="21"/>
              </w:rPr>
            </w:pPr>
            <w:r>
              <w:rPr>
                <w:sz w:val="21"/>
              </w:rPr>
              <w:t>磋商预备会</w:t>
            </w:r>
          </w:p>
        </w:tc>
        <w:tc>
          <w:tcPr>
            <w:tcW w:w="6377" w:type="dxa"/>
          </w:tcPr>
          <w:p>
            <w:pPr>
              <w:pStyle w:val="43"/>
              <w:spacing w:line="360" w:lineRule="exact"/>
              <w:rPr>
                <w:sz w:val="21"/>
              </w:rPr>
            </w:pPr>
            <w:r>
              <w:rPr>
                <w:sz w:val="21"/>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9" w:hRule="atLeast"/>
          <w:jc w:val="center"/>
        </w:trPr>
        <w:tc>
          <w:tcPr>
            <w:tcW w:w="816" w:type="dxa"/>
            <w:vAlign w:val="center"/>
          </w:tcPr>
          <w:p>
            <w:pPr>
              <w:pStyle w:val="43"/>
              <w:spacing w:line="360" w:lineRule="exact"/>
              <w:jc w:val="center"/>
              <w:rPr>
                <w:rFonts w:hint="eastAsia" w:eastAsia="宋体"/>
                <w:sz w:val="21"/>
                <w:lang w:eastAsia="zh-CN"/>
              </w:rPr>
            </w:pPr>
            <w:r>
              <w:rPr>
                <w:sz w:val="21"/>
              </w:rPr>
              <w:t>1</w:t>
            </w:r>
            <w:r>
              <w:rPr>
                <w:rFonts w:hint="eastAsia"/>
                <w:sz w:val="21"/>
                <w:lang w:val="en-US" w:eastAsia="zh-CN"/>
              </w:rPr>
              <w:t>0</w:t>
            </w:r>
          </w:p>
        </w:tc>
        <w:tc>
          <w:tcPr>
            <w:tcW w:w="2270" w:type="dxa"/>
            <w:vAlign w:val="center"/>
          </w:tcPr>
          <w:p>
            <w:pPr>
              <w:pStyle w:val="43"/>
              <w:spacing w:line="360" w:lineRule="exact"/>
              <w:jc w:val="center"/>
              <w:rPr>
                <w:sz w:val="21"/>
              </w:rPr>
            </w:pPr>
            <w:r>
              <w:rPr>
                <w:sz w:val="21"/>
              </w:rPr>
              <w:t>偏离</w:t>
            </w:r>
          </w:p>
        </w:tc>
        <w:tc>
          <w:tcPr>
            <w:tcW w:w="6377" w:type="dxa"/>
          </w:tcPr>
          <w:p>
            <w:pPr>
              <w:pStyle w:val="43"/>
              <w:spacing w:line="360" w:lineRule="exact"/>
              <w:rPr>
                <w:sz w:val="21"/>
              </w:rPr>
            </w:pPr>
            <w:r>
              <w:rPr>
                <w:sz w:val="21"/>
              </w:rPr>
              <w:t>不允许偏离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74" w:hRule="atLeast"/>
          <w:jc w:val="center"/>
        </w:trPr>
        <w:tc>
          <w:tcPr>
            <w:tcW w:w="816" w:type="dxa"/>
            <w:vAlign w:val="center"/>
          </w:tcPr>
          <w:p>
            <w:pPr>
              <w:pStyle w:val="43"/>
              <w:spacing w:line="360" w:lineRule="exact"/>
              <w:jc w:val="center"/>
              <w:rPr>
                <w:rFonts w:hint="eastAsia" w:eastAsia="宋体"/>
                <w:sz w:val="21"/>
                <w:lang w:eastAsia="zh-CN"/>
              </w:rPr>
            </w:pPr>
            <w:r>
              <w:rPr>
                <w:sz w:val="21"/>
              </w:rPr>
              <w:t>1</w:t>
            </w:r>
            <w:r>
              <w:rPr>
                <w:rFonts w:hint="eastAsia"/>
                <w:sz w:val="21"/>
                <w:lang w:val="en-US" w:eastAsia="zh-CN"/>
              </w:rPr>
              <w:t>1</w:t>
            </w:r>
          </w:p>
        </w:tc>
        <w:tc>
          <w:tcPr>
            <w:tcW w:w="2270" w:type="dxa"/>
            <w:vAlign w:val="center"/>
          </w:tcPr>
          <w:p>
            <w:pPr>
              <w:pStyle w:val="43"/>
              <w:spacing w:line="360" w:lineRule="exact"/>
              <w:jc w:val="center"/>
              <w:rPr>
                <w:sz w:val="21"/>
              </w:rPr>
            </w:pPr>
            <w:r>
              <w:rPr>
                <w:sz w:val="21"/>
              </w:rPr>
              <w:t>构成磋商文件的其他材料</w:t>
            </w:r>
          </w:p>
        </w:tc>
        <w:tc>
          <w:tcPr>
            <w:tcW w:w="6377" w:type="dxa"/>
          </w:tcPr>
          <w:p>
            <w:pPr>
              <w:pStyle w:val="43"/>
              <w:spacing w:line="360" w:lineRule="exact"/>
              <w:rPr>
                <w:sz w:val="21"/>
              </w:rPr>
            </w:pPr>
            <w:r>
              <w:rPr>
                <w:sz w:val="21"/>
              </w:rPr>
              <w:t>除磋商文件内容外，采购人在磋商期间发出的有编号的补遗书和其它有效正式函件，均是磋商文件的组成部分，请各投标单位及时关注以下网站《河南省政府采购网》、《中国政府采购网》、《中国招标投标公共服务平台》和《唐河县公共资源交易中心》上发布的有关本项目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2" w:hRule="atLeast"/>
          <w:jc w:val="center"/>
        </w:trPr>
        <w:tc>
          <w:tcPr>
            <w:tcW w:w="816" w:type="dxa"/>
            <w:vAlign w:val="center"/>
          </w:tcPr>
          <w:p>
            <w:pPr>
              <w:pStyle w:val="43"/>
              <w:spacing w:line="360" w:lineRule="exact"/>
              <w:jc w:val="center"/>
              <w:rPr>
                <w:rFonts w:hint="eastAsia" w:eastAsia="宋体"/>
                <w:sz w:val="21"/>
                <w:lang w:eastAsia="zh-CN"/>
              </w:rPr>
            </w:pPr>
            <w:r>
              <w:rPr>
                <w:sz w:val="21"/>
              </w:rPr>
              <w:t>1</w:t>
            </w:r>
            <w:r>
              <w:rPr>
                <w:rFonts w:hint="eastAsia"/>
                <w:sz w:val="21"/>
                <w:lang w:val="en-US" w:eastAsia="zh-CN"/>
              </w:rPr>
              <w:t>2</w:t>
            </w:r>
          </w:p>
        </w:tc>
        <w:tc>
          <w:tcPr>
            <w:tcW w:w="2270" w:type="dxa"/>
            <w:vAlign w:val="center"/>
          </w:tcPr>
          <w:p>
            <w:pPr>
              <w:pStyle w:val="43"/>
              <w:spacing w:line="360" w:lineRule="exact"/>
              <w:jc w:val="center"/>
              <w:rPr>
                <w:sz w:val="21"/>
              </w:rPr>
            </w:pPr>
            <w:r>
              <w:rPr>
                <w:sz w:val="21"/>
              </w:rPr>
              <w:t>磋商控制价</w:t>
            </w:r>
          </w:p>
        </w:tc>
        <w:tc>
          <w:tcPr>
            <w:tcW w:w="6377" w:type="dxa"/>
          </w:tcPr>
          <w:p>
            <w:pPr>
              <w:pStyle w:val="43"/>
              <w:spacing w:line="360" w:lineRule="exact"/>
              <w:rPr>
                <w:color w:val="FF0000"/>
                <w:sz w:val="21"/>
              </w:rPr>
            </w:pPr>
            <w:r>
              <w:rPr>
                <w:color w:val="FF0000"/>
                <w:sz w:val="21"/>
              </w:rPr>
              <w:t>磋商控制价：</w:t>
            </w:r>
          </w:p>
          <w:p>
            <w:pPr>
              <w:pStyle w:val="43"/>
              <w:spacing w:line="360" w:lineRule="exact"/>
              <w:rPr>
                <w:sz w:val="21"/>
              </w:rPr>
            </w:pPr>
            <w:r>
              <w:rPr>
                <w:color w:val="FF0000"/>
                <w:sz w:val="21"/>
              </w:rPr>
              <w:t>小写：</w:t>
            </w:r>
            <w:r>
              <w:rPr>
                <w:rFonts w:hint="eastAsia"/>
                <w:color w:val="FF0000"/>
                <w:sz w:val="21"/>
                <w:lang w:val="en-US" w:eastAsia="zh-CN"/>
              </w:rPr>
              <w:t>125</w:t>
            </w:r>
            <w:r>
              <w:rPr>
                <w:rFonts w:hint="eastAsia"/>
                <w:color w:val="FF0000"/>
                <w:sz w:val="21"/>
              </w:rPr>
              <w:t>万元</w:t>
            </w:r>
            <w:r>
              <w:rPr>
                <w:color w:val="FF0000"/>
                <w:sz w:val="21"/>
              </w:rPr>
              <w:t xml:space="preserve"> </w:t>
            </w:r>
          </w:p>
          <w:p>
            <w:pPr>
              <w:pStyle w:val="43"/>
              <w:spacing w:line="360" w:lineRule="exact"/>
              <w:rPr>
                <w:color w:val="FF0000"/>
                <w:sz w:val="21"/>
              </w:rPr>
            </w:pPr>
            <w:r>
              <w:rPr>
                <w:color w:val="FF0000"/>
                <w:sz w:val="21"/>
              </w:rPr>
              <w:t>大写</w:t>
            </w:r>
            <w:r>
              <w:rPr>
                <w:rFonts w:hint="eastAsia"/>
                <w:color w:val="FF0000"/>
                <w:sz w:val="21"/>
              </w:rPr>
              <w:t>：</w:t>
            </w:r>
            <w:r>
              <w:rPr>
                <w:rFonts w:hint="eastAsia"/>
                <w:color w:val="FF0000"/>
                <w:sz w:val="21"/>
                <w:lang w:val="en-US" w:eastAsia="zh-CN"/>
              </w:rPr>
              <w:t>壹佰贰拾伍万</w:t>
            </w:r>
            <w:r>
              <w:rPr>
                <w:rFonts w:hint="eastAsia"/>
                <w:color w:val="FF0000"/>
                <w:sz w:val="21"/>
              </w:rPr>
              <w:t>元整</w:t>
            </w:r>
          </w:p>
          <w:p>
            <w:pPr>
              <w:pStyle w:val="43"/>
              <w:spacing w:line="360" w:lineRule="exact"/>
              <w:rPr>
                <w:sz w:val="21"/>
              </w:rPr>
            </w:pPr>
            <w:r>
              <w:rPr>
                <w:color w:val="FF0000"/>
                <w:sz w:val="21"/>
              </w:rPr>
              <w:t>注：供应商的磋商报价不得超过磋商控制价，否则按废标处理。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816" w:type="dxa"/>
            <w:vAlign w:val="center"/>
          </w:tcPr>
          <w:p>
            <w:pPr>
              <w:pStyle w:val="43"/>
              <w:spacing w:line="360" w:lineRule="exact"/>
              <w:jc w:val="center"/>
              <w:rPr>
                <w:rFonts w:hint="eastAsia" w:eastAsia="宋体"/>
                <w:sz w:val="21"/>
                <w:lang w:eastAsia="zh-CN"/>
              </w:rPr>
            </w:pPr>
            <w:r>
              <w:rPr>
                <w:sz w:val="21"/>
              </w:rPr>
              <w:t>1</w:t>
            </w:r>
            <w:r>
              <w:rPr>
                <w:rFonts w:hint="eastAsia"/>
                <w:sz w:val="21"/>
                <w:lang w:val="en-US" w:eastAsia="zh-CN"/>
              </w:rPr>
              <w:t>3</w:t>
            </w:r>
          </w:p>
        </w:tc>
        <w:tc>
          <w:tcPr>
            <w:tcW w:w="2270" w:type="dxa"/>
            <w:vAlign w:val="center"/>
          </w:tcPr>
          <w:p>
            <w:pPr>
              <w:pStyle w:val="43"/>
              <w:spacing w:line="360" w:lineRule="exact"/>
              <w:jc w:val="center"/>
              <w:rPr>
                <w:sz w:val="21"/>
              </w:rPr>
            </w:pPr>
            <w:r>
              <w:rPr>
                <w:sz w:val="21"/>
              </w:rPr>
              <w:t>磋商文件的发售方式</w:t>
            </w:r>
          </w:p>
          <w:p>
            <w:pPr>
              <w:pStyle w:val="43"/>
              <w:spacing w:line="360" w:lineRule="exact"/>
              <w:jc w:val="center"/>
              <w:rPr>
                <w:sz w:val="21"/>
              </w:rPr>
            </w:pPr>
            <w:r>
              <w:rPr>
                <w:sz w:val="21"/>
              </w:rPr>
              <w:t>及领取时间、地点</w:t>
            </w:r>
          </w:p>
        </w:tc>
        <w:tc>
          <w:tcPr>
            <w:tcW w:w="6377" w:type="dxa"/>
            <w:vAlign w:val="center"/>
          </w:tcPr>
          <w:p>
            <w:pPr>
              <w:pStyle w:val="43"/>
              <w:spacing w:line="360" w:lineRule="exact"/>
              <w:jc w:val="both"/>
              <w:rPr>
                <w:sz w:val="21"/>
              </w:rPr>
            </w:pPr>
            <w:r>
              <w:rPr>
                <w:sz w:val="21"/>
              </w:rPr>
              <w:t>详见磋商公告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816" w:type="dxa"/>
            <w:vAlign w:val="center"/>
          </w:tcPr>
          <w:p>
            <w:pPr>
              <w:pStyle w:val="43"/>
              <w:spacing w:line="360" w:lineRule="exact"/>
              <w:jc w:val="center"/>
              <w:rPr>
                <w:rFonts w:hint="eastAsia" w:eastAsia="宋体"/>
                <w:sz w:val="21"/>
                <w:lang w:eastAsia="zh-CN"/>
              </w:rPr>
            </w:pPr>
            <w:r>
              <w:rPr>
                <w:sz w:val="21"/>
              </w:rPr>
              <w:t>1</w:t>
            </w:r>
            <w:r>
              <w:rPr>
                <w:rFonts w:hint="eastAsia"/>
                <w:sz w:val="21"/>
                <w:lang w:val="en-US" w:eastAsia="zh-CN"/>
              </w:rPr>
              <w:t>4</w:t>
            </w:r>
          </w:p>
        </w:tc>
        <w:tc>
          <w:tcPr>
            <w:tcW w:w="2270" w:type="dxa"/>
            <w:vAlign w:val="center"/>
          </w:tcPr>
          <w:p>
            <w:pPr>
              <w:pStyle w:val="43"/>
              <w:spacing w:line="360" w:lineRule="exact"/>
              <w:jc w:val="center"/>
              <w:rPr>
                <w:sz w:val="21"/>
              </w:rPr>
            </w:pPr>
            <w:r>
              <w:rPr>
                <w:sz w:val="21"/>
              </w:rPr>
              <w:t>响应性文件递交截止</w:t>
            </w:r>
          </w:p>
          <w:p>
            <w:pPr>
              <w:pStyle w:val="43"/>
              <w:spacing w:line="360" w:lineRule="exact"/>
              <w:jc w:val="center"/>
              <w:rPr>
                <w:sz w:val="21"/>
              </w:rPr>
            </w:pPr>
            <w:r>
              <w:rPr>
                <w:sz w:val="21"/>
              </w:rPr>
              <w:t>时间（同磋商时间）</w:t>
            </w:r>
          </w:p>
        </w:tc>
        <w:tc>
          <w:tcPr>
            <w:tcW w:w="6377" w:type="dxa"/>
            <w:vAlign w:val="center"/>
          </w:tcPr>
          <w:p>
            <w:pPr>
              <w:pStyle w:val="43"/>
              <w:spacing w:line="360" w:lineRule="exact"/>
              <w:jc w:val="both"/>
              <w:rPr>
                <w:sz w:val="21"/>
              </w:rPr>
            </w:pPr>
            <w:r>
              <w:rPr>
                <w:sz w:val="21"/>
              </w:rPr>
              <w:t>详见磋商公告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9" w:hRule="atLeast"/>
          <w:jc w:val="center"/>
        </w:trPr>
        <w:tc>
          <w:tcPr>
            <w:tcW w:w="816" w:type="dxa"/>
            <w:vAlign w:val="center"/>
          </w:tcPr>
          <w:p>
            <w:pPr>
              <w:pStyle w:val="43"/>
              <w:spacing w:line="360" w:lineRule="exact"/>
              <w:jc w:val="center"/>
              <w:rPr>
                <w:rFonts w:hint="eastAsia" w:eastAsia="宋体"/>
                <w:sz w:val="21"/>
                <w:lang w:eastAsia="zh-CN"/>
              </w:rPr>
            </w:pPr>
            <w:r>
              <w:rPr>
                <w:sz w:val="21"/>
              </w:rPr>
              <w:t>1</w:t>
            </w:r>
            <w:r>
              <w:rPr>
                <w:rFonts w:hint="eastAsia"/>
                <w:sz w:val="21"/>
                <w:lang w:val="en-US" w:eastAsia="zh-CN"/>
              </w:rPr>
              <w:t>5</w:t>
            </w:r>
          </w:p>
        </w:tc>
        <w:tc>
          <w:tcPr>
            <w:tcW w:w="2270" w:type="dxa"/>
            <w:vAlign w:val="center"/>
          </w:tcPr>
          <w:p>
            <w:pPr>
              <w:pStyle w:val="43"/>
              <w:spacing w:line="360" w:lineRule="exact"/>
              <w:jc w:val="center"/>
              <w:rPr>
                <w:sz w:val="21"/>
              </w:rPr>
            </w:pPr>
            <w:r>
              <w:rPr>
                <w:sz w:val="21"/>
              </w:rPr>
              <w:t>磋商文件递交地点（同磋商地点）</w:t>
            </w:r>
          </w:p>
        </w:tc>
        <w:tc>
          <w:tcPr>
            <w:tcW w:w="6377" w:type="dxa"/>
            <w:vAlign w:val="center"/>
          </w:tcPr>
          <w:p>
            <w:pPr>
              <w:pStyle w:val="43"/>
              <w:spacing w:line="360" w:lineRule="exact"/>
              <w:jc w:val="both"/>
              <w:rPr>
                <w:sz w:val="21"/>
              </w:rPr>
            </w:pPr>
            <w:r>
              <w:rPr>
                <w:sz w:val="21"/>
              </w:rPr>
              <w:t>详见磋商公告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9" w:hRule="atLeast"/>
          <w:jc w:val="center"/>
        </w:trPr>
        <w:tc>
          <w:tcPr>
            <w:tcW w:w="816" w:type="dxa"/>
            <w:vAlign w:val="center"/>
          </w:tcPr>
          <w:p>
            <w:pPr>
              <w:pStyle w:val="43"/>
              <w:spacing w:line="360" w:lineRule="exact"/>
              <w:jc w:val="center"/>
              <w:rPr>
                <w:rFonts w:hint="eastAsia" w:eastAsia="宋体"/>
                <w:sz w:val="21"/>
                <w:lang w:eastAsia="zh-CN"/>
              </w:rPr>
            </w:pPr>
            <w:r>
              <w:rPr>
                <w:sz w:val="21"/>
              </w:rPr>
              <w:t>1</w:t>
            </w:r>
            <w:r>
              <w:rPr>
                <w:rFonts w:hint="eastAsia"/>
                <w:sz w:val="21"/>
                <w:lang w:val="en-US" w:eastAsia="zh-CN"/>
              </w:rPr>
              <w:t>6</w:t>
            </w:r>
          </w:p>
        </w:tc>
        <w:tc>
          <w:tcPr>
            <w:tcW w:w="2270" w:type="dxa"/>
            <w:vAlign w:val="center"/>
          </w:tcPr>
          <w:p>
            <w:pPr>
              <w:pStyle w:val="43"/>
              <w:spacing w:line="360" w:lineRule="exact"/>
              <w:jc w:val="center"/>
              <w:rPr>
                <w:sz w:val="21"/>
              </w:rPr>
            </w:pPr>
            <w:r>
              <w:rPr>
                <w:sz w:val="21"/>
              </w:rPr>
              <w:t>磋商保证金</w:t>
            </w:r>
          </w:p>
        </w:tc>
        <w:tc>
          <w:tcPr>
            <w:tcW w:w="6377" w:type="dxa"/>
          </w:tcPr>
          <w:p>
            <w:pPr>
              <w:pStyle w:val="43"/>
              <w:spacing w:line="360" w:lineRule="exact"/>
              <w:rPr>
                <w:sz w:val="21"/>
              </w:rPr>
            </w:pPr>
            <w:r>
              <w:rPr>
                <w:color w:val="FF0000"/>
                <w:sz w:val="21"/>
              </w:rPr>
              <w:t>本项目不收取投标保证金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816" w:type="dxa"/>
            <w:vAlign w:val="center"/>
          </w:tcPr>
          <w:p>
            <w:pPr>
              <w:pStyle w:val="43"/>
              <w:spacing w:line="360" w:lineRule="exact"/>
              <w:jc w:val="center"/>
              <w:rPr>
                <w:rFonts w:hint="eastAsia" w:eastAsia="宋体"/>
                <w:sz w:val="21"/>
                <w:lang w:eastAsia="zh-CN"/>
              </w:rPr>
            </w:pPr>
            <w:r>
              <w:rPr>
                <w:rFonts w:hint="eastAsia"/>
                <w:sz w:val="21"/>
              </w:rPr>
              <w:t>1</w:t>
            </w:r>
            <w:r>
              <w:rPr>
                <w:rFonts w:hint="eastAsia"/>
                <w:sz w:val="21"/>
                <w:lang w:val="en-US" w:eastAsia="zh-CN"/>
              </w:rPr>
              <w:t>7</w:t>
            </w:r>
          </w:p>
        </w:tc>
        <w:tc>
          <w:tcPr>
            <w:tcW w:w="2270" w:type="dxa"/>
            <w:vAlign w:val="center"/>
          </w:tcPr>
          <w:p>
            <w:pPr>
              <w:pStyle w:val="43"/>
              <w:spacing w:line="360" w:lineRule="exact"/>
              <w:jc w:val="center"/>
              <w:rPr>
                <w:sz w:val="21"/>
              </w:rPr>
            </w:pPr>
            <w:r>
              <w:rPr>
                <w:sz w:val="21"/>
              </w:rPr>
              <w:t>磋商有效期</w:t>
            </w:r>
          </w:p>
        </w:tc>
        <w:tc>
          <w:tcPr>
            <w:tcW w:w="6377" w:type="dxa"/>
          </w:tcPr>
          <w:p>
            <w:pPr>
              <w:pStyle w:val="43"/>
              <w:spacing w:line="360" w:lineRule="exact"/>
              <w:rPr>
                <w:sz w:val="21"/>
              </w:rPr>
            </w:pPr>
            <w:r>
              <w:rPr>
                <w:sz w:val="21"/>
              </w:rPr>
              <w:t>自磋商截止之日起 60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1" w:hRule="atLeast"/>
          <w:jc w:val="center"/>
        </w:trPr>
        <w:tc>
          <w:tcPr>
            <w:tcW w:w="816" w:type="dxa"/>
            <w:vAlign w:val="center"/>
          </w:tcPr>
          <w:p>
            <w:pPr>
              <w:pStyle w:val="43"/>
              <w:spacing w:line="360" w:lineRule="exact"/>
              <w:jc w:val="center"/>
              <w:rPr>
                <w:rFonts w:hint="eastAsia" w:eastAsia="宋体"/>
                <w:sz w:val="21"/>
                <w:lang w:eastAsia="zh-CN"/>
              </w:rPr>
            </w:pPr>
            <w:r>
              <w:rPr>
                <w:rFonts w:hint="eastAsia"/>
                <w:sz w:val="21"/>
              </w:rPr>
              <w:t>1</w:t>
            </w:r>
            <w:r>
              <w:rPr>
                <w:rFonts w:hint="eastAsia"/>
                <w:sz w:val="21"/>
                <w:lang w:val="en-US" w:eastAsia="zh-CN"/>
              </w:rPr>
              <w:t>8</w:t>
            </w:r>
          </w:p>
        </w:tc>
        <w:tc>
          <w:tcPr>
            <w:tcW w:w="2270" w:type="dxa"/>
            <w:vAlign w:val="center"/>
          </w:tcPr>
          <w:p>
            <w:pPr>
              <w:pStyle w:val="43"/>
              <w:spacing w:line="360" w:lineRule="exact"/>
              <w:jc w:val="center"/>
              <w:rPr>
                <w:sz w:val="21"/>
              </w:rPr>
            </w:pPr>
            <w:r>
              <w:rPr>
                <w:sz w:val="21"/>
              </w:rPr>
              <w:t>是否允许递交备选响</w:t>
            </w:r>
          </w:p>
          <w:p>
            <w:pPr>
              <w:pStyle w:val="43"/>
              <w:spacing w:line="360" w:lineRule="exact"/>
              <w:jc w:val="center"/>
              <w:rPr>
                <w:sz w:val="21"/>
              </w:rPr>
            </w:pPr>
            <w:r>
              <w:rPr>
                <w:sz w:val="21"/>
              </w:rPr>
              <w:t>应文件</w:t>
            </w:r>
          </w:p>
        </w:tc>
        <w:tc>
          <w:tcPr>
            <w:tcW w:w="6377" w:type="dxa"/>
            <w:vAlign w:val="center"/>
          </w:tcPr>
          <w:p>
            <w:pPr>
              <w:pStyle w:val="43"/>
              <w:spacing w:line="360" w:lineRule="exact"/>
              <w:jc w:val="both"/>
              <w:rPr>
                <w:sz w:val="21"/>
              </w:rPr>
            </w:pPr>
            <w:r>
              <w:rPr>
                <w:sz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816" w:type="dxa"/>
            <w:vAlign w:val="center"/>
          </w:tcPr>
          <w:p>
            <w:pPr>
              <w:pStyle w:val="43"/>
              <w:spacing w:line="360" w:lineRule="exact"/>
              <w:jc w:val="center"/>
              <w:rPr>
                <w:rFonts w:hint="default" w:eastAsia="宋体"/>
                <w:sz w:val="21"/>
                <w:lang w:val="en-US" w:eastAsia="zh-CN"/>
              </w:rPr>
            </w:pPr>
            <w:r>
              <w:rPr>
                <w:rFonts w:hint="eastAsia"/>
                <w:sz w:val="21"/>
                <w:lang w:val="en-US" w:eastAsia="zh-CN"/>
              </w:rPr>
              <w:t>19</w:t>
            </w:r>
          </w:p>
        </w:tc>
        <w:tc>
          <w:tcPr>
            <w:tcW w:w="2270" w:type="dxa"/>
            <w:vAlign w:val="center"/>
          </w:tcPr>
          <w:p>
            <w:pPr>
              <w:pStyle w:val="43"/>
              <w:spacing w:line="360" w:lineRule="exact"/>
              <w:jc w:val="center"/>
              <w:rPr>
                <w:sz w:val="21"/>
              </w:rPr>
            </w:pPr>
            <w:r>
              <w:rPr>
                <w:sz w:val="21"/>
              </w:rPr>
              <w:t>签字和盖章要求</w:t>
            </w:r>
          </w:p>
        </w:tc>
        <w:tc>
          <w:tcPr>
            <w:tcW w:w="6377" w:type="dxa"/>
          </w:tcPr>
          <w:p>
            <w:pPr>
              <w:pStyle w:val="43"/>
              <w:spacing w:line="360" w:lineRule="exact"/>
              <w:rPr>
                <w:sz w:val="21"/>
              </w:rPr>
            </w:pPr>
            <w:r>
              <w:rPr>
                <w:sz w:val="21"/>
              </w:rPr>
              <w:t>供应商需按磋商文件的格式，在规定的地方进行法定代表人电子签名、加盖供应商电子公章。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2" w:hRule="atLeast"/>
          <w:jc w:val="center"/>
        </w:trPr>
        <w:tc>
          <w:tcPr>
            <w:tcW w:w="816" w:type="dxa"/>
            <w:vAlign w:val="center"/>
          </w:tcPr>
          <w:p>
            <w:pPr>
              <w:pStyle w:val="43"/>
              <w:spacing w:line="360" w:lineRule="exact"/>
              <w:jc w:val="center"/>
              <w:rPr>
                <w:rFonts w:hint="eastAsia" w:eastAsia="宋体"/>
                <w:sz w:val="21"/>
                <w:lang w:eastAsia="zh-CN"/>
              </w:rPr>
            </w:pPr>
            <w:r>
              <w:rPr>
                <w:sz w:val="21"/>
              </w:rPr>
              <w:t>2</w:t>
            </w:r>
            <w:r>
              <w:rPr>
                <w:rFonts w:hint="eastAsia"/>
                <w:sz w:val="21"/>
                <w:lang w:val="en-US" w:eastAsia="zh-CN"/>
              </w:rPr>
              <w:t>0</w:t>
            </w:r>
          </w:p>
        </w:tc>
        <w:tc>
          <w:tcPr>
            <w:tcW w:w="2270" w:type="dxa"/>
            <w:vAlign w:val="center"/>
          </w:tcPr>
          <w:p>
            <w:pPr>
              <w:spacing w:before="69" w:line="221" w:lineRule="auto"/>
              <w:jc w:val="center"/>
              <w:rPr>
                <w:sz w:val="21"/>
              </w:rPr>
            </w:pPr>
            <w:r>
              <w:rPr>
                <w:color w:val="0C0C0C"/>
                <w:spacing w:val="-4"/>
              </w:rPr>
              <w:t>电子投标文件递</w:t>
            </w:r>
            <w:r>
              <w:rPr>
                <w:color w:val="0C0C0C"/>
                <w:spacing w:val="-3"/>
              </w:rPr>
              <w:t>交</w:t>
            </w:r>
          </w:p>
        </w:tc>
        <w:tc>
          <w:tcPr>
            <w:tcW w:w="6377" w:type="dxa"/>
          </w:tcPr>
          <w:p>
            <w:pPr>
              <w:pStyle w:val="43"/>
              <w:spacing w:line="360" w:lineRule="exact"/>
            </w:pPr>
            <w:r>
              <w:t>1、投标人应在唐河县公共资源交易系统下载“电子投标文件制作工具”，并按照招标文件要求编制和上传递交加密的电子投标文件</w:t>
            </w:r>
            <w:r>
              <w:rPr>
                <w:rFonts w:hint="eastAsia"/>
              </w:rPr>
              <w:t>(.nytf格式)</w:t>
            </w:r>
            <w:r>
              <w:t>。投标人上传时必须得到系统“上传成功”的确认回复，并认真检查电子投标文件是否完整、正确。递交网址：http://www.thggzy.cn/</w:t>
            </w:r>
          </w:p>
          <w:p>
            <w:pPr>
              <w:pStyle w:val="43"/>
              <w:spacing w:line="360" w:lineRule="exact"/>
            </w:pPr>
            <w:r>
              <w:t>2、投标人的电子投标文件应在招标文件规定的投标截止时间前到达交易系统。逾期到达交易系统的电子投标文件视为放弃本次投标。</w:t>
            </w:r>
          </w:p>
          <w:p>
            <w:pPr>
              <w:pStyle w:val="43"/>
              <w:spacing w:line="360" w:lineRule="exact"/>
              <w:rPr>
                <w:sz w:val="21"/>
              </w:rPr>
            </w:pPr>
            <w:r>
              <w:t>3、投标人所递交的电子投标文件在投标截止时间之后不予退回。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7" w:hRule="atLeast"/>
          <w:jc w:val="center"/>
        </w:trPr>
        <w:tc>
          <w:tcPr>
            <w:tcW w:w="816" w:type="dxa"/>
            <w:vAlign w:val="center"/>
          </w:tcPr>
          <w:p>
            <w:pPr>
              <w:pStyle w:val="43"/>
              <w:spacing w:line="360" w:lineRule="exact"/>
              <w:jc w:val="center"/>
              <w:rPr>
                <w:rFonts w:hint="eastAsia" w:eastAsia="宋体"/>
                <w:sz w:val="21"/>
                <w:lang w:eastAsia="zh-CN"/>
              </w:rPr>
            </w:pPr>
            <w:r>
              <w:rPr>
                <w:sz w:val="21"/>
              </w:rPr>
              <w:t>2</w:t>
            </w:r>
            <w:r>
              <w:rPr>
                <w:rFonts w:hint="eastAsia"/>
                <w:sz w:val="21"/>
                <w:lang w:val="en-US" w:eastAsia="zh-CN"/>
              </w:rPr>
              <w:t>1</w:t>
            </w:r>
          </w:p>
        </w:tc>
        <w:tc>
          <w:tcPr>
            <w:tcW w:w="2270" w:type="dxa"/>
            <w:vAlign w:val="center"/>
          </w:tcPr>
          <w:p>
            <w:pPr>
              <w:spacing w:before="69" w:line="288" w:lineRule="auto"/>
              <w:ind w:right="186"/>
              <w:jc w:val="center"/>
              <w:rPr>
                <w:sz w:val="21"/>
              </w:rPr>
            </w:pPr>
            <w:r>
              <w:t>投标文件的份数</w:t>
            </w:r>
            <w:r>
              <w:rPr>
                <w:rFonts w:hint="eastAsia"/>
                <w:color w:val="0C0C0C"/>
              </w:rPr>
              <w:t>和签署</w:t>
            </w:r>
          </w:p>
        </w:tc>
        <w:tc>
          <w:tcPr>
            <w:tcW w:w="6377" w:type="dxa"/>
          </w:tcPr>
          <w:p>
            <w:pPr>
              <w:pStyle w:val="43"/>
              <w:spacing w:line="360" w:lineRule="exact"/>
            </w:pPr>
            <w:r>
              <w:t>本项目实行电子招投标，投标人需编制电子投标文件，并按电子投标文件递交要求上传电子投标文件；</w:t>
            </w:r>
          </w:p>
          <w:p>
            <w:pPr>
              <w:pStyle w:val="43"/>
              <w:spacing w:line="360" w:lineRule="exact"/>
            </w:pPr>
            <w:r>
              <w:t>如中标</w:t>
            </w:r>
            <w:r>
              <w:rPr>
                <w:rFonts w:hint="eastAsia"/>
              </w:rPr>
              <w:t>需</w:t>
            </w:r>
            <w:r>
              <w:t>向招标人提供纸质投标文件正本一份，副本肆份。</w:t>
            </w:r>
          </w:p>
          <w:p>
            <w:pPr>
              <w:pStyle w:val="43"/>
              <w:spacing w:line="360" w:lineRule="exact"/>
              <w:rPr>
                <w:sz w:val="21"/>
              </w:rPr>
            </w:pPr>
            <w:r>
              <w:rPr>
                <w:rFonts w:hint="eastAsia"/>
              </w:rPr>
              <w:t>电子投标文件应无涂改和行间插字。有改动时，修改处应由投标人法定代表人电子签章证明。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jc w:val="center"/>
        </w:trPr>
        <w:tc>
          <w:tcPr>
            <w:tcW w:w="816" w:type="dxa"/>
            <w:vAlign w:val="center"/>
          </w:tcPr>
          <w:p>
            <w:pPr>
              <w:pStyle w:val="43"/>
              <w:spacing w:line="360" w:lineRule="exact"/>
              <w:jc w:val="center"/>
              <w:rPr>
                <w:rFonts w:hint="eastAsia" w:eastAsia="宋体"/>
                <w:sz w:val="21"/>
                <w:lang w:eastAsia="zh-CN"/>
              </w:rPr>
            </w:pPr>
            <w:r>
              <w:rPr>
                <w:sz w:val="21"/>
              </w:rPr>
              <w:t>2</w:t>
            </w:r>
            <w:r>
              <w:rPr>
                <w:rFonts w:hint="eastAsia"/>
                <w:sz w:val="21"/>
                <w:lang w:val="en-US" w:eastAsia="zh-CN"/>
              </w:rPr>
              <w:t>2</w:t>
            </w:r>
          </w:p>
        </w:tc>
        <w:tc>
          <w:tcPr>
            <w:tcW w:w="2270" w:type="dxa"/>
            <w:vAlign w:val="center"/>
          </w:tcPr>
          <w:p>
            <w:pPr>
              <w:pStyle w:val="43"/>
              <w:spacing w:line="360" w:lineRule="exact"/>
              <w:jc w:val="center"/>
              <w:rPr>
                <w:sz w:val="21"/>
              </w:rPr>
            </w:pPr>
            <w:r>
              <w:rPr>
                <w:sz w:val="21"/>
              </w:rPr>
              <w:t>备份电子U 盘要求及封套上注明</w:t>
            </w:r>
          </w:p>
        </w:tc>
        <w:tc>
          <w:tcPr>
            <w:tcW w:w="6377" w:type="dxa"/>
          </w:tcPr>
          <w:p>
            <w:pPr>
              <w:pStyle w:val="43"/>
              <w:tabs>
                <w:tab w:val="left" w:pos="1265"/>
                <w:tab w:val="left" w:pos="1791"/>
                <w:tab w:val="left" w:pos="2314"/>
                <w:tab w:val="left" w:pos="2840"/>
                <w:tab w:val="left" w:pos="3366"/>
              </w:tabs>
              <w:spacing w:line="360" w:lineRule="exact"/>
              <w:rPr>
                <w:sz w:val="21"/>
              </w:rPr>
            </w:pPr>
            <w:r>
              <w:rPr>
                <w:rFonts w:hint="eastAsia"/>
                <w:sz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3" w:hRule="atLeast"/>
          <w:jc w:val="center"/>
        </w:trPr>
        <w:tc>
          <w:tcPr>
            <w:tcW w:w="816" w:type="dxa"/>
            <w:vAlign w:val="center"/>
          </w:tcPr>
          <w:p>
            <w:pPr>
              <w:pStyle w:val="43"/>
              <w:spacing w:line="360" w:lineRule="exact"/>
              <w:jc w:val="center"/>
              <w:rPr>
                <w:rFonts w:hint="eastAsia" w:eastAsia="宋体"/>
                <w:sz w:val="21"/>
                <w:lang w:eastAsia="zh-CN"/>
              </w:rPr>
            </w:pPr>
            <w:r>
              <w:rPr>
                <w:sz w:val="21"/>
              </w:rPr>
              <w:t>2</w:t>
            </w:r>
            <w:r>
              <w:rPr>
                <w:rFonts w:hint="eastAsia"/>
                <w:sz w:val="21"/>
                <w:lang w:val="en-US" w:eastAsia="zh-CN"/>
              </w:rPr>
              <w:t>3</w:t>
            </w:r>
          </w:p>
        </w:tc>
        <w:tc>
          <w:tcPr>
            <w:tcW w:w="2270" w:type="dxa"/>
            <w:vAlign w:val="center"/>
          </w:tcPr>
          <w:p>
            <w:pPr>
              <w:pStyle w:val="43"/>
              <w:spacing w:line="360" w:lineRule="exact"/>
              <w:jc w:val="center"/>
              <w:rPr>
                <w:sz w:val="21"/>
              </w:rPr>
            </w:pPr>
            <w:r>
              <w:rPr>
                <w:sz w:val="21"/>
              </w:rPr>
              <w:t>磋商小组的组建</w:t>
            </w:r>
          </w:p>
        </w:tc>
        <w:tc>
          <w:tcPr>
            <w:tcW w:w="6377" w:type="dxa"/>
          </w:tcPr>
          <w:p>
            <w:pPr>
              <w:pStyle w:val="43"/>
              <w:spacing w:line="360" w:lineRule="exact"/>
              <w:rPr>
                <w:sz w:val="21"/>
              </w:rPr>
            </w:pPr>
            <w:r>
              <w:rPr>
                <w:sz w:val="21"/>
              </w:rPr>
              <w:t>磋商小组构成：由专家</w:t>
            </w:r>
            <w:r>
              <w:rPr>
                <w:rFonts w:hint="eastAsia"/>
                <w:sz w:val="21"/>
              </w:rPr>
              <w:t xml:space="preserve"> 3 </w:t>
            </w:r>
            <w:r>
              <w:rPr>
                <w:sz w:val="21"/>
              </w:rPr>
              <w:t xml:space="preserve">人组成；采购人 1 人，专家 </w:t>
            </w:r>
            <w:r>
              <w:rPr>
                <w:rFonts w:hint="eastAsia"/>
                <w:sz w:val="21"/>
              </w:rPr>
              <w:t>2</w:t>
            </w:r>
            <w:r>
              <w:rPr>
                <w:sz w:val="21"/>
              </w:rPr>
              <w:t xml:space="preserve"> 名；评审专家确定方式：开标前由采购人在监督单位监督下，按相关规定从政府采购专家库中随机抽取评标专家。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816" w:type="dxa"/>
            <w:vAlign w:val="center"/>
          </w:tcPr>
          <w:p>
            <w:pPr>
              <w:pStyle w:val="43"/>
              <w:spacing w:line="360" w:lineRule="exact"/>
              <w:jc w:val="center"/>
              <w:rPr>
                <w:rFonts w:hint="eastAsia" w:eastAsia="宋体"/>
                <w:sz w:val="21"/>
                <w:lang w:eastAsia="zh-CN"/>
              </w:rPr>
            </w:pPr>
            <w:r>
              <w:rPr>
                <w:sz w:val="21"/>
              </w:rPr>
              <w:t>2</w:t>
            </w:r>
            <w:r>
              <w:rPr>
                <w:rFonts w:hint="eastAsia"/>
                <w:sz w:val="21"/>
                <w:lang w:val="en-US" w:eastAsia="zh-CN"/>
              </w:rPr>
              <w:t>4</w:t>
            </w:r>
          </w:p>
        </w:tc>
        <w:tc>
          <w:tcPr>
            <w:tcW w:w="2270" w:type="dxa"/>
            <w:vAlign w:val="center"/>
          </w:tcPr>
          <w:p>
            <w:pPr>
              <w:pStyle w:val="43"/>
              <w:spacing w:line="360" w:lineRule="exact"/>
              <w:jc w:val="center"/>
              <w:rPr>
                <w:sz w:val="21"/>
              </w:rPr>
            </w:pPr>
            <w:r>
              <w:rPr>
                <w:sz w:val="21"/>
              </w:rPr>
              <w:t>评审方法</w:t>
            </w:r>
          </w:p>
        </w:tc>
        <w:tc>
          <w:tcPr>
            <w:tcW w:w="6377" w:type="dxa"/>
          </w:tcPr>
          <w:p>
            <w:pPr>
              <w:pStyle w:val="43"/>
              <w:spacing w:line="360" w:lineRule="exact"/>
              <w:rPr>
                <w:sz w:val="21"/>
              </w:rPr>
            </w:pPr>
            <w:r>
              <w:rPr>
                <w:sz w:val="21"/>
              </w:rPr>
              <w:t>详见磋商文件的评审办法。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16" w:type="dxa"/>
            <w:vAlign w:val="center"/>
          </w:tcPr>
          <w:p>
            <w:pPr>
              <w:pStyle w:val="43"/>
              <w:spacing w:line="360" w:lineRule="exact"/>
              <w:jc w:val="center"/>
              <w:rPr>
                <w:rFonts w:hint="eastAsia" w:eastAsia="宋体"/>
                <w:sz w:val="21"/>
                <w:lang w:eastAsia="zh-CN"/>
              </w:rPr>
            </w:pPr>
            <w:r>
              <w:rPr>
                <w:sz w:val="21"/>
              </w:rPr>
              <w:t>2</w:t>
            </w:r>
            <w:r>
              <w:rPr>
                <w:rFonts w:hint="eastAsia"/>
                <w:sz w:val="21"/>
                <w:lang w:val="en-US" w:eastAsia="zh-CN"/>
              </w:rPr>
              <w:t>5</w:t>
            </w:r>
          </w:p>
        </w:tc>
        <w:tc>
          <w:tcPr>
            <w:tcW w:w="2270" w:type="dxa"/>
            <w:vAlign w:val="center"/>
          </w:tcPr>
          <w:p>
            <w:pPr>
              <w:pStyle w:val="43"/>
              <w:spacing w:line="360" w:lineRule="exact"/>
              <w:jc w:val="center"/>
              <w:rPr>
                <w:sz w:val="21"/>
              </w:rPr>
            </w:pPr>
            <w:r>
              <w:rPr>
                <w:sz w:val="21"/>
              </w:rPr>
              <w:t>成交公示</w:t>
            </w:r>
          </w:p>
        </w:tc>
        <w:tc>
          <w:tcPr>
            <w:tcW w:w="6377" w:type="dxa"/>
          </w:tcPr>
          <w:p>
            <w:pPr>
              <w:pStyle w:val="43"/>
              <w:spacing w:line="360" w:lineRule="exact"/>
              <w:rPr>
                <w:sz w:val="21"/>
              </w:rPr>
            </w:pPr>
            <w:r>
              <w:rPr>
                <w:rFonts w:hint="eastAsia"/>
                <w:sz w:val="21"/>
              </w:rPr>
              <w:t>代理机构接到采购人通知后，将在公告信息发布同一媒体上发布成交结果公告。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 w:hRule="atLeast"/>
          <w:jc w:val="center"/>
        </w:trPr>
        <w:tc>
          <w:tcPr>
            <w:tcW w:w="816" w:type="dxa"/>
            <w:vAlign w:val="center"/>
          </w:tcPr>
          <w:p>
            <w:pPr>
              <w:pStyle w:val="43"/>
              <w:spacing w:line="360" w:lineRule="exact"/>
              <w:jc w:val="center"/>
              <w:rPr>
                <w:rFonts w:hint="eastAsia" w:eastAsia="宋体"/>
                <w:sz w:val="21"/>
                <w:lang w:eastAsia="zh-CN"/>
              </w:rPr>
            </w:pPr>
            <w:r>
              <w:rPr>
                <w:sz w:val="21"/>
              </w:rPr>
              <w:t>2</w:t>
            </w:r>
            <w:r>
              <w:rPr>
                <w:rFonts w:hint="eastAsia"/>
                <w:sz w:val="21"/>
                <w:lang w:val="en-US" w:eastAsia="zh-CN"/>
              </w:rPr>
              <w:t>6</w:t>
            </w:r>
          </w:p>
        </w:tc>
        <w:tc>
          <w:tcPr>
            <w:tcW w:w="2270" w:type="dxa"/>
            <w:vAlign w:val="center"/>
          </w:tcPr>
          <w:p>
            <w:pPr>
              <w:pStyle w:val="43"/>
              <w:spacing w:line="360" w:lineRule="exact"/>
              <w:jc w:val="center"/>
              <w:rPr>
                <w:sz w:val="21"/>
              </w:rPr>
            </w:pPr>
            <w:r>
              <w:rPr>
                <w:sz w:val="21"/>
              </w:rPr>
              <w:t>履约保证金</w:t>
            </w:r>
          </w:p>
        </w:tc>
        <w:tc>
          <w:tcPr>
            <w:tcW w:w="6377" w:type="dxa"/>
          </w:tcPr>
          <w:p>
            <w:pPr>
              <w:pStyle w:val="43"/>
              <w:spacing w:line="360" w:lineRule="exact"/>
              <w:rPr>
                <w:sz w:val="21"/>
              </w:rPr>
            </w:pPr>
            <w:r>
              <w:rPr>
                <w:sz w:val="21"/>
              </w:rPr>
              <w:t>本项目免收履约保证金。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16" w:type="dxa"/>
            <w:vAlign w:val="center"/>
          </w:tcPr>
          <w:p>
            <w:pPr>
              <w:pStyle w:val="43"/>
              <w:spacing w:line="360" w:lineRule="exact"/>
              <w:jc w:val="center"/>
              <w:rPr>
                <w:rFonts w:hint="eastAsia" w:eastAsia="宋体"/>
                <w:sz w:val="21"/>
                <w:lang w:eastAsia="zh-CN"/>
              </w:rPr>
            </w:pPr>
            <w:r>
              <w:rPr>
                <w:rFonts w:hint="eastAsia"/>
                <w:sz w:val="21"/>
              </w:rPr>
              <w:t>2</w:t>
            </w:r>
            <w:r>
              <w:rPr>
                <w:rFonts w:hint="eastAsia"/>
                <w:sz w:val="21"/>
                <w:lang w:val="en-US" w:eastAsia="zh-CN"/>
              </w:rPr>
              <w:t>7</w:t>
            </w:r>
          </w:p>
        </w:tc>
        <w:tc>
          <w:tcPr>
            <w:tcW w:w="2270" w:type="dxa"/>
            <w:vAlign w:val="center"/>
          </w:tcPr>
          <w:p>
            <w:pPr>
              <w:pStyle w:val="43"/>
              <w:spacing w:line="360" w:lineRule="exact"/>
              <w:jc w:val="center"/>
              <w:rPr>
                <w:sz w:val="21"/>
              </w:rPr>
            </w:pPr>
            <w:r>
              <w:rPr>
                <w:sz w:val="21"/>
              </w:rPr>
              <w:t>付款方式及要求</w:t>
            </w:r>
          </w:p>
        </w:tc>
        <w:tc>
          <w:tcPr>
            <w:tcW w:w="6377" w:type="dxa"/>
          </w:tcPr>
          <w:p>
            <w:pPr>
              <w:pStyle w:val="43"/>
              <w:spacing w:line="360" w:lineRule="exact"/>
              <w:rPr>
                <w:rFonts w:hint="default" w:eastAsia="宋体"/>
                <w:sz w:val="21"/>
                <w:lang w:val="en-US" w:eastAsia="zh-CN"/>
              </w:rPr>
            </w:pPr>
            <w:r>
              <w:rPr>
                <w:rFonts w:hint="eastAsia"/>
                <w:sz w:val="21"/>
                <w:lang w:val="en-US" w:eastAsia="zh-CN"/>
              </w:rPr>
              <w:t>中标后支付中标总金额的30％，剩余70％由获得银行授信后支付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816" w:type="dxa"/>
            <w:vAlign w:val="center"/>
          </w:tcPr>
          <w:p>
            <w:pPr>
              <w:pStyle w:val="43"/>
              <w:spacing w:line="360" w:lineRule="exact"/>
              <w:jc w:val="center"/>
              <w:rPr>
                <w:rFonts w:hint="eastAsia" w:eastAsia="宋体"/>
                <w:sz w:val="21"/>
                <w:lang w:eastAsia="zh-CN"/>
              </w:rPr>
            </w:pPr>
            <w:r>
              <w:rPr>
                <w:rFonts w:hint="eastAsia"/>
                <w:sz w:val="21"/>
              </w:rPr>
              <w:t>2</w:t>
            </w:r>
            <w:r>
              <w:rPr>
                <w:rFonts w:hint="eastAsia"/>
                <w:sz w:val="21"/>
                <w:lang w:val="en-US" w:eastAsia="zh-CN"/>
              </w:rPr>
              <w:t>8</w:t>
            </w:r>
          </w:p>
        </w:tc>
        <w:tc>
          <w:tcPr>
            <w:tcW w:w="2270" w:type="dxa"/>
            <w:vAlign w:val="center"/>
          </w:tcPr>
          <w:p>
            <w:pPr>
              <w:pStyle w:val="43"/>
              <w:spacing w:line="360" w:lineRule="exact"/>
              <w:jc w:val="center"/>
              <w:rPr>
                <w:sz w:val="21"/>
              </w:rPr>
            </w:pPr>
            <w:r>
              <w:rPr>
                <w:sz w:val="21"/>
              </w:rPr>
              <w:t>开标程序</w:t>
            </w:r>
          </w:p>
        </w:tc>
        <w:tc>
          <w:tcPr>
            <w:tcW w:w="6377" w:type="dxa"/>
          </w:tcPr>
          <w:p>
            <w:pPr>
              <w:pStyle w:val="43"/>
              <w:spacing w:line="360" w:lineRule="exact"/>
              <w:rPr>
                <w:sz w:val="21"/>
              </w:rPr>
            </w:pPr>
            <w:r>
              <w:t>本项目采用“远程不见面”开标方式，不见面开标大厅地址</w:t>
            </w:r>
            <w:r>
              <w:fldChar w:fldCharType="begin"/>
            </w:r>
            <w:r>
              <w:instrText xml:space="preserve"> HYPERLINK "http://www.thggzy.cn/" </w:instrText>
            </w:r>
            <w:r>
              <w:fldChar w:fldCharType="separate"/>
            </w:r>
            <w:r>
              <w:t>http://www.thggzy.cn/</w:t>
            </w:r>
            <w:r>
              <w:fldChar w:fldCharType="end"/>
            </w:r>
            <w:r>
              <w:t>唐河县公共资源交易中心网站首页“不见面开标大厅”模块，供应商无需到唐河县公共资源交易中心现场参加开标会议，无需到达现场提交原件资料。供应商应当在投标截止时间前，登录远程开标大厅，在线准时参加开标活动并进行文件解密、答疑澄清等。各供应商应在规定时间内对本单位的投标文件现场解密，因加密电子投标文件未能成功上传或误传而导致的解密失败，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8" w:hRule="atLeast"/>
          <w:jc w:val="center"/>
        </w:trPr>
        <w:tc>
          <w:tcPr>
            <w:tcW w:w="816" w:type="dxa"/>
            <w:vAlign w:val="center"/>
          </w:tcPr>
          <w:p>
            <w:pPr>
              <w:pStyle w:val="43"/>
              <w:spacing w:line="360" w:lineRule="exact"/>
              <w:jc w:val="center"/>
              <w:rPr>
                <w:rFonts w:hint="default" w:eastAsia="宋体"/>
                <w:sz w:val="21"/>
                <w:lang w:val="en-US" w:eastAsia="zh-CN"/>
              </w:rPr>
            </w:pPr>
            <w:r>
              <w:rPr>
                <w:rFonts w:hint="eastAsia"/>
                <w:sz w:val="21"/>
                <w:lang w:val="en-US" w:eastAsia="zh-CN"/>
              </w:rPr>
              <w:t>29</w:t>
            </w:r>
          </w:p>
        </w:tc>
        <w:tc>
          <w:tcPr>
            <w:tcW w:w="2270" w:type="dxa"/>
            <w:vAlign w:val="center"/>
          </w:tcPr>
          <w:p>
            <w:pPr>
              <w:pStyle w:val="43"/>
              <w:spacing w:line="360" w:lineRule="exact"/>
              <w:jc w:val="center"/>
              <w:rPr>
                <w:sz w:val="21"/>
              </w:rPr>
            </w:pPr>
            <w:r>
              <w:rPr>
                <w:sz w:val="21"/>
              </w:rPr>
              <w:t>供应商代表出席开标会要求</w:t>
            </w:r>
          </w:p>
        </w:tc>
        <w:tc>
          <w:tcPr>
            <w:tcW w:w="6377" w:type="dxa"/>
          </w:tcPr>
          <w:p>
            <w:pPr>
              <w:pStyle w:val="43"/>
              <w:spacing w:line="360" w:lineRule="exact"/>
            </w:pPr>
            <w:r>
              <w:t>该项目需要使用不见面开标，告知投标人无需前往现场来参与投标。而是各投标人根据手册要求，提前做好相关准备工作。</w:t>
            </w:r>
          </w:p>
          <w:p>
            <w:pPr>
              <w:pStyle w:val="43"/>
              <w:spacing w:line="360" w:lineRule="exact"/>
            </w:pPr>
            <w:r>
              <w:t>附件：操作手册地址(下载专区中自行下载)、不见面开标大厅地址唐河县公共资源交易中心网站首页“不见面开标大厅”模块</w:t>
            </w:r>
          </w:p>
          <w:p>
            <w:pPr>
              <w:pStyle w:val="43"/>
              <w:spacing w:line="360" w:lineRule="exact"/>
            </w:pPr>
            <w:r>
              <w:t>因投标人无需现场参与开标，所有准备工作需要自行到位。开标过程中如遇到紧急事项，可在不见面开标大厅中进行提出异议或文字交流，严重问题可拨打技术支持电话</w:t>
            </w:r>
          </w:p>
          <w:p>
            <w:pPr>
              <w:pStyle w:val="43"/>
              <w:spacing w:line="360" w:lineRule="exact"/>
              <w:rPr>
                <w:sz w:val="21"/>
              </w:rPr>
            </w:pPr>
            <w:r>
              <w:t>不见面开标过程中，如投标人准备不到位，造成无法及时解密、网络问题等情况造成开标无法继续的，视为该投标人自动放弃投标(</w:t>
            </w:r>
            <w:r>
              <w:rPr>
                <w:rFonts w:hint="eastAsia"/>
              </w:rPr>
              <w:t>3</w:t>
            </w:r>
            <w:r>
              <w:t>0分钟内)，将被退回投标文件。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3" w:hRule="atLeast"/>
          <w:jc w:val="center"/>
        </w:trPr>
        <w:tc>
          <w:tcPr>
            <w:tcW w:w="816" w:type="dxa"/>
            <w:vAlign w:val="center"/>
          </w:tcPr>
          <w:p>
            <w:pPr>
              <w:pStyle w:val="43"/>
              <w:spacing w:line="360" w:lineRule="exact"/>
              <w:jc w:val="center"/>
              <w:rPr>
                <w:rFonts w:hint="eastAsia" w:eastAsia="宋体"/>
                <w:sz w:val="21"/>
                <w:lang w:eastAsia="zh-CN"/>
              </w:rPr>
            </w:pPr>
            <w:r>
              <w:rPr>
                <w:rFonts w:hint="eastAsia"/>
                <w:sz w:val="21"/>
              </w:rPr>
              <w:t>3</w:t>
            </w:r>
            <w:r>
              <w:rPr>
                <w:rFonts w:hint="eastAsia"/>
                <w:sz w:val="21"/>
                <w:lang w:val="en-US" w:eastAsia="zh-CN"/>
              </w:rPr>
              <w:t>0</w:t>
            </w:r>
          </w:p>
        </w:tc>
        <w:tc>
          <w:tcPr>
            <w:tcW w:w="2270" w:type="dxa"/>
            <w:vAlign w:val="center"/>
          </w:tcPr>
          <w:p>
            <w:pPr>
              <w:spacing w:line="360" w:lineRule="exact"/>
              <w:jc w:val="center"/>
              <w:rPr>
                <w:sz w:val="21"/>
              </w:rPr>
            </w:pPr>
            <w:r>
              <w:rPr>
                <w:rFonts w:hint="eastAsia"/>
                <w:szCs w:val="21"/>
              </w:rPr>
              <w:t>代理</w:t>
            </w:r>
            <w:r>
              <w:rPr>
                <w:rFonts w:hint="eastAsia"/>
                <w:szCs w:val="21"/>
                <w:lang w:val="zh-CN"/>
              </w:rPr>
              <w:t>服务费</w:t>
            </w:r>
          </w:p>
        </w:tc>
        <w:tc>
          <w:tcPr>
            <w:tcW w:w="6377" w:type="dxa"/>
            <w:vAlign w:val="center"/>
          </w:tcPr>
          <w:p>
            <w:pPr>
              <w:spacing w:line="360" w:lineRule="exact"/>
              <w:rPr>
                <w:sz w:val="21"/>
              </w:rPr>
            </w:pPr>
            <w:r>
              <w:rPr>
                <w:rFonts w:hint="eastAsia"/>
                <w:szCs w:val="21"/>
              </w:rPr>
              <w:t>根据《政府采购代理机构管理暂行办法》第十三、十五条规定，经采购代理机构与采购人商定，按中标价的1.5%向中标、成交供应商收取代理服务费。</w:t>
            </w:r>
          </w:p>
        </w:tc>
      </w:tr>
      <w:tr>
        <w:tblPrEx>
          <w:tblBorders>
            <w:top w:val="thickThinMediumGap" w:color="000000" w:sz="2" w:space="0"/>
            <w:left w:val="thickThinMediumGap" w:color="000000" w:sz="2" w:space="0"/>
            <w:bottom w:val="thickThinMediumGap" w:color="000000" w:sz="2" w:space="0"/>
            <w:right w:val="thickThinMediumGap" w:color="000000" w:sz="2" w:space="0"/>
            <w:insideH w:val="thickThinMediumGap" w:color="000000" w:sz="2" w:space="0"/>
            <w:insideV w:val="thickThinMediumGap" w:color="000000" w:sz="2" w:space="0"/>
          </w:tblBorders>
          <w:tblCellMar>
            <w:top w:w="0" w:type="dxa"/>
            <w:left w:w="0" w:type="dxa"/>
            <w:bottom w:w="0" w:type="dxa"/>
            <w:right w:w="0" w:type="dxa"/>
          </w:tblCellMar>
        </w:tblPrEx>
        <w:trPr>
          <w:trHeight w:val="701" w:hRule="atLeast"/>
          <w:jc w:val="center"/>
        </w:trPr>
        <w:tc>
          <w:tcPr>
            <w:tcW w:w="816" w:type="dxa"/>
            <w:tcBorders>
              <w:left w:val="single" w:color="000000" w:sz="4" w:space="0"/>
              <w:bottom w:val="single" w:color="000000" w:sz="4" w:space="0"/>
              <w:right w:val="single" w:color="000000" w:sz="4" w:space="0"/>
            </w:tcBorders>
            <w:vAlign w:val="center"/>
          </w:tcPr>
          <w:p>
            <w:pPr>
              <w:pStyle w:val="43"/>
              <w:spacing w:line="360" w:lineRule="exact"/>
              <w:jc w:val="center"/>
              <w:rPr>
                <w:rFonts w:hint="eastAsia" w:eastAsia="宋体"/>
                <w:sz w:val="21"/>
                <w:lang w:eastAsia="zh-CN"/>
              </w:rPr>
            </w:pPr>
            <w:r>
              <w:rPr>
                <w:rFonts w:hint="eastAsia"/>
                <w:sz w:val="21"/>
              </w:rPr>
              <w:t>3</w:t>
            </w:r>
            <w:r>
              <w:rPr>
                <w:rFonts w:hint="eastAsia"/>
                <w:sz w:val="21"/>
                <w:lang w:val="en-US" w:eastAsia="zh-CN"/>
              </w:rPr>
              <w:t>1</w:t>
            </w:r>
          </w:p>
        </w:tc>
        <w:tc>
          <w:tcPr>
            <w:tcW w:w="2270" w:type="dxa"/>
            <w:tcBorders>
              <w:left w:val="single" w:color="000000" w:sz="4" w:space="0"/>
              <w:bottom w:val="single" w:color="000000" w:sz="4" w:space="0"/>
              <w:right w:val="single" w:color="000000" w:sz="4" w:space="0"/>
            </w:tcBorders>
            <w:vAlign w:val="center"/>
          </w:tcPr>
          <w:p>
            <w:pPr>
              <w:pStyle w:val="43"/>
              <w:spacing w:line="360" w:lineRule="exact"/>
              <w:jc w:val="center"/>
              <w:rPr>
                <w:sz w:val="21"/>
              </w:rPr>
            </w:pPr>
            <w:r>
              <w:rPr>
                <w:sz w:val="21"/>
              </w:rPr>
              <w:t>监督</w:t>
            </w:r>
          </w:p>
        </w:tc>
        <w:tc>
          <w:tcPr>
            <w:tcW w:w="6377" w:type="dxa"/>
            <w:tcBorders>
              <w:left w:val="single" w:color="000000" w:sz="4" w:space="0"/>
              <w:bottom w:val="single" w:color="000000" w:sz="4" w:space="0"/>
              <w:right w:val="single" w:color="000000" w:sz="4" w:space="0"/>
            </w:tcBorders>
          </w:tcPr>
          <w:p>
            <w:pPr>
              <w:pStyle w:val="43"/>
              <w:spacing w:line="360" w:lineRule="exact"/>
              <w:rPr>
                <w:sz w:val="21"/>
              </w:rPr>
            </w:pPr>
            <w:r>
              <w:rPr>
                <w:sz w:val="21"/>
              </w:rPr>
              <w:t>本项目的招标投标活动及其相关当事人应当接受有管辖权的招标投标行政监督部门依法实施的监督。</w:t>
            </w:r>
          </w:p>
        </w:tc>
      </w:tr>
      <w:tr>
        <w:tblPrEx>
          <w:tblBorders>
            <w:top w:val="thickThinMediumGap" w:color="000000" w:sz="2" w:space="0"/>
            <w:left w:val="thickThinMediumGap" w:color="000000" w:sz="2" w:space="0"/>
            <w:bottom w:val="thickThinMediumGap" w:color="000000" w:sz="2" w:space="0"/>
            <w:right w:val="thickThinMediumGap" w:color="000000" w:sz="2" w:space="0"/>
            <w:insideH w:val="thickThinMediumGap" w:color="000000" w:sz="2" w:space="0"/>
            <w:insideV w:val="thickThinMediumGap" w:color="000000" w:sz="2" w:space="0"/>
          </w:tblBorders>
          <w:tblCellMar>
            <w:top w:w="0" w:type="dxa"/>
            <w:left w:w="0" w:type="dxa"/>
            <w:bottom w:w="0" w:type="dxa"/>
            <w:right w:w="0" w:type="dxa"/>
          </w:tblCellMar>
        </w:tblPrEx>
        <w:trPr>
          <w:trHeight w:val="2735"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center"/>
              <w:rPr>
                <w:rFonts w:hint="eastAsia" w:eastAsia="宋体"/>
                <w:sz w:val="21"/>
                <w:lang w:eastAsia="zh-CN"/>
              </w:rPr>
            </w:pPr>
            <w:r>
              <w:rPr>
                <w:rFonts w:hint="eastAsia"/>
                <w:sz w:val="21"/>
              </w:rPr>
              <w:t>3</w:t>
            </w:r>
            <w:r>
              <w:rPr>
                <w:rFonts w:hint="eastAsia"/>
                <w:sz w:val="21"/>
                <w:lang w:val="en-US" w:eastAsia="zh-CN"/>
              </w:rPr>
              <w:t>2</w:t>
            </w:r>
          </w:p>
        </w:tc>
        <w:tc>
          <w:tcPr>
            <w:tcW w:w="2270"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center"/>
              <w:rPr>
                <w:sz w:val="21"/>
              </w:rPr>
            </w:pPr>
            <w:r>
              <w:rPr>
                <w:sz w:val="21"/>
              </w:rPr>
              <w:t>解释权</w:t>
            </w:r>
          </w:p>
        </w:tc>
        <w:tc>
          <w:tcPr>
            <w:tcW w:w="6377" w:type="dxa"/>
            <w:tcBorders>
              <w:top w:val="single" w:color="000000" w:sz="4" w:space="0"/>
              <w:left w:val="single" w:color="000000" w:sz="4" w:space="0"/>
              <w:bottom w:val="single" w:color="000000" w:sz="4" w:space="0"/>
              <w:right w:val="single" w:color="000000" w:sz="4" w:space="0"/>
            </w:tcBorders>
          </w:tcPr>
          <w:p>
            <w:pPr>
              <w:pStyle w:val="43"/>
              <w:spacing w:line="360" w:lineRule="exact"/>
              <w:rPr>
                <w:sz w:val="21"/>
              </w:rPr>
            </w:pPr>
            <w:r>
              <w:rPr>
                <w:sz w:val="21"/>
              </w:rPr>
              <w:t>构成本磋商文件的各个组成文件应互为解释，互为说明；如有不明确或不一致，构成合同文件组成内容的，以合同文件约定内容为准，且以专用合同条款约定的合同文件优先顺序解释；除磋商文件中有特别规定外，仅适用于招标投标阶段的规定，按磋商公告、供应商须知、评审办法、磋商文件格式的先后顺序解释；同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thickThinMediumGap" w:color="000000" w:sz="2" w:space="0"/>
            <w:left w:val="thickThinMediumGap" w:color="000000" w:sz="2" w:space="0"/>
            <w:bottom w:val="thickThinMediumGap" w:color="000000" w:sz="2" w:space="0"/>
            <w:right w:val="thickThinMediumGap" w:color="000000" w:sz="2" w:space="0"/>
            <w:insideH w:val="thickThinMediumGap" w:color="000000" w:sz="2" w:space="0"/>
            <w:insideV w:val="thickThinMediumGap" w:color="000000" w:sz="2" w:space="0"/>
          </w:tblBorders>
          <w:tblCellMar>
            <w:top w:w="0" w:type="dxa"/>
            <w:left w:w="0" w:type="dxa"/>
            <w:bottom w:w="0" w:type="dxa"/>
            <w:right w:w="0" w:type="dxa"/>
          </w:tblCellMar>
        </w:tblPrEx>
        <w:trPr>
          <w:trHeight w:val="841"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center"/>
              <w:rPr>
                <w:rFonts w:hint="eastAsia" w:eastAsia="宋体"/>
                <w:sz w:val="21"/>
                <w:lang w:eastAsia="zh-CN"/>
              </w:rPr>
            </w:pPr>
            <w:r>
              <w:rPr>
                <w:rFonts w:hint="eastAsia"/>
                <w:sz w:val="21"/>
              </w:rPr>
              <w:t>3</w:t>
            </w:r>
            <w:r>
              <w:rPr>
                <w:rFonts w:hint="eastAsia"/>
                <w:sz w:val="21"/>
                <w:lang w:val="en-US" w:eastAsia="zh-CN"/>
              </w:rPr>
              <w:t>3</w:t>
            </w:r>
          </w:p>
        </w:tc>
        <w:tc>
          <w:tcPr>
            <w:tcW w:w="2270"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center"/>
              <w:rPr>
                <w:sz w:val="21"/>
              </w:rPr>
            </w:pPr>
            <w:r>
              <w:rPr>
                <w:sz w:val="21"/>
              </w:rPr>
              <w:t>供应商提出问题的截止时间</w:t>
            </w:r>
          </w:p>
        </w:tc>
        <w:tc>
          <w:tcPr>
            <w:tcW w:w="6377"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both"/>
              <w:rPr>
                <w:sz w:val="21"/>
              </w:rPr>
            </w:pPr>
            <w:r>
              <w:rPr>
                <w:sz w:val="21"/>
              </w:rPr>
              <w:t>递交响应性文件的截止之日</w:t>
            </w:r>
            <w:r>
              <w:rPr>
                <w:rFonts w:hint="eastAsia"/>
                <w:sz w:val="21"/>
              </w:rPr>
              <w:t>5</w:t>
            </w:r>
            <w:r>
              <w:rPr>
                <w:sz w:val="21"/>
              </w:rPr>
              <w:t>日前</w:t>
            </w:r>
          </w:p>
        </w:tc>
      </w:tr>
      <w:tr>
        <w:tblPrEx>
          <w:tblBorders>
            <w:top w:val="thickThinMediumGap" w:color="000000" w:sz="2" w:space="0"/>
            <w:left w:val="thickThinMediumGap" w:color="000000" w:sz="2" w:space="0"/>
            <w:bottom w:val="thickThinMediumGap" w:color="000000" w:sz="2" w:space="0"/>
            <w:right w:val="thickThinMediumGap" w:color="000000" w:sz="2" w:space="0"/>
            <w:insideH w:val="thickThinMediumGap" w:color="000000" w:sz="2" w:space="0"/>
            <w:insideV w:val="thickThinMediumGap" w:color="000000" w:sz="2" w:space="0"/>
          </w:tblBorders>
          <w:tblCellMar>
            <w:top w:w="0" w:type="dxa"/>
            <w:left w:w="0" w:type="dxa"/>
            <w:bottom w:w="0" w:type="dxa"/>
            <w:right w:w="0" w:type="dxa"/>
          </w:tblCellMar>
        </w:tblPrEx>
        <w:trPr>
          <w:trHeight w:val="749"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center"/>
              <w:rPr>
                <w:rFonts w:hint="eastAsia" w:eastAsia="宋体"/>
                <w:sz w:val="21"/>
                <w:lang w:eastAsia="zh-CN"/>
              </w:rPr>
            </w:pPr>
            <w:r>
              <w:rPr>
                <w:rFonts w:hint="eastAsia"/>
                <w:sz w:val="21"/>
              </w:rPr>
              <w:t>3</w:t>
            </w:r>
            <w:r>
              <w:rPr>
                <w:rFonts w:hint="eastAsia"/>
                <w:sz w:val="21"/>
                <w:lang w:val="en-US" w:eastAsia="zh-CN"/>
              </w:rPr>
              <w:t>4</w:t>
            </w:r>
          </w:p>
        </w:tc>
        <w:tc>
          <w:tcPr>
            <w:tcW w:w="2270"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center"/>
              <w:rPr>
                <w:sz w:val="21"/>
              </w:rPr>
            </w:pPr>
            <w:r>
              <w:rPr>
                <w:sz w:val="21"/>
              </w:rPr>
              <w:t>其他说明</w:t>
            </w:r>
          </w:p>
        </w:tc>
        <w:tc>
          <w:tcPr>
            <w:tcW w:w="6377" w:type="dxa"/>
            <w:tcBorders>
              <w:top w:val="single" w:color="000000" w:sz="4" w:space="0"/>
              <w:left w:val="single" w:color="000000" w:sz="4" w:space="0"/>
              <w:bottom w:val="single" w:color="000000" w:sz="4" w:space="0"/>
              <w:right w:val="single" w:color="000000" w:sz="4" w:space="0"/>
            </w:tcBorders>
          </w:tcPr>
          <w:p>
            <w:pPr>
              <w:pStyle w:val="43"/>
              <w:spacing w:line="360" w:lineRule="exact"/>
            </w:pPr>
            <w:r>
              <w:rPr>
                <w:sz w:val="21"/>
              </w:rPr>
              <w:t>“招标人”与“采购人”，“投标人”与“供应商”按照同一意思理解。</w:t>
            </w:r>
          </w:p>
        </w:tc>
      </w:tr>
      <w:tr>
        <w:tblPrEx>
          <w:tblBorders>
            <w:top w:val="thickThinMediumGap" w:color="000000" w:sz="2" w:space="0"/>
            <w:left w:val="thickThinMediumGap" w:color="000000" w:sz="2" w:space="0"/>
            <w:bottom w:val="thickThinMediumGap" w:color="000000" w:sz="2" w:space="0"/>
            <w:right w:val="thickThinMediumGap" w:color="000000" w:sz="2" w:space="0"/>
            <w:insideH w:val="thickThinMediumGap" w:color="000000" w:sz="2" w:space="0"/>
            <w:insideV w:val="thickThinMediumGap" w:color="000000" w:sz="2" w:space="0"/>
          </w:tblBorders>
          <w:tblCellMar>
            <w:top w:w="0" w:type="dxa"/>
            <w:left w:w="0" w:type="dxa"/>
            <w:bottom w:w="0" w:type="dxa"/>
            <w:right w:w="0" w:type="dxa"/>
          </w:tblCellMar>
        </w:tblPrEx>
        <w:trPr>
          <w:trHeight w:val="749"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jc w:val="center"/>
              <w:rPr>
                <w:rFonts w:hint="eastAsia" w:eastAsia="宋体"/>
                <w:sz w:val="21"/>
                <w:lang w:eastAsia="zh-CN"/>
              </w:rPr>
            </w:pPr>
            <w:bookmarkStart w:id="3" w:name="_Toc16173"/>
            <w:r>
              <w:rPr>
                <w:rFonts w:hint="eastAsia"/>
                <w:sz w:val="21"/>
              </w:rPr>
              <w:t>3</w:t>
            </w:r>
            <w:r>
              <w:rPr>
                <w:rFonts w:hint="eastAsia"/>
                <w:sz w:val="21"/>
                <w:lang w:val="en-US" w:eastAsia="zh-CN"/>
              </w:rPr>
              <w:t>5</w:t>
            </w:r>
          </w:p>
        </w:tc>
        <w:tc>
          <w:tcPr>
            <w:tcW w:w="2270" w:type="dxa"/>
            <w:tcBorders>
              <w:top w:val="single" w:color="000000" w:sz="4" w:space="0"/>
              <w:left w:val="single" w:color="000000" w:sz="4" w:space="0"/>
              <w:bottom w:val="single" w:color="000000" w:sz="4" w:space="0"/>
              <w:right w:val="single" w:color="000000" w:sz="4" w:space="0"/>
            </w:tcBorders>
            <w:vAlign w:val="center"/>
          </w:tcPr>
          <w:p>
            <w:pPr>
              <w:spacing w:before="69" w:line="288" w:lineRule="auto"/>
              <w:ind w:right="186"/>
              <w:jc w:val="center"/>
              <w:rPr>
                <w:sz w:val="21"/>
              </w:rPr>
            </w:pPr>
            <w:r>
              <w:rPr>
                <w:rFonts w:hint="eastAsia"/>
                <w:color w:val="0C0C0C"/>
                <w:spacing w:val="-1"/>
              </w:rPr>
              <w:t>小微企业政策</w:t>
            </w:r>
          </w:p>
        </w:tc>
        <w:tc>
          <w:tcPr>
            <w:tcW w:w="6377" w:type="dxa"/>
            <w:tcBorders>
              <w:top w:val="single" w:color="000000" w:sz="4" w:space="0"/>
              <w:left w:val="single" w:color="000000" w:sz="4" w:space="0"/>
              <w:bottom w:val="single" w:color="000000" w:sz="4" w:space="0"/>
              <w:right w:val="single" w:color="000000" w:sz="4" w:space="0"/>
            </w:tcBorders>
            <w:vAlign w:val="center"/>
          </w:tcPr>
          <w:p>
            <w:pPr>
              <w:pStyle w:val="43"/>
              <w:spacing w:line="360" w:lineRule="exact"/>
              <w:rPr>
                <w:sz w:val="21"/>
              </w:rPr>
            </w:pPr>
            <w:r>
              <w:rPr>
                <w:rFonts w:hint="eastAsia"/>
              </w:rPr>
              <w:t>鼓励各地区、各部门在采购活动中允许中小企业引入信用担保手段，为中小企业在投标(响应)保证、履约保证等方面提供专业化服务。鼓励中小企业依法合规通过政府采购合同融资。</w:t>
            </w:r>
          </w:p>
        </w:tc>
      </w:tr>
    </w:tbl>
    <w:p>
      <w:pPr>
        <w:rPr>
          <w:spacing w:val="16"/>
        </w:rPr>
      </w:pPr>
      <w:r>
        <w:rPr>
          <w:spacing w:val="16"/>
        </w:rPr>
        <w:br w:type="page"/>
      </w:r>
    </w:p>
    <w:p>
      <w:pPr>
        <w:pStyle w:val="5"/>
        <w:spacing w:before="3"/>
        <w:ind w:left="0" w:right="15"/>
        <w:jc w:val="center"/>
        <w:rPr>
          <w:spacing w:val="16"/>
        </w:rPr>
      </w:pPr>
      <w:r>
        <w:rPr>
          <w:spacing w:val="16"/>
        </w:rPr>
        <w:t>第三部分 供应商须知正文部分</w:t>
      </w:r>
      <w:bookmarkEnd w:id="3"/>
    </w:p>
    <w:p>
      <w:pPr>
        <w:spacing w:line="360" w:lineRule="auto"/>
        <w:ind w:firstLine="482" w:firstLineChars="200"/>
        <w:jc w:val="both"/>
        <w:rPr>
          <w:b/>
          <w:sz w:val="24"/>
          <w:szCs w:val="24"/>
        </w:rPr>
      </w:pPr>
      <w:r>
        <w:rPr>
          <w:rFonts w:hint="eastAsia"/>
          <w:b/>
          <w:sz w:val="24"/>
          <w:szCs w:val="24"/>
        </w:rPr>
        <w:t>一、总则</w:t>
      </w:r>
    </w:p>
    <w:p>
      <w:pPr>
        <w:pStyle w:val="42"/>
        <w:tabs>
          <w:tab w:val="left" w:pos="643"/>
        </w:tabs>
        <w:spacing w:line="360" w:lineRule="auto"/>
        <w:ind w:left="0" w:firstLine="482" w:firstLineChars="200"/>
        <w:jc w:val="both"/>
        <w:rPr>
          <w:b/>
          <w:sz w:val="24"/>
          <w:szCs w:val="24"/>
        </w:rPr>
      </w:pPr>
      <w:r>
        <w:rPr>
          <w:rFonts w:hint="eastAsia"/>
          <w:b/>
          <w:sz w:val="24"/>
          <w:szCs w:val="24"/>
        </w:rPr>
        <w:t>1.1 适用法律</w:t>
      </w:r>
    </w:p>
    <w:p>
      <w:pPr>
        <w:pStyle w:val="3"/>
        <w:spacing w:line="360" w:lineRule="auto"/>
        <w:ind w:firstLine="480" w:firstLineChars="200"/>
        <w:jc w:val="both"/>
        <w:rPr>
          <w:sz w:val="24"/>
          <w:szCs w:val="24"/>
        </w:rPr>
      </w:pPr>
      <w:r>
        <w:rPr>
          <w:rFonts w:hint="eastAsia"/>
          <w:sz w:val="24"/>
          <w:szCs w:val="24"/>
        </w:rPr>
        <w:t>本次招标采购适用的主要法律法规为《中华人民共和国政府采购法》、《中华人民共和国合同法》、《中华人民共和国政府采购法实施条例》。</w:t>
      </w:r>
    </w:p>
    <w:p>
      <w:pPr>
        <w:pStyle w:val="42"/>
        <w:tabs>
          <w:tab w:val="left" w:pos="643"/>
        </w:tabs>
        <w:spacing w:line="360" w:lineRule="auto"/>
        <w:ind w:left="0" w:firstLine="482" w:firstLineChars="200"/>
        <w:jc w:val="both"/>
        <w:rPr>
          <w:b/>
          <w:sz w:val="24"/>
          <w:szCs w:val="24"/>
        </w:rPr>
      </w:pPr>
      <w:r>
        <w:rPr>
          <w:rFonts w:hint="eastAsia"/>
          <w:b/>
          <w:sz w:val="24"/>
          <w:szCs w:val="24"/>
        </w:rPr>
        <w:t>1.2 定义</w:t>
      </w:r>
    </w:p>
    <w:p>
      <w:pPr>
        <w:pStyle w:val="42"/>
        <w:tabs>
          <w:tab w:val="left" w:pos="1170"/>
        </w:tabs>
        <w:spacing w:line="360" w:lineRule="auto"/>
        <w:ind w:left="0" w:firstLine="480" w:firstLineChars="200"/>
        <w:jc w:val="both"/>
        <w:rPr>
          <w:sz w:val="24"/>
          <w:szCs w:val="24"/>
        </w:rPr>
      </w:pPr>
      <w:r>
        <w:rPr>
          <w:rFonts w:hint="eastAsia"/>
          <w:sz w:val="24"/>
          <w:szCs w:val="24"/>
        </w:rPr>
        <w:t>1.2.1“采购人（招标人）”：指本项目采购单位；</w:t>
      </w:r>
    </w:p>
    <w:p>
      <w:pPr>
        <w:pStyle w:val="42"/>
        <w:tabs>
          <w:tab w:val="left" w:pos="1170"/>
        </w:tabs>
        <w:spacing w:line="360" w:lineRule="auto"/>
        <w:ind w:left="0" w:firstLine="480" w:firstLineChars="200"/>
        <w:jc w:val="both"/>
        <w:rPr>
          <w:sz w:val="24"/>
          <w:szCs w:val="24"/>
        </w:rPr>
      </w:pPr>
      <w:r>
        <w:rPr>
          <w:rFonts w:hint="eastAsia"/>
          <w:sz w:val="24"/>
          <w:szCs w:val="24"/>
        </w:rPr>
        <w:t>1.2.2“代理机构”：指受采购人委托的有代理资质的第三方机构；</w:t>
      </w:r>
    </w:p>
    <w:p>
      <w:pPr>
        <w:pStyle w:val="42"/>
        <w:tabs>
          <w:tab w:val="left" w:pos="1170"/>
        </w:tabs>
        <w:spacing w:line="360" w:lineRule="auto"/>
        <w:ind w:left="0" w:firstLine="480" w:firstLineChars="200"/>
        <w:jc w:val="both"/>
        <w:rPr>
          <w:sz w:val="24"/>
          <w:szCs w:val="24"/>
        </w:rPr>
      </w:pPr>
      <w:r>
        <w:rPr>
          <w:rFonts w:hint="eastAsia"/>
          <w:sz w:val="24"/>
          <w:szCs w:val="24"/>
        </w:rPr>
        <w:t>1.2.3“供应商（投标人）”系指向招标采购单位提交投标文件的供应商；</w:t>
      </w:r>
    </w:p>
    <w:p>
      <w:pPr>
        <w:pStyle w:val="42"/>
        <w:tabs>
          <w:tab w:val="left" w:pos="1170"/>
        </w:tabs>
        <w:spacing w:line="360" w:lineRule="auto"/>
        <w:ind w:left="0" w:firstLine="480" w:firstLineChars="200"/>
        <w:jc w:val="both"/>
        <w:rPr>
          <w:sz w:val="24"/>
          <w:szCs w:val="24"/>
        </w:rPr>
      </w:pPr>
      <w:r>
        <w:rPr>
          <w:rFonts w:hint="eastAsia"/>
          <w:sz w:val="24"/>
          <w:szCs w:val="24"/>
        </w:rPr>
        <w:t>1.2.4“中标人（成交人）”系指被确定为承接本项目并负责其实施的投标人（供应商）；</w:t>
      </w:r>
    </w:p>
    <w:p>
      <w:pPr>
        <w:pStyle w:val="42"/>
        <w:tabs>
          <w:tab w:val="left" w:pos="1170"/>
        </w:tabs>
        <w:spacing w:line="360" w:lineRule="auto"/>
        <w:ind w:left="0" w:firstLine="480" w:firstLineChars="200"/>
        <w:jc w:val="both"/>
        <w:rPr>
          <w:sz w:val="24"/>
          <w:szCs w:val="24"/>
        </w:rPr>
      </w:pPr>
      <w:r>
        <w:rPr>
          <w:rFonts w:hint="eastAsia"/>
          <w:sz w:val="24"/>
          <w:szCs w:val="24"/>
        </w:rPr>
        <w:t>1.2.5“工程”系指供应商按竞争性磋商文件要求，须向采购人提供的工程内容及相应资料；包括手册及其它有关技术资料；</w:t>
      </w:r>
    </w:p>
    <w:p>
      <w:pPr>
        <w:pStyle w:val="42"/>
        <w:tabs>
          <w:tab w:val="left" w:pos="1170"/>
        </w:tabs>
        <w:spacing w:line="360" w:lineRule="auto"/>
        <w:ind w:left="0" w:firstLine="480" w:firstLineChars="200"/>
        <w:jc w:val="both"/>
        <w:rPr>
          <w:sz w:val="24"/>
          <w:szCs w:val="24"/>
        </w:rPr>
      </w:pPr>
      <w:r>
        <w:rPr>
          <w:rFonts w:hint="eastAsia"/>
          <w:sz w:val="24"/>
          <w:szCs w:val="24"/>
        </w:rPr>
        <w:t>1.2.6“货物”系指供应商按招标文件要求，须向采购人提供的货物及相应资料；包括手册及其它有关技术资料；</w:t>
      </w:r>
    </w:p>
    <w:p>
      <w:pPr>
        <w:pStyle w:val="42"/>
        <w:tabs>
          <w:tab w:val="left" w:pos="1170"/>
        </w:tabs>
        <w:spacing w:line="360" w:lineRule="auto"/>
        <w:ind w:left="0" w:firstLine="480" w:firstLineChars="200"/>
        <w:jc w:val="both"/>
        <w:rPr>
          <w:sz w:val="24"/>
          <w:szCs w:val="24"/>
        </w:rPr>
      </w:pPr>
      <w:r>
        <w:rPr>
          <w:rFonts w:hint="eastAsia"/>
          <w:sz w:val="24"/>
          <w:szCs w:val="24"/>
        </w:rPr>
        <w:t>1.2.7“服务”指招标文件中规定的供应商须承担的服务内容。</w:t>
      </w:r>
    </w:p>
    <w:p>
      <w:pPr>
        <w:pStyle w:val="42"/>
        <w:tabs>
          <w:tab w:val="left" w:pos="643"/>
        </w:tabs>
        <w:spacing w:line="360" w:lineRule="auto"/>
        <w:ind w:left="0" w:firstLine="482" w:firstLineChars="200"/>
        <w:jc w:val="both"/>
        <w:rPr>
          <w:b/>
          <w:sz w:val="24"/>
          <w:szCs w:val="24"/>
        </w:rPr>
      </w:pPr>
      <w:r>
        <w:rPr>
          <w:rFonts w:hint="eastAsia"/>
          <w:b/>
          <w:sz w:val="24"/>
          <w:szCs w:val="24"/>
        </w:rPr>
        <w:t>1.3 合格的货物和服务：</w:t>
      </w:r>
    </w:p>
    <w:p>
      <w:pPr>
        <w:pStyle w:val="3"/>
        <w:spacing w:line="360" w:lineRule="auto"/>
        <w:ind w:firstLine="480" w:firstLineChars="200"/>
        <w:jc w:val="both"/>
        <w:rPr>
          <w:sz w:val="24"/>
          <w:szCs w:val="24"/>
        </w:rPr>
      </w:pPr>
      <w:r>
        <w:rPr>
          <w:rFonts w:hint="eastAsia"/>
          <w:sz w:val="24"/>
          <w:szCs w:val="24"/>
        </w:rPr>
        <w:t>供应商须提供符合国家质量标准，相关行业强制执行标准的技术服务。</w:t>
      </w:r>
    </w:p>
    <w:p>
      <w:pPr>
        <w:pStyle w:val="42"/>
        <w:tabs>
          <w:tab w:val="left" w:pos="643"/>
        </w:tabs>
        <w:spacing w:line="360" w:lineRule="auto"/>
        <w:ind w:left="0" w:firstLine="482" w:firstLineChars="200"/>
        <w:jc w:val="both"/>
        <w:rPr>
          <w:sz w:val="24"/>
          <w:szCs w:val="24"/>
        </w:rPr>
      </w:pPr>
      <w:r>
        <w:rPr>
          <w:rFonts w:hint="eastAsia"/>
          <w:b/>
          <w:sz w:val="24"/>
          <w:szCs w:val="24"/>
        </w:rPr>
        <w:t>1.4 投标人应具备的条件：</w:t>
      </w:r>
      <w:r>
        <w:rPr>
          <w:rFonts w:hint="eastAsia"/>
          <w:sz w:val="24"/>
          <w:szCs w:val="24"/>
        </w:rPr>
        <w:t>见投标人须知前附表；</w:t>
      </w:r>
    </w:p>
    <w:p>
      <w:pPr>
        <w:pStyle w:val="42"/>
        <w:tabs>
          <w:tab w:val="left" w:pos="643"/>
        </w:tabs>
        <w:spacing w:line="360" w:lineRule="auto"/>
        <w:ind w:left="0" w:firstLine="482" w:firstLineChars="200"/>
        <w:jc w:val="both"/>
        <w:rPr>
          <w:b/>
          <w:sz w:val="24"/>
          <w:szCs w:val="24"/>
        </w:rPr>
      </w:pPr>
      <w:r>
        <w:rPr>
          <w:rFonts w:hint="eastAsia"/>
          <w:b/>
          <w:sz w:val="24"/>
          <w:szCs w:val="24"/>
        </w:rPr>
        <w:t>1.5 投标人不得存在下列情形之一</w:t>
      </w:r>
    </w:p>
    <w:p>
      <w:pPr>
        <w:pStyle w:val="42"/>
        <w:tabs>
          <w:tab w:val="left" w:pos="1272"/>
        </w:tabs>
        <w:spacing w:line="360" w:lineRule="auto"/>
        <w:ind w:left="0" w:firstLine="480" w:firstLineChars="200"/>
        <w:jc w:val="both"/>
        <w:rPr>
          <w:sz w:val="24"/>
          <w:szCs w:val="24"/>
        </w:rPr>
      </w:pPr>
      <w:r>
        <w:rPr>
          <w:rFonts w:hint="eastAsia"/>
          <w:sz w:val="24"/>
          <w:szCs w:val="24"/>
        </w:rPr>
        <w:t>1.5.1为招标人不具有独立法人资格的附属机构（单位）；</w:t>
      </w:r>
    </w:p>
    <w:p>
      <w:pPr>
        <w:pStyle w:val="42"/>
        <w:tabs>
          <w:tab w:val="left" w:pos="1272"/>
        </w:tabs>
        <w:spacing w:line="360" w:lineRule="auto"/>
        <w:ind w:left="0" w:firstLine="480" w:firstLineChars="200"/>
        <w:jc w:val="both"/>
        <w:rPr>
          <w:sz w:val="24"/>
          <w:szCs w:val="24"/>
        </w:rPr>
      </w:pPr>
      <w:r>
        <w:rPr>
          <w:rFonts w:hint="eastAsia"/>
          <w:sz w:val="24"/>
          <w:szCs w:val="24"/>
        </w:rPr>
        <w:t>1.5.2为本项目前期准备提供咨询服务的；</w:t>
      </w:r>
    </w:p>
    <w:p>
      <w:pPr>
        <w:pStyle w:val="42"/>
        <w:tabs>
          <w:tab w:val="left" w:pos="1272"/>
        </w:tabs>
        <w:spacing w:line="360" w:lineRule="auto"/>
        <w:ind w:left="0" w:firstLine="480" w:firstLineChars="200"/>
        <w:jc w:val="both"/>
        <w:rPr>
          <w:sz w:val="24"/>
          <w:szCs w:val="24"/>
        </w:rPr>
      </w:pPr>
      <w:r>
        <w:rPr>
          <w:rFonts w:hint="eastAsia"/>
          <w:sz w:val="24"/>
          <w:szCs w:val="24"/>
        </w:rPr>
        <w:t>1.5.3为本项目提供招标代理服务的；</w:t>
      </w:r>
    </w:p>
    <w:p>
      <w:pPr>
        <w:pStyle w:val="42"/>
        <w:tabs>
          <w:tab w:val="left" w:pos="1272"/>
        </w:tabs>
        <w:spacing w:line="360" w:lineRule="auto"/>
        <w:ind w:left="0" w:firstLine="480" w:firstLineChars="200"/>
        <w:jc w:val="both"/>
        <w:rPr>
          <w:sz w:val="24"/>
          <w:szCs w:val="24"/>
        </w:rPr>
      </w:pPr>
      <w:r>
        <w:rPr>
          <w:rFonts w:hint="eastAsia"/>
          <w:sz w:val="24"/>
          <w:szCs w:val="24"/>
        </w:rPr>
        <w:t>1.5.4被责令停业的；</w:t>
      </w:r>
    </w:p>
    <w:p>
      <w:pPr>
        <w:pStyle w:val="42"/>
        <w:tabs>
          <w:tab w:val="left" w:pos="1272"/>
        </w:tabs>
        <w:spacing w:line="360" w:lineRule="auto"/>
        <w:ind w:left="0" w:firstLine="480" w:firstLineChars="200"/>
        <w:jc w:val="both"/>
        <w:rPr>
          <w:sz w:val="24"/>
          <w:szCs w:val="24"/>
        </w:rPr>
      </w:pPr>
      <w:r>
        <w:rPr>
          <w:rFonts w:hint="eastAsia"/>
          <w:sz w:val="24"/>
          <w:szCs w:val="24"/>
        </w:rPr>
        <w:t>1.5.5被暂停或取消投标资格的；</w:t>
      </w:r>
    </w:p>
    <w:p>
      <w:pPr>
        <w:pStyle w:val="42"/>
        <w:tabs>
          <w:tab w:val="left" w:pos="1272"/>
        </w:tabs>
        <w:spacing w:line="360" w:lineRule="auto"/>
        <w:ind w:left="0" w:firstLine="480" w:firstLineChars="200"/>
        <w:jc w:val="both"/>
        <w:rPr>
          <w:sz w:val="24"/>
          <w:szCs w:val="24"/>
        </w:rPr>
      </w:pPr>
      <w:r>
        <w:rPr>
          <w:rFonts w:hint="eastAsia"/>
          <w:sz w:val="24"/>
          <w:szCs w:val="24"/>
        </w:rPr>
        <w:t>1.5.6财产被接管或冻结的；</w:t>
      </w:r>
    </w:p>
    <w:p>
      <w:pPr>
        <w:pStyle w:val="42"/>
        <w:tabs>
          <w:tab w:val="left" w:pos="1272"/>
        </w:tabs>
        <w:spacing w:line="360" w:lineRule="auto"/>
        <w:ind w:left="0" w:firstLine="480" w:firstLineChars="200"/>
        <w:jc w:val="both"/>
        <w:rPr>
          <w:sz w:val="24"/>
          <w:szCs w:val="24"/>
        </w:rPr>
      </w:pPr>
      <w:r>
        <w:rPr>
          <w:rFonts w:hint="eastAsia"/>
          <w:sz w:val="24"/>
          <w:szCs w:val="24"/>
        </w:rPr>
        <w:t>1.5.7在最近三年内有骗取中标或严重违约或重大质量问题的。</w:t>
      </w:r>
    </w:p>
    <w:p>
      <w:pPr>
        <w:pStyle w:val="42"/>
        <w:tabs>
          <w:tab w:val="left" w:pos="643"/>
        </w:tabs>
        <w:spacing w:line="360" w:lineRule="auto"/>
        <w:ind w:left="0" w:firstLine="482" w:firstLineChars="200"/>
        <w:jc w:val="both"/>
        <w:rPr>
          <w:b/>
          <w:sz w:val="24"/>
          <w:szCs w:val="24"/>
        </w:rPr>
      </w:pPr>
      <w:r>
        <w:rPr>
          <w:rFonts w:hint="eastAsia"/>
          <w:b/>
          <w:sz w:val="24"/>
          <w:szCs w:val="24"/>
        </w:rPr>
        <w:t>1.6 费用承担</w:t>
      </w:r>
    </w:p>
    <w:p>
      <w:pPr>
        <w:pStyle w:val="42"/>
        <w:tabs>
          <w:tab w:val="left" w:pos="1272"/>
        </w:tabs>
        <w:spacing w:line="360" w:lineRule="auto"/>
        <w:ind w:left="0" w:firstLine="480" w:firstLineChars="200"/>
        <w:jc w:val="both"/>
        <w:rPr>
          <w:sz w:val="24"/>
          <w:szCs w:val="24"/>
        </w:rPr>
      </w:pPr>
      <w:r>
        <w:rPr>
          <w:rFonts w:hint="eastAsia"/>
          <w:sz w:val="24"/>
          <w:szCs w:val="24"/>
        </w:rPr>
        <w:t>投标人准备和参加投标活动发生的一切费用自理，不论投标结果如何，招标人概不负责。</w:t>
      </w:r>
    </w:p>
    <w:p>
      <w:pPr>
        <w:pStyle w:val="42"/>
        <w:tabs>
          <w:tab w:val="left" w:pos="643"/>
        </w:tabs>
        <w:spacing w:line="360" w:lineRule="auto"/>
        <w:ind w:left="0" w:firstLine="482" w:firstLineChars="200"/>
        <w:jc w:val="both"/>
        <w:rPr>
          <w:b/>
          <w:sz w:val="24"/>
          <w:szCs w:val="24"/>
        </w:rPr>
      </w:pPr>
      <w:r>
        <w:rPr>
          <w:rFonts w:hint="eastAsia"/>
          <w:b/>
          <w:sz w:val="24"/>
          <w:szCs w:val="24"/>
        </w:rPr>
        <w:t>1.7 保密</w:t>
      </w:r>
    </w:p>
    <w:p>
      <w:pPr>
        <w:pStyle w:val="3"/>
        <w:spacing w:line="360" w:lineRule="auto"/>
        <w:ind w:firstLine="480" w:firstLineChars="200"/>
        <w:jc w:val="both"/>
        <w:rPr>
          <w:sz w:val="24"/>
          <w:szCs w:val="24"/>
        </w:rPr>
      </w:pPr>
      <w:r>
        <w:rPr>
          <w:rFonts w:hint="eastAsia"/>
          <w:sz w:val="24"/>
          <w:szCs w:val="24"/>
        </w:rPr>
        <w:t>参与招标投标活动的各方应对招标文件和投标文件中的商业和技术等秘密保密，违者应对由此造成的后果承担法律责任。</w:t>
      </w:r>
    </w:p>
    <w:p>
      <w:pPr>
        <w:pStyle w:val="42"/>
        <w:tabs>
          <w:tab w:val="left" w:pos="643"/>
        </w:tabs>
        <w:spacing w:line="360" w:lineRule="auto"/>
        <w:ind w:left="0" w:firstLine="482" w:firstLineChars="200"/>
        <w:jc w:val="both"/>
        <w:rPr>
          <w:b/>
          <w:sz w:val="24"/>
          <w:szCs w:val="24"/>
        </w:rPr>
      </w:pPr>
      <w:r>
        <w:rPr>
          <w:rFonts w:hint="eastAsia"/>
          <w:b/>
          <w:sz w:val="24"/>
          <w:szCs w:val="24"/>
        </w:rPr>
        <w:t>1.8 语言文字</w:t>
      </w:r>
    </w:p>
    <w:p>
      <w:pPr>
        <w:pStyle w:val="3"/>
        <w:spacing w:line="360" w:lineRule="auto"/>
        <w:ind w:firstLine="480" w:firstLineChars="200"/>
        <w:jc w:val="both"/>
        <w:rPr>
          <w:sz w:val="24"/>
          <w:szCs w:val="24"/>
        </w:rPr>
      </w:pPr>
      <w:r>
        <w:rPr>
          <w:rFonts w:hint="eastAsia"/>
          <w:sz w:val="24"/>
          <w:szCs w:val="24"/>
        </w:rPr>
        <w:t>除专用术语外，与招标投标有关的语言均使用中文。必要时专用术语应附有中文注释。</w:t>
      </w:r>
    </w:p>
    <w:p>
      <w:pPr>
        <w:pStyle w:val="42"/>
        <w:tabs>
          <w:tab w:val="left" w:pos="643"/>
        </w:tabs>
        <w:spacing w:line="360" w:lineRule="auto"/>
        <w:ind w:left="0" w:firstLine="482" w:firstLineChars="200"/>
        <w:jc w:val="both"/>
        <w:rPr>
          <w:b/>
          <w:sz w:val="24"/>
          <w:szCs w:val="24"/>
        </w:rPr>
      </w:pPr>
      <w:r>
        <w:rPr>
          <w:rFonts w:hint="eastAsia"/>
          <w:b/>
          <w:sz w:val="24"/>
          <w:szCs w:val="24"/>
        </w:rPr>
        <w:t>1.9 计量单位</w:t>
      </w:r>
    </w:p>
    <w:p>
      <w:pPr>
        <w:pStyle w:val="3"/>
        <w:spacing w:line="360" w:lineRule="auto"/>
        <w:ind w:firstLine="480" w:firstLineChars="200"/>
        <w:jc w:val="both"/>
        <w:rPr>
          <w:sz w:val="24"/>
          <w:szCs w:val="24"/>
        </w:rPr>
      </w:pPr>
      <w:r>
        <w:rPr>
          <w:rFonts w:hint="eastAsia"/>
          <w:sz w:val="24"/>
          <w:szCs w:val="24"/>
        </w:rPr>
        <w:t>所有计量均采用中华人民共和国法定计量单位。</w:t>
      </w:r>
    </w:p>
    <w:p>
      <w:pPr>
        <w:pStyle w:val="42"/>
        <w:tabs>
          <w:tab w:val="left" w:pos="643"/>
        </w:tabs>
        <w:spacing w:line="360" w:lineRule="auto"/>
        <w:ind w:left="0" w:firstLine="482" w:firstLineChars="200"/>
        <w:jc w:val="both"/>
        <w:rPr>
          <w:b/>
          <w:sz w:val="24"/>
          <w:szCs w:val="24"/>
        </w:rPr>
      </w:pPr>
      <w:r>
        <w:rPr>
          <w:rFonts w:hint="eastAsia"/>
          <w:b/>
          <w:sz w:val="24"/>
          <w:szCs w:val="24"/>
        </w:rPr>
        <w:t>1.10 踏勘现场</w:t>
      </w:r>
    </w:p>
    <w:p>
      <w:pPr>
        <w:pStyle w:val="3"/>
        <w:spacing w:line="360" w:lineRule="auto"/>
        <w:ind w:firstLine="480" w:firstLineChars="200"/>
        <w:jc w:val="both"/>
        <w:rPr>
          <w:sz w:val="24"/>
          <w:szCs w:val="24"/>
        </w:rPr>
      </w:pPr>
      <w:r>
        <w:rPr>
          <w:rFonts w:hint="eastAsia"/>
          <w:sz w:val="24"/>
          <w:szCs w:val="24"/>
        </w:rPr>
        <w:t>本项目不组织现场踏勘。</w:t>
      </w:r>
    </w:p>
    <w:p>
      <w:pPr>
        <w:pStyle w:val="42"/>
        <w:tabs>
          <w:tab w:val="left" w:pos="749"/>
        </w:tabs>
        <w:spacing w:line="360" w:lineRule="auto"/>
        <w:ind w:left="0" w:firstLine="482" w:firstLineChars="200"/>
        <w:jc w:val="both"/>
        <w:rPr>
          <w:b/>
          <w:sz w:val="24"/>
          <w:szCs w:val="24"/>
        </w:rPr>
      </w:pPr>
      <w:r>
        <w:rPr>
          <w:rFonts w:hint="eastAsia"/>
          <w:b/>
          <w:sz w:val="24"/>
          <w:szCs w:val="24"/>
        </w:rPr>
        <w:t>1.11 投标预备会</w:t>
      </w:r>
    </w:p>
    <w:p>
      <w:pPr>
        <w:pStyle w:val="3"/>
        <w:spacing w:line="360" w:lineRule="auto"/>
        <w:ind w:firstLine="480" w:firstLineChars="200"/>
        <w:jc w:val="both"/>
        <w:rPr>
          <w:sz w:val="24"/>
          <w:szCs w:val="24"/>
        </w:rPr>
      </w:pPr>
      <w:r>
        <w:rPr>
          <w:rFonts w:hint="eastAsia"/>
          <w:sz w:val="24"/>
          <w:szCs w:val="24"/>
        </w:rPr>
        <w:t>本项目不召开预备会。</w:t>
      </w:r>
    </w:p>
    <w:p>
      <w:pPr>
        <w:pStyle w:val="42"/>
        <w:tabs>
          <w:tab w:val="left" w:pos="749"/>
        </w:tabs>
        <w:spacing w:line="360" w:lineRule="auto"/>
        <w:ind w:left="0" w:firstLine="482" w:firstLineChars="200"/>
        <w:jc w:val="both"/>
        <w:rPr>
          <w:b/>
          <w:sz w:val="24"/>
          <w:szCs w:val="24"/>
        </w:rPr>
      </w:pPr>
      <w:r>
        <w:rPr>
          <w:rFonts w:hint="eastAsia"/>
          <w:b/>
          <w:sz w:val="24"/>
          <w:szCs w:val="24"/>
        </w:rPr>
        <w:t>1.12 分包</w:t>
      </w:r>
    </w:p>
    <w:p>
      <w:pPr>
        <w:pStyle w:val="3"/>
        <w:spacing w:line="360" w:lineRule="auto"/>
        <w:ind w:firstLine="480" w:firstLineChars="200"/>
        <w:jc w:val="both"/>
        <w:rPr>
          <w:sz w:val="24"/>
          <w:szCs w:val="24"/>
        </w:rPr>
      </w:pPr>
      <w:r>
        <w:rPr>
          <w:rFonts w:hint="eastAsia"/>
          <w:sz w:val="24"/>
          <w:szCs w:val="24"/>
        </w:rPr>
        <w:t>本项目不接受任何分包。</w:t>
      </w:r>
    </w:p>
    <w:p>
      <w:pPr>
        <w:pStyle w:val="42"/>
        <w:tabs>
          <w:tab w:val="left" w:pos="749"/>
        </w:tabs>
        <w:spacing w:line="360" w:lineRule="auto"/>
        <w:ind w:left="0" w:firstLine="482" w:firstLineChars="200"/>
        <w:jc w:val="both"/>
        <w:rPr>
          <w:b/>
          <w:sz w:val="24"/>
          <w:szCs w:val="24"/>
        </w:rPr>
      </w:pPr>
      <w:r>
        <w:rPr>
          <w:rFonts w:hint="eastAsia"/>
          <w:b/>
          <w:sz w:val="24"/>
          <w:szCs w:val="24"/>
        </w:rPr>
        <w:t>1.13 偏离</w:t>
      </w:r>
    </w:p>
    <w:p>
      <w:pPr>
        <w:pStyle w:val="3"/>
        <w:spacing w:line="360" w:lineRule="auto"/>
        <w:ind w:firstLine="480" w:firstLineChars="200"/>
        <w:jc w:val="both"/>
        <w:rPr>
          <w:sz w:val="24"/>
          <w:szCs w:val="24"/>
        </w:rPr>
      </w:pPr>
      <w:r>
        <w:rPr>
          <w:rFonts w:hint="eastAsia"/>
          <w:sz w:val="24"/>
          <w:szCs w:val="24"/>
        </w:rPr>
        <w:t>按投标人须知前附表规定。</w:t>
      </w:r>
    </w:p>
    <w:p>
      <w:pPr>
        <w:pStyle w:val="42"/>
        <w:tabs>
          <w:tab w:val="left" w:pos="749"/>
        </w:tabs>
        <w:spacing w:line="360" w:lineRule="auto"/>
        <w:ind w:left="0" w:firstLine="482" w:firstLineChars="200"/>
        <w:jc w:val="both"/>
        <w:rPr>
          <w:b/>
          <w:sz w:val="24"/>
          <w:szCs w:val="24"/>
        </w:rPr>
      </w:pPr>
      <w:r>
        <w:rPr>
          <w:rFonts w:hint="eastAsia"/>
          <w:b/>
          <w:sz w:val="24"/>
          <w:szCs w:val="24"/>
        </w:rPr>
        <w:t>1.14 付款方式</w:t>
      </w:r>
    </w:p>
    <w:p>
      <w:pPr>
        <w:spacing w:line="360" w:lineRule="auto"/>
        <w:ind w:firstLine="480" w:firstLineChars="200"/>
        <w:jc w:val="both"/>
        <w:rPr>
          <w:sz w:val="24"/>
          <w:szCs w:val="24"/>
        </w:rPr>
      </w:pPr>
      <w:r>
        <w:rPr>
          <w:rFonts w:hint="eastAsia"/>
          <w:sz w:val="24"/>
          <w:szCs w:val="24"/>
        </w:rPr>
        <w:t>按照招标文件投标人须知前附表中约定执行。</w:t>
      </w:r>
    </w:p>
    <w:p>
      <w:pPr>
        <w:pStyle w:val="42"/>
        <w:tabs>
          <w:tab w:val="left" w:pos="643"/>
        </w:tabs>
        <w:spacing w:line="360" w:lineRule="auto"/>
        <w:ind w:left="0" w:firstLine="482" w:firstLineChars="200"/>
        <w:jc w:val="both"/>
        <w:rPr>
          <w:b/>
          <w:sz w:val="24"/>
          <w:szCs w:val="24"/>
        </w:rPr>
      </w:pPr>
      <w:bookmarkStart w:id="4" w:name="_Toc22751"/>
      <w:r>
        <w:rPr>
          <w:rFonts w:hint="eastAsia"/>
          <w:b/>
          <w:sz w:val="24"/>
          <w:szCs w:val="24"/>
        </w:rPr>
        <w:t>二、磋商文件</w:t>
      </w:r>
      <w:bookmarkEnd w:id="4"/>
    </w:p>
    <w:p>
      <w:pPr>
        <w:pStyle w:val="42"/>
        <w:tabs>
          <w:tab w:val="left" w:pos="643"/>
        </w:tabs>
        <w:spacing w:line="360" w:lineRule="auto"/>
        <w:ind w:left="0" w:firstLine="482" w:firstLineChars="200"/>
        <w:jc w:val="both"/>
        <w:rPr>
          <w:b/>
          <w:sz w:val="24"/>
          <w:szCs w:val="24"/>
        </w:rPr>
      </w:pPr>
      <w:r>
        <w:rPr>
          <w:rFonts w:hint="eastAsia"/>
          <w:b/>
          <w:sz w:val="24"/>
          <w:szCs w:val="24"/>
        </w:rPr>
        <w:t>2.1 磋商文件构成</w:t>
      </w:r>
    </w:p>
    <w:p>
      <w:pPr>
        <w:pStyle w:val="42"/>
        <w:tabs>
          <w:tab w:val="left" w:pos="1272"/>
        </w:tabs>
        <w:spacing w:line="360" w:lineRule="auto"/>
        <w:ind w:left="0" w:firstLine="480" w:firstLineChars="200"/>
        <w:jc w:val="both"/>
        <w:rPr>
          <w:sz w:val="24"/>
          <w:szCs w:val="24"/>
        </w:rPr>
      </w:pPr>
      <w:r>
        <w:rPr>
          <w:rFonts w:hint="eastAsia"/>
          <w:sz w:val="24"/>
          <w:szCs w:val="24"/>
        </w:rPr>
        <w:t>2.1.1要求提供的服务、招标过程、合同条件和技术要求在招标文件中均有说明。招标文件的内容如下：</w:t>
      </w:r>
    </w:p>
    <w:p>
      <w:pPr>
        <w:pStyle w:val="42"/>
        <w:tabs>
          <w:tab w:val="left" w:pos="1272"/>
        </w:tabs>
        <w:spacing w:line="360" w:lineRule="auto"/>
        <w:ind w:left="0" w:firstLine="480" w:firstLineChars="200"/>
        <w:jc w:val="both"/>
        <w:rPr>
          <w:sz w:val="24"/>
          <w:szCs w:val="24"/>
        </w:rPr>
      </w:pPr>
      <w:r>
        <w:rPr>
          <w:rFonts w:hint="eastAsia"/>
          <w:sz w:val="24"/>
          <w:szCs w:val="24"/>
        </w:rPr>
        <w:t>第一部分 磋商公告</w:t>
      </w:r>
    </w:p>
    <w:p>
      <w:pPr>
        <w:pStyle w:val="42"/>
        <w:tabs>
          <w:tab w:val="left" w:pos="1272"/>
        </w:tabs>
        <w:spacing w:line="360" w:lineRule="auto"/>
        <w:ind w:left="0" w:firstLine="480" w:firstLineChars="200"/>
        <w:jc w:val="both"/>
        <w:rPr>
          <w:sz w:val="24"/>
          <w:szCs w:val="24"/>
        </w:rPr>
      </w:pPr>
      <w:r>
        <w:rPr>
          <w:rFonts w:hint="eastAsia"/>
          <w:sz w:val="24"/>
          <w:szCs w:val="24"/>
        </w:rPr>
        <w:t>第二部分 供应商须知前附表</w:t>
      </w:r>
    </w:p>
    <w:p>
      <w:pPr>
        <w:pStyle w:val="42"/>
        <w:tabs>
          <w:tab w:val="left" w:pos="1272"/>
        </w:tabs>
        <w:spacing w:line="360" w:lineRule="auto"/>
        <w:ind w:left="0" w:firstLine="480" w:firstLineChars="200"/>
        <w:jc w:val="both"/>
        <w:rPr>
          <w:sz w:val="24"/>
          <w:szCs w:val="24"/>
        </w:rPr>
      </w:pPr>
      <w:r>
        <w:rPr>
          <w:rFonts w:hint="eastAsia"/>
          <w:sz w:val="24"/>
          <w:szCs w:val="24"/>
        </w:rPr>
        <w:t>第三部分 供应商须知正文部分</w:t>
      </w:r>
    </w:p>
    <w:p>
      <w:pPr>
        <w:pStyle w:val="42"/>
        <w:tabs>
          <w:tab w:val="left" w:pos="1272"/>
        </w:tabs>
        <w:spacing w:line="360" w:lineRule="auto"/>
        <w:ind w:left="0" w:firstLine="480" w:firstLineChars="200"/>
        <w:jc w:val="both"/>
        <w:rPr>
          <w:sz w:val="24"/>
          <w:szCs w:val="24"/>
        </w:rPr>
      </w:pPr>
      <w:r>
        <w:rPr>
          <w:rFonts w:hint="eastAsia"/>
          <w:sz w:val="24"/>
          <w:szCs w:val="24"/>
        </w:rPr>
        <w:t>第四部分 合同格式</w:t>
      </w:r>
    </w:p>
    <w:p>
      <w:pPr>
        <w:pStyle w:val="42"/>
        <w:tabs>
          <w:tab w:val="left" w:pos="1272"/>
        </w:tabs>
        <w:spacing w:line="360" w:lineRule="auto"/>
        <w:ind w:left="0" w:firstLine="480" w:firstLineChars="200"/>
        <w:jc w:val="both"/>
        <w:rPr>
          <w:sz w:val="24"/>
          <w:szCs w:val="24"/>
        </w:rPr>
      </w:pPr>
      <w:r>
        <w:rPr>
          <w:rFonts w:hint="eastAsia"/>
          <w:sz w:val="24"/>
          <w:szCs w:val="24"/>
        </w:rPr>
        <w:t>第五部分 电子标响应性文件格式</w:t>
      </w:r>
    </w:p>
    <w:p>
      <w:pPr>
        <w:pStyle w:val="42"/>
        <w:tabs>
          <w:tab w:val="left" w:pos="643"/>
        </w:tabs>
        <w:spacing w:line="360" w:lineRule="auto"/>
        <w:ind w:left="0" w:firstLine="482" w:firstLineChars="200"/>
        <w:jc w:val="both"/>
        <w:rPr>
          <w:b/>
          <w:sz w:val="24"/>
          <w:szCs w:val="24"/>
        </w:rPr>
      </w:pPr>
      <w:r>
        <w:rPr>
          <w:rFonts w:hint="eastAsia"/>
          <w:b/>
          <w:sz w:val="24"/>
          <w:szCs w:val="24"/>
        </w:rPr>
        <w:t>2.2 磋商文件的澄清</w:t>
      </w:r>
    </w:p>
    <w:p>
      <w:pPr>
        <w:pStyle w:val="42"/>
        <w:tabs>
          <w:tab w:val="left" w:pos="1272"/>
        </w:tabs>
        <w:spacing w:line="360" w:lineRule="auto"/>
        <w:ind w:left="0" w:firstLine="480" w:firstLineChars="200"/>
        <w:jc w:val="both"/>
        <w:rPr>
          <w:sz w:val="24"/>
          <w:szCs w:val="24"/>
        </w:rPr>
      </w:pPr>
      <w:r>
        <w:rPr>
          <w:rFonts w:hint="eastAsia"/>
          <w:sz w:val="24"/>
          <w:szCs w:val="24"/>
        </w:rPr>
        <w:t>2.2.1供应商应仔细阅读和检查磋商文件的全部内容。如发现缺页或附件不全或者有其他疑问，应及时向采购人（或采购代理机构）提出，以便补齐。如有疑问，应于磋商截止日期5日前以书面形式（加盖单位公章且法人签字）由法定代表人或其原授权代表携带企业营业执照副本（原件）及本人身份证件（原件）向采购人和采购代理机构提出（邮件、传真件不予受理），同时将上述资料报送唐河县公共资源交易中心，要求采购人（或采购代理机构）对磋商文件予以澄清。供应商在规定时间内未对磋商文件提出澄清要求，视为供应商全部认同磋商文件。</w:t>
      </w:r>
    </w:p>
    <w:p>
      <w:pPr>
        <w:pStyle w:val="42"/>
        <w:tabs>
          <w:tab w:val="left" w:pos="1272"/>
        </w:tabs>
        <w:spacing w:line="360" w:lineRule="auto"/>
        <w:ind w:left="0" w:firstLine="480" w:firstLineChars="200"/>
        <w:jc w:val="both"/>
        <w:rPr>
          <w:sz w:val="24"/>
          <w:szCs w:val="24"/>
        </w:rPr>
      </w:pPr>
      <w:r>
        <w:rPr>
          <w:rFonts w:hint="eastAsia"/>
          <w:sz w:val="24"/>
          <w:szCs w:val="24"/>
        </w:rPr>
        <w:t>2.2.2磋商文件的澄清将在供应商须知前附表规定的磋商截止时间5天前以公告形式通知供应商，但不指明澄清问题的来源。</w:t>
      </w:r>
    </w:p>
    <w:p>
      <w:pPr>
        <w:pStyle w:val="42"/>
        <w:tabs>
          <w:tab w:val="left" w:pos="643"/>
        </w:tabs>
        <w:spacing w:line="360" w:lineRule="auto"/>
        <w:ind w:left="0" w:firstLine="482" w:firstLineChars="200"/>
        <w:jc w:val="both"/>
        <w:rPr>
          <w:b/>
          <w:sz w:val="24"/>
          <w:szCs w:val="24"/>
        </w:rPr>
      </w:pPr>
      <w:r>
        <w:rPr>
          <w:rFonts w:hint="eastAsia"/>
          <w:b/>
          <w:sz w:val="24"/>
          <w:szCs w:val="24"/>
        </w:rPr>
        <w:t>2.3 磋商文件的修改</w:t>
      </w:r>
    </w:p>
    <w:p>
      <w:pPr>
        <w:pStyle w:val="42"/>
        <w:tabs>
          <w:tab w:val="left" w:pos="1272"/>
        </w:tabs>
        <w:spacing w:line="360" w:lineRule="auto"/>
        <w:ind w:left="0" w:firstLine="480" w:firstLineChars="200"/>
        <w:jc w:val="both"/>
        <w:rPr>
          <w:sz w:val="24"/>
          <w:szCs w:val="24"/>
        </w:rPr>
      </w:pPr>
      <w:r>
        <w:rPr>
          <w:rFonts w:hint="eastAsia"/>
          <w:sz w:val="24"/>
          <w:szCs w:val="24"/>
        </w:rPr>
        <w:t>在磋商截止时间5天前，采购人可以书面形式修改采购文件，并以公告形式通知供应商。</w:t>
      </w:r>
    </w:p>
    <w:p>
      <w:pPr>
        <w:pStyle w:val="42"/>
        <w:tabs>
          <w:tab w:val="left" w:pos="643"/>
        </w:tabs>
        <w:spacing w:line="360" w:lineRule="auto"/>
        <w:ind w:left="0" w:firstLine="482" w:firstLineChars="200"/>
        <w:jc w:val="both"/>
        <w:rPr>
          <w:b/>
          <w:sz w:val="24"/>
          <w:szCs w:val="24"/>
        </w:rPr>
      </w:pPr>
      <w:bookmarkStart w:id="5" w:name="_Toc3525"/>
      <w:r>
        <w:rPr>
          <w:rFonts w:hint="eastAsia"/>
          <w:b/>
          <w:sz w:val="24"/>
          <w:szCs w:val="24"/>
        </w:rPr>
        <w:t>三、响应性文件</w:t>
      </w:r>
      <w:bookmarkEnd w:id="5"/>
    </w:p>
    <w:p>
      <w:pPr>
        <w:pStyle w:val="42"/>
        <w:tabs>
          <w:tab w:val="left" w:pos="643"/>
        </w:tabs>
        <w:spacing w:line="360" w:lineRule="auto"/>
        <w:ind w:left="0" w:firstLine="482" w:firstLineChars="200"/>
        <w:jc w:val="both"/>
        <w:rPr>
          <w:b/>
          <w:sz w:val="24"/>
          <w:szCs w:val="24"/>
        </w:rPr>
      </w:pPr>
      <w:r>
        <w:rPr>
          <w:rFonts w:hint="eastAsia"/>
          <w:b/>
          <w:sz w:val="24"/>
          <w:szCs w:val="24"/>
        </w:rPr>
        <w:t>3.1 投标的语言</w:t>
      </w:r>
    </w:p>
    <w:p>
      <w:pPr>
        <w:pStyle w:val="42"/>
        <w:tabs>
          <w:tab w:val="left" w:pos="1272"/>
        </w:tabs>
        <w:spacing w:line="360" w:lineRule="auto"/>
        <w:ind w:left="0" w:firstLine="480" w:firstLineChars="200"/>
        <w:jc w:val="both"/>
        <w:rPr>
          <w:sz w:val="24"/>
          <w:szCs w:val="24"/>
        </w:rPr>
      </w:pPr>
      <w:r>
        <w:rPr>
          <w:rFonts w:hint="eastAsia"/>
          <w:sz w:val="24"/>
          <w:szCs w:val="24"/>
        </w:rPr>
        <w:t>供应商提交的响应性文件以及供应商与采购人就有关投标的所有来往函电均应使用中文书写。</w:t>
      </w:r>
    </w:p>
    <w:p>
      <w:pPr>
        <w:pStyle w:val="42"/>
        <w:tabs>
          <w:tab w:val="left" w:pos="643"/>
        </w:tabs>
        <w:spacing w:line="360" w:lineRule="auto"/>
        <w:ind w:left="0" w:firstLine="482" w:firstLineChars="200"/>
        <w:jc w:val="both"/>
        <w:rPr>
          <w:b/>
          <w:sz w:val="24"/>
          <w:szCs w:val="24"/>
        </w:rPr>
      </w:pPr>
      <w:r>
        <w:rPr>
          <w:rFonts w:hint="eastAsia"/>
          <w:b/>
          <w:sz w:val="24"/>
          <w:szCs w:val="24"/>
        </w:rPr>
        <w:t>3.2 响应性文件构成</w:t>
      </w:r>
    </w:p>
    <w:p>
      <w:pPr>
        <w:pStyle w:val="42"/>
        <w:tabs>
          <w:tab w:val="left" w:pos="1170"/>
        </w:tabs>
        <w:spacing w:line="360" w:lineRule="auto"/>
        <w:ind w:left="0" w:firstLine="480" w:firstLineChars="200"/>
        <w:jc w:val="both"/>
        <w:rPr>
          <w:sz w:val="24"/>
          <w:szCs w:val="24"/>
        </w:rPr>
      </w:pPr>
      <w:r>
        <w:rPr>
          <w:rFonts w:hint="eastAsia"/>
          <w:sz w:val="24"/>
          <w:szCs w:val="24"/>
        </w:rPr>
        <w:t>供应商编写的响应性文件应包括下列内容（不限于）：</w:t>
      </w:r>
    </w:p>
    <w:p>
      <w:pPr>
        <w:pStyle w:val="42"/>
        <w:tabs>
          <w:tab w:val="left" w:pos="1170"/>
        </w:tabs>
        <w:spacing w:line="360" w:lineRule="auto"/>
        <w:ind w:left="0" w:firstLine="480" w:firstLineChars="200"/>
        <w:jc w:val="both"/>
        <w:rPr>
          <w:b/>
          <w:sz w:val="24"/>
          <w:szCs w:val="24"/>
        </w:rPr>
      </w:pPr>
      <w:r>
        <w:rPr>
          <w:rFonts w:hint="eastAsia"/>
          <w:sz w:val="24"/>
          <w:szCs w:val="24"/>
        </w:rPr>
        <w:t xml:space="preserve"> </w:t>
      </w:r>
      <w:r>
        <w:rPr>
          <w:rFonts w:hint="eastAsia"/>
          <w:b/>
          <w:sz w:val="24"/>
          <w:szCs w:val="24"/>
        </w:rPr>
        <w:t>详见招标文件第五部分“电子标响应性文件格式”。</w:t>
      </w:r>
    </w:p>
    <w:p>
      <w:pPr>
        <w:pStyle w:val="42"/>
        <w:tabs>
          <w:tab w:val="left" w:pos="643"/>
        </w:tabs>
        <w:spacing w:line="360" w:lineRule="auto"/>
        <w:ind w:left="0" w:firstLine="482" w:firstLineChars="200"/>
        <w:jc w:val="both"/>
        <w:rPr>
          <w:b/>
          <w:sz w:val="24"/>
          <w:szCs w:val="24"/>
        </w:rPr>
      </w:pPr>
      <w:r>
        <w:rPr>
          <w:rFonts w:hint="eastAsia"/>
          <w:b/>
          <w:sz w:val="24"/>
          <w:szCs w:val="24"/>
        </w:rPr>
        <w:t>3.3 响应性文件的编制</w:t>
      </w:r>
    </w:p>
    <w:p>
      <w:pPr>
        <w:pStyle w:val="42"/>
        <w:tabs>
          <w:tab w:val="left" w:pos="1274"/>
        </w:tabs>
        <w:spacing w:line="360" w:lineRule="auto"/>
        <w:ind w:left="0" w:firstLine="480" w:firstLineChars="200"/>
        <w:jc w:val="both"/>
        <w:rPr>
          <w:sz w:val="24"/>
          <w:szCs w:val="24"/>
        </w:rPr>
      </w:pPr>
      <w:r>
        <w:rPr>
          <w:rFonts w:hint="eastAsia"/>
          <w:sz w:val="24"/>
          <w:szCs w:val="24"/>
        </w:rPr>
        <w:t>3.3.1响应性文件应按磋商文件提供的“电子标响应性文件格式”进行编写，如有必要，可以增加附页，作为响应文件的组成部分。其中，响应文件中的磋商一览表在满足磋商文件实质性要求的基础上，可以提出比磋商文件要求更有利于采购人的承诺。</w:t>
      </w:r>
    </w:p>
    <w:p>
      <w:pPr>
        <w:pStyle w:val="42"/>
        <w:tabs>
          <w:tab w:val="left" w:pos="1219"/>
        </w:tabs>
        <w:spacing w:line="360" w:lineRule="auto"/>
        <w:ind w:left="0" w:firstLine="480" w:firstLineChars="200"/>
        <w:jc w:val="both"/>
        <w:rPr>
          <w:sz w:val="24"/>
          <w:szCs w:val="24"/>
        </w:rPr>
      </w:pPr>
      <w:r>
        <w:rPr>
          <w:rFonts w:hint="eastAsia"/>
          <w:sz w:val="24"/>
          <w:szCs w:val="24"/>
        </w:rPr>
        <w:t>3.3.2响应性文件应当对磋商文件有关期限、磋商有效期、质量要求、采购范围等实质性内容作出响应。</w:t>
      </w:r>
    </w:p>
    <w:p>
      <w:pPr>
        <w:pStyle w:val="42"/>
        <w:tabs>
          <w:tab w:val="left" w:pos="1219"/>
        </w:tabs>
        <w:spacing w:line="360" w:lineRule="auto"/>
        <w:ind w:left="0" w:firstLine="480" w:firstLineChars="200"/>
        <w:jc w:val="both"/>
        <w:rPr>
          <w:sz w:val="24"/>
          <w:szCs w:val="24"/>
        </w:rPr>
      </w:pPr>
      <w:r>
        <w:rPr>
          <w:rFonts w:hint="eastAsia"/>
          <w:sz w:val="24"/>
          <w:szCs w:val="24"/>
        </w:rPr>
        <w:t>3.3.3响应文件电子签章的具体要求见供应商须知前附表。</w:t>
      </w:r>
    </w:p>
    <w:p>
      <w:pPr>
        <w:pStyle w:val="42"/>
        <w:tabs>
          <w:tab w:val="left" w:pos="1272"/>
        </w:tabs>
        <w:spacing w:line="360" w:lineRule="auto"/>
        <w:ind w:left="0" w:firstLine="480" w:firstLineChars="200"/>
        <w:jc w:val="both"/>
        <w:rPr>
          <w:sz w:val="24"/>
          <w:szCs w:val="24"/>
        </w:rPr>
      </w:pPr>
      <w:r>
        <w:rPr>
          <w:rFonts w:hint="eastAsia"/>
          <w:sz w:val="24"/>
          <w:szCs w:val="24"/>
        </w:rPr>
        <w:t>3.3.4响应文件份数详见供应商须知前附表。</w:t>
      </w:r>
    </w:p>
    <w:p>
      <w:pPr>
        <w:pStyle w:val="42"/>
        <w:tabs>
          <w:tab w:val="left" w:pos="1219"/>
        </w:tabs>
        <w:spacing w:line="360" w:lineRule="auto"/>
        <w:ind w:left="0" w:firstLine="480" w:firstLineChars="200"/>
        <w:jc w:val="both"/>
        <w:rPr>
          <w:sz w:val="24"/>
          <w:szCs w:val="24"/>
        </w:rPr>
      </w:pPr>
      <w:r>
        <w:rPr>
          <w:rFonts w:hint="eastAsia"/>
          <w:sz w:val="24"/>
          <w:szCs w:val="24"/>
        </w:rPr>
        <w:t>3.3.5不允许递交备选磋商方案。</w:t>
      </w:r>
    </w:p>
    <w:p>
      <w:pPr>
        <w:pStyle w:val="42"/>
        <w:tabs>
          <w:tab w:val="left" w:pos="749"/>
        </w:tabs>
        <w:spacing w:line="360" w:lineRule="auto"/>
        <w:ind w:left="0" w:firstLine="482" w:firstLineChars="200"/>
        <w:jc w:val="both"/>
        <w:rPr>
          <w:b/>
          <w:sz w:val="24"/>
          <w:szCs w:val="24"/>
        </w:rPr>
      </w:pPr>
      <w:r>
        <w:rPr>
          <w:rFonts w:hint="eastAsia"/>
          <w:b/>
          <w:sz w:val="24"/>
          <w:szCs w:val="24"/>
        </w:rPr>
        <w:t>3.4 磋商报价</w:t>
      </w:r>
    </w:p>
    <w:p>
      <w:pPr>
        <w:pStyle w:val="42"/>
        <w:tabs>
          <w:tab w:val="left" w:pos="1170"/>
        </w:tabs>
        <w:spacing w:line="360" w:lineRule="auto"/>
        <w:ind w:left="0" w:firstLine="480" w:firstLineChars="200"/>
        <w:jc w:val="both"/>
        <w:rPr>
          <w:sz w:val="24"/>
          <w:szCs w:val="24"/>
        </w:rPr>
      </w:pPr>
      <w:r>
        <w:rPr>
          <w:rFonts w:hint="eastAsia"/>
          <w:sz w:val="24"/>
          <w:szCs w:val="24"/>
        </w:rPr>
        <w:t>3.4.1供应商需按照磋商函一览表中的要求填写相应的表格。</w:t>
      </w:r>
    </w:p>
    <w:p>
      <w:pPr>
        <w:pStyle w:val="42"/>
        <w:tabs>
          <w:tab w:val="left" w:pos="1170"/>
        </w:tabs>
        <w:spacing w:line="360" w:lineRule="auto"/>
        <w:ind w:left="0" w:firstLine="480" w:firstLineChars="200"/>
        <w:jc w:val="both"/>
        <w:rPr>
          <w:sz w:val="24"/>
          <w:szCs w:val="24"/>
        </w:rPr>
      </w:pPr>
      <w:r>
        <w:rPr>
          <w:rFonts w:hint="eastAsia"/>
          <w:sz w:val="24"/>
          <w:szCs w:val="24"/>
        </w:rPr>
        <w:t>3.4.2本次采购为竞争性磋商采购，允许符合要求的供应商在规定的时间提交二次报价。</w:t>
      </w:r>
    </w:p>
    <w:p>
      <w:pPr>
        <w:pStyle w:val="42"/>
        <w:tabs>
          <w:tab w:val="left" w:pos="643"/>
        </w:tabs>
        <w:spacing w:line="360" w:lineRule="auto"/>
        <w:ind w:left="0" w:firstLine="482" w:firstLineChars="200"/>
        <w:jc w:val="both"/>
        <w:rPr>
          <w:b/>
          <w:sz w:val="24"/>
          <w:szCs w:val="24"/>
        </w:rPr>
      </w:pPr>
      <w:r>
        <w:rPr>
          <w:rFonts w:hint="eastAsia"/>
          <w:b/>
          <w:sz w:val="24"/>
          <w:szCs w:val="24"/>
        </w:rPr>
        <w:t>3.5 磋商保证金</w:t>
      </w:r>
    </w:p>
    <w:p>
      <w:pPr>
        <w:pStyle w:val="42"/>
        <w:tabs>
          <w:tab w:val="left" w:pos="1272"/>
        </w:tabs>
        <w:spacing w:line="360" w:lineRule="auto"/>
        <w:ind w:left="0" w:firstLine="480" w:firstLineChars="200"/>
        <w:jc w:val="both"/>
        <w:rPr>
          <w:sz w:val="24"/>
          <w:szCs w:val="24"/>
        </w:rPr>
      </w:pPr>
      <w:r>
        <w:rPr>
          <w:rFonts w:hint="eastAsia"/>
          <w:sz w:val="24"/>
          <w:szCs w:val="24"/>
        </w:rPr>
        <w:t>根据河南省财政厅文件豫财购【2019】4 号文《河南省财政厅关于优化政府采购营商环境有关问题的通知》中规定要求，本项目不再收取磋商保证金。</w:t>
      </w:r>
    </w:p>
    <w:p>
      <w:pPr>
        <w:pStyle w:val="42"/>
        <w:tabs>
          <w:tab w:val="left" w:pos="538"/>
        </w:tabs>
        <w:spacing w:line="360" w:lineRule="auto"/>
        <w:ind w:left="0" w:firstLine="482" w:firstLineChars="200"/>
        <w:jc w:val="both"/>
        <w:rPr>
          <w:b/>
          <w:sz w:val="24"/>
          <w:szCs w:val="24"/>
        </w:rPr>
      </w:pPr>
      <w:r>
        <w:rPr>
          <w:rFonts w:hint="eastAsia"/>
          <w:b/>
          <w:sz w:val="24"/>
          <w:szCs w:val="24"/>
        </w:rPr>
        <w:t>3.6 磋商有效期</w:t>
      </w:r>
    </w:p>
    <w:p>
      <w:pPr>
        <w:pStyle w:val="42"/>
        <w:tabs>
          <w:tab w:val="left" w:pos="1272"/>
        </w:tabs>
        <w:spacing w:line="360" w:lineRule="auto"/>
        <w:ind w:left="0" w:firstLine="480" w:firstLineChars="200"/>
        <w:jc w:val="both"/>
        <w:rPr>
          <w:sz w:val="24"/>
          <w:szCs w:val="24"/>
        </w:rPr>
      </w:pPr>
      <w:r>
        <w:rPr>
          <w:rFonts w:hint="eastAsia"/>
          <w:sz w:val="24"/>
          <w:szCs w:val="24"/>
        </w:rPr>
        <w:t>3.6.1磋商有效期为磋商截止之日起60天。</w:t>
      </w:r>
    </w:p>
    <w:p>
      <w:pPr>
        <w:pStyle w:val="42"/>
        <w:tabs>
          <w:tab w:val="left" w:pos="1272"/>
        </w:tabs>
        <w:spacing w:line="360" w:lineRule="auto"/>
        <w:ind w:left="0" w:firstLine="480" w:firstLineChars="200"/>
        <w:jc w:val="both"/>
        <w:rPr>
          <w:sz w:val="24"/>
          <w:szCs w:val="24"/>
        </w:rPr>
      </w:pPr>
      <w:r>
        <w:rPr>
          <w:rFonts w:hint="eastAsia"/>
          <w:sz w:val="24"/>
          <w:szCs w:val="24"/>
        </w:rPr>
        <w:t>3.6.2如遇特殊情况，采购人可在磋商有效期期满前，要求供应商延长其磋商有效期。供应商可以拒绝或同意上述要求，延长有效期的要求与答复均为书面形式。不同意上述要求的供应商将视为自动放弃投标。</w:t>
      </w:r>
    </w:p>
    <w:p>
      <w:pPr>
        <w:spacing w:line="360" w:lineRule="auto"/>
        <w:ind w:firstLine="482" w:firstLineChars="200"/>
        <w:jc w:val="both"/>
        <w:rPr>
          <w:b/>
          <w:bCs/>
          <w:sz w:val="24"/>
          <w:szCs w:val="24"/>
        </w:rPr>
      </w:pPr>
      <w:r>
        <w:rPr>
          <w:rFonts w:hint="eastAsia"/>
          <w:b/>
          <w:bCs/>
          <w:sz w:val="24"/>
          <w:szCs w:val="24"/>
        </w:rPr>
        <w:t>四、投标</w:t>
      </w:r>
    </w:p>
    <w:p>
      <w:pPr>
        <w:pStyle w:val="42"/>
        <w:tabs>
          <w:tab w:val="left" w:pos="643"/>
        </w:tabs>
        <w:spacing w:line="360" w:lineRule="auto"/>
        <w:ind w:left="0" w:firstLine="482" w:firstLineChars="200"/>
        <w:jc w:val="both"/>
        <w:rPr>
          <w:b/>
          <w:sz w:val="24"/>
          <w:szCs w:val="24"/>
        </w:rPr>
      </w:pPr>
      <w:r>
        <w:rPr>
          <w:rFonts w:hint="eastAsia"/>
          <w:b/>
          <w:color w:val="0C0C0C"/>
          <w:sz w:val="24"/>
          <w:szCs w:val="24"/>
        </w:rPr>
        <w:t>4.1 响应性文件的递交</w:t>
      </w:r>
    </w:p>
    <w:p>
      <w:pPr>
        <w:pStyle w:val="42"/>
        <w:tabs>
          <w:tab w:val="left" w:pos="1272"/>
        </w:tabs>
        <w:spacing w:line="360" w:lineRule="auto"/>
        <w:ind w:left="0" w:firstLine="480" w:firstLineChars="200"/>
        <w:jc w:val="both"/>
        <w:rPr>
          <w:sz w:val="24"/>
          <w:szCs w:val="24"/>
        </w:rPr>
      </w:pPr>
      <w:r>
        <w:rPr>
          <w:rFonts w:hint="eastAsia"/>
          <w:color w:val="0C0C0C"/>
          <w:sz w:val="24"/>
          <w:szCs w:val="24"/>
        </w:rPr>
        <w:t>4.1.1电子响应文件备份电子 U 盘的要求:见供应商须知前附表。</w:t>
      </w:r>
    </w:p>
    <w:p>
      <w:pPr>
        <w:pStyle w:val="42"/>
        <w:tabs>
          <w:tab w:val="left" w:pos="1272"/>
        </w:tabs>
        <w:spacing w:line="360" w:lineRule="auto"/>
        <w:ind w:left="0" w:firstLine="480" w:firstLineChars="200"/>
        <w:jc w:val="both"/>
        <w:rPr>
          <w:sz w:val="24"/>
          <w:szCs w:val="24"/>
        </w:rPr>
      </w:pPr>
      <w:r>
        <w:rPr>
          <w:rFonts w:hint="eastAsia"/>
          <w:color w:val="0C0C0C"/>
          <w:sz w:val="24"/>
          <w:szCs w:val="24"/>
        </w:rPr>
        <w:t>4.1.2电子响应文件的递交：见供应商须知前附表。</w:t>
      </w:r>
    </w:p>
    <w:p>
      <w:pPr>
        <w:pStyle w:val="42"/>
        <w:tabs>
          <w:tab w:val="left" w:pos="643"/>
        </w:tabs>
        <w:spacing w:line="360" w:lineRule="auto"/>
        <w:ind w:left="0" w:firstLine="482" w:firstLineChars="200"/>
        <w:jc w:val="both"/>
        <w:rPr>
          <w:b/>
          <w:sz w:val="24"/>
          <w:szCs w:val="24"/>
        </w:rPr>
      </w:pPr>
      <w:r>
        <w:rPr>
          <w:rFonts w:hint="eastAsia"/>
          <w:b/>
          <w:color w:val="0C0C0C"/>
          <w:sz w:val="24"/>
          <w:szCs w:val="24"/>
        </w:rPr>
        <w:t>4.2 电子响应文件的修改与撤回</w:t>
      </w:r>
    </w:p>
    <w:p>
      <w:pPr>
        <w:pStyle w:val="42"/>
        <w:tabs>
          <w:tab w:val="left" w:pos="1272"/>
        </w:tabs>
        <w:spacing w:line="360" w:lineRule="auto"/>
        <w:ind w:left="0" w:firstLine="480" w:firstLineChars="200"/>
        <w:jc w:val="both"/>
        <w:rPr>
          <w:sz w:val="24"/>
          <w:szCs w:val="24"/>
        </w:rPr>
      </w:pPr>
      <w:r>
        <w:rPr>
          <w:rFonts w:hint="eastAsia"/>
          <w:color w:val="0C0C0C"/>
          <w:sz w:val="24"/>
          <w:szCs w:val="24"/>
        </w:rPr>
        <w:t>4.2.1供应商可以在磋商截止期之前修改电子响应文件。</w:t>
      </w:r>
    </w:p>
    <w:p>
      <w:pPr>
        <w:pStyle w:val="42"/>
        <w:tabs>
          <w:tab w:val="left" w:pos="1272"/>
        </w:tabs>
        <w:spacing w:line="360" w:lineRule="auto"/>
        <w:ind w:left="0" w:firstLine="480" w:firstLineChars="200"/>
        <w:jc w:val="both"/>
        <w:rPr>
          <w:color w:val="0C0C0C"/>
          <w:sz w:val="24"/>
          <w:szCs w:val="24"/>
        </w:rPr>
      </w:pPr>
      <w:r>
        <w:rPr>
          <w:rFonts w:hint="eastAsia"/>
          <w:color w:val="0C0C0C"/>
          <w:sz w:val="24"/>
          <w:szCs w:val="24"/>
        </w:rPr>
        <w:t>4.2.2在磋商截止期后不能修改及撤回其电子响应文件。</w:t>
      </w:r>
    </w:p>
    <w:p>
      <w:pPr>
        <w:pStyle w:val="42"/>
        <w:tabs>
          <w:tab w:val="left" w:pos="1272"/>
        </w:tabs>
        <w:spacing w:line="360" w:lineRule="auto"/>
        <w:ind w:left="0" w:firstLine="482" w:firstLineChars="200"/>
        <w:jc w:val="both"/>
        <w:rPr>
          <w:b/>
          <w:sz w:val="24"/>
          <w:szCs w:val="24"/>
        </w:rPr>
      </w:pPr>
      <w:r>
        <w:rPr>
          <w:rFonts w:hint="eastAsia"/>
          <w:b/>
          <w:sz w:val="24"/>
          <w:szCs w:val="24"/>
        </w:rPr>
        <w:t>五、开标与磋商</w:t>
      </w:r>
    </w:p>
    <w:p>
      <w:pPr>
        <w:pStyle w:val="42"/>
        <w:tabs>
          <w:tab w:val="left" w:pos="643"/>
        </w:tabs>
        <w:spacing w:line="360" w:lineRule="auto"/>
        <w:ind w:left="0" w:firstLine="482" w:firstLineChars="200"/>
        <w:jc w:val="both"/>
        <w:rPr>
          <w:b/>
          <w:sz w:val="24"/>
          <w:szCs w:val="24"/>
        </w:rPr>
      </w:pPr>
      <w:r>
        <w:rPr>
          <w:rFonts w:hint="eastAsia"/>
          <w:b/>
          <w:sz w:val="24"/>
          <w:szCs w:val="24"/>
        </w:rPr>
        <w:t>5.1 开标时间及地点</w:t>
      </w:r>
    </w:p>
    <w:p>
      <w:pPr>
        <w:spacing w:line="360" w:lineRule="auto"/>
        <w:ind w:firstLine="476" w:firstLineChars="200"/>
        <w:jc w:val="both"/>
        <w:rPr>
          <w:color w:val="0C0C0C"/>
          <w:spacing w:val="-1"/>
          <w:sz w:val="24"/>
          <w:szCs w:val="24"/>
        </w:rPr>
      </w:pPr>
      <w:r>
        <w:rPr>
          <w:rFonts w:hint="eastAsia"/>
          <w:color w:val="0C0C0C"/>
          <w:spacing w:val="-1"/>
          <w:sz w:val="24"/>
          <w:szCs w:val="24"/>
        </w:rPr>
        <w:t>5.1.1 开标时间：详见投标人须知前附表</w:t>
      </w:r>
    </w:p>
    <w:p>
      <w:pPr>
        <w:spacing w:line="360" w:lineRule="auto"/>
        <w:ind w:firstLine="476" w:firstLineChars="200"/>
        <w:jc w:val="both"/>
        <w:rPr>
          <w:color w:val="0C0C0C"/>
          <w:spacing w:val="-1"/>
          <w:sz w:val="24"/>
          <w:szCs w:val="24"/>
        </w:rPr>
      </w:pPr>
      <w:r>
        <w:rPr>
          <w:rFonts w:hint="eastAsia"/>
          <w:color w:val="0C0C0C"/>
          <w:spacing w:val="-1"/>
          <w:sz w:val="24"/>
          <w:szCs w:val="24"/>
        </w:rPr>
        <w:t>5.1.2 开标地点：详见投标人须知前附表</w:t>
      </w:r>
    </w:p>
    <w:p>
      <w:pPr>
        <w:spacing w:line="360" w:lineRule="auto"/>
        <w:ind w:firstLine="476" w:firstLineChars="200"/>
        <w:jc w:val="both"/>
        <w:rPr>
          <w:color w:val="0C0C0C"/>
          <w:spacing w:val="-1"/>
          <w:sz w:val="24"/>
          <w:szCs w:val="24"/>
        </w:rPr>
      </w:pPr>
      <w:r>
        <w:rPr>
          <w:rFonts w:hint="eastAsia"/>
          <w:color w:val="0C0C0C"/>
          <w:spacing w:val="-1"/>
          <w:sz w:val="24"/>
          <w:szCs w:val="24"/>
        </w:rPr>
        <w:t>5.1.3 供应商应派法定代表人或授权委托人持本公司 CA 数字证书可在不见面开标大厅中参加开标会议，与会的供应商法定代表人或授权委托人应在不见面开标大厅上签到证明出席。</w:t>
      </w:r>
    </w:p>
    <w:p>
      <w:pPr>
        <w:pStyle w:val="42"/>
        <w:tabs>
          <w:tab w:val="left" w:pos="643"/>
        </w:tabs>
        <w:spacing w:line="360" w:lineRule="auto"/>
        <w:ind w:left="0" w:firstLine="482" w:firstLineChars="200"/>
        <w:jc w:val="both"/>
        <w:rPr>
          <w:b/>
          <w:color w:val="0C0C0C"/>
          <w:sz w:val="24"/>
          <w:szCs w:val="24"/>
        </w:rPr>
      </w:pPr>
      <w:r>
        <w:rPr>
          <w:rFonts w:hint="eastAsia"/>
          <w:b/>
          <w:color w:val="0C0C0C"/>
          <w:sz w:val="24"/>
          <w:szCs w:val="24"/>
        </w:rPr>
        <w:t>5.2 开标程序</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5.2.1、投标人代表持本单位 CA 数字证书提前登录不见面开标系统并在线签到。</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5.2.2、开标时间到，在线公布投标人、招标人代表、监标人等有关名单。</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5.2.3、开标顺序：按电子投标文件到达交易系统的先后顺序，分标段进行开标。</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5.2.4、投标单位在线确认开标结果并提交电子签章，在规定时限内（30分钟内）未作确认的视为默认开标结果。采购人代表、监督人、记录人等有关人员在开标记录上签字确认。</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5.2.5、代理机构在开标结束后将招标文件和有效电子投标文件导入评标系统。</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5.2.6、评标委员会将审查每一份投标文件是否对招标文件提出的所有实质性要求和条件作出响应。未能在实质上响应的投标，将作为无效标处理。实质上未响应是指：</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(1) 未按招标文件规定签章的；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(2) 未按招标文件规定的格式填写，内容不完整或无法辨认的；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(3) 投标人资格条件不符合国家规定和招标文件要求的；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(4) 违反国家强制性标准的；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(5) 投标文件附有招标人不能接受的条件的；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(6) 对同一标段递交内容不同的投标文件(一标多投)，或在一份投标文件中对同一标段报有两个(含两个)以上报价的；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(7) 以他人名义投标、串通投标、弄虚作假的；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(8) 投标人名称、组织机构等重要人员与报名时不一致的；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(9) 超出招标文件规定及违反国家有关规定的；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(10) 投标报价高出本标段最高投标限价的；</w:t>
      </w:r>
    </w:p>
    <w:p>
      <w:pPr>
        <w:pStyle w:val="42"/>
        <w:tabs>
          <w:tab w:val="left" w:pos="1170"/>
        </w:tabs>
        <w:spacing w:line="360" w:lineRule="auto"/>
        <w:ind w:left="0" w:firstLine="480" w:firstLineChars="200"/>
        <w:jc w:val="both"/>
        <w:rPr>
          <w:color w:val="0C0C0C"/>
          <w:sz w:val="24"/>
          <w:szCs w:val="24"/>
        </w:rPr>
      </w:pPr>
      <w:r>
        <w:rPr>
          <w:rFonts w:hint="eastAsia"/>
          <w:color w:val="0C0C0C"/>
          <w:sz w:val="24"/>
          <w:szCs w:val="24"/>
        </w:rPr>
        <w:t>(11) 招标文件规定的其它情况。</w:t>
      </w:r>
    </w:p>
    <w:p>
      <w:pPr>
        <w:pStyle w:val="42"/>
        <w:tabs>
          <w:tab w:val="left" w:pos="1170"/>
        </w:tabs>
        <w:spacing w:line="360" w:lineRule="auto"/>
        <w:ind w:left="0" w:firstLine="480" w:firstLineChars="200"/>
        <w:jc w:val="both"/>
        <w:rPr>
          <w:sz w:val="24"/>
          <w:szCs w:val="24"/>
        </w:rPr>
      </w:pPr>
      <w:r>
        <w:rPr>
          <w:rFonts w:hint="eastAsia"/>
          <w:color w:val="0C0C0C"/>
          <w:sz w:val="24"/>
          <w:szCs w:val="24"/>
        </w:rPr>
        <w:t>5.2.7评标和决标过程的保密</w:t>
      </w:r>
    </w:p>
    <w:p>
      <w:pPr>
        <w:pStyle w:val="3"/>
        <w:spacing w:line="360" w:lineRule="auto"/>
        <w:ind w:firstLine="480" w:firstLineChars="200"/>
        <w:jc w:val="both"/>
        <w:rPr>
          <w:sz w:val="24"/>
          <w:szCs w:val="24"/>
        </w:rPr>
      </w:pPr>
      <w:r>
        <w:rPr>
          <w:rFonts w:hint="eastAsia"/>
          <w:color w:val="0C0C0C"/>
          <w:sz w:val="24"/>
          <w:szCs w:val="24"/>
        </w:rPr>
        <w:t>开标后至采购人公布成交结果之前，有关响应文件的检查、澄清、评比和定标等信息对与本过程无关的供应商及其他人员保密。供应商不应对采购人或有关人员施加影响和试图获取评标信息，违者导致被取消中标资格。</w:t>
      </w:r>
    </w:p>
    <w:p>
      <w:pPr>
        <w:pStyle w:val="42"/>
        <w:tabs>
          <w:tab w:val="left" w:pos="1170"/>
        </w:tabs>
        <w:spacing w:line="360" w:lineRule="auto"/>
        <w:ind w:left="0" w:firstLine="480" w:firstLineChars="200"/>
        <w:jc w:val="both"/>
        <w:rPr>
          <w:sz w:val="24"/>
          <w:szCs w:val="24"/>
        </w:rPr>
      </w:pPr>
      <w:r>
        <w:rPr>
          <w:rFonts w:hint="eastAsia"/>
          <w:color w:val="0C0C0C"/>
          <w:sz w:val="24"/>
          <w:szCs w:val="24"/>
        </w:rPr>
        <w:t>5.2.8响应文件的澄清</w:t>
      </w:r>
    </w:p>
    <w:p>
      <w:pPr>
        <w:pStyle w:val="42"/>
        <w:tabs>
          <w:tab w:val="left" w:pos="1170"/>
        </w:tabs>
        <w:spacing w:line="360" w:lineRule="auto"/>
        <w:ind w:left="0" w:firstLine="480" w:firstLineChars="200"/>
        <w:jc w:val="both"/>
        <w:rPr>
          <w:sz w:val="24"/>
          <w:szCs w:val="24"/>
        </w:rPr>
      </w:pPr>
      <w:r>
        <w:rPr>
          <w:rFonts w:hint="eastAsia"/>
          <w:color w:val="0C0C0C"/>
          <w:sz w:val="24"/>
          <w:szCs w:val="24"/>
        </w:rPr>
        <w:t>（1）为了有助于响应文件的检查和评审，采购人可以单独要求供应商澄清其响应文件。磋商小组的澄清要求和响应的答复均应采用书面形式。除了规定改正算术错误外，供应商不得修改磋商报价和响应文件中的其它实质性内容。</w:t>
      </w:r>
    </w:p>
    <w:p>
      <w:pPr>
        <w:pStyle w:val="42"/>
        <w:tabs>
          <w:tab w:val="left" w:pos="1170"/>
        </w:tabs>
        <w:spacing w:line="360" w:lineRule="auto"/>
        <w:ind w:left="0" w:firstLine="480" w:firstLineChars="200"/>
        <w:jc w:val="both"/>
        <w:rPr>
          <w:sz w:val="24"/>
          <w:szCs w:val="24"/>
        </w:rPr>
      </w:pPr>
      <w:r>
        <w:rPr>
          <w:rFonts w:hint="eastAsia"/>
          <w:color w:val="0C0C0C"/>
          <w:sz w:val="24"/>
          <w:szCs w:val="24"/>
        </w:rPr>
        <w:t>（2）供应商以书面形式澄清的问题，需由供应商法定代表人或其委托代理人签字确认后作为磋商文件的组成部分，提交一式两份。供应商未按磋商小组的澄清要求进行澄清的，磋商小组可以不对其响应文件继续评审。</w:t>
      </w:r>
    </w:p>
    <w:p>
      <w:pPr>
        <w:pStyle w:val="42"/>
        <w:tabs>
          <w:tab w:val="left" w:pos="1170"/>
        </w:tabs>
        <w:spacing w:line="360" w:lineRule="auto"/>
        <w:ind w:left="0" w:firstLine="480" w:firstLineChars="200"/>
        <w:jc w:val="both"/>
        <w:rPr>
          <w:sz w:val="24"/>
          <w:szCs w:val="24"/>
        </w:rPr>
      </w:pPr>
      <w:r>
        <w:rPr>
          <w:rFonts w:hint="eastAsia"/>
          <w:color w:val="0C0C0C"/>
          <w:sz w:val="24"/>
          <w:szCs w:val="24"/>
        </w:rPr>
        <w:t>5.2.9响应文件的检查和响应性评定</w:t>
      </w:r>
    </w:p>
    <w:p>
      <w:pPr>
        <w:pStyle w:val="42"/>
        <w:numPr>
          <w:ilvl w:val="0"/>
          <w:numId w:val="1"/>
        </w:numPr>
        <w:tabs>
          <w:tab w:val="left" w:pos="1170"/>
        </w:tabs>
        <w:spacing w:line="360" w:lineRule="auto"/>
        <w:ind w:left="0" w:firstLine="480" w:firstLineChars="200"/>
        <w:jc w:val="both"/>
        <w:rPr>
          <w:color w:val="0C0C0C"/>
          <w:sz w:val="24"/>
          <w:szCs w:val="24"/>
        </w:rPr>
      </w:pPr>
      <w:r>
        <w:rPr>
          <w:rFonts w:hint="eastAsia"/>
          <w:color w:val="0C0C0C"/>
          <w:sz w:val="24"/>
          <w:szCs w:val="24"/>
        </w:rPr>
        <w:t>在评审时，采购人将首先审定响应文件是否在实质上响应了磋商文件的要求。采购人对磋商响应性的鉴定将基于响应文件的本身内容。</w:t>
      </w:r>
    </w:p>
    <w:p>
      <w:pPr>
        <w:pStyle w:val="42"/>
        <w:numPr>
          <w:ilvl w:val="0"/>
          <w:numId w:val="1"/>
        </w:numPr>
        <w:tabs>
          <w:tab w:val="left" w:pos="1170"/>
        </w:tabs>
        <w:spacing w:line="360" w:lineRule="auto"/>
        <w:ind w:left="0" w:firstLine="480" w:firstLineChars="200"/>
        <w:jc w:val="both"/>
        <w:rPr>
          <w:color w:val="0C0C0C"/>
          <w:sz w:val="24"/>
          <w:szCs w:val="24"/>
        </w:rPr>
      </w:pPr>
      <w:r>
        <w:rPr>
          <w:rFonts w:hint="eastAsia"/>
          <w:color w:val="0C0C0C"/>
          <w:sz w:val="24"/>
          <w:szCs w:val="24"/>
        </w:rPr>
        <w:t>实质上响应磋商文件要求的响应文件应该与磋商文件所有条款、条件和规范相符，无重大偏关或保留。所谓重大偏差和保留是指：</w:t>
      </w:r>
    </w:p>
    <w:p>
      <w:pPr>
        <w:pStyle w:val="3"/>
        <w:spacing w:line="360" w:lineRule="auto"/>
        <w:ind w:firstLine="480" w:firstLineChars="200"/>
        <w:jc w:val="both"/>
        <w:rPr>
          <w:sz w:val="24"/>
          <w:szCs w:val="24"/>
        </w:rPr>
      </w:pPr>
      <w:r>
        <w:rPr>
          <w:rFonts w:hint="eastAsia"/>
          <w:color w:val="0C0C0C"/>
          <w:sz w:val="24"/>
          <w:szCs w:val="24"/>
        </w:rPr>
        <w:t>①对投标范围和内容有实质性的偏离；</w:t>
      </w:r>
    </w:p>
    <w:p>
      <w:pPr>
        <w:pStyle w:val="3"/>
        <w:spacing w:line="360" w:lineRule="auto"/>
        <w:ind w:firstLine="480" w:firstLineChars="200"/>
        <w:jc w:val="both"/>
        <w:rPr>
          <w:sz w:val="24"/>
          <w:szCs w:val="24"/>
        </w:rPr>
      </w:pPr>
      <w:r>
        <w:rPr>
          <w:rFonts w:hint="eastAsia"/>
          <w:color w:val="0C0C0C"/>
          <w:sz w:val="24"/>
          <w:szCs w:val="24"/>
        </w:rPr>
        <w:t>②对服务质量或使用性能产生不利影响；</w:t>
      </w:r>
    </w:p>
    <w:p>
      <w:pPr>
        <w:pStyle w:val="3"/>
        <w:spacing w:line="360" w:lineRule="auto"/>
        <w:ind w:firstLine="480" w:firstLineChars="200"/>
        <w:jc w:val="both"/>
        <w:rPr>
          <w:sz w:val="24"/>
          <w:szCs w:val="24"/>
        </w:rPr>
      </w:pPr>
      <w:r>
        <w:rPr>
          <w:rFonts w:hint="eastAsia"/>
          <w:color w:val="0C0C0C"/>
          <w:sz w:val="24"/>
          <w:szCs w:val="24"/>
        </w:rPr>
        <w:t>③对合同中规定的双方的权利和义务作实质性的修改；</w:t>
      </w:r>
    </w:p>
    <w:p>
      <w:pPr>
        <w:pStyle w:val="3"/>
        <w:spacing w:line="360" w:lineRule="auto"/>
        <w:ind w:firstLine="480" w:firstLineChars="200"/>
        <w:jc w:val="both"/>
        <w:rPr>
          <w:sz w:val="24"/>
          <w:szCs w:val="24"/>
        </w:rPr>
      </w:pPr>
      <w:r>
        <w:rPr>
          <w:rFonts w:hint="eastAsia"/>
          <w:color w:val="0C0C0C"/>
          <w:sz w:val="24"/>
          <w:szCs w:val="24"/>
        </w:rPr>
        <w:t>④纠正这种偏差或保留，将会对其他响应要求的投标人竞争产生不公正的影响。</w:t>
      </w:r>
    </w:p>
    <w:p>
      <w:pPr>
        <w:pStyle w:val="42"/>
        <w:tabs>
          <w:tab w:val="left" w:pos="1274"/>
        </w:tabs>
        <w:spacing w:line="360" w:lineRule="auto"/>
        <w:ind w:left="0" w:firstLine="480" w:firstLineChars="200"/>
        <w:jc w:val="both"/>
        <w:rPr>
          <w:sz w:val="24"/>
          <w:szCs w:val="24"/>
        </w:rPr>
      </w:pPr>
      <w:r>
        <w:rPr>
          <w:rFonts w:hint="eastAsia"/>
          <w:color w:val="0C0C0C"/>
          <w:sz w:val="24"/>
          <w:szCs w:val="24"/>
        </w:rPr>
        <w:t>5.2.10如果响应文件实质上没有响应招标文件的要求，招标人将予以拒绝。也不再允许投标人改正或撤回这些不符合要求的偏差与保留。</w:t>
      </w:r>
    </w:p>
    <w:p>
      <w:pPr>
        <w:pStyle w:val="42"/>
        <w:tabs>
          <w:tab w:val="left" w:pos="1276"/>
        </w:tabs>
        <w:spacing w:line="360" w:lineRule="auto"/>
        <w:ind w:left="0" w:firstLine="480" w:firstLineChars="200"/>
        <w:jc w:val="both"/>
        <w:rPr>
          <w:sz w:val="24"/>
          <w:szCs w:val="24"/>
        </w:rPr>
      </w:pPr>
      <w:r>
        <w:rPr>
          <w:rFonts w:hint="eastAsia"/>
          <w:color w:val="0C0C0C"/>
          <w:sz w:val="24"/>
          <w:szCs w:val="24"/>
        </w:rPr>
        <w:t>5.2.11在评标过程中评标委员会发现投标人以他人的名义投标、串通投标、以行贿手段谋取中标或者以其他弄虚作假方式投标的，该投标人的投标文件作无效标处理。</w:t>
      </w:r>
    </w:p>
    <w:p>
      <w:pPr>
        <w:pStyle w:val="42"/>
        <w:tabs>
          <w:tab w:val="left" w:pos="1276"/>
        </w:tabs>
        <w:spacing w:line="360" w:lineRule="auto"/>
        <w:ind w:left="0" w:firstLine="480" w:firstLineChars="200"/>
        <w:jc w:val="both"/>
        <w:rPr>
          <w:sz w:val="24"/>
          <w:szCs w:val="24"/>
        </w:rPr>
      </w:pPr>
      <w:r>
        <w:rPr>
          <w:rFonts w:hint="eastAsia"/>
          <w:color w:val="0C0C0C"/>
          <w:sz w:val="24"/>
          <w:szCs w:val="24"/>
        </w:rPr>
        <w:t>5.2.12在评标过程中，评标委员会发现投标人的报价明显低于其他投标报价或者明显高于最高限价，使得其投标报价可能低于其个别成本的，将要求该投标人作出书面说明并提供相关证明资料。投标人不能合理说明或者不能提供相关证明材料的，由评标委员会认定投标人以低于成本报价竞标，其投标文件按无效处理。</w:t>
      </w:r>
    </w:p>
    <w:p>
      <w:pPr>
        <w:pStyle w:val="42"/>
        <w:tabs>
          <w:tab w:val="left" w:pos="1358"/>
        </w:tabs>
        <w:spacing w:line="360" w:lineRule="auto"/>
        <w:ind w:left="0" w:firstLine="480" w:firstLineChars="200"/>
        <w:jc w:val="both"/>
        <w:rPr>
          <w:sz w:val="24"/>
          <w:szCs w:val="24"/>
        </w:rPr>
      </w:pPr>
      <w:r>
        <w:rPr>
          <w:rFonts w:hint="eastAsia"/>
          <w:color w:val="0C0C0C"/>
          <w:sz w:val="24"/>
          <w:szCs w:val="24"/>
        </w:rPr>
        <w:t>5.2.13投标人资格条件不符合国家有关规定和招标文件要求的，或者拒不按照要求对投标文件进行澄清、说明或者补正的，评标委员会将否决其投标。</w:t>
      </w:r>
    </w:p>
    <w:p>
      <w:pPr>
        <w:pStyle w:val="42"/>
        <w:tabs>
          <w:tab w:val="left" w:pos="1154"/>
        </w:tabs>
        <w:spacing w:line="360" w:lineRule="auto"/>
        <w:ind w:left="0" w:firstLine="482" w:firstLineChars="200"/>
        <w:jc w:val="both"/>
        <w:rPr>
          <w:b/>
          <w:sz w:val="24"/>
          <w:szCs w:val="24"/>
        </w:rPr>
      </w:pPr>
      <w:r>
        <w:rPr>
          <w:rFonts w:hint="eastAsia"/>
          <w:b/>
          <w:color w:val="0C0C0C"/>
          <w:sz w:val="24"/>
          <w:szCs w:val="24"/>
        </w:rPr>
        <w:t xml:space="preserve">5.3 </w:t>
      </w:r>
      <w:r>
        <w:rPr>
          <w:rFonts w:hint="eastAsia"/>
          <w:b/>
          <w:sz w:val="24"/>
          <w:szCs w:val="24"/>
        </w:rPr>
        <w:t>磋商小组的组成及工作要求</w:t>
      </w:r>
    </w:p>
    <w:p>
      <w:pPr>
        <w:pStyle w:val="42"/>
        <w:tabs>
          <w:tab w:val="left" w:pos="1219"/>
        </w:tabs>
        <w:spacing w:line="360" w:lineRule="auto"/>
        <w:ind w:left="0" w:firstLine="480" w:firstLineChars="200"/>
        <w:jc w:val="both"/>
        <w:rPr>
          <w:sz w:val="24"/>
          <w:szCs w:val="24"/>
        </w:rPr>
      </w:pPr>
      <w:r>
        <w:rPr>
          <w:rFonts w:hint="eastAsia"/>
          <w:color w:val="0C0C0C"/>
          <w:sz w:val="24"/>
          <w:szCs w:val="24"/>
        </w:rPr>
        <w:t>5.3.1</w:t>
      </w:r>
      <w:r>
        <w:rPr>
          <w:rFonts w:hint="eastAsia"/>
          <w:sz w:val="24"/>
          <w:szCs w:val="24"/>
        </w:rPr>
        <w:t>按照《中华人民共和国招标投标法》和《评标委员会评标办法暂行规定》的规定，磋商由依法组建的磋商小组负责。磋商小组由招标人或其委托的招标代理机构熟悉相关业务的代表，以及有关技术、经济等方面的专家组成。磋商小组成员人数以及技术、经济等方面专家的确定方式见供应商须知前附表。</w:t>
      </w:r>
    </w:p>
    <w:p>
      <w:pPr>
        <w:pStyle w:val="42"/>
        <w:tabs>
          <w:tab w:val="left" w:pos="1219"/>
        </w:tabs>
        <w:spacing w:line="360" w:lineRule="auto"/>
        <w:ind w:left="0" w:firstLine="480" w:firstLineChars="200"/>
        <w:jc w:val="both"/>
        <w:rPr>
          <w:color w:val="0C0C0C"/>
          <w:sz w:val="24"/>
          <w:szCs w:val="24"/>
        </w:rPr>
      </w:pPr>
      <w:r>
        <w:rPr>
          <w:rFonts w:hint="eastAsia"/>
          <w:color w:val="0C0C0C"/>
          <w:sz w:val="24"/>
          <w:szCs w:val="24"/>
        </w:rPr>
        <w:t>5.3.2磋商小组成员有下列情形之一的，应当回避：</w:t>
      </w:r>
    </w:p>
    <w:p>
      <w:pPr>
        <w:pStyle w:val="42"/>
        <w:tabs>
          <w:tab w:val="left" w:pos="1219"/>
        </w:tabs>
        <w:spacing w:line="360" w:lineRule="auto"/>
        <w:ind w:left="0" w:firstLine="480" w:firstLineChars="200"/>
        <w:jc w:val="both"/>
        <w:rPr>
          <w:color w:val="0C0C0C"/>
          <w:sz w:val="24"/>
          <w:szCs w:val="24"/>
        </w:rPr>
      </w:pPr>
      <w:r>
        <w:rPr>
          <w:rFonts w:hint="eastAsia"/>
          <w:color w:val="0C0C0C"/>
          <w:sz w:val="24"/>
          <w:szCs w:val="24"/>
        </w:rPr>
        <w:t>（1）招标人或投标人的主要负责人的近亲属；</w:t>
      </w:r>
    </w:p>
    <w:p>
      <w:pPr>
        <w:pStyle w:val="42"/>
        <w:tabs>
          <w:tab w:val="left" w:pos="1219"/>
        </w:tabs>
        <w:spacing w:line="360" w:lineRule="auto"/>
        <w:ind w:left="0" w:firstLine="480" w:firstLineChars="200"/>
        <w:jc w:val="both"/>
        <w:rPr>
          <w:color w:val="0C0C0C"/>
          <w:sz w:val="24"/>
          <w:szCs w:val="24"/>
        </w:rPr>
      </w:pPr>
      <w:r>
        <w:rPr>
          <w:rFonts w:hint="eastAsia"/>
          <w:color w:val="0C0C0C"/>
          <w:sz w:val="24"/>
          <w:szCs w:val="24"/>
        </w:rPr>
        <w:t>（2）项目主管部门或者行政监督部门的人员；</w:t>
      </w:r>
    </w:p>
    <w:p>
      <w:pPr>
        <w:pStyle w:val="42"/>
        <w:tabs>
          <w:tab w:val="left" w:pos="1219"/>
        </w:tabs>
        <w:spacing w:line="360" w:lineRule="auto"/>
        <w:ind w:left="0" w:firstLine="480" w:firstLineChars="200"/>
        <w:jc w:val="both"/>
        <w:rPr>
          <w:color w:val="0C0C0C"/>
          <w:sz w:val="24"/>
          <w:szCs w:val="24"/>
        </w:rPr>
      </w:pPr>
      <w:r>
        <w:rPr>
          <w:rFonts w:hint="eastAsia"/>
          <w:color w:val="0C0C0C"/>
          <w:sz w:val="24"/>
          <w:szCs w:val="24"/>
        </w:rPr>
        <w:t>（3)与投标人有经济利益关系，可能影响对投标公正评审的；</w:t>
      </w:r>
    </w:p>
    <w:p>
      <w:pPr>
        <w:pStyle w:val="42"/>
        <w:tabs>
          <w:tab w:val="left" w:pos="1219"/>
        </w:tabs>
        <w:spacing w:line="360" w:lineRule="auto"/>
        <w:ind w:left="0" w:firstLine="480" w:firstLineChars="200"/>
        <w:jc w:val="both"/>
        <w:rPr>
          <w:color w:val="0C0C0C"/>
          <w:sz w:val="24"/>
          <w:szCs w:val="24"/>
        </w:rPr>
      </w:pPr>
      <w:r>
        <w:rPr>
          <w:rFonts w:hint="eastAsia"/>
          <w:color w:val="0C0C0C"/>
          <w:sz w:val="24"/>
          <w:szCs w:val="24"/>
        </w:rPr>
        <w:t>(4)曾因在招标、评标以及其他与招标投标有关活动中从事违法行为而受过行政处罚或刑事处罚的。</w:t>
      </w:r>
    </w:p>
    <w:p>
      <w:pPr>
        <w:pStyle w:val="42"/>
        <w:tabs>
          <w:tab w:val="left" w:pos="1366"/>
        </w:tabs>
        <w:spacing w:line="360" w:lineRule="auto"/>
        <w:ind w:left="0" w:firstLine="480" w:firstLineChars="200"/>
        <w:jc w:val="both"/>
        <w:rPr>
          <w:sz w:val="24"/>
          <w:szCs w:val="24"/>
        </w:rPr>
      </w:pPr>
      <w:r>
        <w:rPr>
          <w:rFonts w:hint="eastAsia"/>
          <w:color w:val="0C0C0C"/>
          <w:sz w:val="24"/>
          <w:szCs w:val="24"/>
        </w:rPr>
        <w:t>5.3.3</w:t>
      </w:r>
      <w:r>
        <w:rPr>
          <w:rFonts w:hint="eastAsia"/>
          <w:sz w:val="24"/>
          <w:szCs w:val="24"/>
        </w:rPr>
        <w:t>本次磋商严格按照招标管理的有关规定，坚持公开、公平、公正和择优的原则，依据各投标单位对所投响应性文件的承诺，以保证</w:t>
      </w:r>
      <w:r>
        <w:rPr>
          <w:rFonts w:hint="eastAsia"/>
          <w:sz w:val="24"/>
          <w:szCs w:val="24"/>
          <w:u w:val="single"/>
        </w:rPr>
        <w:t>工程施工</w:t>
      </w:r>
      <w:r>
        <w:rPr>
          <w:rFonts w:hint="eastAsia"/>
          <w:sz w:val="24"/>
          <w:szCs w:val="24"/>
        </w:rPr>
        <w:t>质量等技术方案的论证为主要内容，分两步进行评定：一是初评，对照磋商文件各条款，对商务标和技术标进行符合性鉴定，鉴定响应性文件是否实质上响应磋商文件的要求。二是详评，对照磋商细则进行综合评定。磋商小组写出磋商报告，按所得分值，由高到低的次序，由磋商小组推荐1-3名为成交候选人，原则上第一名成交，如第一名确实存在有问题或不履行承诺，报招标监督管理机构核准后再按顺序顺延确定成交单位。并发布在公告媒体。</w:t>
      </w:r>
    </w:p>
    <w:p>
      <w:pPr>
        <w:pStyle w:val="42"/>
        <w:tabs>
          <w:tab w:val="left" w:pos="1366"/>
        </w:tabs>
        <w:spacing w:line="360" w:lineRule="auto"/>
        <w:ind w:left="0" w:firstLine="480" w:firstLineChars="200"/>
        <w:jc w:val="both"/>
        <w:rPr>
          <w:sz w:val="24"/>
          <w:szCs w:val="24"/>
        </w:rPr>
      </w:pPr>
      <w:r>
        <w:rPr>
          <w:rFonts w:hint="eastAsia"/>
          <w:color w:val="0C0C0C"/>
          <w:sz w:val="24"/>
          <w:szCs w:val="24"/>
        </w:rPr>
        <w:t>5.3.4</w:t>
      </w:r>
      <w:r>
        <w:rPr>
          <w:rFonts w:hint="eastAsia"/>
          <w:sz w:val="24"/>
          <w:szCs w:val="24"/>
        </w:rPr>
        <w:t>采购监督</w:t>
      </w:r>
      <w:r>
        <w:rPr>
          <w:rFonts w:hint="eastAsia"/>
          <w:sz w:val="24"/>
          <w:szCs w:val="24"/>
          <w:lang w:val="en-US" w:eastAsia="zh-CN"/>
        </w:rPr>
        <w:t>人</w:t>
      </w:r>
      <w:r>
        <w:rPr>
          <w:rFonts w:hint="eastAsia"/>
          <w:sz w:val="24"/>
          <w:szCs w:val="24"/>
        </w:rPr>
        <w:t>将列席并监督开标的全过程。</w:t>
      </w:r>
    </w:p>
    <w:p>
      <w:pPr>
        <w:pStyle w:val="42"/>
        <w:tabs>
          <w:tab w:val="left" w:pos="1154"/>
        </w:tabs>
        <w:spacing w:line="360" w:lineRule="auto"/>
        <w:ind w:left="0" w:firstLine="482" w:firstLineChars="200"/>
        <w:jc w:val="both"/>
        <w:rPr>
          <w:b/>
          <w:sz w:val="24"/>
          <w:szCs w:val="24"/>
        </w:rPr>
      </w:pPr>
      <w:r>
        <w:rPr>
          <w:rFonts w:hint="eastAsia"/>
          <w:b/>
          <w:color w:val="0C0C0C"/>
          <w:sz w:val="24"/>
          <w:szCs w:val="24"/>
        </w:rPr>
        <w:t xml:space="preserve">5.4 </w:t>
      </w:r>
      <w:r>
        <w:rPr>
          <w:rFonts w:hint="eastAsia"/>
          <w:b/>
          <w:sz w:val="24"/>
          <w:szCs w:val="24"/>
        </w:rPr>
        <w:t>磋商程序</w:t>
      </w:r>
    </w:p>
    <w:p>
      <w:pPr>
        <w:pStyle w:val="42"/>
        <w:tabs>
          <w:tab w:val="left" w:pos="1366"/>
        </w:tabs>
        <w:spacing w:line="360" w:lineRule="auto"/>
        <w:ind w:left="0" w:firstLine="480" w:firstLineChars="200"/>
        <w:jc w:val="both"/>
        <w:rPr>
          <w:sz w:val="24"/>
          <w:szCs w:val="24"/>
        </w:rPr>
      </w:pPr>
      <w:r>
        <w:rPr>
          <w:rFonts w:hint="eastAsia"/>
          <w:color w:val="0C0C0C"/>
          <w:sz w:val="24"/>
          <w:szCs w:val="24"/>
        </w:rPr>
        <w:t>5.4.1</w:t>
      </w:r>
      <w:r>
        <w:rPr>
          <w:rFonts w:hint="eastAsia"/>
          <w:sz w:val="24"/>
          <w:szCs w:val="24"/>
        </w:rPr>
        <w:t>准备会：招标代理人、采购人和磋商小组参加，由采购人介绍项目情况；磋商小组成员推选小组组长；招标方宣布磋商纪律，磋商方法，定标原则。</w:t>
      </w:r>
    </w:p>
    <w:p>
      <w:pPr>
        <w:pStyle w:val="42"/>
        <w:tabs>
          <w:tab w:val="left" w:pos="1366"/>
        </w:tabs>
        <w:spacing w:line="360" w:lineRule="auto"/>
        <w:ind w:left="0" w:firstLine="480" w:firstLineChars="200"/>
        <w:jc w:val="both"/>
        <w:rPr>
          <w:sz w:val="24"/>
          <w:szCs w:val="24"/>
        </w:rPr>
      </w:pPr>
      <w:r>
        <w:rPr>
          <w:rFonts w:hint="eastAsia"/>
          <w:color w:val="0C0C0C"/>
          <w:sz w:val="24"/>
          <w:szCs w:val="24"/>
        </w:rPr>
        <w:t>5.4.2</w:t>
      </w:r>
      <w:r>
        <w:rPr>
          <w:rFonts w:hint="eastAsia"/>
          <w:sz w:val="24"/>
          <w:szCs w:val="24"/>
        </w:rPr>
        <w:t>资格审查。</w:t>
      </w:r>
    </w:p>
    <w:p>
      <w:pPr>
        <w:pStyle w:val="42"/>
        <w:tabs>
          <w:tab w:val="left" w:pos="1366"/>
        </w:tabs>
        <w:spacing w:line="360" w:lineRule="auto"/>
        <w:ind w:left="0" w:firstLine="480" w:firstLineChars="200"/>
        <w:jc w:val="both"/>
        <w:rPr>
          <w:sz w:val="24"/>
          <w:szCs w:val="24"/>
        </w:rPr>
      </w:pPr>
      <w:r>
        <w:rPr>
          <w:rFonts w:hint="eastAsia"/>
          <w:color w:val="0C0C0C"/>
          <w:sz w:val="24"/>
          <w:szCs w:val="24"/>
        </w:rPr>
        <w:t>5.4.3</w:t>
      </w:r>
      <w:r>
        <w:rPr>
          <w:rFonts w:hint="eastAsia"/>
          <w:sz w:val="24"/>
          <w:szCs w:val="24"/>
        </w:rPr>
        <w:t>审阅响应性文件（符合性审查）。确认每一份响应性文件是否做出实质性响应。实质性响应的投标是指投标符合磋商文件的所有条款、条件和要求，而无重大偏离和保留。重大偏离和保留是指影响到磋商文件规定的范围、质量和性能，或限制了招标方、采购人的权利和供应商的义务的规定，而纠正这些偏差将影响到其它提交实质性响应性文件的供应商的公平竞争地位。</w:t>
      </w:r>
    </w:p>
    <w:p>
      <w:pPr>
        <w:pStyle w:val="42"/>
        <w:tabs>
          <w:tab w:val="left" w:pos="1366"/>
        </w:tabs>
        <w:spacing w:line="360" w:lineRule="auto"/>
        <w:ind w:left="0" w:firstLine="480" w:firstLineChars="200"/>
        <w:jc w:val="both"/>
        <w:rPr>
          <w:sz w:val="24"/>
          <w:szCs w:val="24"/>
        </w:rPr>
      </w:pPr>
      <w:r>
        <w:rPr>
          <w:rFonts w:hint="eastAsia"/>
          <w:color w:val="0C0C0C"/>
          <w:sz w:val="24"/>
          <w:szCs w:val="24"/>
        </w:rPr>
        <w:t>5.4.4</w:t>
      </w:r>
      <w:r>
        <w:rPr>
          <w:rFonts w:hint="eastAsia"/>
          <w:sz w:val="24"/>
          <w:szCs w:val="24"/>
        </w:rPr>
        <w:t>技术和商务评审。</w:t>
      </w:r>
    </w:p>
    <w:p>
      <w:pPr>
        <w:pStyle w:val="42"/>
        <w:tabs>
          <w:tab w:val="left" w:pos="1366"/>
        </w:tabs>
        <w:spacing w:line="360" w:lineRule="auto"/>
        <w:ind w:left="0" w:firstLine="480" w:firstLineChars="200"/>
        <w:jc w:val="both"/>
        <w:rPr>
          <w:sz w:val="24"/>
          <w:szCs w:val="24"/>
        </w:rPr>
      </w:pPr>
      <w:r>
        <w:rPr>
          <w:rFonts w:hint="eastAsia"/>
          <w:color w:val="0C0C0C"/>
          <w:sz w:val="24"/>
          <w:szCs w:val="24"/>
        </w:rPr>
        <w:t>5.4.5</w:t>
      </w:r>
      <w:r>
        <w:rPr>
          <w:rFonts w:hint="eastAsia"/>
          <w:sz w:val="24"/>
          <w:szCs w:val="24"/>
        </w:rPr>
        <w:t>推荐成交供应商。</w:t>
      </w:r>
    </w:p>
    <w:p>
      <w:pPr>
        <w:pStyle w:val="42"/>
        <w:tabs>
          <w:tab w:val="left" w:pos="1157"/>
        </w:tabs>
        <w:spacing w:line="360" w:lineRule="auto"/>
        <w:ind w:left="0" w:firstLine="482" w:firstLineChars="200"/>
        <w:jc w:val="both"/>
        <w:rPr>
          <w:b/>
          <w:sz w:val="24"/>
          <w:szCs w:val="24"/>
        </w:rPr>
      </w:pPr>
      <w:r>
        <w:rPr>
          <w:rFonts w:hint="eastAsia"/>
          <w:b/>
          <w:color w:val="0C0C0C"/>
          <w:sz w:val="24"/>
          <w:szCs w:val="24"/>
        </w:rPr>
        <w:t xml:space="preserve">5.5 </w:t>
      </w:r>
      <w:r>
        <w:rPr>
          <w:rFonts w:hint="eastAsia"/>
          <w:b/>
          <w:sz w:val="24"/>
          <w:szCs w:val="24"/>
        </w:rPr>
        <w:t>磋商小组澄清和修改的要求</w:t>
      </w:r>
    </w:p>
    <w:p>
      <w:pPr>
        <w:pStyle w:val="42"/>
        <w:tabs>
          <w:tab w:val="left" w:pos="1366"/>
        </w:tabs>
        <w:spacing w:line="360" w:lineRule="auto"/>
        <w:ind w:left="0" w:firstLine="480" w:firstLineChars="200"/>
        <w:jc w:val="both"/>
        <w:rPr>
          <w:sz w:val="24"/>
          <w:szCs w:val="24"/>
        </w:rPr>
      </w:pPr>
      <w:r>
        <w:rPr>
          <w:rFonts w:hint="eastAsia"/>
          <w:color w:val="0C0C0C"/>
          <w:sz w:val="24"/>
          <w:szCs w:val="24"/>
        </w:rPr>
        <w:t>5.5.1</w:t>
      </w:r>
      <w:r>
        <w:rPr>
          <w:rFonts w:hint="eastAsia"/>
          <w:sz w:val="24"/>
          <w:szCs w:val="24"/>
        </w:rPr>
        <w:t>磋商小组在磋商时将会视实际情况要求供应商对其响应性文件内容进行澄清或说明。供应商所作的重要承诺均应为书面形式，并由其法人代表或授权代理人签字，作为响应性文件的一部分，具有同等的法律效力。</w:t>
      </w:r>
    </w:p>
    <w:p>
      <w:pPr>
        <w:pStyle w:val="42"/>
        <w:tabs>
          <w:tab w:val="left" w:pos="1358"/>
        </w:tabs>
        <w:spacing w:line="360" w:lineRule="auto"/>
        <w:ind w:left="0" w:firstLine="480" w:firstLineChars="200"/>
        <w:jc w:val="both"/>
        <w:rPr>
          <w:sz w:val="24"/>
          <w:szCs w:val="24"/>
        </w:rPr>
      </w:pPr>
      <w:r>
        <w:rPr>
          <w:rFonts w:hint="eastAsia"/>
          <w:color w:val="0C0C0C"/>
          <w:sz w:val="24"/>
          <w:szCs w:val="24"/>
        </w:rPr>
        <w:t>5.5.2</w:t>
      </w:r>
      <w:r>
        <w:rPr>
          <w:rFonts w:hint="eastAsia"/>
          <w:sz w:val="24"/>
          <w:szCs w:val="24"/>
        </w:rPr>
        <w:t>除非磋商小组主动要求，招标以外的任何时候，供应商均不得就磋商及报价事宜与磋商小组成员联系。</w:t>
      </w:r>
    </w:p>
    <w:p>
      <w:pPr>
        <w:pStyle w:val="42"/>
        <w:tabs>
          <w:tab w:val="left" w:pos="1358"/>
        </w:tabs>
        <w:spacing w:line="360" w:lineRule="auto"/>
        <w:ind w:left="0" w:firstLine="480" w:firstLineChars="200"/>
        <w:jc w:val="both"/>
        <w:rPr>
          <w:sz w:val="24"/>
          <w:szCs w:val="24"/>
        </w:rPr>
      </w:pPr>
      <w:r>
        <w:rPr>
          <w:rFonts w:hint="eastAsia"/>
          <w:color w:val="0C0C0C"/>
          <w:sz w:val="24"/>
          <w:szCs w:val="24"/>
        </w:rPr>
        <w:t>5.5.3</w:t>
      </w:r>
      <w:r>
        <w:rPr>
          <w:rFonts w:hint="eastAsia"/>
          <w:sz w:val="24"/>
          <w:szCs w:val="24"/>
        </w:rPr>
        <w:t>供应商必须对磋商小组的澄清和说明要求做出明确响应，否则由此产生的任何不利于供应商的后果由其自行承担。</w:t>
      </w:r>
    </w:p>
    <w:p>
      <w:pPr>
        <w:pStyle w:val="42"/>
        <w:tabs>
          <w:tab w:val="left" w:pos="1105"/>
        </w:tabs>
        <w:spacing w:line="360" w:lineRule="auto"/>
        <w:ind w:left="0" w:firstLine="482" w:firstLineChars="200"/>
        <w:jc w:val="both"/>
        <w:rPr>
          <w:b/>
          <w:sz w:val="24"/>
          <w:szCs w:val="24"/>
        </w:rPr>
      </w:pPr>
      <w:r>
        <w:rPr>
          <w:rFonts w:hint="eastAsia"/>
          <w:b/>
          <w:color w:val="0C0C0C"/>
          <w:sz w:val="24"/>
          <w:szCs w:val="24"/>
        </w:rPr>
        <w:t xml:space="preserve">5.6 </w:t>
      </w:r>
      <w:r>
        <w:rPr>
          <w:rFonts w:hint="eastAsia"/>
          <w:b/>
          <w:sz w:val="24"/>
          <w:szCs w:val="24"/>
        </w:rPr>
        <w:t>磋商纪律</w:t>
      </w:r>
    </w:p>
    <w:p>
      <w:pPr>
        <w:pStyle w:val="42"/>
        <w:tabs>
          <w:tab w:val="left" w:pos="1170"/>
        </w:tabs>
        <w:spacing w:line="360" w:lineRule="auto"/>
        <w:ind w:left="0" w:firstLine="480" w:firstLineChars="200"/>
        <w:jc w:val="both"/>
        <w:rPr>
          <w:sz w:val="24"/>
          <w:szCs w:val="24"/>
        </w:rPr>
      </w:pPr>
      <w:r>
        <w:rPr>
          <w:rFonts w:hint="eastAsia"/>
          <w:color w:val="0C0C0C"/>
          <w:sz w:val="24"/>
          <w:szCs w:val="24"/>
        </w:rPr>
        <w:t>5.6.1</w:t>
      </w:r>
      <w:r>
        <w:rPr>
          <w:rFonts w:hint="eastAsia"/>
          <w:sz w:val="24"/>
          <w:szCs w:val="24"/>
        </w:rPr>
        <w:t>开标后，直到宣布授予中标人合同为止，凡涉及响应性文件的评审和比较、成交候选人的推荐情况以及与磋商有关的其它情况均应严格保密。</w:t>
      </w:r>
    </w:p>
    <w:p>
      <w:pPr>
        <w:pStyle w:val="42"/>
        <w:tabs>
          <w:tab w:val="left" w:pos="1170"/>
        </w:tabs>
        <w:spacing w:line="360" w:lineRule="auto"/>
        <w:ind w:left="0" w:firstLine="480" w:firstLineChars="200"/>
        <w:jc w:val="both"/>
        <w:rPr>
          <w:sz w:val="24"/>
          <w:szCs w:val="24"/>
        </w:rPr>
      </w:pPr>
      <w:r>
        <w:rPr>
          <w:rFonts w:hint="eastAsia"/>
          <w:color w:val="0C0C0C"/>
          <w:sz w:val="24"/>
          <w:szCs w:val="24"/>
        </w:rPr>
        <w:t>5.6.2</w:t>
      </w:r>
      <w:r>
        <w:rPr>
          <w:rFonts w:hint="eastAsia"/>
          <w:sz w:val="24"/>
          <w:szCs w:val="24"/>
        </w:rPr>
        <w:t>磋商小组成员和参与磋商工作的有关成员不得透露对响应性文件的评审和比较、成交候选人的推荐情况以及磋商有关的其它情况。</w:t>
      </w:r>
    </w:p>
    <w:p>
      <w:pPr>
        <w:pStyle w:val="42"/>
        <w:tabs>
          <w:tab w:val="left" w:pos="1170"/>
        </w:tabs>
        <w:spacing w:line="360" w:lineRule="auto"/>
        <w:ind w:left="0" w:firstLine="480" w:firstLineChars="200"/>
        <w:jc w:val="both"/>
        <w:rPr>
          <w:sz w:val="24"/>
          <w:szCs w:val="24"/>
        </w:rPr>
      </w:pPr>
      <w:r>
        <w:rPr>
          <w:rFonts w:hint="eastAsia"/>
          <w:color w:val="0C0C0C"/>
          <w:sz w:val="24"/>
          <w:szCs w:val="24"/>
        </w:rPr>
        <w:t>5.6.3</w:t>
      </w:r>
      <w:r>
        <w:rPr>
          <w:rFonts w:hint="eastAsia"/>
          <w:sz w:val="24"/>
          <w:szCs w:val="24"/>
        </w:rPr>
        <w:t>除供应商须知规定以外开标以后自授予成交通知书前，任何供应商均不得与其供应商有关的问题主动与采购人发生联系。</w:t>
      </w:r>
    </w:p>
    <w:p>
      <w:pPr>
        <w:pStyle w:val="42"/>
        <w:tabs>
          <w:tab w:val="left" w:pos="1170"/>
        </w:tabs>
        <w:spacing w:line="360" w:lineRule="auto"/>
        <w:ind w:left="0" w:firstLine="480" w:firstLineChars="200"/>
        <w:jc w:val="both"/>
        <w:rPr>
          <w:sz w:val="24"/>
          <w:szCs w:val="24"/>
        </w:rPr>
      </w:pPr>
      <w:r>
        <w:rPr>
          <w:rFonts w:hint="eastAsia"/>
          <w:color w:val="0C0C0C"/>
          <w:sz w:val="24"/>
          <w:szCs w:val="24"/>
        </w:rPr>
        <w:t>5.6.4</w:t>
      </w:r>
      <w:r>
        <w:rPr>
          <w:rFonts w:hint="eastAsia"/>
          <w:sz w:val="24"/>
          <w:szCs w:val="24"/>
        </w:rPr>
        <w:t>如果供应商试图对磋商小组的磋商施加影响，将导致该供应商的响应性文件被拒绝。</w:t>
      </w:r>
    </w:p>
    <w:p>
      <w:pPr>
        <w:pStyle w:val="42"/>
        <w:tabs>
          <w:tab w:val="left" w:pos="1170"/>
        </w:tabs>
        <w:spacing w:line="360" w:lineRule="auto"/>
        <w:ind w:left="0" w:firstLine="480" w:firstLineChars="200"/>
        <w:jc w:val="both"/>
        <w:rPr>
          <w:sz w:val="24"/>
          <w:szCs w:val="24"/>
        </w:rPr>
      </w:pPr>
      <w:r>
        <w:rPr>
          <w:rFonts w:hint="eastAsia"/>
          <w:color w:val="0C0C0C"/>
          <w:sz w:val="24"/>
          <w:szCs w:val="24"/>
        </w:rPr>
        <w:t>5.6.5</w:t>
      </w:r>
      <w:r>
        <w:rPr>
          <w:rFonts w:hint="eastAsia"/>
          <w:sz w:val="24"/>
          <w:szCs w:val="24"/>
        </w:rPr>
        <w:t>其他单位及其工作人员对磋商小组的磋商施加影响，采购人将依据有关法律、法规对其提起诉讼。</w:t>
      </w:r>
    </w:p>
    <w:p>
      <w:pPr>
        <w:pStyle w:val="42"/>
        <w:tabs>
          <w:tab w:val="left" w:pos="1157"/>
        </w:tabs>
        <w:spacing w:line="360" w:lineRule="auto"/>
        <w:ind w:left="0" w:firstLine="482" w:firstLineChars="200"/>
        <w:jc w:val="both"/>
        <w:rPr>
          <w:b/>
          <w:sz w:val="24"/>
          <w:szCs w:val="24"/>
        </w:rPr>
      </w:pPr>
      <w:r>
        <w:rPr>
          <w:rFonts w:hint="eastAsia"/>
          <w:b/>
          <w:color w:val="0C0C0C"/>
          <w:sz w:val="24"/>
          <w:szCs w:val="24"/>
        </w:rPr>
        <w:t xml:space="preserve">5.7 </w:t>
      </w:r>
      <w:r>
        <w:rPr>
          <w:rFonts w:hint="eastAsia"/>
          <w:b/>
          <w:sz w:val="24"/>
          <w:szCs w:val="24"/>
        </w:rPr>
        <w:t>磋商</w:t>
      </w:r>
    </w:p>
    <w:p>
      <w:pPr>
        <w:pStyle w:val="3"/>
        <w:spacing w:line="360" w:lineRule="auto"/>
        <w:ind w:firstLine="480" w:firstLineChars="200"/>
        <w:jc w:val="both"/>
        <w:rPr>
          <w:sz w:val="24"/>
          <w:szCs w:val="24"/>
        </w:rPr>
      </w:pPr>
      <w:r>
        <w:rPr>
          <w:rFonts w:hint="eastAsia"/>
          <w:color w:val="0C0C0C"/>
          <w:sz w:val="24"/>
          <w:szCs w:val="24"/>
        </w:rPr>
        <w:t>5.7.1</w:t>
      </w:r>
      <w:r>
        <w:rPr>
          <w:rFonts w:hint="eastAsia"/>
          <w:sz w:val="24"/>
          <w:szCs w:val="24"/>
        </w:rPr>
        <w:t>磋商小组按照 “磋商办法（综合评分法）”规定的方法、磋商因素、标准和程序对响应性文件进行评审。“磋商办法（综合评分法）”没有规定的方法、评审因素和标准，不作为磋商依据。</w:t>
      </w:r>
    </w:p>
    <w:p>
      <w:pPr>
        <w:rPr>
          <w:sz w:val="24"/>
          <w:szCs w:val="24"/>
        </w:rPr>
      </w:pPr>
      <w:r>
        <w:rPr>
          <w:rFonts w:hint="eastAsia"/>
          <w:sz w:val="24"/>
          <w:szCs w:val="24"/>
        </w:rPr>
        <w:br w:type="page"/>
      </w:r>
    </w:p>
    <w:p>
      <w:pPr>
        <w:jc w:val="both"/>
      </w:pPr>
    </w:p>
    <w:p>
      <w:pPr>
        <w:rPr>
          <w:b/>
          <w:sz w:val="24"/>
          <w:szCs w:val="24"/>
        </w:rPr>
      </w:pPr>
      <w:r>
        <w:rPr>
          <w:rFonts w:hint="eastAsia"/>
          <w:b/>
          <w:sz w:val="24"/>
          <w:szCs w:val="24"/>
        </w:rPr>
        <w:t>六、磋商办法（综合评分法）</w:t>
      </w:r>
    </w:p>
    <w:p>
      <w:pPr>
        <w:widowControl/>
        <w:spacing w:line="360" w:lineRule="exact"/>
        <w:ind w:firstLine="4096" w:firstLineChars="1700"/>
        <w:rPr>
          <w:b/>
          <w:bCs/>
          <w:color w:val="000000"/>
          <w:sz w:val="24"/>
          <w:szCs w:val="24"/>
          <w:lang w:bidi="ar"/>
        </w:rPr>
      </w:pPr>
      <w:r>
        <w:rPr>
          <w:rFonts w:hint="eastAsia"/>
          <w:b/>
          <w:bCs/>
          <w:color w:val="000000"/>
          <w:sz w:val="24"/>
          <w:szCs w:val="24"/>
          <w:lang w:bidi="ar"/>
        </w:rPr>
        <w:t>磋商办法前附表</w:t>
      </w:r>
    </w:p>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64"/>
        <w:gridCol w:w="1208"/>
        <w:gridCol w:w="191"/>
        <w:gridCol w:w="1529"/>
        <w:gridCol w:w="125"/>
        <w:gridCol w:w="89"/>
        <w:gridCol w:w="4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2" w:type="dxa"/>
            <w:gridSpan w:val="3"/>
            <w:vAlign w:val="center"/>
          </w:tcPr>
          <w:p>
            <w:pPr>
              <w:widowControl/>
              <w:spacing w:line="360" w:lineRule="exact"/>
              <w:jc w:val="center"/>
              <w:rPr>
                <w:b/>
                <w:bCs/>
                <w:color w:val="000000"/>
                <w:sz w:val="21"/>
                <w:szCs w:val="24"/>
                <w:lang w:bidi="ar"/>
              </w:rPr>
            </w:pPr>
            <w:r>
              <w:rPr>
                <w:rFonts w:hint="eastAsia"/>
                <w:b/>
                <w:bCs/>
                <w:color w:val="000000"/>
                <w:sz w:val="21"/>
                <w:szCs w:val="24"/>
                <w:lang w:bidi="ar"/>
              </w:rPr>
              <w:t>条款号</w:t>
            </w:r>
          </w:p>
        </w:tc>
        <w:tc>
          <w:tcPr>
            <w:tcW w:w="1720" w:type="dxa"/>
            <w:gridSpan w:val="2"/>
            <w:vAlign w:val="center"/>
          </w:tcPr>
          <w:p>
            <w:pPr>
              <w:widowControl/>
              <w:spacing w:line="360" w:lineRule="exact"/>
              <w:ind w:firstLine="211" w:firstLineChars="100"/>
              <w:jc w:val="both"/>
              <w:rPr>
                <w:b/>
                <w:bCs/>
                <w:color w:val="000000"/>
                <w:sz w:val="21"/>
                <w:szCs w:val="24"/>
                <w:lang w:bidi="ar"/>
              </w:rPr>
            </w:pPr>
            <w:r>
              <w:rPr>
                <w:rFonts w:hint="eastAsia"/>
                <w:b/>
                <w:bCs/>
                <w:color w:val="000000"/>
                <w:sz w:val="21"/>
                <w:szCs w:val="24"/>
                <w:lang w:bidi="ar"/>
              </w:rPr>
              <w:t>评审因素</w:t>
            </w:r>
          </w:p>
        </w:tc>
        <w:tc>
          <w:tcPr>
            <w:tcW w:w="4550" w:type="dxa"/>
            <w:gridSpan w:val="3"/>
            <w:vAlign w:val="center"/>
          </w:tcPr>
          <w:p>
            <w:pPr>
              <w:widowControl/>
              <w:spacing w:line="360" w:lineRule="exact"/>
              <w:ind w:firstLine="1897" w:firstLineChars="900"/>
              <w:jc w:val="both"/>
              <w:rPr>
                <w:b/>
                <w:bCs/>
                <w:color w:val="000000"/>
                <w:sz w:val="21"/>
                <w:szCs w:val="24"/>
                <w:lang w:bidi="ar"/>
              </w:rPr>
            </w:pPr>
            <w:r>
              <w:rPr>
                <w:rFonts w:hint="eastAsia"/>
                <w:b/>
                <w:bCs/>
                <w:color w:val="000000"/>
                <w:sz w:val="21"/>
                <w:szCs w:val="24"/>
                <w:lang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8"/>
          </w:tcPr>
          <w:p>
            <w:pPr>
              <w:widowControl/>
              <w:spacing w:line="360" w:lineRule="exact"/>
              <w:jc w:val="both"/>
              <w:rPr>
                <w:sz w:val="21"/>
                <w:szCs w:val="24"/>
              </w:rPr>
            </w:pPr>
            <w:r>
              <w:rPr>
                <w:rFonts w:hint="eastAsia"/>
                <w:b/>
                <w:bCs/>
                <w:color w:val="000000"/>
                <w:sz w:val="21"/>
                <w:szCs w:val="24"/>
                <w:lang w:bidi="ar"/>
              </w:rPr>
              <w:t>2.1 初步评审标准: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044" w:type="dxa"/>
            <w:gridSpan w:val="2"/>
            <w:vMerge w:val="restart"/>
            <w:vAlign w:val="center"/>
          </w:tcPr>
          <w:p>
            <w:pPr>
              <w:widowControl/>
              <w:spacing w:line="360" w:lineRule="exact"/>
              <w:jc w:val="center"/>
              <w:rPr>
                <w:sz w:val="21"/>
                <w:szCs w:val="24"/>
              </w:rPr>
            </w:pPr>
            <w:r>
              <w:rPr>
                <w:rFonts w:hint="eastAsia"/>
                <w:color w:val="000000"/>
                <w:sz w:val="21"/>
                <w:szCs w:val="24"/>
                <w:lang w:bidi="ar"/>
              </w:rPr>
              <w:t>2.1.1</w:t>
            </w:r>
          </w:p>
        </w:tc>
        <w:tc>
          <w:tcPr>
            <w:tcW w:w="1208" w:type="dxa"/>
            <w:vMerge w:val="restart"/>
            <w:vAlign w:val="center"/>
          </w:tcPr>
          <w:p>
            <w:pPr>
              <w:widowControl/>
              <w:spacing w:line="360" w:lineRule="exact"/>
              <w:jc w:val="center"/>
              <w:rPr>
                <w:sz w:val="21"/>
                <w:szCs w:val="24"/>
              </w:rPr>
            </w:pPr>
            <w:r>
              <w:rPr>
                <w:rFonts w:hint="eastAsia"/>
                <w:color w:val="000000"/>
                <w:sz w:val="21"/>
                <w:szCs w:val="24"/>
                <w:lang w:bidi="ar"/>
              </w:rPr>
              <w:t>符合性评审</w:t>
            </w: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供应商名称</w:t>
            </w:r>
          </w:p>
        </w:tc>
        <w:tc>
          <w:tcPr>
            <w:tcW w:w="4425" w:type="dxa"/>
            <w:gridSpan w:val="2"/>
          </w:tcPr>
          <w:p>
            <w:pPr>
              <w:widowControl/>
              <w:spacing w:line="360" w:lineRule="exact"/>
              <w:jc w:val="both"/>
              <w:rPr>
                <w:sz w:val="21"/>
                <w:szCs w:val="24"/>
              </w:rPr>
            </w:pPr>
            <w:r>
              <w:rPr>
                <w:rFonts w:hint="eastAsia"/>
                <w:color w:val="000000"/>
                <w:sz w:val="21"/>
                <w:szCs w:val="24"/>
                <w:lang w:bidi="ar"/>
              </w:rPr>
              <w:t>与企业法人营业执照一致</w:t>
            </w:r>
            <w:r>
              <w:rPr>
                <w:rFonts w:hint="eastAsia"/>
                <w:b/>
                <w:bCs/>
                <w:color w:val="000000"/>
                <w:sz w:val="21"/>
                <w:szCs w:val="24"/>
                <w:lang w:bidi="ar"/>
              </w:rPr>
              <w:t xml:space="preserve">（以供应商南阳市公共资源交易中心企业诚信库“基本信息”中上传的原件扫描件为准）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响应性文件签字盖章</w:t>
            </w:r>
          </w:p>
        </w:tc>
        <w:tc>
          <w:tcPr>
            <w:tcW w:w="4425" w:type="dxa"/>
            <w:gridSpan w:val="2"/>
          </w:tcPr>
          <w:p>
            <w:pPr>
              <w:widowControl/>
              <w:spacing w:line="360" w:lineRule="exact"/>
              <w:jc w:val="both"/>
              <w:rPr>
                <w:sz w:val="21"/>
                <w:szCs w:val="24"/>
              </w:rPr>
            </w:pPr>
            <w:r>
              <w:rPr>
                <w:rFonts w:hint="eastAsia"/>
                <w:color w:val="000000"/>
                <w:sz w:val="21"/>
                <w:szCs w:val="24"/>
                <w:lang w:bidi="ar"/>
              </w:rPr>
              <w:t>按照磋商文件要求签字盖章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报价唯一</w:t>
            </w:r>
          </w:p>
        </w:tc>
        <w:tc>
          <w:tcPr>
            <w:tcW w:w="4425" w:type="dxa"/>
            <w:gridSpan w:val="2"/>
          </w:tcPr>
          <w:p>
            <w:pPr>
              <w:widowControl/>
              <w:spacing w:line="360" w:lineRule="exact"/>
              <w:jc w:val="both"/>
              <w:rPr>
                <w:sz w:val="21"/>
                <w:szCs w:val="24"/>
              </w:rPr>
            </w:pPr>
            <w:r>
              <w:rPr>
                <w:rFonts w:hint="eastAsia"/>
                <w:color w:val="000000"/>
                <w:sz w:val="21"/>
                <w:szCs w:val="24"/>
                <w:lang w:bidi="ar"/>
              </w:rPr>
              <w:t xml:space="preserve">只有一个有效报价且不超过最高限价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响应性文件格式</w:t>
            </w:r>
          </w:p>
        </w:tc>
        <w:tc>
          <w:tcPr>
            <w:tcW w:w="4425" w:type="dxa"/>
            <w:gridSpan w:val="2"/>
          </w:tcPr>
          <w:p>
            <w:pPr>
              <w:widowControl/>
              <w:spacing w:line="360" w:lineRule="exact"/>
              <w:jc w:val="both"/>
              <w:rPr>
                <w:sz w:val="21"/>
                <w:szCs w:val="24"/>
              </w:rPr>
            </w:pPr>
            <w:r>
              <w:rPr>
                <w:rFonts w:hint="eastAsia"/>
                <w:color w:val="000000"/>
                <w:sz w:val="21"/>
                <w:szCs w:val="24"/>
                <w:lang w:bidi="ar"/>
              </w:rPr>
              <w:t>符合第</w:t>
            </w:r>
            <w:r>
              <w:rPr>
                <w:rFonts w:hint="eastAsia"/>
                <w:color w:val="000000"/>
                <w:sz w:val="21"/>
                <w:szCs w:val="24"/>
                <w:lang w:val="en-US" w:eastAsia="zh-CN" w:bidi="ar"/>
              </w:rPr>
              <w:t>六</w:t>
            </w:r>
            <w:r>
              <w:rPr>
                <w:rFonts w:hint="eastAsia"/>
                <w:color w:val="000000"/>
                <w:sz w:val="21"/>
                <w:szCs w:val="24"/>
                <w:lang w:bidi="ar"/>
              </w:rPr>
              <w:t xml:space="preserve">部分“电子标响应性文件格式”的要求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1044" w:type="dxa"/>
            <w:gridSpan w:val="2"/>
            <w:vMerge w:val="restart"/>
            <w:vAlign w:val="center"/>
          </w:tcPr>
          <w:p>
            <w:pPr>
              <w:widowControl/>
              <w:spacing w:line="360" w:lineRule="exact"/>
              <w:jc w:val="center"/>
              <w:rPr>
                <w:sz w:val="21"/>
                <w:szCs w:val="24"/>
              </w:rPr>
            </w:pPr>
            <w:r>
              <w:rPr>
                <w:rFonts w:hint="eastAsia"/>
                <w:color w:val="000000"/>
                <w:sz w:val="21"/>
                <w:szCs w:val="24"/>
                <w:lang w:bidi="ar"/>
              </w:rPr>
              <w:t>2.1.2</w:t>
            </w:r>
          </w:p>
        </w:tc>
        <w:tc>
          <w:tcPr>
            <w:tcW w:w="1208" w:type="dxa"/>
            <w:vMerge w:val="restart"/>
            <w:vAlign w:val="center"/>
          </w:tcPr>
          <w:p>
            <w:pPr>
              <w:widowControl/>
              <w:spacing w:line="360" w:lineRule="exact"/>
              <w:jc w:val="center"/>
              <w:rPr>
                <w:sz w:val="21"/>
                <w:szCs w:val="24"/>
              </w:rPr>
            </w:pPr>
            <w:r>
              <w:rPr>
                <w:rFonts w:hint="eastAsia"/>
                <w:color w:val="000000"/>
                <w:sz w:val="21"/>
                <w:szCs w:val="24"/>
                <w:lang w:bidi="ar"/>
              </w:rPr>
              <w:t>资格性评审</w:t>
            </w:r>
          </w:p>
        </w:tc>
        <w:tc>
          <w:tcPr>
            <w:tcW w:w="1845" w:type="dxa"/>
            <w:gridSpan w:val="3"/>
            <w:vAlign w:val="center"/>
          </w:tcPr>
          <w:p>
            <w:pPr>
              <w:widowControl/>
              <w:spacing w:line="360" w:lineRule="exact"/>
              <w:jc w:val="center"/>
              <w:rPr>
                <w:sz w:val="21"/>
                <w:szCs w:val="24"/>
              </w:rPr>
            </w:pPr>
            <w:r>
              <w:rPr>
                <w:rFonts w:hint="eastAsia"/>
                <w:sz w:val="21"/>
                <w:szCs w:val="24"/>
              </w:rPr>
              <w:t>营业执照</w:t>
            </w:r>
          </w:p>
        </w:tc>
        <w:tc>
          <w:tcPr>
            <w:tcW w:w="4425" w:type="dxa"/>
            <w:gridSpan w:val="2"/>
          </w:tcPr>
          <w:p>
            <w:pPr>
              <w:widowControl/>
              <w:spacing w:line="360" w:lineRule="exact"/>
              <w:jc w:val="both"/>
              <w:rPr>
                <w:sz w:val="21"/>
                <w:szCs w:val="24"/>
              </w:rPr>
            </w:pPr>
            <w:r>
              <w:rPr>
                <w:rFonts w:hint="eastAsia"/>
                <w:sz w:val="21"/>
                <w:szCs w:val="24"/>
              </w:rPr>
              <w:t>具备有效的营业执照</w:t>
            </w:r>
            <w:r>
              <w:rPr>
                <w:rFonts w:hint="eastAsia"/>
                <w:b/>
                <w:bCs/>
                <w:color w:val="000000"/>
                <w:sz w:val="21"/>
                <w:szCs w:val="24"/>
                <w:lang w:bidi="ar"/>
              </w:rPr>
              <w:t>（以供应商南阳市公共资源交易中心企业企业诚信库“投标所需的其他材料”中上传的原件扫描件为准）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信用查询</w:t>
            </w:r>
          </w:p>
        </w:tc>
        <w:tc>
          <w:tcPr>
            <w:tcW w:w="4425" w:type="dxa"/>
            <w:gridSpan w:val="2"/>
          </w:tcPr>
          <w:p>
            <w:pPr>
              <w:widowControl/>
              <w:spacing w:line="360" w:lineRule="exact"/>
              <w:jc w:val="both"/>
              <w:rPr>
                <w:sz w:val="21"/>
                <w:szCs w:val="24"/>
              </w:rPr>
            </w:pPr>
            <w:r>
              <w:rPr>
                <w:rFonts w:hint="eastAsia"/>
                <w:color w:val="000000"/>
                <w:sz w:val="21"/>
                <w:szCs w:val="24"/>
                <w:lang w:bidi="ar"/>
              </w:rPr>
              <w:t>详见磋商公告中“二、</w:t>
            </w:r>
            <w:r>
              <w:rPr>
                <w:rFonts w:hint="eastAsia"/>
                <w:b/>
                <w:bCs/>
                <w:color w:val="000000"/>
                <w:sz w:val="21"/>
                <w:szCs w:val="24"/>
                <w:lang w:bidi="ar"/>
              </w:rPr>
              <w:t>申请人资格要求</w:t>
            </w:r>
            <w:r>
              <w:rPr>
                <w:rFonts w:hint="eastAsia"/>
                <w:color w:val="000000"/>
                <w:sz w:val="21"/>
                <w:szCs w:val="24"/>
                <w:lang w:bidi="ar"/>
              </w:rPr>
              <w:t>”</w:t>
            </w:r>
            <w:r>
              <w:rPr>
                <w:rFonts w:hint="eastAsia"/>
                <w:b/>
                <w:bCs/>
                <w:color w:val="000000"/>
                <w:sz w:val="21"/>
                <w:szCs w:val="24"/>
                <w:lang w:bidi="ar"/>
              </w:rPr>
              <w:t>（以供应商南阳市公共资源交易中心企业诚信库“投标所需的其他材料”中上传的原件扫描件为准）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其他要求</w:t>
            </w:r>
          </w:p>
        </w:tc>
        <w:tc>
          <w:tcPr>
            <w:tcW w:w="4425" w:type="dxa"/>
            <w:gridSpan w:val="2"/>
          </w:tcPr>
          <w:p>
            <w:pPr>
              <w:widowControl/>
              <w:spacing w:line="360" w:lineRule="exact"/>
              <w:jc w:val="both"/>
              <w:rPr>
                <w:sz w:val="21"/>
                <w:szCs w:val="24"/>
              </w:rPr>
            </w:pPr>
            <w:r>
              <w:rPr>
                <w:rFonts w:hint="eastAsia"/>
                <w:color w:val="000000"/>
                <w:sz w:val="21"/>
                <w:szCs w:val="24"/>
                <w:lang w:bidi="ar"/>
              </w:rPr>
              <w:t>详见磋商公告中“二、</w:t>
            </w:r>
            <w:r>
              <w:rPr>
                <w:rFonts w:hint="eastAsia"/>
                <w:b/>
                <w:bCs/>
                <w:color w:val="000000"/>
                <w:sz w:val="21"/>
                <w:szCs w:val="24"/>
                <w:lang w:bidi="ar"/>
              </w:rPr>
              <w:t>申请人资格要求</w:t>
            </w:r>
            <w:r>
              <w:rPr>
                <w:rFonts w:hint="eastAsia"/>
                <w:color w:val="000000"/>
                <w:sz w:val="21"/>
                <w:szCs w:val="24"/>
                <w:lang w:bidi="ar"/>
              </w:rPr>
              <w:t>”</w:t>
            </w:r>
            <w:r>
              <w:rPr>
                <w:rFonts w:hint="eastAsia"/>
                <w:b/>
                <w:bCs/>
                <w:color w:val="000000"/>
                <w:sz w:val="21"/>
                <w:szCs w:val="24"/>
                <w:lang w:bidi="ar"/>
              </w:rPr>
              <w:t xml:space="preserve">（以供应商南阳市公共资源交易中心企业诚信库“投标所需的其他材料”中上传的原件扫描件为准）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1044" w:type="dxa"/>
            <w:gridSpan w:val="2"/>
            <w:vMerge w:val="restart"/>
            <w:vAlign w:val="center"/>
          </w:tcPr>
          <w:p>
            <w:pPr>
              <w:widowControl/>
              <w:spacing w:line="360" w:lineRule="exact"/>
              <w:jc w:val="center"/>
              <w:rPr>
                <w:sz w:val="21"/>
                <w:szCs w:val="24"/>
              </w:rPr>
            </w:pPr>
            <w:r>
              <w:rPr>
                <w:rFonts w:hint="eastAsia"/>
                <w:color w:val="000000"/>
                <w:sz w:val="21"/>
                <w:szCs w:val="24"/>
                <w:lang w:bidi="ar"/>
              </w:rPr>
              <w:t>2.1.3</w:t>
            </w:r>
          </w:p>
        </w:tc>
        <w:tc>
          <w:tcPr>
            <w:tcW w:w="1208" w:type="dxa"/>
            <w:vMerge w:val="restart"/>
            <w:vAlign w:val="center"/>
          </w:tcPr>
          <w:p>
            <w:pPr>
              <w:widowControl/>
              <w:spacing w:line="360" w:lineRule="exact"/>
              <w:jc w:val="center"/>
              <w:rPr>
                <w:sz w:val="21"/>
                <w:szCs w:val="24"/>
              </w:rPr>
            </w:pPr>
            <w:r>
              <w:rPr>
                <w:rFonts w:hint="eastAsia"/>
                <w:color w:val="000000"/>
                <w:sz w:val="21"/>
                <w:szCs w:val="24"/>
                <w:lang w:bidi="ar"/>
              </w:rPr>
              <w:t>技术性评审</w:t>
            </w: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采购内容</w:t>
            </w:r>
          </w:p>
        </w:tc>
        <w:tc>
          <w:tcPr>
            <w:tcW w:w="4425" w:type="dxa"/>
            <w:gridSpan w:val="2"/>
          </w:tcPr>
          <w:p>
            <w:pPr>
              <w:widowControl/>
              <w:spacing w:line="360" w:lineRule="exact"/>
              <w:jc w:val="both"/>
              <w:rPr>
                <w:sz w:val="21"/>
                <w:szCs w:val="24"/>
              </w:rPr>
            </w:pPr>
            <w:r>
              <w:rPr>
                <w:rFonts w:hint="eastAsia"/>
                <w:color w:val="000000"/>
                <w:sz w:val="21"/>
                <w:szCs w:val="24"/>
                <w:lang w:bidi="ar"/>
              </w:rPr>
              <w:t xml:space="preserve">符合第二部分“供应商须知前附表”的规定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服务期限</w:t>
            </w:r>
          </w:p>
        </w:tc>
        <w:tc>
          <w:tcPr>
            <w:tcW w:w="4425" w:type="dxa"/>
            <w:gridSpan w:val="2"/>
          </w:tcPr>
          <w:p>
            <w:pPr>
              <w:widowControl/>
              <w:spacing w:line="360" w:lineRule="exact"/>
              <w:jc w:val="both"/>
              <w:rPr>
                <w:sz w:val="21"/>
                <w:szCs w:val="24"/>
              </w:rPr>
            </w:pPr>
            <w:r>
              <w:rPr>
                <w:rFonts w:hint="eastAsia"/>
                <w:color w:val="000000"/>
                <w:sz w:val="21"/>
                <w:szCs w:val="24"/>
                <w:lang w:bidi="ar"/>
              </w:rPr>
              <w:t xml:space="preserve">符合第二部分“供应商须知前附表”的规定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质量要求</w:t>
            </w:r>
          </w:p>
        </w:tc>
        <w:tc>
          <w:tcPr>
            <w:tcW w:w="4425" w:type="dxa"/>
            <w:gridSpan w:val="2"/>
          </w:tcPr>
          <w:p>
            <w:pPr>
              <w:widowControl/>
              <w:spacing w:line="360" w:lineRule="exact"/>
              <w:jc w:val="both"/>
              <w:rPr>
                <w:sz w:val="21"/>
                <w:szCs w:val="24"/>
              </w:rPr>
            </w:pPr>
            <w:r>
              <w:rPr>
                <w:rFonts w:hint="eastAsia"/>
                <w:color w:val="000000"/>
                <w:sz w:val="21"/>
                <w:szCs w:val="24"/>
                <w:lang w:bidi="ar"/>
              </w:rPr>
              <w:t xml:space="preserve">符合第二部分“供应商须知前附表”的规定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磋商有效期</w:t>
            </w:r>
          </w:p>
        </w:tc>
        <w:tc>
          <w:tcPr>
            <w:tcW w:w="4425" w:type="dxa"/>
            <w:gridSpan w:val="2"/>
          </w:tcPr>
          <w:p>
            <w:pPr>
              <w:widowControl/>
              <w:spacing w:line="360" w:lineRule="exact"/>
              <w:jc w:val="both"/>
              <w:rPr>
                <w:sz w:val="21"/>
                <w:szCs w:val="24"/>
              </w:rPr>
            </w:pPr>
            <w:r>
              <w:rPr>
                <w:rFonts w:hint="eastAsia"/>
                <w:color w:val="000000"/>
                <w:sz w:val="21"/>
                <w:szCs w:val="24"/>
                <w:lang w:bidi="ar"/>
              </w:rPr>
              <w:t xml:space="preserve">符合第二部分“供应商须知前附表”的规定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1044" w:type="dxa"/>
            <w:gridSpan w:val="2"/>
            <w:vMerge w:val="continue"/>
            <w:vAlign w:val="center"/>
          </w:tcPr>
          <w:p>
            <w:pPr>
              <w:pStyle w:val="3"/>
              <w:spacing w:line="360" w:lineRule="exact"/>
              <w:jc w:val="center"/>
              <w:rPr>
                <w:szCs w:val="24"/>
              </w:rPr>
            </w:pPr>
          </w:p>
        </w:tc>
        <w:tc>
          <w:tcPr>
            <w:tcW w:w="1208" w:type="dxa"/>
            <w:vMerge w:val="continue"/>
            <w:vAlign w:val="center"/>
          </w:tcPr>
          <w:p>
            <w:pPr>
              <w:pStyle w:val="3"/>
              <w:spacing w:line="360" w:lineRule="exact"/>
              <w:jc w:val="center"/>
              <w:rPr>
                <w:szCs w:val="24"/>
              </w:rPr>
            </w:pPr>
          </w:p>
        </w:tc>
        <w:tc>
          <w:tcPr>
            <w:tcW w:w="1845" w:type="dxa"/>
            <w:gridSpan w:val="3"/>
            <w:vAlign w:val="center"/>
          </w:tcPr>
          <w:p>
            <w:pPr>
              <w:widowControl/>
              <w:spacing w:line="360" w:lineRule="exact"/>
              <w:jc w:val="center"/>
              <w:rPr>
                <w:sz w:val="21"/>
                <w:szCs w:val="24"/>
              </w:rPr>
            </w:pPr>
            <w:r>
              <w:rPr>
                <w:rFonts w:hint="eastAsia"/>
                <w:color w:val="000000"/>
                <w:sz w:val="21"/>
                <w:szCs w:val="24"/>
                <w:lang w:bidi="ar"/>
              </w:rPr>
              <w:t>实质性响应</w:t>
            </w:r>
          </w:p>
        </w:tc>
        <w:tc>
          <w:tcPr>
            <w:tcW w:w="4425" w:type="dxa"/>
            <w:gridSpan w:val="2"/>
          </w:tcPr>
          <w:p>
            <w:pPr>
              <w:widowControl/>
              <w:spacing w:line="360" w:lineRule="exact"/>
              <w:jc w:val="both"/>
              <w:rPr>
                <w:sz w:val="21"/>
                <w:szCs w:val="24"/>
              </w:rPr>
            </w:pPr>
            <w:r>
              <w:rPr>
                <w:rFonts w:hint="eastAsia"/>
                <w:color w:val="000000"/>
                <w:sz w:val="21"/>
                <w:szCs w:val="24"/>
                <w:lang w:bidi="ar"/>
              </w:rPr>
              <w:t xml:space="preserve">响应磋商文件实质性要求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8"/>
          </w:tcPr>
          <w:p>
            <w:pPr>
              <w:widowControl/>
              <w:spacing w:line="360" w:lineRule="exact"/>
              <w:jc w:val="both"/>
              <w:rPr>
                <w:sz w:val="21"/>
                <w:szCs w:val="24"/>
              </w:rPr>
            </w:pPr>
            <w:r>
              <w:rPr>
                <w:rFonts w:hint="eastAsia"/>
                <w:b/>
                <w:bCs/>
                <w:color w:val="000000"/>
                <w:sz w:val="21"/>
                <w:szCs w:val="24"/>
                <w:lang w:bidi="ar"/>
              </w:rPr>
              <w:t xml:space="preserve">磋商过程中投标人应按照磋商文件要求在供应商南阳市公共资源交易中心诚信库中提供响应性文件中要求的有关证明和证件的扫描件，以便评审时核验。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8"/>
          </w:tcPr>
          <w:p>
            <w:pPr>
              <w:widowControl/>
              <w:spacing w:line="360" w:lineRule="exact"/>
              <w:jc w:val="both"/>
              <w:rPr>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Align w:val="center"/>
          </w:tcPr>
          <w:p>
            <w:pPr>
              <w:widowControl/>
              <w:spacing w:line="360" w:lineRule="exact"/>
              <w:jc w:val="center"/>
              <w:rPr>
                <w:sz w:val="21"/>
                <w:szCs w:val="24"/>
              </w:rPr>
            </w:pPr>
            <w:r>
              <w:rPr>
                <w:rFonts w:hint="eastAsia"/>
                <w:color w:val="000000"/>
                <w:sz w:val="21"/>
                <w:szCs w:val="24"/>
                <w:lang w:bidi="ar"/>
              </w:rPr>
              <w:t>条款号</w:t>
            </w:r>
          </w:p>
        </w:tc>
        <w:tc>
          <w:tcPr>
            <w:tcW w:w="1463" w:type="dxa"/>
            <w:gridSpan w:val="3"/>
            <w:vAlign w:val="center"/>
          </w:tcPr>
          <w:p>
            <w:pPr>
              <w:widowControl/>
              <w:spacing w:line="360" w:lineRule="exact"/>
              <w:jc w:val="center"/>
              <w:rPr>
                <w:sz w:val="21"/>
                <w:szCs w:val="24"/>
              </w:rPr>
            </w:pPr>
            <w:r>
              <w:rPr>
                <w:rFonts w:hint="eastAsia"/>
                <w:color w:val="000000"/>
                <w:sz w:val="21"/>
                <w:szCs w:val="24"/>
                <w:lang w:bidi="ar"/>
              </w:rPr>
              <w:t>综合因素</w:t>
            </w:r>
          </w:p>
          <w:p>
            <w:pPr>
              <w:widowControl/>
              <w:spacing w:line="360" w:lineRule="exact"/>
              <w:jc w:val="center"/>
              <w:rPr>
                <w:sz w:val="21"/>
                <w:szCs w:val="24"/>
              </w:rPr>
            </w:pPr>
            <w:r>
              <w:rPr>
                <w:rFonts w:hint="eastAsia"/>
                <w:color w:val="000000"/>
                <w:sz w:val="21"/>
                <w:szCs w:val="24"/>
                <w:lang w:bidi="ar"/>
              </w:rPr>
              <w:t>条款内容</w:t>
            </w:r>
          </w:p>
        </w:tc>
        <w:tc>
          <w:tcPr>
            <w:tcW w:w="6079" w:type="dxa"/>
            <w:gridSpan w:val="4"/>
            <w:vAlign w:val="center"/>
          </w:tcPr>
          <w:p>
            <w:pPr>
              <w:widowControl/>
              <w:spacing w:line="360" w:lineRule="exact"/>
              <w:jc w:val="center"/>
              <w:rPr>
                <w:sz w:val="21"/>
                <w:szCs w:val="24"/>
              </w:rPr>
            </w:pPr>
            <w:r>
              <w:rPr>
                <w:rFonts w:hint="eastAsia"/>
                <w:color w:val="000000"/>
                <w:sz w:val="21"/>
                <w:szCs w:val="24"/>
                <w:lang w:bidi="ar"/>
              </w:rPr>
              <w:t>综合因素编列内容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8"/>
          </w:tcPr>
          <w:p>
            <w:pPr>
              <w:widowControl/>
              <w:spacing w:line="360" w:lineRule="exact"/>
              <w:jc w:val="both"/>
              <w:rPr>
                <w:sz w:val="21"/>
                <w:szCs w:val="24"/>
              </w:rPr>
            </w:pPr>
            <w:r>
              <w:rPr>
                <w:rFonts w:hint="eastAsia"/>
                <w:b/>
                <w:bCs/>
                <w:color w:val="000000"/>
                <w:sz w:val="21"/>
                <w:szCs w:val="24"/>
                <w:lang w:bidi="ar"/>
              </w:rPr>
              <w:t xml:space="preserve">2.2 详细评审（综合计分法分值构成与评分标准）：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Align w:val="center"/>
          </w:tcPr>
          <w:p>
            <w:pPr>
              <w:widowControl/>
              <w:spacing w:line="360" w:lineRule="exact"/>
              <w:jc w:val="center"/>
              <w:rPr>
                <w:sz w:val="21"/>
                <w:szCs w:val="24"/>
              </w:rPr>
            </w:pPr>
            <w:r>
              <w:rPr>
                <w:rFonts w:hint="eastAsia"/>
                <w:color w:val="000000"/>
                <w:sz w:val="21"/>
                <w:szCs w:val="24"/>
                <w:lang w:bidi="ar"/>
              </w:rPr>
              <w:t>2.2.1</w:t>
            </w:r>
          </w:p>
        </w:tc>
        <w:tc>
          <w:tcPr>
            <w:tcW w:w="1463" w:type="dxa"/>
            <w:gridSpan w:val="3"/>
            <w:vAlign w:val="center"/>
          </w:tcPr>
          <w:p>
            <w:pPr>
              <w:widowControl/>
              <w:spacing w:line="360" w:lineRule="exact"/>
              <w:jc w:val="center"/>
              <w:rPr>
                <w:sz w:val="21"/>
                <w:szCs w:val="24"/>
              </w:rPr>
            </w:pPr>
            <w:r>
              <w:rPr>
                <w:rFonts w:hint="eastAsia"/>
                <w:color w:val="000000"/>
                <w:sz w:val="21"/>
                <w:szCs w:val="24"/>
                <w:lang w:bidi="ar"/>
              </w:rPr>
              <w:t>分值构成</w:t>
            </w:r>
          </w:p>
          <w:p>
            <w:pPr>
              <w:widowControl/>
              <w:spacing w:line="360" w:lineRule="exact"/>
              <w:jc w:val="center"/>
              <w:rPr>
                <w:sz w:val="21"/>
                <w:szCs w:val="24"/>
              </w:rPr>
            </w:pPr>
            <w:r>
              <w:rPr>
                <w:rFonts w:hint="eastAsia"/>
                <w:color w:val="000000"/>
                <w:sz w:val="21"/>
                <w:szCs w:val="24"/>
                <w:lang w:bidi="ar"/>
              </w:rPr>
              <w:t>(总分100分)</w:t>
            </w:r>
          </w:p>
        </w:tc>
        <w:tc>
          <w:tcPr>
            <w:tcW w:w="6079" w:type="dxa"/>
            <w:gridSpan w:val="4"/>
          </w:tcPr>
          <w:p>
            <w:pPr>
              <w:widowControl/>
              <w:spacing w:line="360" w:lineRule="exact"/>
              <w:jc w:val="both"/>
              <w:rPr>
                <w:sz w:val="21"/>
                <w:szCs w:val="24"/>
              </w:rPr>
            </w:pPr>
            <w:r>
              <w:rPr>
                <w:rFonts w:hint="eastAsia"/>
                <w:color w:val="000000"/>
                <w:sz w:val="21"/>
                <w:szCs w:val="24"/>
                <w:lang w:bidi="ar"/>
              </w:rPr>
              <w:t xml:space="preserve">（1）磋商报价：20 分 </w:t>
            </w:r>
          </w:p>
          <w:p>
            <w:pPr>
              <w:widowControl/>
              <w:spacing w:line="360" w:lineRule="exact"/>
              <w:jc w:val="both"/>
              <w:rPr>
                <w:sz w:val="21"/>
                <w:szCs w:val="24"/>
              </w:rPr>
            </w:pPr>
            <w:r>
              <w:rPr>
                <w:rFonts w:hint="eastAsia"/>
                <w:color w:val="000000"/>
                <w:sz w:val="21"/>
                <w:szCs w:val="24"/>
                <w:lang w:bidi="ar"/>
              </w:rPr>
              <w:t>（2）商务标部分：3</w:t>
            </w:r>
            <w:r>
              <w:rPr>
                <w:rFonts w:hint="eastAsia"/>
                <w:color w:val="000000"/>
                <w:sz w:val="21"/>
                <w:szCs w:val="24"/>
                <w:lang w:val="en-US" w:eastAsia="zh-CN" w:bidi="ar"/>
              </w:rPr>
              <w:t>0</w:t>
            </w:r>
            <w:r>
              <w:rPr>
                <w:rFonts w:hint="eastAsia"/>
                <w:color w:val="000000"/>
                <w:sz w:val="21"/>
                <w:szCs w:val="24"/>
                <w:lang w:bidi="ar"/>
              </w:rPr>
              <w:t xml:space="preserve">分 </w:t>
            </w:r>
          </w:p>
          <w:p>
            <w:pPr>
              <w:widowControl/>
              <w:spacing w:line="360" w:lineRule="exact"/>
              <w:jc w:val="both"/>
              <w:rPr>
                <w:sz w:val="21"/>
                <w:szCs w:val="24"/>
              </w:rPr>
            </w:pPr>
            <w:r>
              <w:rPr>
                <w:rFonts w:hint="eastAsia"/>
                <w:color w:val="000000"/>
                <w:sz w:val="21"/>
                <w:szCs w:val="24"/>
                <w:lang w:bidi="ar"/>
              </w:rPr>
              <w:t>（3）技术标部分：</w:t>
            </w:r>
            <w:r>
              <w:rPr>
                <w:rFonts w:hint="eastAsia"/>
                <w:color w:val="000000"/>
                <w:sz w:val="21"/>
                <w:szCs w:val="24"/>
                <w:lang w:val="en-US" w:eastAsia="zh-CN" w:bidi="ar"/>
              </w:rPr>
              <w:t>50</w:t>
            </w:r>
            <w:r>
              <w:rPr>
                <w:rFonts w:hint="eastAsia"/>
                <w:color w:val="000000"/>
                <w:sz w:val="21"/>
                <w:szCs w:val="24"/>
                <w:lang w:bidi="ar"/>
              </w:rPr>
              <w:t xml:space="preserve">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Align w:val="center"/>
          </w:tcPr>
          <w:p>
            <w:pPr>
              <w:widowControl/>
              <w:spacing w:line="360" w:lineRule="exact"/>
              <w:jc w:val="center"/>
              <w:rPr>
                <w:sz w:val="21"/>
                <w:szCs w:val="24"/>
              </w:rPr>
            </w:pPr>
            <w:r>
              <w:rPr>
                <w:rFonts w:hint="eastAsia"/>
                <w:color w:val="000000"/>
                <w:sz w:val="21"/>
                <w:szCs w:val="24"/>
                <w:lang w:bidi="ar"/>
              </w:rPr>
              <w:t>2.2.2</w:t>
            </w:r>
          </w:p>
        </w:tc>
        <w:tc>
          <w:tcPr>
            <w:tcW w:w="1463" w:type="dxa"/>
            <w:gridSpan w:val="3"/>
            <w:vAlign w:val="center"/>
          </w:tcPr>
          <w:p>
            <w:pPr>
              <w:widowControl/>
              <w:spacing w:line="360" w:lineRule="exact"/>
              <w:jc w:val="center"/>
              <w:rPr>
                <w:sz w:val="21"/>
                <w:szCs w:val="24"/>
              </w:rPr>
            </w:pPr>
            <w:r>
              <w:rPr>
                <w:rFonts w:hint="eastAsia"/>
                <w:color w:val="000000"/>
                <w:sz w:val="21"/>
                <w:szCs w:val="24"/>
                <w:lang w:bidi="ar"/>
              </w:rPr>
              <w:t>磋商基准价</w:t>
            </w:r>
          </w:p>
        </w:tc>
        <w:tc>
          <w:tcPr>
            <w:tcW w:w="6079" w:type="dxa"/>
            <w:gridSpan w:val="4"/>
          </w:tcPr>
          <w:p>
            <w:pPr>
              <w:widowControl/>
              <w:spacing w:line="360" w:lineRule="exact"/>
              <w:jc w:val="both"/>
              <w:rPr>
                <w:sz w:val="21"/>
                <w:szCs w:val="24"/>
              </w:rPr>
            </w:pPr>
            <w:r>
              <w:rPr>
                <w:rFonts w:hint="eastAsia"/>
                <w:sz w:val="21"/>
                <w:szCs w:val="24"/>
              </w:rPr>
              <w:t>满足竞争性磋商文件要求且最终磋商报价价格最低的磋商报价为磋商基准价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3" w:type="dxa"/>
            <w:gridSpan w:val="4"/>
            <w:vAlign w:val="center"/>
          </w:tcPr>
          <w:p>
            <w:pPr>
              <w:widowControl/>
              <w:spacing w:line="360" w:lineRule="exact"/>
              <w:jc w:val="center"/>
              <w:rPr>
                <w:sz w:val="21"/>
                <w:szCs w:val="24"/>
              </w:rPr>
            </w:pPr>
            <w:r>
              <w:rPr>
                <w:rFonts w:hint="eastAsia"/>
                <w:color w:val="000000"/>
                <w:sz w:val="21"/>
                <w:szCs w:val="24"/>
                <w:lang w:bidi="ar"/>
              </w:rPr>
              <w:t>2.2.3</w:t>
            </w:r>
          </w:p>
          <w:p>
            <w:pPr>
              <w:widowControl/>
              <w:spacing w:line="360" w:lineRule="exact"/>
              <w:jc w:val="center"/>
              <w:rPr>
                <w:sz w:val="21"/>
                <w:szCs w:val="24"/>
              </w:rPr>
            </w:pPr>
            <w:r>
              <w:rPr>
                <w:rFonts w:hint="eastAsia"/>
                <w:color w:val="000000"/>
                <w:sz w:val="21"/>
                <w:szCs w:val="24"/>
                <w:lang w:bidi="ar"/>
              </w:rPr>
              <w:t>磋商报价</w:t>
            </w:r>
          </w:p>
          <w:p>
            <w:pPr>
              <w:widowControl/>
              <w:spacing w:line="360" w:lineRule="exact"/>
              <w:jc w:val="center"/>
              <w:rPr>
                <w:sz w:val="21"/>
                <w:szCs w:val="24"/>
              </w:rPr>
            </w:pPr>
            <w:r>
              <w:rPr>
                <w:rFonts w:hint="eastAsia"/>
                <w:color w:val="000000"/>
                <w:sz w:val="21"/>
                <w:szCs w:val="24"/>
                <w:lang w:bidi="ar"/>
              </w:rPr>
              <w:t>（20分）</w:t>
            </w:r>
          </w:p>
        </w:tc>
        <w:tc>
          <w:tcPr>
            <w:tcW w:w="6079" w:type="dxa"/>
            <w:gridSpan w:val="4"/>
          </w:tcPr>
          <w:p>
            <w:pPr>
              <w:widowControl/>
              <w:spacing w:line="360" w:lineRule="exact"/>
              <w:jc w:val="both"/>
              <w:rPr>
                <w:sz w:val="21"/>
                <w:szCs w:val="24"/>
              </w:rPr>
            </w:pPr>
            <w:r>
              <w:rPr>
                <w:rFonts w:hint="eastAsia"/>
                <w:sz w:val="21"/>
                <w:szCs w:val="24"/>
              </w:rPr>
              <w:t>采用低价优先法计算，即满足招标文件要求且报价最低的供应商的价格为评标基准价，其价格分为满分。其他供应商的价格分统一按照下列公式计算：</w:t>
            </w:r>
          </w:p>
          <w:p>
            <w:pPr>
              <w:widowControl/>
              <w:spacing w:line="360" w:lineRule="exact"/>
              <w:jc w:val="both"/>
              <w:rPr>
                <w:sz w:val="21"/>
                <w:szCs w:val="24"/>
              </w:rPr>
            </w:pPr>
            <w:r>
              <w:rPr>
                <w:rFonts w:hint="eastAsia"/>
                <w:sz w:val="21"/>
                <w:szCs w:val="24"/>
              </w:rPr>
              <w:t>报价得分=（评标基准价/投标报价）×20</w:t>
            </w:r>
          </w:p>
          <w:p>
            <w:pPr>
              <w:widowControl/>
              <w:spacing w:line="360" w:lineRule="exact"/>
              <w:jc w:val="both"/>
              <w:rPr>
                <w:sz w:val="21"/>
                <w:szCs w:val="24"/>
              </w:rPr>
            </w:pPr>
            <w:r>
              <w:rPr>
                <w:rFonts w:hint="eastAsia"/>
                <w:sz w:val="21"/>
                <w:szCs w:val="24"/>
              </w:rPr>
              <w:t>价格优惠说明：</w:t>
            </w:r>
          </w:p>
          <w:p>
            <w:pPr>
              <w:widowControl/>
              <w:spacing w:line="360" w:lineRule="exact"/>
              <w:jc w:val="both"/>
              <w:rPr>
                <w:sz w:val="21"/>
                <w:szCs w:val="24"/>
              </w:rPr>
            </w:pPr>
            <w:r>
              <w:rPr>
                <w:rFonts w:hint="eastAsia"/>
                <w:sz w:val="21"/>
                <w:szCs w:val="24"/>
              </w:rPr>
              <w:t>1、为贯彻落实《财政部关于进一步加大政府采购支持中小企业力度的通知》财库【2022】19号，本项目鼓励中小企业参与，中小型企业须提交《中小企业声明函》原件（声明函格式详见附件）及相应的中小企业证明材料。</w:t>
            </w:r>
          </w:p>
          <w:p>
            <w:pPr>
              <w:widowControl/>
              <w:spacing w:line="360" w:lineRule="exact"/>
              <w:jc w:val="both"/>
              <w:rPr>
                <w:sz w:val="21"/>
                <w:szCs w:val="24"/>
              </w:rPr>
            </w:pPr>
            <w:r>
              <w:rPr>
                <w:rFonts w:hint="eastAsia"/>
                <w:sz w:val="21"/>
                <w:szCs w:val="24"/>
              </w:rPr>
              <w:t>2、中小企业划型标准以工信部联企业〔2011〕300 号《工业和信息化部国家统计局国家发展和改革委财政部关于印发中小企业划型标准规定的通知》及《财政部关于进一步加大政府采购支持中小企业力度的通知》财库【2022】19号为依据。</w:t>
            </w:r>
          </w:p>
          <w:p>
            <w:pPr>
              <w:widowControl/>
              <w:spacing w:line="360" w:lineRule="exact"/>
              <w:jc w:val="both"/>
              <w:rPr>
                <w:sz w:val="21"/>
                <w:szCs w:val="24"/>
              </w:rPr>
            </w:pPr>
            <w:r>
              <w:rPr>
                <w:rFonts w:hint="eastAsia"/>
                <w:sz w:val="21"/>
                <w:szCs w:val="24"/>
              </w:rPr>
              <w:t>3、评审时给予小型或微型企业</w:t>
            </w:r>
            <w:r>
              <w:rPr>
                <w:rFonts w:hint="eastAsia"/>
                <w:sz w:val="21"/>
                <w:szCs w:val="24"/>
                <w:lang w:val="en-US" w:eastAsia="zh-CN"/>
              </w:rPr>
              <w:t>20</w:t>
            </w:r>
            <w:r>
              <w:rPr>
                <w:rFonts w:hint="eastAsia"/>
                <w:sz w:val="21"/>
                <w:szCs w:val="24"/>
              </w:rPr>
              <w:t>%的价格扣除，用扣除后的价格参与评审。即小微型企业优惠后报价=投标报价*（1-</w:t>
            </w:r>
            <w:r>
              <w:rPr>
                <w:rFonts w:hint="eastAsia"/>
                <w:sz w:val="21"/>
                <w:szCs w:val="24"/>
                <w:lang w:val="en-US" w:eastAsia="zh-CN"/>
              </w:rPr>
              <w:t>20</w:t>
            </w:r>
            <w:r>
              <w:rPr>
                <w:rFonts w:hint="eastAsia"/>
                <w:sz w:val="21"/>
                <w:szCs w:val="24"/>
              </w:rPr>
              <w:t>%）。</w:t>
            </w:r>
          </w:p>
          <w:p>
            <w:pPr>
              <w:widowControl/>
              <w:spacing w:line="360" w:lineRule="exact"/>
              <w:jc w:val="both"/>
              <w:rPr>
                <w:sz w:val="21"/>
                <w:szCs w:val="24"/>
              </w:rPr>
            </w:pPr>
            <w:r>
              <w:rPr>
                <w:rFonts w:hint="eastAsia"/>
                <w:sz w:val="21"/>
                <w:szCs w:val="24"/>
              </w:rPr>
              <w:t>4、监狱企业及残疾人福利性单位视同小微企业。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2443" w:type="dxa"/>
            <w:gridSpan w:val="4"/>
            <w:vMerge w:val="restart"/>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textAlignment w:val="auto"/>
              <w:rPr>
                <w:sz w:val="21"/>
                <w:szCs w:val="24"/>
              </w:rPr>
            </w:pPr>
            <w:r>
              <w:rPr>
                <w:rFonts w:hint="eastAsia"/>
                <w:color w:val="000000"/>
                <w:sz w:val="21"/>
                <w:szCs w:val="24"/>
                <w:lang w:bidi="ar"/>
              </w:rPr>
              <w:t>2.2.4</w:t>
            </w:r>
          </w:p>
          <w:p>
            <w:pPr>
              <w:keepNext w:val="0"/>
              <w:keepLines w:val="0"/>
              <w:pageBreakBefore w:val="0"/>
              <w:widowControl/>
              <w:kinsoku/>
              <w:wordWrap/>
              <w:overflowPunct/>
              <w:topLinePunct w:val="0"/>
              <w:autoSpaceDE w:val="0"/>
              <w:autoSpaceDN w:val="0"/>
              <w:bidi w:val="0"/>
              <w:adjustRightInd/>
              <w:snapToGrid/>
              <w:spacing w:line="360" w:lineRule="exact"/>
              <w:jc w:val="center"/>
              <w:textAlignment w:val="auto"/>
              <w:rPr>
                <w:sz w:val="21"/>
                <w:szCs w:val="24"/>
              </w:rPr>
            </w:pPr>
            <w:r>
              <w:rPr>
                <w:rFonts w:hint="eastAsia"/>
                <w:color w:val="000000"/>
                <w:sz w:val="21"/>
                <w:szCs w:val="24"/>
                <w:lang w:bidi="ar"/>
              </w:rPr>
              <w:t>商务标部分</w:t>
            </w:r>
          </w:p>
          <w:p>
            <w:pPr>
              <w:keepNext w:val="0"/>
              <w:keepLines w:val="0"/>
              <w:pageBreakBefore w:val="0"/>
              <w:widowControl/>
              <w:kinsoku/>
              <w:wordWrap/>
              <w:overflowPunct/>
              <w:topLinePunct w:val="0"/>
              <w:autoSpaceDE w:val="0"/>
              <w:autoSpaceDN w:val="0"/>
              <w:bidi w:val="0"/>
              <w:adjustRightInd/>
              <w:snapToGrid/>
              <w:spacing w:line="360" w:lineRule="exact"/>
              <w:jc w:val="center"/>
              <w:textAlignment w:val="auto"/>
              <w:rPr>
                <w:sz w:val="21"/>
                <w:szCs w:val="24"/>
              </w:rPr>
            </w:pPr>
            <w:r>
              <w:rPr>
                <w:rFonts w:hint="eastAsia"/>
                <w:color w:val="000000"/>
                <w:sz w:val="21"/>
                <w:szCs w:val="24"/>
                <w:lang w:bidi="ar"/>
              </w:rPr>
              <w:t>（ 3</w:t>
            </w:r>
            <w:r>
              <w:rPr>
                <w:color w:val="000000"/>
                <w:sz w:val="21"/>
                <w:szCs w:val="24"/>
                <w:lang w:bidi="ar"/>
              </w:rPr>
              <w:t>0</w:t>
            </w:r>
            <w:r>
              <w:rPr>
                <w:rFonts w:hint="eastAsia"/>
                <w:color w:val="000000"/>
                <w:sz w:val="21"/>
                <w:szCs w:val="24"/>
                <w:lang w:bidi="ar"/>
              </w:rPr>
              <w:t xml:space="preserve"> 分）</w:t>
            </w:r>
          </w:p>
        </w:tc>
        <w:tc>
          <w:tcPr>
            <w:tcW w:w="1743" w:type="dxa"/>
            <w:gridSpan w:val="3"/>
            <w:vAlign w:val="center"/>
          </w:tcPr>
          <w:p>
            <w:pPr>
              <w:keepNext w:val="0"/>
              <w:keepLines w:val="0"/>
              <w:pageBreakBefore w:val="0"/>
              <w:widowControl/>
              <w:kinsoku/>
              <w:wordWrap/>
              <w:overflowPunct/>
              <w:topLinePunct w:val="0"/>
              <w:autoSpaceDE w:val="0"/>
              <w:autoSpaceDN w:val="0"/>
              <w:bidi w:val="0"/>
              <w:adjustRightInd/>
              <w:snapToGrid/>
              <w:spacing w:line="360" w:lineRule="exact"/>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综合评定（5分）</w:t>
            </w:r>
          </w:p>
        </w:tc>
        <w:tc>
          <w:tcPr>
            <w:tcW w:w="4336"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both"/>
              <w:textAlignment w:val="auto"/>
              <w:rPr>
                <w:rFonts w:hint="eastAsia" w:cs="宋体"/>
                <w:sz w:val="21"/>
                <w:szCs w:val="24"/>
                <w:lang w:val="en-US" w:eastAsia="zh-CN" w:bidi="ar-SA"/>
              </w:rPr>
            </w:pPr>
            <w:r>
              <w:rPr>
                <w:rFonts w:hint="eastAsia" w:ascii="宋体" w:hAnsi="宋体" w:eastAsia="宋体" w:cs="宋体"/>
                <w:sz w:val="21"/>
                <w:szCs w:val="24"/>
                <w:lang w:val="en-US" w:eastAsia="zh-CN" w:bidi="ar-SA"/>
              </w:rPr>
              <w:t>根据投标人投标文件编制的详实、合理、符合性及响应程度等综合印象进行打分</w:t>
            </w:r>
            <w:r>
              <w:rPr>
                <w:rFonts w:hint="eastAsia" w:cs="宋体"/>
                <w:sz w:val="21"/>
                <w:szCs w:val="24"/>
                <w:lang w:val="en-US" w:eastAsia="zh-CN" w:bidi="ar-SA"/>
              </w:rPr>
              <w:t>。</w:t>
            </w:r>
          </w:p>
          <w:p>
            <w:pPr>
              <w:keepNext w:val="0"/>
              <w:keepLines w:val="0"/>
              <w:pageBreakBefore w:val="0"/>
              <w:widowControl/>
              <w:numPr>
                <w:ilvl w:val="0"/>
                <w:numId w:val="2"/>
              </w:numPr>
              <w:kinsoku/>
              <w:wordWrap/>
              <w:overflowPunct/>
              <w:topLinePunct w:val="0"/>
              <w:autoSpaceDE w:val="0"/>
              <w:autoSpaceDN w:val="0"/>
              <w:bidi w:val="0"/>
              <w:adjustRightInd/>
              <w:snapToGrid/>
              <w:spacing w:line="360" w:lineRule="exact"/>
              <w:jc w:val="both"/>
              <w:textAlignment w:val="auto"/>
              <w:rPr>
                <w:rFonts w:hint="eastAsia" w:cs="宋体"/>
                <w:sz w:val="21"/>
                <w:szCs w:val="24"/>
                <w:lang w:val="en-US" w:eastAsia="zh-CN" w:bidi="ar-SA"/>
              </w:rPr>
            </w:pPr>
            <w:r>
              <w:rPr>
                <w:rFonts w:hint="eastAsia" w:ascii="宋体" w:hAnsi="宋体" w:eastAsia="宋体" w:cs="宋体"/>
                <w:sz w:val="21"/>
                <w:szCs w:val="24"/>
                <w:lang w:val="en-US" w:eastAsia="zh-CN" w:bidi="ar-SA"/>
              </w:rPr>
              <w:t>投标文件编制内容全面，完全合理得 5分</w:t>
            </w:r>
            <w:r>
              <w:rPr>
                <w:rFonts w:hint="eastAsia" w:cs="宋体"/>
                <w:sz w:val="21"/>
                <w:szCs w:val="24"/>
                <w:lang w:val="en-US" w:eastAsia="zh-CN" w:bidi="ar-SA"/>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360" w:lineRule="exact"/>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2、投标文件编制内容全面，</w:t>
            </w:r>
            <w:r>
              <w:rPr>
                <w:rFonts w:hint="eastAsia" w:cs="宋体"/>
                <w:sz w:val="21"/>
                <w:szCs w:val="24"/>
                <w:lang w:val="en-US" w:eastAsia="zh-CN" w:bidi="ar-SA"/>
              </w:rPr>
              <w:t>较</w:t>
            </w:r>
            <w:r>
              <w:rPr>
                <w:rFonts w:hint="eastAsia" w:ascii="宋体" w:hAnsi="宋体" w:eastAsia="宋体" w:cs="宋体"/>
                <w:sz w:val="21"/>
                <w:szCs w:val="24"/>
                <w:lang w:val="en-US" w:eastAsia="zh-CN" w:bidi="ar-SA"/>
              </w:rPr>
              <w:t>合理得3 分</w:t>
            </w:r>
            <w:r>
              <w:rPr>
                <w:rFonts w:hint="eastAsia" w:cs="宋体"/>
                <w:sz w:val="21"/>
                <w:szCs w:val="24"/>
                <w:lang w:val="en-US" w:eastAsia="zh-CN" w:bidi="ar-SA"/>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360" w:lineRule="exact"/>
              <w:jc w:val="both"/>
              <w:textAlignment w:val="auto"/>
              <w:rPr>
                <w:rFonts w:hint="eastAsia" w:cs="宋体"/>
                <w:sz w:val="21"/>
                <w:szCs w:val="24"/>
                <w:lang w:val="en-US" w:eastAsia="zh-CN" w:bidi="ar-SA"/>
              </w:rPr>
            </w:pPr>
            <w:r>
              <w:rPr>
                <w:rFonts w:hint="eastAsia" w:cs="宋体"/>
                <w:sz w:val="21"/>
                <w:szCs w:val="24"/>
                <w:lang w:val="en-US" w:eastAsia="zh-CN" w:bidi="ar-SA"/>
              </w:rPr>
              <w:t>3、</w:t>
            </w:r>
            <w:r>
              <w:rPr>
                <w:rFonts w:hint="eastAsia" w:ascii="宋体" w:hAnsi="宋体" w:eastAsia="宋体" w:cs="宋体"/>
                <w:sz w:val="21"/>
                <w:szCs w:val="24"/>
                <w:lang w:val="en-US" w:eastAsia="zh-CN" w:bidi="ar-SA"/>
              </w:rPr>
              <w:t>投标文件编制内容全面，</w:t>
            </w:r>
            <w:r>
              <w:rPr>
                <w:rFonts w:hint="eastAsia" w:cs="宋体"/>
                <w:sz w:val="21"/>
                <w:szCs w:val="24"/>
                <w:lang w:val="en-US" w:eastAsia="zh-CN" w:bidi="ar-SA"/>
              </w:rPr>
              <w:t>一般</w:t>
            </w:r>
            <w:r>
              <w:rPr>
                <w:rFonts w:hint="eastAsia" w:ascii="宋体" w:hAnsi="宋体" w:eastAsia="宋体" w:cs="宋体"/>
                <w:sz w:val="21"/>
                <w:szCs w:val="24"/>
                <w:lang w:val="en-US" w:eastAsia="zh-CN" w:bidi="ar-SA"/>
              </w:rPr>
              <w:t>合理得 1 分</w:t>
            </w:r>
            <w:r>
              <w:rPr>
                <w:rFonts w:hint="eastAsia" w:cs="宋体"/>
                <w:sz w:val="21"/>
                <w:szCs w:val="24"/>
                <w:lang w:val="en-US" w:eastAsia="zh-CN" w:bidi="ar-SA"/>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360" w:lineRule="exact"/>
              <w:jc w:val="both"/>
              <w:textAlignment w:val="auto"/>
              <w:rPr>
                <w:rFonts w:hint="eastAsia" w:ascii="宋体" w:hAnsi="宋体" w:eastAsia="宋体" w:cs="宋体"/>
                <w:sz w:val="21"/>
                <w:szCs w:val="24"/>
                <w:lang w:val="en-US" w:eastAsia="zh-CN" w:bidi="ar-SA"/>
              </w:rPr>
            </w:pPr>
            <w:r>
              <w:rPr>
                <w:rFonts w:hint="eastAsia" w:cs="宋体"/>
                <w:sz w:val="21"/>
                <w:szCs w:val="24"/>
                <w:lang w:val="en-US" w:eastAsia="zh-CN" w:bidi="ar-SA"/>
              </w:rPr>
              <w:t>（不合理不得分）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43" w:type="dxa"/>
            <w:gridSpan w:val="4"/>
            <w:vMerge w:val="continue"/>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textAlignment w:val="auto"/>
              <w:rPr>
                <w:color w:val="000000"/>
                <w:sz w:val="21"/>
                <w:szCs w:val="24"/>
                <w:lang w:bidi="ar"/>
              </w:rPr>
            </w:pPr>
          </w:p>
        </w:tc>
        <w:tc>
          <w:tcPr>
            <w:tcW w:w="1743" w:type="dxa"/>
            <w:gridSpan w:val="3"/>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firstLineChars="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人员配置（15分）</w:t>
            </w:r>
          </w:p>
        </w:tc>
        <w:tc>
          <w:tcPr>
            <w:tcW w:w="4336" w:type="dxa"/>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1、项目负责人具有高级职称的，得5分；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2、本项目团队成员具备相关专业（经济师、会计师、工程师、造价工程师、咨询工程师）的技术职称或执业/职业资格，每有1 人得2分，最高得10分，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firstLineChars="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备注：需提供证书复印件和签订的劳动合同复印件；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2443" w:type="dxa"/>
            <w:gridSpan w:val="4"/>
            <w:vMerge w:val="continue"/>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textAlignment w:val="auto"/>
              <w:rPr>
                <w:color w:val="000000"/>
                <w:sz w:val="21"/>
                <w:szCs w:val="24"/>
                <w:lang w:bidi="ar"/>
              </w:rPr>
            </w:pPr>
          </w:p>
        </w:tc>
        <w:tc>
          <w:tcPr>
            <w:tcW w:w="1743" w:type="dxa"/>
            <w:gridSpan w:val="3"/>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firstLineChars="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企业能力（10分）</w:t>
            </w:r>
          </w:p>
        </w:tc>
        <w:tc>
          <w:tcPr>
            <w:tcW w:w="4336" w:type="dxa"/>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1、投标人具有ISO三体系证书得4分（ 响应文件中附证书扫描件，否则不得分）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2、投标人获得过有效期内的信用AAA登记证书得3分，投标人获得过有效期内的信用AA登记证书得2分，投标人获得过有效期内的信用A登记证书得1分 （ 响应文件中附证书扫描件，否则不得分）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firstLineChars="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3、具有工程造价资质证书得3分（响应文件中附证书扫描件，否则不得分）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443" w:type="dxa"/>
            <w:gridSpan w:val="4"/>
            <w:vMerge w:val="restart"/>
            <w:vAlign w:val="center"/>
          </w:tcPr>
          <w:p>
            <w:pPr>
              <w:pStyle w:val="3"/>
              <w:keepNext w:val="0"/>
              <w:keepLines w:val="0"/>
              <w:pageBreakBefore w:val="0"/>
              <w:kinsoku/>
              <w:wordWrap/>
              <w:overflowPunct/>
              <w:topLinePunct w:val="0"/>
              <w:autoSpaceDE w:val="0"/>
              <w:autoSpaceDN w:val="0"/>
              <w:bidi w:val="0"/>
              <w:adjustRightInd/>
              <w:snapToGrid/>
              <w:spacing w:line="360" w:lineRule="exact"/>
              <w:jc w:val="center"/>
              <w:textAlignment w:val="auto"/>
              <w:rPr>
                <w:sz w:val="21"/>
                <w:szCs w:val="24"/>
              </w:rPr>
            </w:pPr>
            <w:r>
              <w:rPr>
                <w:rFonts w:hint="eastAsia"/>
                <w:sz w:val="21"/>
                <w:szCs w:val="24"/>
              </w:rPr>
              <w:t>2.2.5技术标部分</w:t>
            </w:r>
          </w:p>
          <w:p>
            <w:pPr>
              <w:pStyle w:val="3"/>
              <w:keepNext w:val="0"/>
              <w:keepLines w:val="0"/>
              <w:pageBreakBefore w:val="0"/>
              <w:kinsoku/>
              <w:wordWrap/>
              <w:overflowPunct/>
              <w:topLinePunct w:val="0"/>
              <w:autoSpaceDE w:val="0"/>
              <w:autoSpaceDN w:val="0"/>
              <w:bidi w:val="0"/>
              <w:adjustRightInd/>
              <w:snapToGrid/>
              <w:spacing w:line="360" w:lineRule="exact"/>
              <w:jc w:val="center"/>
              <w:textAlignment w:val="auto"/>
              <w:rPr>
                <w:sz w:val="21"/>
                <w:szCs w:val="24"/>
              </w:rPr>
            </w:pPr>
            <w:r>
              <w:rPr>
                <w:rFonts w:hint="eastAsia"/>
                <w:sz w:val="21"/>
                <w:szCs w:val="24"/>
              </w:rPr>
              <w:t>（5</w:t>
            </w:r>
            <w:r>
              <w:rPr>
                <w:sz w:val="21"/>
                <w:szCs w:val="24"/>
              </w:rPr>
              <w:t>0</w:t>
            </w:r>
            <w:r>
              <w:rPr>
                <w:rFonts w:hint="eastAsia"/>
                <w:sz w:val="21"/>
                <w:szCs w:val="24"/>
              </w:rPr>
              <w:t>分</w:t>
            </w:r>
          </w:p>
        </w:tc>
        <w:tc>
          <w:tcPr>
            <w:tcW w:w="1743" w:type="dxa"/>
            <w:gridSpan w:val="3"/>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咨询服务方案内容（20分）</w:t>
            </w:r>
          </w:p>
        </w:tc>
        <w:tc>
          <w:tcPr>
            <w:tcW w:w="4336" w:type="dxa"/>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ind w:firstLine="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咨询服务方案内容全面、对采购人服务需求充分理解，匹配采购人咨询服务需求：</w:t>
            </w:r>
          </w:p>
          <w:p>
            <w:pPr>
              <w:pStyle w:val="19"/>
              <w:keepNext w:val="0"/>
              <w:keepLines w:val="0"/>
              <w:pageBreakBefore w:val="0"/>
              <w:numPr>
                <w:ilvl w:val="0"/>
                <w:numId w:val="3"/>
              </w:numPr>
              <w:kinsoku/>
              <w:wordWrap/>
              <w:overflowPunct/>
              <w:topLinePunct w:val="0"/>
              <w:autoSpaceDE w:val="0"/>
              <w:autoSpaceDN w:val="0"/>
              <w:bidi w:val="0"/>
              <w:adjustRightInd/>
              <w:snapToGrid/>
              <w:spacing w:before="0" w:beforeAutospacing="0" w:after="0" w:afterAutospacing="0" w:line="360" w:lineRule="exact"/>
              <w:ind w:firstLine="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方案内容全面、充分理解，完全契合20分；</w:t>
            </w:r>
          </w:p>
          <w:p>
            <w:pPr>
              <w:pStyle w:val="19"/>
              <w:keepNext w:val="0"/>
              <w:keepLines w:val="0"/>
              <w:pageBreakBefore w:val="0"/>
              <w:numPr>
                <w:ilvl w:val="0"/>
                <w:numId w:val="3"/>
              </w:numPr>
              <w:kinsoku/>
              <w:wordWrap/>
              <w:overflowPunct/>
              <w:topLinePunct w:val="0"/>
              <w:autoSpaceDE w:val="0"/>
              <w:autoSpaceDN w:val="0"/>
              <w:bidi w:val="0"/>
              <w:adjustRightInd/>
              <w:snapToGrid/>
              <w:spacing w:before="0" w:beforeAutospacing="0" w:after="0" w:afterAutospacing="0" w:line="360" w:lineRule="exact"/>
              <w:ind w:left="0" w:leftChars="0" w:firstLine="0" w:firstLineChars="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方案内容较全面、项目理解和契合都较好</w:t>
            </w:r>
            <w:r>
              <w:rPr>
                <w:rFonts w:hint="eastAsia" w:cs="宋体"/>
                <w:sz w:val="21"/>
                <w:szCs w:val="24"/>
                <w:lang w:val="en-US" w:eastAsia="zh-CN" w:bidi="ar-SA"/>
              </w:rPr>
              <w:t>14</w:t>
            </w:r>
            <w:r>
              <w:rPr>
                <w:rFonts w:hint="eastAsia" w:ascii="宋体" w:hAnsi="宋体" w:eastAsia="宋体" w:cs="宋体"/>
                <w:sz w:val="21"/>
                <w:szCs w:val="24"/>
                <w:lang w:val="en-US" w:eastAsia="zh-CN" w:bidi="ar-SA"/>
              </w:rPr>
              <w:t>分；</w:t>
            </w:r>
          </w:p>
          <w:p>
            <w:pPr>
              <w:pStyle w:val="19"/>
              <w:keepNext w:val="0"/>
              <w:keepLines w:val="0"/>
              <w:pageBreakBefore w:val="0"/>
              <w:numPr>
                <w:ilvl w:val="0"/>
                <w:numId w:val="3"/>
              </w:numPr>
              <w:kinsoku/>
              <w:wordWrap/>
              <w:overflowPunct/>
              <w:topLinePunct w:val="0"/>
              <w:autoSpaceDE w:val="0"/>
              <w:autoSpaceDN w:val="0"/>
              <w:bidi w:val="0"/>
              <w:adjustRightInd/>
              <w:snapToGrid/>
              <w:spacing w:before="0" w:beforeAutospacing="0" w:after="0" w:afterAutospacing="0" w:line="360" w:lineRule="exact"/>
              <w:ind w:left="0" w:leftChars="0" w:firstLine="0" w:firstLineChars="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方案内容一般、项目理解和契合一般得9分。</w:t>
            </w:r>
          </w:p>
          <w:p>
            <w:pPr>
              <w:pStyle w:val="19"/>
              <w:keepNext w:val="0"/>
              <w:keepLines w:val="0"/>
              <w:pageBreakBefore w:val="0"/>
              <w:numPr>
                <w:ilvl w:val="0"/>
                <w:numId w:val="0"/>
              </w:numPr>
              <w:kinsoku/>
              <w:wordWrap/>
              <w:overflowPunct/>
              <w:topLinePunct w:val="0"/>
              <w:autoSpaceDE w:val="0"/>
              <w:autoSpaceDN w:val="0"/>
              <w:bidi w:val="0"/>
              <w:adjustRightInd/>
              <w:snapToGrid/>
              <w:spacing w:before="0" w:beforeAutospacing="0" w:after="0" w:afterAutospacing="0" w:line="360" w:lineRule="exact"/>
              <w:ind w:leftChars="0"/>
              <w:jc w:val="both"/>
              <w:textAlignment w:val="auto"/>
              <w:rPr>
                <w:rFonts w:hint="eastAsia" w:ascii="宋体" w:hAnsi="宋体" w:eastAsia="宋体" w:cs="宋体"/>
                <w:sz w:val="21"/>
                <w:szCs w:val="24"/>
                <w:lang w:val="en-US" w:eastAsia="zh-CN" w:bidi="ar-SA"/>
              </w:rPr>
            </w:pPr>
            <w:r>
              <w:rPr>
                <w:rFonts w:hint="eastAsia" w:ascii="宋体" w:hAnsi="宋体" w:eastAsia="宋体" w:cs="宋体"/>
                <w:sz w:val="21"/>
                <w:szCs w:val="24"/>
                <w:lang w:val="en-US" w:eastAsia="zh-CN" w:bidi="ar-SA"/>
              </w:rPr>
              <w:t>4、方案内容较差得4分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2443" w:type="dxa"/>
            <w:gridSpan w:val="4"/>
            <w:vMerge w:val="continue"/>
            <w:vAlign w:val="center"/>
          </w:tcPr>
          <w:p>
            <w:pPr>
              <w:pStyle w:val="3"/>
              <w:keepNext w:val="0"/>
              <w:keepLines w:val="0"/>
              <w:pageBreakBefore w:val="0"/>
              <w:kinsoku/>
              <w:wordWrap/>
              <w:overflowPunct/>
              <w:topLinePunct w:val="0"/>
              <w:autoSpaceDE w:val="0"/>
              <w:autoSpaceDN w:val="0"/>
              <w:bidi w:val="0"/>
              <w:adjustRightInd/>
              <w:snapToGrid/>
              <w:spacing w:line="360" w:lineRule="exact"/>
              <w:jc w:val="center"/>
              <w:textAlignment w:val="auto"/>
              <w:rPr>
                <w:sz w:val="21"/>
                <w:szCs w:val="24"/>
              </w:rPr>
            </w:pPr>
          </w:p>
        </w:tc>
        <w:tc>
          <w:tcPr>
            <w:tcW w:w="1743" w:type="dxa"/>
            <w:gridSpan w:val="3"/>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进度计划方案（</w:t>
            </w:r>
            <w:r>
              <w:rPr>
                <w:rFonts w:ascii="仿宋" w:hAnsi="仿宋"/>
                <w:sz w:val="21"/>
              </w:rPr>
              <w:t>10</w:t>
            </w:r>
            <w:r>
              <w:rPr>
                <w:rFonts w:hint="eastAsia" w:ascii="仿宋" w:hAnsi="仿宋"/>
                <w:sz w:val="21"/>
              </w:rPr>
              <w:t>分）</w:t>
            </w:r>
          </w:p>
        </w:tc>
        <w:tc>
          <w:tcPr>
            <w:tcW w:w="4336" w:type="dxa"/>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进度计划方案安排科学合理可行情况：</w:t>
            </w:r>
          </w:p>
          <w:p>
            <w:pPr>
              <w:pStyle w:val="19"/>
              <w:keepNext w:val="0"/>
              <w:keepLines w:val="0"/>
              <w:pageBreakBefore w:val="0"/>
              <w:numPr>
                <w:ilvl w:val="0"/>
                <w:numId w:val="4"/>
              </w:numPr>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方案思路清晰，内容全面，可操作性强，专业工具理念先进得10分；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2、方案思路基本清晰，内容基本全面，具有可操作性，专业工具理念较先进得7分；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3、方案思路基本清晰，内容不全面，可操作性一般，专业工具理念较差得3分。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备注：无方案不得分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2443" w:type="dxa"/>
            <w:gridSpan w:val="4"/>
            <w:vMerge w:val="continue"/>
            <w:vAlign w:val="center"/>
          </w:tcPr>
          <w:p>
            <w:pPr>
              <w:pStyle w:val="3"/>
              <w:keepNext w:val="0"/>
              <w:keepLines w:val="0"/>
              <w:pageBreakBefore w:val="0"/>
              <w:kinsoku/>
              <w:wordWrap/>
              <w:overflowPunct/>
              <w:topLinePunct w:val="0"/>
              <w:autoSpaceDE w:val="0"/>
              <w:autoSpaceDN w:val="0"/>
              <w:bidi w:val="0"/>
              <w:adjustRightInd/>
              <w:snapToGrid/>
              <w:spacing w:line="360" w:lineRule="exact"/>
              <w:jc w:val="center"/>
              <w:textAlignment w:val="auto"/>
              <w:rPr>
                <w:sz w:val="21"/>
                <w:szCs w:val="24"/>
              </w:rPr>
            </w:pPr>
          </w:p>
        </w:tc>
        <w:tc>
          <w:tcPr>
            <w:tcW w:w="1743" w:type="dxa"/>
            <w:gridSpan w:val="3"/>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针对本项目咨询服务方案制定的咨询质量控制、措施和方法（</w:t>
            </w:r>
            <w:r>
              <w:rPr>
                <w:rFonts w:ascii="仿宋" w:hAnsi="仿宋"/>
                <w:sz w:val="21"/>
              </w:rPr>
              <w:t>10</w:t>
            </w:r>
            <w:r>
              <w:rPr>
                <w:rFonts w:hint="eastAsia" w:ascii="仿宋" w:hAnsi="仿宋"/>
                <w:sz w:val="21"/>
              </w:rPr>
              <w:t>分）</w:t>
            </w:r>
          </w:p>
        </w:tc>
        <w:tc>
          <w:tcPr>
            <w:tcW w:w="4336" w:type="dxa"/>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项目咨询质量控制、措施、方法：措施有力、有针对性、质控体系较好10分；措施一般、质控体系一般7分；措施不详细的得3分。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2443" w:type="dxa"/>
            <w:gridSpan w:val="4"/>
            <w:vMerge w:val="continue"/>
            <w:vAlign w:val="center"/>
          </w:tcPr>
          <w:p>
            <w:pPr>
              <w:pStyle w:val="3"/>
              <w:keepNext w:val="0"/>
              <w:keepLines w:val="0"/>
              <w:pageBreakBefore w:val="0"/>
              <w:kinsoku/>
              <w:wordWrap/>
              <w:overflowPunct/>
              <w:topLinePunct w:val="0"/>
              <w:autoSpaceDE w:val="0"/>
              <w:autoSpaceDN w:val="0"/>
              <w:bidi w:val="0"/>
              <w:adjustRightInd/>
              <w:snapToGrid/>
              <w:spacing w:line="360" w:lineRule="exact"/>
              <w:jc w:val="center"/>
              <w:textAlignment w:val="auto"/>
              <w:rPr>
                <w:sz w:val="21"/>
                <w:szCs w:val="24"/>
              </w:rPr>
            </w:pPr>
          </w:p>
        </w:tc>
        <w:tc>
          <w:tcPr>
            <w:tcW w:w="1743" w:type="dxa"/>
            <w:gridSpan w:val="3"/>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针对本项目需求提出的合理化建议（</w:t>
            </w:r>
            <w:r>
              <w:rPr>
                <w:rFonts w:ascii="仿宋" w:hAnsi="仿宋"/>
                <w:sz w:val="21"/>
              </w:rPr>
              <w:t>5</w:t>
            </w:r>
            <w:r>
              <w:rPr>
                <w:rFonts w:hint="eastAsia" w:ascii="仿宋" w:hAnsi="仿宋"/>
                <w:sz w:val="21"/>
              </w:rPr>
              <w:t>分）</w:t>
            </w:r>
          </w:p>
        </w:tc>
        <w:tc>
          <w:tcPr>
            <w:tcW w:w="4336" w:type="dxa"/>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根据供应商针对本项目需求提出的合理化建议，切实可行的得5分；较可行的得4分；基本可行的得2分；不合理或未承诺的得0分。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jc w:val="center"/>
        </w:trPr>
        <w:tc>
          <w:tcPr>
            <w:tcW w:w="2443" w:type="dxa"/>
            <w:gridSpan w:val="4"/>
            <w:vMerge w:val="continue"/>
            <w:vAlign w:val="center"/>
          </w:tcPr>
          <w:p>
            <w:pPr>
              <w:pStyle w:val="3"/>
              <w:keepNext w:val="0"/>
              <w:keepLines w:val="0"/>
              <w:pageBreakBefore w:val="0"/>
              <w:kinsoku/>
              <w:wordWrap/>
              <w:overflowPunct/>
              <w:topLinePunct w:val="0"/>
              <w:autoSpaceDE w:val="0"/>
              <w:autoSpaceDN w:val="0"/>
              <w:bidi w:val="0"/>
              <w:adjustRightInd/>
              <w:snapToGrid/>
              <w:spacing w:line="360" w:lineRule="exact"/>
              <w:jc w:val="center"/>
              <w:textAlignment w:val="auto"/>
              <w:rPr>
                <w:sz w:val="21"/>
                <w:szCs w:val="24"/>
              </w:rPr>
            </w:pPr>
          </w:p>
        </w:tc>
        <w:tc>
          <w:tcPr>
            <w:tcW w:w="1743" w:type="dxa"/>
            <w:gridSpan w:val="3"/>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服务承诺（</w:t>
            </w:r>
            <w:r>
              <w:rPr>
                <w:rFonts w:ascii="仿宋" w:hAnsi="仿宋"/>
                <w:sz w:val="21"/>
              </w:rPr>
              <w:t>5</w:t>
            </w:r>
            <w:r>
              <w:rPr>
                <w:rFonts w:hint="eastAsia" w:ascii="仿宋" w:hAnsi="仿宋"/>
                <w:sz w:val="21"/>
              </w:rPr>
              <w:t>分）</w:t>
            </w:r>
          </w:p>
        </w:tc>
        <w:tc>
          <w:tcPr>
            <w:tcW w:w="4336" w:type="dxa"/>
            <w:vAlign w:val="center"/>
          </w:tcPr>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1、包括执业质量、职业道德、遵守国家和河南省有关行业管理规定、与委托人配合等全方位服务内容。（0-</w:t>
            </w:r>
            <w:r>
              <w:rPr>
                <w:rFonts w:ascii="仿宋" w:hAnsi="仿宋"/>
                <w:sz w:val="21"/>
              </w:rPr>
              <w:t>2</w:t>
            </w:r>
            <w:r>
              <w:rPr>
                <w:rFonts w:hint="eastAsia" w:ascii="仿宋" w:hAnsi="仿宋"/>
                <w:sz w:val="21"/>
              </w:rPr>
              <w:t>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2、将根据各供应商承诺的其他服务项目内容，酌情打分。（0-</w:t>
            </w:r>
            <w:r>
              <w:rPr>
                <w:rFonts w:ascii="仿宋" w:hAnsi="仿宋"/>
                <w:sz w:val="21"/>
              </w:rPr>
              <w:t>2</w:t>
            </w:r>
            <w:r>
              <w:rPr>
                <w:rFonts w:hint="eastAsia" w:ascii="仿宋" w:hAnsi="仿宋"/>
                <w:sz w:val="21"/>
              </w:rPr>
              <w:t>分）</w:t>
            </w:r>
          </w:p>
          <w:p>
            <w:pPr>
              <w:pStyle w:val="19"/>
              <w:keepNext w:val="0"/>
              <w:keepLines w:val="0"/>
              <w:pageBreakBefore w:val="0"/>
              <w:kinsoku/>
              <w:wordWrap/>
              <w:overflowPunct/>
              <w:topLinePunct w:val="0"/>
              <w:autoSpaceDE w:val="0"/>
              <w:autoSpaceDN w:val="0"/>
              <w:bidi w:val="0"/>
              <w:adjustRightInd/>
              <w:snapToGrid/>
              <w:spacing w:before="0" w:beforeAutospacing="0" w:after="0" w:afterAutospacing="0" w:line="360" w:lineRule="exact"/>
              <w:jc w:val="both"/>
              <w:textAlignment w:val="auto"/>
              <w:rPr>
                <w:rFonts w:ascii="仿宋" w:hAnsi="仿宋"/>
                <w:sz w:val="21"/>
              </w:rPr>
            </w:pPr>
            <w:r>
              <w:rPr>
                <w:rFonts w:hint="eastAsia" w:ascii="仿宋" w:hAnsi="仿宋"/>
                <w:sz w:val="21"/>
              </w:rPr>
              <w:t>3、各供应商承诺参与咨询服务工程的项目服务组成人员以响应文件中设定的为准。（0-</w:t>
            </w:r>
            <w:r>
              <w:rPr>
                <w:rFonts w:ascii="仿宋" w:hAnsi="仿宋"/>
                <w:sz w:val="21"/>
              </w:rPr>
              <w:t>1</w:t>
            </w:r>
            <w:r>
              <w:rPr>
                <w:rFonts w:hint="eastAsia" w:ascii="仿宋" w:hAnsi="仿宋"/>
                <w:sz w:val="21"/>
              </w:rPr>
              <w:t>分）</w:t>
            </w:r>
          </w:p>
        </w:tc>
      </w:tr>
    </w:tbl>
    <w:p>
      <w:pPr>
        <w:pStyle w:val="3"/>
        <w:spacing w:line="360" w:lineRule="exact"/>
      </w:pPr>
    </w:p>
    <w:p>
      <w:pPr>
        <w:pStyle w:val="42"/>
        <w:tabs>
          <w:tab w:val="left" w:pos="433"/>
        </w:tabs>
        <w:spacing w:line="360" w:lineRule="auto"/>
        <w:ind w:left="0" w:firstLine="482" w:firstLineChars="200"/>
        <w:jc w:val="both"/>
        <w:rPr>
          <w:b/>
          <w:sz w:val="24"/>
          <w:szCs w:val="24"/>
        </w:rPr>
      </w:pPr>
      <w:r>
        <w:rPr>
          <w:rFonts w:hint="eastAsia"/>
          <w:b/>
          <w:sz w:val="24"/>
          <w:szCs w:val="24"/>
        </w:rPr>
        <w:t>1.磋商方法</w:t>
      </w:r>
    </w:p>
    <w:p>
      <w:pPr>
        <w:pStyle w:val="3"/>
        <w:spacing w:line="360" w:lineRule="auto"/>
        <w:ind w:firstLine="480" w:firstLineChars="200"/>
        <w:jc w:val="both"/>
        <w:rPr>
          <w:sz w:val="24"/>
          <w:szCs w:val="24"/>
        </w:rPr>
      </w:pPr>
      <w:r>
        <w:rPr>
          <w:rFonts w:hint="eastAsia"/>
          <w:sz w:val="24"/>
          <w:szCs w:val="24"/>
        </w:rPr>
        <w:t>本次磋商采用综合评分法。磋商小组对满足磋商文件实质性要求的响应文件，按照本章规定的评分标准进行打分，并按得分由高到低顺序推荐成交候选人。综合评分相等时，以磋商报价低的优先；若磋商报价也相等的，按技术得分高者为第一中标候选人。</w:t>
      </w:r>
    </w:p>
    <w:p>
      <w:pPr>
        <w:pStyle w:val="3"/>
        <w:spacing w:line="360" w:lineRule="auto"/>
        <w:ind w:firstLine="482" w:firstLineChars="200"/>
        <w:jc w:val="both"/>
        <w:rPr>
          <w:b/>
          <w:sz w:val="24"/>
          <w:szCs w:val="24"/>
        </w:rPr>
      </w:pPr>
      <w:r>
        <w:rPr>
          <w:rFonts w:hint="eastAsia"/>
          <w:b/>
          <w:sz w:val="24"/>
          <w:szCs w:val="24"/>
        </w:rPr>
        <w:t>2.评审标准</w:t>
      </w:r>
    </w:p>
    <w:p>
      <w:pPr>
        <w:pStyle w:val="42"/>
        <w:tabs>
          <w:tab w:val="left" w:pos="961"/>
        </w:tabs>
        <w:spacing w:line="360" w:lineRule="auto"/>
        <w:ind w:left="0" w:firstLine="482" w:firstLineChars="200"/>
        <w:jc w:val="both"/>
        <w:rPr>
          <w:b/>
          <w:sz w:val="24"/>
          <w:szCs w:val="24"/>
        </w:rPr>
      </w:pPr>
      <w:r>
        <w:rPr>
          <w:rFonts w:hint="eastAsia"/>
          <w:b/>
          <w:sz w:val="24"/>
          <w:szCs w:val="24"/>
        </w:rPr>
        <w:t>（1）初步评审标准</w:t>
      </w:r>
    </w:p>
    <w:p>
      <w:pPr>
        <w:pStyle w:val="3"/>
        <w:spacing w:line="360" w:lineRule="auto"/>
        <w:ind w:firstLine="476" w:firstLineChars="200"/>
        <w:jc w:val="both"/>
        <w:rPr>
          <w:sz w:val="24"/>
          <w:szCs w:val="24"/>
        </w:rPr>
      </w:pPr>
      <w:r>
        <w:rPr>
          <w:rFonts w:hint="eastAsia"/>
          <w:spacing w:val="-1"/>
          <w:sz w:val="24"/>
          <w:szCs w:val="24"/>
        </w:rPr>
        <w:fldChar w:fldCharType="begin"/>
      </w:r>
      <w:r>
        <w:rPr>
          <w:rFonts w:hint="eastAsia"/>
          <w:spacing w:val="-1"/>
          <w:sz w:val="24"/>
          <w:szCs w:val="24"/>
        </w:rPr>
        <w:instrText xml:space="preserve"> = 1 \* GB3 \* MERGEFORMAT </w:instrText>
      </w:r>
      <w:r>
        <w:rPr>
          <w:rFonts w:hint="eastAsia"/>
          <w:spacing w:val="-1"/>
          <w:sz w:val="24"/>
          <w:szCs w:val="24"/>
        </w:rPr>
        <w:fldChar w:fldCharType="separate"/>
      </w:r>
      <w:r>
        <w:t>①</w:t>
      </w:r>
      <w:r>
        <w:rPr>
          <w:rFonts w:hint="eastAsia"/>
          <w:spacing w:val="-1"/>
          <w:sz w:val="24"/>
          <w:szCs w:val="24"/>
        </w:rPr>
        <w:fldChar w:fldCharType="end"/>
      </w:r>
      <w:r>
        <w:rPr>
          <w:rFonts w:hint="eastAsia"/>
          <w:sz w:val="24"/>
          <w:szCs w:val="24"/>
        </w:rPr>
        <w:t>符合性评审标准：见磋商办法前附表；</w:t>
      </w:r>
    </w:p>
    <w:p>
      <w:pPr>
        <w:pStyle w:val="3"/>
        <w:spacing w:line="360" w:lineRule="auto"/>
        <w:ind w:firstLine="476" w:firstLineChars="200"/>
        <w:jc w:val="both"/>
        <w:rPr>
          <w:sz w:val="24"/>
          <w:szCs w:val="24"/>
        </w:rPr>
      </w:pPr>
      <w:r>
        <w:rPr>
          <w:rFonts w:hint="eastAsia"/>
          <w:spacing w:val="-1"/>
          <w:sz w:val="24"/>
          <w:szCs w:val="24"/>
        </w:rPr>
        <w:fldChar w:fldCharType="begin"/>
      </w:r>
      <w:r>
        <w:rPr>
          <w:rFonts w:hint="eastAsia"/>
          <w:spacing w:val="-1"/>
          <w:sz w:val="24"/>
          <w:szCs w:val="24"/>
        </w:rPr>
        <w:instrText xml:space="preserve"> = 2 \* GB3 \* MERGEFORMAT </w:instrText>
      </w:r>
      <w:r>
        <w:rPr>
          <w:rFonts w:hint="eastAsia"/>
          <w:spacing w:val="-1"/>
          <w:sz w:val="24"/>
          <w:szCs w:val="24"/>
        </w:rPr>
        <w:fldChar w:fldCharType="separate"/>
      </w:r>
      <w:r>
        <w:t>②</w:t>
      </w:r>
      <w:r>
        <w:rPr>
          <w:rFonts w:hint="eastAsia"/>
          <w:spacing w:val="-1"/>
          <w:sz w:val="24"/>
          <w:szCs w:val="24"/>
        </w:rPr>
        <w:fldChar w:fldCharType="end"/>
      </w:r>
      <w:r>
        <w:rPr>
          <w:rFonts w:hint="eastAsia"/>
          <w:sz w:val="24"/>
          <w:szCs w:val="24"/>
        </w:rPr>
        <w:t>资格性评审标准：见磋商办法前附表；</w:t>
      </w:r>
    </w:p>
    <w:p>
      <w:pPr>
        <w:pStyle w:val="3"/>
        <w:spacing w:line="360" w:lineRule="auto"/>
        <w:ind w:firstLine="480" w:firstLineChars="200"/>
        <w:jc w:val="both"/>
        <w:rPr>
          <w:sz w:val="24"/>
          <w:szCs w:val="24"/>
        </w:rPr>
      </w:pPr>
      <w:r>
        <w:rPr>
          <w:rFonts w:hint="eastAsia"/>
          <w:sz w:val="24"/>
          <w:szCs w:val="24"/>
        </w:rPr>
        <w:fldChar w:fldCharType="begin"/>
      </w:r>
      <w:r>
        <w:rPr>
          <w:rFonts w:hint="eastAsia"/>
          <w:sz w:val="24"/>
          <w:szCs w:val="24"/>
        </w:rPr>
        <w:instrText xml:space="preserve"> = 3 \* GB3 \* MERGEFORMAT </w:instrText>
      </w:r>
      <w:r>
        <w:rPr>
          <w:rFonts w:hint="eastAsia"/>
          <w:sz w:val="24"/>
          <w:szCs w:val="24"/>
        </w:rPr>
        <w:fldChar w:fldCharType="separate"/>
      </w:r>
      <w:r>
        <w:t>③</w:t>
      </w:r>
      <w:r>
        <w:rPr>
          <w:rFonts w:hint="eastAsia"/>
          <w:sz w:val="24"/>
          <w:szCs w:val="24"/>
        </w:rPr>
        <w:fldChar w:fldCharType="end"/>
      </w:r>
      <w:r>
        <w:rPr>
          <w:rFonts w:hint="eastAsia"/>
          <w:sz w:val="24"/>
          <w:szCs w:val="24"/>
        </w:rPr>
        <w:t>技术性评审标准：见磋商办法前附表。</w:t>
      </w:r>
    </w:p>
    <w:p>
      <w:pPr>
        <w:pStyle w:val="42"/>
        <w:tabs>
          <w:tab w:val="left" w:pos="1170"/>
        </w:tabs>
        <w:spacing w:line="360" w:lineRule="auto"/>
        <w:ind w:left="0" w:firstLine="480" w:firstLineChars="200"/>
        <w:jc w:val="both"/>
        <w:rPr>
          <w:sz w:val="24"/>
          <w:szCs w:val="24"/>
        </w:rPr>
      </w:pPr>
      <w:r>
        <w:rPr>
          <w:rFonts w:hint="eastAsia"/>
          <w:sz w:val="24"/>
          <w:szCs w:val="24"/>
        </w:rPr>
        <w:fldChar w:fldCharType="begin"/>
      </w:r>
      <w:r>
        <w:rPr>
          <w:rFonts w:hint="eastAsia"/>
          <w:sz w:val="24"/>
          <w:szCs w:val="24"/>
        </w:rPr>
        <w:instrText xml:space="preserve"> = 4 \* GB3 \* MERGEFORMAT </w:instrText>
      </w:r>
      <w:r>
        <w:rPr>
          <w:rFonts w:hint="eastAsia"/>
          <w:sz w:val="24"/>
          <w:szCs w:val="24"/>
        </w:rPr>
        <w:fldChar w:fldCharType="separate"/>
      </w:r>
      <w:r>
        <w:t>④</w:t>
      </w:r>
      <w:r>
        <w:rPr>
          <w:rFonts w:hint="eastAsia"/>
          <w:sz w:val="24"/>
          <w:szCs w:val="24"/>
        </w:rPr>
        <w:fldChar w:fldCharType="end"/>
      </w:r>
      <w:r>
        <w:rPr>
          <w:rFonts w:hint="eastAsia"/>
          <w:sz w:val="24"/>
          <w:szCs w:val="24"/>
        </w:rPr>
        <w:t>符合下列条件的响应文件，其投标将被否决，不再进入详细的评审阶段；</w:t>
      </w:r>
    </w:p>
    <w:p>
      <w:pPr>
        <w:pStyle w:val="3"/>
        <w:spacing w:line="360" w:lineRule="auto"/>
        <w:ind w:firstLine="480" w:firstLineChars="200"/>
        <w:jc w:val="both"/>
        <w:rPr>
          <w:sz w:val="24"/>
          <w:szCs w:val="24"/>
        </w:rPr>
      </w:pPr>
      <w:r>
        <w:rPr>
          <w:rFonts w:hint="eastAsia"/>
          <w:sz w:val="24"/>
          <w:szCs w:val="24"/>
        </w:rPr>
        <w:t>1）响应文件未按规定编写，未按要求加盖单位电子签章或法定代表人或被授权委托人签字或盖章的；</w:t>
      </w:r>
    </w:p>
    <w:p>
      <w:pPr>
        <w:pStyle w:val="3"/>
        <w:spacing w:line="360" w:lineRule="auto"/>
        <w:ind w:firstLine="480" w:firstLineChars="200"/>
        <w:jc w:val="both"/>
        <w:rPr>
          <w:sz w:val="24"/>
          <w:szCs w:val="24"/>
        </w:rPr>
      </w:pPr>
      <w:r>
        <w:rPr>
          <w:rFonts w:hint="eastAsia"/>
          <w:sz w:val="24"/>
          <w:szCs w:val="24"/>
        </w:rPr>
        <w:t>2）响应文件无报价，报价出现负数或投标报价高于采购控制价的；</w:t>
      </w:r>
    </w:p>
    <w:p>
      <w:pPr>
        <w:pStyle w:val="3"/>
        <w:spacing w:line="360" w:lineRule="auto"/>
        <w:ind w:firstLine="480" w:firstLineChars="200"/>
        <w:jc w:val="both"/>
        <w:rPr>
          <w:sz w:val="24"/>
          <w:szCs w:val="24"/>
        </w:rPr>
      </w:pPr>
      <w:r>
        <w:rPr>
          <w:rFonts w:hint="eastAsia"/>
          <w:sz w:val="24"/>
          <w:szCs w:val="24"/>
        </w:rPr>
        <w:t>3）响应文件附有采购人不能接受的条件的；</w:t>
      </w:r>
    </w:p>
    <w:p>
      <w:pPr>
        <w:pStyle w:val="3"/>
        <w:spacing w:line="360" w:lineRule="auto"/>
        <w:ind w:firstLine="480" w:firstLineChars="200"/>
        <w:jc w:val="both"/>
        <w:rPr>
          <w:sz w:val="24"/>
          <w:szCs w:val="24"/>
        </w:rPr>
      </w:pPr>
      <w:r>
        <w:rPr>
          <w:rFonts w:hint="eastAsia"/>
          <w:sz w:val="24"/>
          <w:szCs w:val="24"/>
        </w:rPr>
        <w:t>4）有关法律、法规规章规定的其他情况。</w:t>
      </w:r>
    </w:p>
    <w:p>
      <w:pPr>
        <w:pStyle w:val="42"/>
        <w:tabs>
          <w:tab w:val="left" w:pos="1031"/>
        </w:tabs>
        <w:spacing w:line="360" w:lineRule="auto"/>
        <w:ind w:left="440" w:leftChars="200" w:firstLine="0"/>
        <w:jc w:val="both"/>
        <w:rPr>
          <w:b/>
          <w:sz w:val="24"/>
          <w:szCs w:val="24"/>
        </w:rPr>
      </w:pPr>
      <w:r>
        <w:rPr>
          <w:rFonts w:hint="eastAsia"/>
          <w:b/>
          <w:sz w:val="24"/>
          <w:szCs w:val="24"/>
        </w:rPr>
        <w:t>2、分值构成与评分标准</w:t>
      </w:r>
    </w:p>
    <w:p>
      <w:pPr>
        <w:pStyle w:val="3"/>
        <w:spacing w:line="360" w:lineRule="auto"/>
        <w:ind w:firstLine="480" w:firstLineChars="200"/>
        <w:jc w:val="both"/>
        <w:rPr>
          <w:sz w:val="24"/>
          <w:szCs w:val="24"/>
        </w:rPr>
      </w:pPr>
      <w:r>
        <w:rPr>
          <w:rFonts w:hint="eastAsia"/>
          <w:sz w:val="24"/>
          <w:szCs w:val="24"/>
        </w:rPr>
        <w:t>（1)分值构成</w:t>
      </w:r>
    </w:p>
    <w:p>
      <w:pPr>
        <w:pStyle w:val="3"/>
        <w:spacing w:line="360" w:lineRule="auto"/>
        <w:ind w:firstLine="480" w:firstLineChars="200"/>
        <w:jc w:val="both"/>
        <w:rPr>
          <w:sz w:val="24"/>
          <w:szCs w:val="24"/>
        </w:rPr>
      </w:pPr>
      <w:r>
        <w:rPr>
          <w:rFonts w:hint="eastAsia"/>
          <w:sz w:val="24"/>
          <w:szCs w:val="24"/>
        </w:rPr>
        <w:fldChar w:fldCharType="begin"/>
      </w:r>
      <w:r>
        <w:rPr>
          <w:rFonts w:hint="eastAsia"/>
          <w:sz w:val="24"/>
          <w:szCs w:val="24"/>
        </w:rPr>
        <w:instrText xml:space="preserve"> = 1 \* GB3 \* MERGEFORMAT </w:instrText>
      </w:r>
      <w:r>
        <w:rPr>
          <w:rFonts w:hint="eastAsia"/>
          <w:sz w:val="24"/>
          <w:szCs w:val="24"/>
        </w:rPr>
        <w:fldChar w:fldCharType="separate"/>
      </w:r>
      <w:r>
        <w:rPr>
          <w:rFonts w:hint="eastAsia"/>
          <w:sz w:val="24"/>
          <w:szCs w:val="24"/>
        </w:rPr>
        <w:t>①</w:t>
      </w:r>
      <w:r>
        <w:rPr>
          <w:rFonts w:hint="eastAsia"/>
          <w:sz w:val="24"/>
          <w:szCs w:val="24"/>
        </w:rPr>
        <w:fldChar w:fldCharType="end"/>
      </w:r>
      <w:r>
        <w:rPr>
          <w:rFonts w:hint="eastAsia"/>
          <w:sz w:val="24"/>
          <w:szCs w:val="24"/>
        </w:rPr>
        <w:t>磋商报价：见磋商办法前附表；</w:t>
      </w:r>
    </w:p>
    <w:p>
      <w:pPr>
        <w:pStyle w:val="3"/>
        <w:spacing w:line="360" w:lineRule="auto"/>
        <w:ind w:firstLine="480" w:firstLineChars="200"/>
        <w:jc w:val="both"/>
        <w:rPr>
          <w:sz w:val="24"/>
          <w:szCs w:val="24"/>
        </w:rPr>
      </w:pPr>
      <w:r>
        <w:rPr>
          <w:rFonts w:hint="eastAsia"/>
          <w:sz w:val="24"/>
          <w:szCs w:val="24"/>
        </w:rPr>
        <w:fldChar w:fldCharType="begin"/>
      </w:r>
      <w:r>
        <w:rPr>
          <w:rFonts w:hint="eastAsia"/>
          <w:sz w:val="24"/>
          <w:szCs w:val="24"/>
        </w:rPr>
        <w:instrText xml:space="preserve"> = 2 \* GB3 \* MERGEFORMAT </w:instrText>
      </w:r>
      <w:r>
        <w:rPr>
          <w:rFonts w:hint="eastAsia"/>
          <w:sz w:val="24"/>
          <w:szCs w:val="24"/>
        </w:rPr>
        <w:fldChar w:fldCharType="separate"/>
      </w:r>
      <w:r>
        <w:rPr>
          <w:rFonts w:hint="eastAsia"/>
          <w:sz w:val="24"/>
          <w:szCs w:val="24"/>
        </w:rPr>
        <w:t>②</w:t>
      </w:r>
      <w:r>
        <w:rPr>
          <w:rFonts w:hint="eastAsia"/>
          <w:sz w:val="24"/>
          <w:szCs w:val="24"/>
        </w:rPr>
        <w:fldChar w:fldCharType="end"/>
      </w:r>
      <w:r>
        <w:rPr>
          <w:rFonts w:hint="eastAsia"/>
          <w:sz w:val="24"/>
          <w:szCs w:val="24"/>
        </w:rPr>
        <w:t>商务标：见磋商办法前附表；</w:t>
      </w:r>
    </w:p>
    <w:p>
      <w:pPr>
        <w:pStyle w:val="3"/>
        <w:spacing w:line="360" w:lineRule="auto"/>
        <w:ind w:firstLine="480" w:firstLineChars="200"/>
        <w:jc w:val="both"/>
        <w:rPr>
          <w:sz w:val="24"/>
          <w:szCs w:val="24"/>
        </w:rPr>
      </w:pPr>
      <w:r>
        <w:rPr>
          <w:rFonts w:hint="eastAsia"/>
          <w:sz w:val="24"/>
          <w:szCs w:val="24"/>
        </w:rPr>
        <w:fldChar w:fldCharType="begin"/>
      </w:r>
      <w:r>
        <w:rPr>
          <w:rFonts w:hint="eastAsia"/>
          <w:sz w:val="24"/>
          <w:szCs w:val="24"/>
        </w:rPr>
        <w:instrText xml:space="preserve"> = 3 \* GB3 \* MERGEFORMAT </w:instrText>
      </w:r>
      <w:r>
        <w:rPr>
          <w:rFonts w:hint="eastAsia"/>
          <w:sz w:val="24"/>
          <w:szCs w:val="24"/>
        </w:rPr>
        <w:fldChar w:fldCharType="separate"/>
      </w:r>
      <w:r>
        <w:rPr>
          <w:rFonts w:hint="eastAsia"/>
          <w:sz w:val="24"/>
          <w:szCs w:val="24"/>
        </w:rPr>
        <w:t>③</w:t>
      </w:r>
      <w:r>
        <w:rPr>
          <w:rFonts w:hint="eastAsia"/>
          <w:sz w:val="24"/>
          <w:szCs w:val="24"/>
        </w:rPr>
        <w:fldChar w:fldCharType="end"/>
      </w:r>
      <w:r>
        <w:rPr>
          <w:rFonts w:hint="eastAsia"/>
          <w:sz w:val="24"/>
          <w:szCs w:val="24"/>
        </w:rPr>
        <w:t>技术标：见磋商办法前附表。</w:t>
      </w:r>
    </w:p>
    <w:p>
      <w:pPr>
        <w:pStyle w:val="3"/>
        <w:spacing w:line="360" w:lineRule="auto"/>
        <w:ind w:firstLine="480" w:firstLineChars="200"/>
        <w:jc w:val="both"/>
        <w:rPr>
          <w:sz w:val="24"/>
          <w:szCs w:val="24"/>
        </w:rPr>
      </w:pPr>
      <w:r>
        <w:rPr>
          <w:rFonts w:hint="eastAsia"/>
          <w:sz w:val="24"/>
          <w:szCs w:val="24"/>
        </w:rPr>
        <w:t>（2)</w:t>
      </w:r>
      <w:r>
        <w:rPr>
          <w:rFonts w:hint="eastAsia"/>
          <w:spacing w:val="-8"/>
          <w:sz w:val="24"/>
          <w:szCs w:val="24"/>
        </w:rPr>
        <w:t>磋商基准价计算</w:t>
      </w:r>
    </w:p>
    <w:p>
      <w:pPr>
        <w:pStyle w:val="3"/>
        <w:spacing w:line="360" w:lineRule="auto"/>
        <w:ind w:firstLine="476" w:firstLineChars="200"/>
        <w:jc w:val="both"/>
        <w:rPr>
          <w:spacing w:val="-8"/>
          <w:sz w:val="24"/>
          <w:szCs w:val="24"/>
        </w:rPr>
      </w:pPr>
      <w:r>
        <w:rPr>
          <w:rFonts w:hint="eastAsia"/>
          <w:spacing w:val="-1"/>
          <w:sz w:val="24"/>
          <w:szCs w:val="24"/>
        </w:rPr>
        <w:fldChar w:fldCharType="begin"/>
      </w:r>
      <w:r>
        <w:rPr>
          <w:rFonts w:hint="eastAsia"/>
          <w:spacing w:val="-1"/>
          <w:sz w:val="24"/>
          <w:szCs w:val="24"/>
        </w:rPr>
        <w:instrText xml:space="preserve"> = 1 \* GB3 \* MERGEFORMAT </w:instrText>
      </w:r>
      <w:r>
        <w:rPr>
          <w:rFonts w:hint="eastAsia"/>
          <w:spacing w:val="-1"/>
          <w:sz w:val="24"/>
          <w:szCs w:val="24"/>
        </w:rPr>
        <w:fldChar w:fldCharType="separate"/>
      </w:r>
      <w:r>
        <w:t>①</w:t>
      </w:r>
      <w:r>
        <w:rPr>
          <w:rFonts w:hint="eastAsia"/>
          <w:spacing w:val="-1"/>
          <w:sz w:val="24"/>
          <w:szCs w:val="24"/>
        </w:rPr>
        <w:fldChar w:fldCharType="end"/>
      </w:r>
      <w:r>
        <w:rPr>
          <w:rFonts w:hint="eastAsia"/>
          <w:spacing w:val="-8"/>
          <w:sz w:val="24"/>
          <w:szCs w:val="24"/>
        </w:rPr>
        <w:t>磋商基准价计算方法：见磋商办法前附表；</w:t>
      </w:r>
    </w:p>
    <w:p>
      <w:pPr>
        <w:pStyle w:val="3"/>
        <w:spacing w:line="360" w:lineRule="auto"/>
        <w:ind w:firstLine="448" w:firstLineChars="200"/>
        <w:jc w:val="both"/>
        <w:rPr>
          <w:sz w:val="24"/>
          <w:szCs w:val="24"/>
        </w:rPr>
      </w:pPr>
      <w:r>
        <w:rPr>
          <w:rFonts w:hint="eastAsia"/>
          <w:spacing w:val="-8"/>
          <w:sz w:val="24"/>
          <w:szCs w:val="24"/>
        </w:rPr>
        <w:fldChar w:fldCharType="begin"/>
      </w:r>
      <w:r>
        <w:rPr>
          <w:rFonts w:hint="eastAsia"/>
          <w:spacing w:val="-8"/>
          <w:sz w:val="24"/>
          <w:szCs w:val="24"/>
        </w:rPr>
        <w:instrText xml:space="preserve"> = 2 \* GB3 \* MERGEFORMAT </w:instrText>
      </w:r>
      <w:r>
        <w:rPr>
          <w:rFonts w:hint="eastAsia"/>
          <w:spacing w:val="-8"/>
          <w:sz w:val="24"/>
          <w:szCs w:val="24"/>
        </w:rPr>
        <w:fldChar w:fldCharType="separate"/>
      </w:r>
      <w:r>
        <w:t>②</w:t>
      </w:r>
      <w:r>
        <w:rPr>
          <w:rFonts w:hint="eastAsia"/>
          <w:spacing w:val="-8"/>
          <w:sz w:val="24"/>
          <w:szCs w:val="24"/>
        </w:rPr>
        <w:fldChar w:fldCharType="end"/>
      </w:r>
      <w:r>
        <w:rPr>
          <w:rFonts w:hint="eastAsia"/>
          <w:spacing w:val="-8"/>
          <w:sz w:val="24"/>
          <w:szCs w:val="24"/>
        </w:rPr>
        <w:t>磋商报价评审方法：见磋商办法前附表。</w:t>
      </w:r>
    </w:p>
    <w:p>
      <w:pPr>
        <w:pStyle w:val="3"/>
        <w:spacing w:line="360" w:lineRule="auto"/>
        <w:ind w:firstLine="480" w:firstLineChars="200"/>
        <w:jc w:val="both"/>
        <w:rPr>
          <w:sz w:val="24"/>
          <w:szCs w:val="24"/>
        </w:rPr>
      </w:pPr>
      <w:r>
        <w:rPr>
          <w:rFonts w:hint="eastAsia"/>
          <w:sz w:val="24"/>
          <w:szCs w:val="24"/>
        </w:rPr>
        <w:t>（3)评分标准</w:t>
      </w:r>
    </w:p>
    <w:p>
      <w:pPr>
        <w:pStyle w:val="3"/>
        <w:spacing w:line="360" w:lineRule="auto"/>
        <w:ind w:firstLine="476" w:firstLineChars="200"/>
        <w:jc w:val="both"/>
        <w:rPr>
          <w:spacing w:val="-102"/>
          <w:sz w:val="24"/>
          <w:szCs w:val="24"/>
        </w:rPr>
      </w:pPr>
      <w:r>
        <w:rPr>
          <w:rFonts w:hint="eastAsia"/>
          <w:spacing w:val="-1"/>
          <w:sz w:val="24"/>
          <w:szCs w:val="24"/>
        </w:rPr>
        <w:fldChar w:fldCharType="begin"/>
      </w:r>
      <w:r>
        <w:rPr>
          <w:rFonts w:hint="eastAsia"/>
          <w:spacing w:val="-1"/>
          <w:sz w:val="24"/>
          <w:szCs w:val="24"/>
        </w:rPr>
        <w:instrText xml:space="preserve"> = 1 \* GB3 \* MERGEFORMAT </w:instrText>
      </w:r>
      <w:r>
        <w:rPr>
          <w:rFonts w:hint="eastAsia"/>
          <w:spacing w:val="-1"/>
          <w:sz w:val="24"/>
          <w:szCs w:val="24"/>
        </w:rPr>
        <w:fldChar w:fldCharType="separate"/>
      </w:r>
      <w:r>
        <w:t>①</w:t>
      </w:r>
      <w:r>
        <w:rPr>
          <w:rFonts w:hint="eastAsia"/>
          <w:spacing w:val="-1"/>
          <w:sz w:val="24"/>
          <w:szCs w:val="24"/>
        </w:rPr>
        <w:fldChar w:fldCharType="end"/>
      </w:r>
      <w:r>
        <w:rPr>
          <w:rFonts w:hint="eastAsia"/>
          <w:spacing w:val="-8"/>
          <w:sz w:val="24"/>
          <w:szCs w:val="24"/>
        </w:rPr>
        <w:t>磋商报价评分标准：见磋商办法前附表；</w:t>
      </w:r>
      <w:r>
        <w:rPr>
          <w:rFonts w:hint="eastAsia"/>
          <w:spacing w:val="-102"/>
          <w:sz w:val="24"/>
          <w:szCs w:val="24"/>
        </w:rPr>
        <w:t xml:space="preserve"> </w:t>
      </w:r>
    </w:p>
    <w:p>
      <w:pPr>
        <w:pStyle w:val="3"/>
        <w:spacing w:line="360" w:lineRule="auto"/>
        <w:ind w:firstLine="476" w:firstLineChars="200"/>
        <w:jc w:val="both"/>
        <w:rPr>
          <w:sz w:val="24"/>
          <w:szCs w:val="24"/>
        </w:rPr>
      </w:pPr>
      <w:r>
        <w:rPr>
          <w:rFonts w:hint="eastAsia"/>
          <w:spacing w:val="-1"/>
          <w:sz w:val="24"/>
          <w:szCs w:val="24"/>
        </w:rPr>
        <w:fldChar w:fldCharType="begin"/>
      </w:r>
      <w:r>
        <w:rPr>
          <w:rFonts w:hint="eastAsia"/>
          <w:spacing w:val="-1"/>
          <w:sz w:val="24"/>
          <w:szCs w:val="24"/>
        </w:rPr>
        <w:instrText xml:space="preserve"> = 2 \* GB3 \* MERGEFORMAT </w:instrText>
      </w:r>
      <w:r>
        <w:rPr>
          <w:rFonts w:hint="eastAsia"/>
          <w:spacing w:val="-1"/>
          <w:sz w:val="24"/>
          <w:szCs w:val="24"/>
        </w:rPr>
        <w:fldChar w:fldCharType="separate"/>
      </w:r>
      <w:r>
        <w:t>②</w:t>
      </w:r>
      <w:r>
        <w:rPr>
          <w:rFonts w:hint="eastAsia"/>
          <w:spacing w:val="-1"/>
          <w:sz w:val="24"/>
          <w:szCs w:val="24"/>
        </w:rPr>
        <w:fldChar w:fldCharType="end"/>
      </w:r>
      <w:r>
        <w:rPr>
          <w:rFonts w:hint="eastAsia"/>
          <w:sz w:val="24"/>
          <w:szCs w:val="24"/>
        </w:rPr>
        <w:t>商务标评分标准：见磋商办法前附表；</w:t>
      </w:r>
    </w:p>
    <w:p>
      <w:pPr>
        <w:pStyle w:val="3"/>
        <w:spacing w:line="360" w:lineRule="auto"/>
        <w:ind w:firstLine="72" w:firstLineChars="200"/>
        <w:jc w:val="both"/>
        <w:rPr>
          <w:sz w:val="24"/>
          <w:szCs w:val="24"/>
        </w:rPr>
      </w:pPr>
      <w:r>
        <w:rPr>
          <w:rFonts w:hint="eastAsia"/>
          <w:spacing w:val="-102"/>
          <w:sz w:val="24"/>
          <w:szCs w:val="24"/>
        </w:rPr>
        <w:fldChar w:fldCharType="begin"/>
      </w:r>
      <w:r>
        <w:rPr>
          <w:rFonts w:hint="eastAsia"/>
          <w:spacing w:val="-102"/>
          <w:sz w:val="24"/>
          <w:szCs w:val="24"/>
        </w:rPr>
        <w:instrText xml:space="preserve"> = 3 \* GB3 \* MERGEFORMAT </w:instrText>
      </w:r>
      <w:r>
        <w:rPr>
          <w:rFonts w:hint="eastAsia"/>
          <w:spacing w:val="-102"/>
          <w:sz w:val="24"/>
          <w:szCs w:val="24"/>
        </w:rPr>
        <w:fldChar w:fldCharType="separate"/>
      </w:r>
      <w:r>
        <w:t>③</w:t>
      </w:r>
      <w:r>
        <w:rPr>
          <w:rFonts w:hint="eastAsia"/>
          <w:spacing w:val="-102"/>
          <w:sz w:val="24"/>
          <w:szCs w:val="24"/>
        </w:rPr>
        <w:fldChar w:fldCharType="end"/>
      </w:r>
      <w:r>
        <w:rPr>
          <w:rFonts w:hint="eastAsia"/>
          <w:spacing w:val="-8"/>
          <w:sz w:val="24"/>
          <w:szCs w:val="24"/>
        </w:rPr>
        <w:t>技术标评分标准：见磋商办法前附表。</w:t>
      </w:r>
    </w:p>
    <w:p>
      <w:pPr>
        <w:pStyle w:val="3"/>
        <w:spacing w:line="360" w:lineRule="auto"/>
        <w:ind w:firstLine="480" w:firstLineChars="200"/>
        <w:jc w:val="both"/>
        <w:rPr>
          <w:sz w:val="24"/>
          <w:szCs w:val="24"/>
        </w:rPr>
      </w:pPr>
      <w:r>
        <w:rPr>
          <w:rFonts w:hint="eastAsia"/>
          <w:sz w:val="24"/>
          <w:szCs w:val="24"/>
        </w:rPr>
        <w:t>（4）最终得分的确定</w:t>
      </w:r>
    </w:p>
    <w:p>
      <w:pPr>
        <w:pStyle w:val="3"/>
        <w:spacing w:line="360" w:lineRule="auto"/>
        <w:ind w:firstLine="476" w:firstLineChars="200"/>
        <w:jc w:val="both"/>
        <w:rPr>
          <w:sz w:val="24"/>
          <w:szCs w:val="24"/>
        </w:rPr>
      </w:pPr>
      <w:r>
        <w:rPr>
          <w:rFonts w:hint="eastAsia"/>
          <w:spacing w:val="-1"/>
          <w:sz w:val="24"/>
          <w:szCs w:val="24"/>
        </w:rPr>
        <w:fldChar w:fldCharType="begin"/>
      </w:r>
      <w:r>
        <w:rPr>
          <w:rFonts w:hint="eastAsia"/>
          <w:spacing w:val="-1"/>
          <w:sz w:val="24"/>
          <w:szCs w:val="24"/>
        </w:rPr>
        <w:instrText xml:space="preserve"> = 1 \* GB3 \* MERGEFORMAT </w:instrText>
      </w:r>
      <w:r>
        <w:rPr>
          <w:rFonts w:hint="eastAsia"/>
          <w:spacing w:val="-1"/>
          <w:sz w:val="24"/>
          <w:szCs w:val="24"/>
        </w:rPr>
        <w:fldChar w:fldCharType="separate"/>
      </w:r>
      <w:r>
        <w:t>①</w:t>
      </w:r>
      <w:r>
        <w:rPr>
          <w:rFonts w:hint="eastAsia"/>
          <w:spacing w:val="-1"/>
          <w:sz w:val="24"/>
          <w:szCs w:val="24"/>
        </w:rPr>
        <w:fldChar w:fldCharType="end"/>
      </w:r>
      <w:r>
        <w:rPr>
          <w:rFonts w:hint="eastAsia"/>
          <w:spacing w:val="-9"/>
          <w:sz w:val="24"/>
          <w:szCs w:val="24"/>
        </w:rPr>
        <w:t>供应商最终得分=磋商报价部分得分+商务标部分得分+技术标部分得分；</w:t>
      </w:r>
    </w:p>
    <w:p>
      <w:pPr>
        <w:pStyle w:val="3"/>
        <w:spacing w:line="360" w:lineRule="auto"/>
        <w:ind w:firstLine="476" w:firstLineChars="200"/>
        <w:jc w:val="both"/>
        <w:rPr>
          <w:spacing w:val="-102"/>
          <w:sz w:val="24"/>
          <w:szCs w:val="24"/>
        </w:rPr>
      </w:pPr>
      <w:r>
        <w:rPr>
          <w:rFonts w:hint="eastAsia"/>
          <w:spacing w:val="-1"/>
          <w:sz w:val="24"/>
          <w:szCs w:val="24"/>
        </w:rPr>
        <w:fldChar w:fldCharType="begin"/>
      </w:r>
      <w:r>
        <w:rPr>
          <w:rFonts w:hint="eastAsia"/>
          <w:spacing w:val="-1"/>
          <w:sz w:val="24"/>
          <w:szCs w:val="24"/>
        </w:rPr>
        <w:instrText xml:space="preserve"> = 2 \* GB3 \* MERGEFORMAT </w:instrText>
      </w:r>
      <w:r>
        <w:rPr>
          <w:rFonts w:hint="eastAsia"/>
          <w:spacing w:val="-1"/>
          <w:sz w:val="24"/>
          <w:szCs w:val="24"/>
        </w:rPr>
        <w:fldChar w:fldCharType="separate"/>
      </w:r>
      <w:r>
        <w:t>②</w:t>
      </w:r>
      <w:r>
        <w:rPr>
          <w:rFonts w:hint="eastAsia"/>
          <w:spacing w:val="-1"/>
          <w:sz w:val="24"/>
          <w:szCs w:val="24"/>
        </w:rPr>
        <w:fldChar w:fldCharType="end"/>
      </w:r>
      <w:r>
        <w:rPr>
          <w:rFonts w:hint="eastAsia"/>
          <w:spacing w:val="-8"/>
          <w:sz w:val="24"/>
          <w:szCs w:val="24"/>
        </w:rPr>
        <w:t>磋商小组完成对磋商报价、商务标和技术标的汇总后，取平均值作为该供应商的最终得分；</w:t>
      </w:r>
      <w:r>
        <w:rPr>
          <w:rFonts w:hint="eastAsia"/>
          <w:spacing w:val="-102"/>
          <w:sz w:val="24"/>
          <w:szCs w:val="24"/>
        </w:rPr>
        <w:t xml:space="preserve"> </w:t>
      </w:r>
    </w:p>
    <w:p>
      <w:pPr>
        <w:pStyle w:val="3"/>
        <w:spacing w:line="360" w:lineRule="auto"/>
        <w:ind w:firstLine="480" w:firstLineChars="200"/>
        <w:jc w:val="both"/>
        <w:rPr>
          <w:sz w:val="24"/>
          <w:szCs w:val="24"/>
        </w:rPr>
      </w:pPr>
      <w:r>
        <w:rPr>
          <w:rFonts w:hint="eastAsia"/>
          <w:sz w:val="24"/>
          <w:szCs w:val="24"/>
        </w:rPr>
        <w:fldChar w:fldCharType="begin"/>
      </w:r>
      <w:r>
        <w:rPr>
          <w:rFonts w:hint="eastAsia"/>
          <w:sz w:val="24"/>
          <w:szCs w:val="24"/>
        </w:rPr>
        <w:instrText xml:space="preserve"> = 3 \* GB3 \* MERGEFORMAT </w:instrText>
      </w:r>
      <w:r>
        <w:rPr>
          <w:rFonts w:hint="eastAsia"/>
          <w:sz w:val="24"/>
          <w:szCs w:val="24"/>
        </w:rPr>
        <w:fldChar w:fldCharType="separate"/>
      </w:r>
      <w:r>
        <w:t>③</w:t>
      </w:r>
      <w:r>
        <w:rPr>
          <w:rFonts w:hint="eastAsia"/>
          <w:sz w:val="24"/>
          <w:szCs w:val="24"/>
        </w:rPr>
        <w:fldChar w:fldCharType="end"/>
      </w:r>
      <w:r>
        <w:rPr>
          <w:rFonts w:hint="eastAsia"/>
          <w:spacing w:val="-8"/>
          <w:sz w:val="24"/>
          <w:szCs w:val="24"/>
        </w:rPr>
        <w:t>最终得分计算分值保留两位小数。</w:t>
      </w:r>
    </w:p>
    <w:p>
      <w:pPr>
        <w:spacing w:line="360" w:lineRule="auto"/>
        <w:ind w:firstLine="450" w:firstLineChars="200"/>
        <w:jc w:val="both"/>
        <w:rPr>
          <w:b/>
          <w:sz w:val="24"/>
          <w:szCs w:val="24"/>
        </w:rPr>
      </w:pPr>
      <w:r>
        <w:rPr>
          <w:rFonts w:hint="eastAsia"/>
          <w:b/>
          <w:spacing w:val="-8"/>
          <w:sz w:val="24"/>
          <w:szCs w:val="24"/>
        </w:rPr>
        <w:t>3、磋商文件的澄清和补正</w:t>
      </w:r>
    </w:p>
    <w:p>
      <w:pPr>
        <w:pStyle w:val="42"/>
        <w:tabs>
          <w:tab w:val="left" w:pos="958"/>
        </w:tabs>
        <w:spacing w:line="360" w:lineRule="auto"/>
        <w:ind w:left="0" w:firstLine="480" w:firstLineChars="200"/>
        <w:jc w:val="both"/>
        <w:rPr>
          <w:sz w:val="24"/>
          <w:szCs w:val="24"/>
        </w:rPr>
      </w:pPr>
      <w:r>
        <w:rPr>
          <w:rFonts w:hint="eastAsia"/>
          <w:sz w:val="24"/>
          <w:szCs w:val="24"/>
        </w:rPr>
        <w:t>（1）</w:t>
      </w:r>
      <w:r>
        <w:rPr>
          <w:rFonts w:hint="eastAsia"/>
          <w:spacing w:val="-1"/>
          <w:sz w:val="24"/>
          <w:szCs w:val="24"/>
        </w:rPr>
        <w:t>在磋商过程中，磋商小组可以书面形式要求供应商对所提交响应文件中不明确的内容进行书面澄清</w:t>
      </w:r>
      <w:r>
        <w:rPr>
          <w:rFonts w:hint="eastAsia"/>
          <w:sz w:val="24"/>
          <w:szCs w:val="24"/>
        </w:rPr>
        <w:t>或说明，或者对细微偏差进行补正。磋商小组不接受供应商主动提出的澄清、说明或补正；</w:t>
      </w:r>
    </w:p>
    <w:p>
      <w:pPr>
        <w:pStyle w:val="42"/>
        <w:tabs>
          <w:tab w:val="left" w:pos="959"/>
        </w:tabs>
        <w:spacing w:line="360" w:lineRule="auto"/>
        <w:ind w:left="0" w:firstLine="480" w:firstLineChars="200"/>
        <w:jc w:val="both"/>
        <w:rPr>
          <w:sz w:val="24"/>
          <w:szCs w:val="24"/>
        </w:rPr>
      </w:pPr>
      <w:r>
        <w:rPr>
          <w:rFonts w:hint="eastAsia"/>
          <w:sz w:val="24"/>
          <w:szCs w:val="24"/>
        </w:rPr>
        <w:t>（2）澄清、说明和补正不得改变响应文件的实质性内容（算术性错误修正的除外）。供应商的书面澄清、说明和补正属于磋商文件的组成部分；</w:t>
      </w:r>
    </w:p>
    <w:p>
      <w:pPr>
        <w:spacing w:line="360" w:lineRule="auto"/>
        <w:ind w:firstLine="480" w:firstLineChars="200"/>
        <w:jc w:val="both"/>
        <w:rPr>
          <w:b/>
          <w:spacing w:val="-8"/>
          <w:sz w:val="24"/>
          <w:szCs w:val="24"/>
        </w:rPr>
      </w:pPr>
      <w:r>
        <w:rPr>
          <w:rFonts w:hint="eastAsia"/>
          <w:sz w:val="24"/>
          <w:szCs w:val="24"/>
        </w:rPr>
        <w:t>（3）磋商小组对供应商提交的澄清、说明或补正有疑问的，可以要求供应商进一步澄清、说</w:t>
      </w:r>
      <w:r>
        <w:rPr>
          <w:rFonts w:hint="eastAsia"/>
          <w:b/>
          <w:spacing w:val="-8"/>
          <w:sz w:val="24"/>
          <w:szCs w:val="24"/>
        </w:rPr>
        <w:t>明或补正，直至满足磋商小组的要求。</w:t>
      </w:r>
    </w:p>
    <w:p>
      <w:pPr>
        <w:spacing w:line="360" w:lineRule="auto"/>
        <w:ind w:firstLine="482" w:firstLineChars="200"/>
        <w:jc w:val="both"/>
        <w:rPr>
          <w:b/>
          <w:sz w:val="24"/>
          <w:szCs w:val="24"/>
        </w:rPr>
      </w:pPr>
      <w:r>
        <w:rPr>
          <w:rFonts w:hint="eastAsia"/>
          <w:b/>
          <w:sz w:val="24"/>
          <w:szCs w:val="24"/>
        </w:rPr>
        <w:t>七、授予合同</w:t>
      </w:r>
    </w:p>
    <w:p>
      <w:pPr>
        <w:spacing w:line="360" w:lineRule="auto"/>
        <w:ind w:firstLine="482" w:firstLineChars="200"/>
        <w:jc w:val="both"/>
        <w:rPr>
          <w:b/>
          <w:sz w:val="24"/>
          <w:szCs w:val="24"/>
        </w:rPr>
      </w:pPr>
      <w:r>
        <w:rPr>
          <w:rFonts w:hint="eastAsia"/>
          <w:b/>
          <w:sz w:val="24"/>
          <w:szCs w:val="24"/>
        </w:rPr>
        <w:t>7.1定标原则</w:t>
      </w:r>
    </w:p>
    <w:p>
      <w:pPr>
        <w:spacing w:line="360" w:lineRule="auto"/>
        <w:ind w:firstLine="482" w:firstLineChars="200"/>
        <w:jc w:val="both"/>
        <w:rPr>
          <w:b/>
          <w:sz w:val="24"/>
          <w:szCs w:val="24"/>
        </w:rPr>
      </w:pPr>
      <w:r>
        <w:rPr>
          <w:rFonts w:hint="eastAsia"/>
          <w:b/>
          <w:sz w:val="24"/>
          <w:szCs w:val="24"/>
        </w:rPr>
        <w:t>根据《中华人民共和国政府采购法》的规定，若供应商评审得分相同的，由采购人或者采购人委托评标委员会推荐磋商报价较低的投标人为第一中标候选人。若磋商报价也相等的，按技术得分高者为第一中标候选人。</w:t>
      </w:r>
    </w:p>
    <w:p>
      <w:pPr>
        <w:pStyle w:val="42"/>
        <w:tabs>
          <w:tab w:val="left" w:pos="1210"/>
        </w:tabs>
        <w:spacing w:line="360" w:lineRule="auto"/>
        <w:ind w:left="440" w:leftChars="200" w:firstLine="0"/>
        <w:jc w:val="both"/>
        <w:rPr>
          <w:b/>
          <w:sz w:val="24"/>
          <w:szCs w:val="24"/>
        </w:rPr>
      </w:pPr>
      <w:r>
        <w:rPr>
          <w:rFonts w:hint="eastAsia"/>
          <w:b/>
          <w:sz w:val="24"/>
          <w:szCs w:val="24"/>
        </w:rPr>
        <w:t>7.2 定标</w:t>
      </w:r>
    </w:p>
    <w:p>
      <w:pPr>
        <w:pStyle w:val="42"/>
        <w:tabs>
          <w:tab w:val="left" w:pos="958"/>
        </w:tabs>
        <w:spacing w:line="360" w:lineRule="auto"/>
        <w:ind w:left="0" w:firstLine="480" w:firstLineChars="200"/>
        <w:jc w:val="both"/>
        <w:rPr>
          <w:sz w:val="24"/>
          <w:szCs w:val="24"/>
        </w:rPr>
      </w:pPr>
      <w:r>
        <w:rPr>
          <w:rFonts w:hint="eastAsia"/>
          <w:sz w:val="24"/>
          <w:szCs w:val="24"/>
        </w:rPr>
        <w:t>7.2.1磋商会通过对各响应性文件进行详细评审并完成磋商后，向采购人提交书面磋商报告。磋商报告中按照响应性文件最终得分由高到低进行排序，并向采购人推荐1-3名作为成交候选人。</w:t>
      </w:r>
    </w:p>
    <w:p>
      <w:pPr>
        <w:pStyle w:val="42"/>
        <w:tabs>
          <w:tab w:val="left" w:pos="958"/>
        </w:tabs>
        <w:spacing w:line="360" w:lineRule="auto"/>
        <w:ind w:left="0" w:firstLine="480" w:firstLineChars="200"/>
        <w:jc w:val="both"/>
        <w:rPr>
          <w:sz w:val="24"/>
          <w:szCs w:val="24"/>
        </w:rPr>
      </w:pPr>
      <w:r>
        <w:rPr>
          <w:rFonts w:hint="eastAsia"/>
          <w:sz w:val="24"/>
          <w:szCs w:val="24"/>
        </w:rPr>
        <w:t>7.2.2采购人对磋商小组推荐的成交候选人进行选择，原则上第一名成交，如第一名提出不能履行合同或者放弃中标资格，向下顺延确定一名中标人。</w:t>
      </w:r>
    </w:p>
    <w:p>
      <w:pPr>
        <w:pStyle w:val="42"/>
        <w:tabs>
          <w:tab w:val="left" w:pos="958"/>
        </w:tabs>
        <w:spacing w:line="360" w:lineRule="auto"/>
        <w:ind w:left="0" w:firstLine="480" w:firstLineChars="200"/>
        <w:jc w:val="both"/>
        <w:rPr>
          <w:sz w:val="24"/>
          <w:szCs w:val="24"/>
        </w:rPr>
      </w:pPr>
      <w:r>
        <w:rPr>
          <w:rFonts w:hint="eastAsia"/>
          <w:sz w:val="24"/>
          <w:szCs w:val="24"/>
        </w:rPr>
        <w:t>7.2.3当送达的响应性文件不足 3 份或磋商结果全为无效标时；及经过评审，若所有的供应商均未能通过符合性审查，招标方可在取得磋商监督人同意后宣布磋商失败，并通知各供应商。采购人根据相关规定重新组织磋商。</w:t>
      </w:r>
    </w:p>
    <w:p>
      <w:pPr>
        <w:pStyle w:val="42"/>
        <w:tabs>
          <w:tab w:val="left" w:pos="591"/>
        </w:tabs>
        <w:spacing w:line="360" w:lineRule="auto"/>
        <w:ind w:left="440" w:leftChars="200" w:firstLine="0"/>
        <w:jc w:val="both"/>
        <w:rPr>
          <w:b/>
          <w:sz w:val="24"/>
          <w:szCs w:val="24"/>
        </w:rPr>
      </w:pPr>
      <w:r>
        <w:rPr>
          <w:rFonts w:hint="eastAsia"/>
          <w:b/>
          <w:sz w:val="24"/>
          <w:szCs w:val="24"/>
        </w:rPr>
        <w:t>7.3 其他</w:t>
      </w:r>
    </w:p>
    <w:p>
      <w:pPr>
        <w:pStyle w:val="42"/>
        <w:tabs>
          <w:tab w:val="left" w:pos="958"/>
        </w:tabs>
        <w:spacing w:line="360" w:lineRule="auto"/>
        <w:ind w:left="0" w:firstLine="480" w:firstLineChars="200"/>
        <w:jc w:val="both"/>
        <w:rPr>
          <w:sz w:val="24"/>
          <w:szCs w:val="24"/>
        </w:rPr>
      </w:pPr>
      <w:r>
        <w:rPr>
          <w:rFonts w:hint="eastAsia"/>
          <w:sz w:val="24"/>
          <w:szCs w:val="24"/>
        </w:rPr>
        <w:t>7.3.1除磋商报价外的其他项内容的评审首先由磋商小组的各成员自主打分，汇总时在自主打分的记分结果中，进行算术平均，以算术平均值作为该项的最终加、减分值。</w:t>
      </w:r>
    </w:p>
    <w:p>
      <w:pPr>
        <w:pStyle w:val="42"/>
        <w:tabs>
          <w:tab w:val="left" w:pos="958"/>
        </w:tabs>
        <w:spacing w:line="360" w:lineRule="auto"/>
        <w:ind w:left="0" w:firstLine="480" w:firstLineChars="200"/>
        <w:jc w:val="both"/>
        <w:rPr>
          <w:sz w:val="24"/>
          <w:szCs w:val="24"/>
        </w:rPr>
      </w:pPr>
      <w:r>
        <w:rPr>
          <w:rFonts w:hint="eastAsia"/>
          <w:sz w:val="24"/>
          <w:szCs w:val="24"/>
        </w:rPr>
        <w:t>7.3.2计分按四舍五入取至小数点后二位。</w:t>
      </w:r>
    </w:p>
    <w:p>
      <w:pPr>
        <w:pStyle w:val="42"/>
        <w:tabs>
          <w:tab w:val="left" w:pos="958"/>
        </w:tabs>
        <w:spacing w:line="360" w:lineRule="auto"/>
        <w:ind w:left="0" w:firstLine="480" w:firstLineChars="200"/>
        <w:jc w:val="both"/>
        <w:rPr>
          <w:sz w:val="24"/>
          <w:szCs w:val="24"/>
        </w:rPr>
      </w:pPr>
      <w:r>
        <w:rPr>
          <w:rFonts w:hint="eastAsia"/>
          <w:sz w:val="24"/>
          <w:szCs w:val="24"/>
        </w:rPr>
        <w:t>7.3.3在磋商过程中，如发现本办法中条款与供应商须知中相关条款不一致，以本办法中的相关条款为准。</w:t>
      </w:r>
    </w:p>
    <w:p>
      <w:pPr>
        <w:pStyle w:val="42"/>
        <w:tabs>
          <w:tab w:val="left" w:pos="958"/>
        </w:tabs>
        <w:spacing w:line="360" w:lineRule="auto"/>
        <w:ind w:left="0" w:firstLine="480" w:firstLineChars="200"/>
        <w:jc w:val="both"/>
        <w:rPr>
          <w:sz w:val="24"/>
          <w:szCs w:val="24"/>
        </w:rPr>
      </w:pPr>
      <w:r>
        <w:rPr>
          <w:rFonts w:hint="eastAsia"/>
          <w:sz w:val="24"/>
          <w:szCs w:val="24"/>
        </w:rPr>
        <w:t>7.3.4供应商必须对所提供资料的真实性负责，被推荐为成交候选人后，经采购人证实为提供虚假证明材料骗取中标的，除取消其中标资格外，还应赔偿采购人及代理机构的相关损失。</w:t>
      </w:r>
    </w:p>
    <w:p>
      <w:pPr>
        <w:pStyle w:val="42"/>
        <w:tabs>
          <w:tab w:val="left" w:pos="958"/>
        </w:tabs>
        <w:spacing w:line="360" w:lineRule="auto"/>
        <w:ind w:left="0" w:firstLine="480" w:firstLineChars="200"/>
        <w:jc w:val="both"/>
        <w:rPr>
          <w:sz w:val="24"/>
          <w:szCs w:val="24"/>
        </w:rPr>
      </w:pPr>
      <w:r>
        <w:rPr>
          <w:rFonts w:hint="eastAsia"/>
          <w:sz w:val="24"/>
          <w:szCs w:val="24"/>
        </w:rPr>
        <w:t>7.3.5无论供应商成交与否，评标委员会、采购人、采购代理机构和有关监督部门就评标过程中涉及的有关内容和细节均不予以解释、澄清和透露，否则当事人应承担相应的后果。</w:t>
      </w:r>
    </w:p>
    <w:p>
      <w:pPr>
        <w:pStyle w:val="42"/>
        <w:tabs>
          <w:tab w:val="left" w:pos="958"/>
        </w:tabs>
        <w:spacing w:line="360" w:lineRule="auto"/>
        <w:ind w:left="0" w:firstLine="480" w:firstLineChars="200"/>
        <w:jc w:val="both"/>
        <w:rPr>
          <w:sz w:val="24"/>
          <w:szCs w:val="24"/>
        </w:rPr>
      </w:pPr>
      <w:r>
        <w:rPr>
          <w:rFonts w:hint="eastAsia"/>
          <w:sz w:val="24"/>
          <w:szCs w:val="24"/>
        </w:rPr>
        <w:t>7.3.6本办法仅适用于本项目竞争性磋商的磋商工作。</w:t>
      </w:r>
    </w:p>
    <w:p>
      <w:pPr>
        <w:pStyle w:val="42"/>
        <w:tabs>
          <w:tab w:val="left" w:pos="958"/>
        </w:tabs>
        <w:spacing w:line="360" w:lineRule="auto"/>
        <w:ind w:left="0" w:firstLine="480" w:firstLineChars="200"/>
        <w:jc w:val="both"/>
        <w:rPr>
          <w:sz w:val="24"/>
          <w:szCs w:val="24"/>
        </w:rPr>
      </w:pPr>
      <w:r>
        <w:rPr>
          <w:rFonts w:hint="eastAsia"/>
          <w:sz w:val="24"/>
          <w:szCs w:val="24"/>
        </w:rPr>
        <w:t>7.3.7本磋商文件未尽事宜按现行招标投标的有关法律法规和规定执行。如投标单位在本次投标活动中有违反相关法律法规的将根据相关法律法规和规定对其进行处罚。</w:t>
      </w:r>
    </w:p>
    <w:p>
      <w:pPr>
        <w:pStyle w:val="42"/>
        <w:tabs>
          <w:tab w:val="left" w:pos="958"/>
        </w:tabs>
        <w:spacing w:line="360" w:lineRule="auto"/>
        <w:ind w:left="0" w:firstLine="480" w:firstLineChars="200"/>
        <w:jc w:val="both"/>
        <w:rPr>
          <w:sz w:val="24"/>
          <w:szCs w:val="24"/>
        </w:rPr>
      </w:pPr>
      <w:r>
        <w:rPr>
          <w:rFonts w:hint="eastAsia"/>
          <w:sz w:val="24"/>
          <w:szCs w:val="24"/>
        </w:rPr>
        <w:t>7.3.8本磋商文件时根据国家有关规定和参照国际惯例编制，解释权属采购人。</w:t>
      </w:r>
    </w:p>
    <w:p>
      <w:pPr>
        <w:pStyle w:val="42"/>
        <w:tabs>
          <w:tab w:val="left" w:pos="1105"/>
        </w:tabs>
        <w:spacing w:line="360" w:lineRule="auto"/>
        <w:ind w:left="440" w:leftChars="200" w:firstLine="0"/>
        <w:jc w:val="both"/>
        <w:rPr>
          <w:b/>
          <w:sz w:val="24"/>
          <w:szCs w:val="24"/>
        </w:rPr>
      </w:pPr>
      <w:r>
        <w:rPr>
          <w:rFonts w:hint="eastAsia"/>
          <w:b/>
          <w:sz w:val="24"/>
          <w:szCs w:val="24"/>
        </w:rPr>
        <w:t>7.4 成交通知</w:t>
      </w:r>
    </w:p>
    <w:p>
      <w:pPr>
        <w:pStyle w:val="42"/>
        <w:tabs>
          <w:tab w:val="left" w:pos="958"/>
        </w:tabs>
        <w:spacing w:line="360" w:lineRule="auto"/>
        <w:ind w:left="0" w:firstLine="480" w:firstLineChars="200"/>
        <w:jc w:val="both"/>
        <w:rPr>
          <w:sz w:val="24"/>
          <w:szCs w:val="24"/>
        </w:rPr>
      </w:pPr>
      <w:r>
        <w:rPr>
          <w:rFonts w:hint="eastAsia"/>
          <w:sz w:val="24"/>
          <w:szCs w:val="24"/>
        </w:rPr>
        <w:t xml:space="preserve">7.4.1采购人或者采购代理机构应当在成交供应商确定后 </w:t>
      </w:r>
      <w:r>
        <w:rPr>
          <w:rFonts w:hint="eastAsia"/>
          <w:sz w:val="24"/>
          <w:szCs w:val="24"/>
          <w:lang w:val="en-US" w:eastAsia="zh-CN"/>
        </w:rPr>
        <w:t>1</w:t>
      </w:r>
      <w:r>
        <w:rPr>
          <w:rFonts w:hint="eastAsia"/>
          <w:sz w:val="24"/>
          <w:szCs w:val="24"/>
        </w:rPr>
        <w:t xml:space="preserve"> 个工作日内，在省级以上财政部门指定的政府采购信息发布媒体上公告成交结果，同时向成交供应商发出成交通知书。</w:t>
      </w:r>
    </w:p>
    <w:p>
      <w:pPr>
        <w:pStyle w:val="42"/>
        <w:tabs>
          <w:tab w:val="left" w:pos="958"/>
        </w:tabs>
        <w:spacing w:line="360" w:lineRule="auto"/>
        <w:ind w:left="0" w:firstLine="480" w:firstLineChars="200"/>
        <w:jc w:val="both"/>
        <w:rPr>
          <w:sz w:val="24"/>
          <w:szCs w:val="24"/>
        </w:rPr>
      </w:pPr>
      <w:r>
        <w:rPr>
          <w:rFonts w:hint="eastAsia"/>
          <w:sz w:val="24"/>
          <w:szCs w:val="24"/>
        </w:rPr>
        <w:t xml:space="preserve">7.4.2《成交通知书》将作为签订合同的依据之一。采购人与成交供应商应当在成交通知书发出之日起 </w:t>
      </w:r>
      <w:r>
        <w:rPr>
          <w:rFonts w:hint="eastAsia"/>
          <w:sz w:val="24"/>
          <w:szCs w:val="24"/>
          <w:lang w:val="en-US" w:eastAsia="zh-CN"/>
        </w:rPr>
        <w:t>1</w:t>
      </w:r>
      <w:r>
        <w:rPr>
          <w:rFonts w:hint="eastAsia"/>
          <w:sz w:val="24"/>
          <w:szCs w:val="24"/>
        </w:rPr>
        <w:t xml:space="preserve"> 日内签订政府采购合同。</w:t>
      </w:r>
    </w:p>
    <w:p>
      <w:pPr>
        <w:pStyle w:val="3"/>
        <w:spacing w:line="360" w:lineRule="auto"/>
        <w:ind w:firstLine="482" w:firstLineChars="200"/>
        <w:jc w:val="both"/>
        <w:rPr>
          <w:b/>
          <w:sz w:val="24"/>
          <w:szCs w:val="24"/>
        </w:rPr>
      </w:pPr>
      <w:r>
        <w:rPr>
          <w:rFonts w:hint="eastAsia"/>
          <w:b/>
          <w:sz w:val="24"/>
          <w:szCs w:val="24"/>
        </w:rPr>
        <w:t>7.5 签订合同</w:t>
      </w:r>
    </w:p>
    <w:p>
      <w:pPr>
        <w:pStyle w:val="42"/>
        <w:tabs>
          <w:tab w:val="left" w:pos="1316"/>
        </w:tabs>
        <w:spacing w:line="360" w:lineRule="auto"/>
        <w:ind w:left="0" w:firstLine="480" w:firstLineChars="200"/>
        <w:jc w:val="both"/>
        <w:rPr>
          <w:bCs/>
          <w:sz w:val="24"/>
          <w:szCs w:val="24"/>
        </w:rPr>
      </w:pPr>
      <w:r>
        <w:rPr>
          <w:rFonts w:hint="eastAsia"/>
          <w:bCs/>
          <w:sz w:val="24"/>
          <w:szCs w:val="24"/>
        </w:rPr>
        <w:t>7.5.1成交人必须在接到成交通知书时向招标代理公司交纳招标代理服务费，然后与采购人签订合同。</w:t>
      </w:r>
    </w:p>
    <w:p>
      <w:pPr>
        <w:pStyle w:val="42"/>
        <w:tabs>
          <w:tab w:val="left" w:pos="1316"/>
        </w:tabs>
        <w:spacing w:line="360" w:lineRule="auto"/>
        <w:ind w:left="0" w:firstLine="480" w:firstLineChars="200"/>
        <w:jc w:val="both"/>
        <w:rPr>
          <w:bCs/>
          <w:sz w:val="24"/>
          <w:szCs w:val="24"/>
        </w:rPr>
      </w:pPr>
      <w:r>
        <w:rPr>
          <w:rFonts w:hint="eastAsia"/>
          <w:bCs/>
          <w:sz w:val="24"/>
          <w:szCs w:val="24"/>
        </w:rPr>
        <w:t>7.5.2磋商文件、响应性文件、供应商在开标过程中的补充确认材料以及《磋商通知书》，均作为合同签订的依据。</w:t>
      </w:r>
    </w:p>
    <w:p>
      <w:pPr>
        <w:pStyle w:val="42"/>
        <w:tabs>
          <w:tab w:val="left" w:pos="1170"/>
        </w:tabs>
        <w:spacing w:line="360" w:lineRule="auto"/>
        <w:ind w:left="0" w:firstLine="480" w:firstLineChars="200"/>
        <w:jc w:val="both"/>
        <w:rPr>
          <w:sz w:val="5"/>
        </w:rPr>
      </w:pPr>
      <w:r>
        <w:rPr>
          <w:rFonts w:hint="eastAsia"/>
          <w:bCs/>
          <w:sz w:val="24"/>
          <w:szCs w:val="24"/>
        </w:rPr>
        <w:t>7.5.3</w:t>
      </w:r>
      <w:r>
        <w:rPr>
          <w:rFonts w:hint="eastAsia"/>
          <w:spacing w:val="-1"/>
          <w:sz w:val="24"/>
          <w:szCs w:val="24"/>
        </w:rPr>
        <w:t>如果中标人不按其响应性文件承诺和招标文件要求签订合同，招标方将取消其中标资格，并另</w:t>
      </w:r>
      <w:r>
        <w:rPr>
          <w:rFonts w:hint="eastAsia"/>
          <w:sz w:val="24"/>
          <w:szCs w:val="24"/>
        </w:rPr>
        <w:t>定中标供应商。</w:t>
      </w:r>
    </w:p>
    <w:p>
      <w:pPr>
        <w:rPr>
          <w:spacing w:val="16"/>
        </w:rPr>
      </w:pPr>
      <w:r>
        <w:rPr>
          <w:spacing w:val="16"/>
        </w:rPr>
        <w:br w:type="page"/>
      </w:r>
    </w:p>
    <w:p>
      <w:pPr>
        <w:pStyle w:val="5"/>
        <w:numPr>
          <w:ilvl w:val="0"/>
          <w:numId w:val="5"/>
        </w:numPr>
        <w:ind w:left="0"/>
        <w:jc w:val="center"/>
        <w:rPr>
          <w:rFonts w:ascii="仿宋" w:hAnsi="仿宋"/>
        </w:rPr>
      </w:pPr>
      <w:bookmarkStart w:id="6" w:name="_Toc8500"/>
      <w:r>
        <w:rPr>
          <w:rFonts w:hint="eastAsia"/>
          <w:spacing w:val="16"/>
        </w:rPr>
        <w:t xml:space="preserve">  </w:t>
      </w:r>
      <w:r>
        <w:rPr>
          <w:rFonts w:hint="eastAsia" w:ascii="仿宋" w:hAnsi="仿宋"/>
        </w:rPr>
        <w:t>服务内容</w:t>
      </w:r>
    </w:p>
    <w:p/>
    <w:p>
      <w:pPr>
        <w:pStyle w:val="42"/>
        <w:tabs>
          <w:tab w:val="left" w:pos="958"/>
        </w:tabs>
        <w:spacing w:line="360" w:lineRule="auto"/>
        <w:ind w:left="0" w:firstLine="480" w:firstLineChars="200"/>
        <w:jc w:val="both"/>
        <w:rPr>
          <w:sz w:val="24"/>
          <w:szCs w:val="24"/>
        </w:rPr>
      </w:pPr>
      <w:r>
        <w:rPr>
          <w:rFonts w:hint="eastAsia"/>
          <w:sz w:val="24"/>
          <w:szCs w:val="24"/>
        </w:rPr>
        <w:t>本项目要求中标供应商在本项目运作中进行实地调研和市场调查，以及与采购方充分对接沟通基础上，提供如下专业咨询服务：</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1、为项目全流程投融资提供全过程咨询服务，包括但不限于与项目融资有关的各类报告、方案的牵头统筹或编制；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2、对项目基本情况及前期工作进展情况开展尽职调查，与相关单位进行沟通，协助理清项目思路，编制项目投融资工作方案；</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3、确定项目实施模式及具体运作程序，分析项目风险因素及项目实施的关键内容，明确项目工作分配及进度计划安排，推动项目实施；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4、根据项目实际情况，合理谋划项目运作模式及实施路径，分析项目可能存在的问题并提出解决问题的建议；</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5、研究和落实项目实施的边界条件，根据金融机构要求，统筹编制项目《可行性研究报告》；</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6、对项目的预期成本、收入进行分析测算，编制项目的利润表，现金流量表等，对项目进行财务分析和投资收益预测，编制项目财务所需的相关报告； </w:t>
      </w:r>
    </w:p>
    <w:p>
      <w:pPr>
        <w:ind w:firstLine="480" w:firstLineChars="200"/>
        <w:rPr>
          <w:sz w:val="24"/>
          <w:szCs w:val="24"/>
        </w:rPr>
      </w:pPr>
      <w:r>
        <w:rPr>
          <w:rFonts w:hint="eastAsia" w:ascii="宋体" w:hAnsi="宋体" w:eastAsia="宋体" w:cs="宋体"/>
          <w:sz w:val="24"/>
          <w:szCs w:val="24"/>
          <w:lang w:val="en-US" w:eastAsia="zh-CN" w:bidi="ar-SA"/>
        </w:rPr>
        <w:t>7、协助甲方完成金融机构授信。</w:t>
      </w:r>
      <w:r>
        <w:rPr>
          <w:rFonts w:hint="eastAsia"/>
          <w:sz w:val="24"/>
          <w:szCs w:val="24"/>
        </w:rPr>
        <w:br w:type="page"/>
      </w:r>
    </w:p>
    <w:p>
      <w:pPr>
        <w:pStyle w:val="5"/>
        <w:spacing w:before="3" w:line="360" w:lineRule="auto"/>
        <w:ind w:left="0" w:right="15"/>
        <w:jc w:val="center"/>
      </w:pPr>
      <w:r>
        <w:rPr>
          <w:spacing w:val="16"/>
        </w:rPr>
        <w:t>第</w:t>
      </w:r>
      <w:r>
        <w:rPr>
          <w:rFonts w:hint="eastAsia"/>
          <w:spacing w:val="16"/>
        </w:rPr>
        <w:t>五</w:t>
      </w:r>
      <w:r>
        <w:rPr>
          <w:spacing w:val="16"/>
        </w:rPr>
        <w:t>部分 合同格式</w:t>
      </w:r>
      <w:bookmarkEnd w:id="6"/>
    </w:p>
    <w:p>
      <w:pPr>
        <w:spacing w:before="7" w:line="360" w:lineRule="auto"/>
        <w:ind w:left="24" w:right="17"/>
        <w:jc w:val="center"/>
        <w:rPr>
          <w:rFonts w:ascii="新宋体" w:eastAsia="新宋体"/>
          <w:b/>
          <w:sz w:val="28"/>
        </w:rPr>
      </w:pPr>
      <w:r>
        <w:rPr>
          <w:rFonts w:hint="eastAsia" w:ascii="新宋体" w:eastAsia="新宋体"/>
          <w:b/>
          <w:spacing w:val="-24"/>
          <w:sz w:val="28"/>
        </w:rPr>
        <w:t>（仅为招标阶段参照文本格式，以最终签订合同为准</w:t>
      </w:r>
      <w:r>
        <w:rPr>
          <w:rFonts w:hint="eastAsia" w:ascii="新宋体" w:eastAsia="新宋体"/>
          <w:b/>
          <w:sz w:val="28"/>
        </w:rPr>
        <w:t>）</w:t>
      </w:r>
    </w:p>
    <w:p>
      <w:pPr>
        <w:spacing w:before="10" w:line="360" w:lineRule="auto"/>
        <w:ind w:right="16"/>
        <w:jc w:val="center"/>
        <w:rPr>
          <w:sz w:val="36"/>
        </w:rPr>
      </w:pPr>
      <w:r>
        <w:rPr>
          <w:spacing w:val="-1"/>
          <w:sz w:val="36"/>
        </w:rPr>
        <w:t>第一部分 合同协议书</w:t>
      </w:r>
    </w:p>
    <w:p>
      <w:pPr>
        <w:spacing w:before="155" w:line="388" w:lineRule="auto"/>
        <w:ind w:left="220" w:right="237" w:firstLine="480"/>
        <w:rPr>
          <w:sz w:val="24"/>
        </w:rPr>
      </w:pPr>
      <w:r>
        <w:rPr>
          <w:spacing w:val="-3"/>
          <w:sz w:val="24"/>
        </w:rPr>
        <w:t>《中华人民共和国招标投标法》、《中华人民共和国政府采购法》和其他法律、法规的规</w:t>
      </w:r>
      <w:r>
        <w:rPr>
          <w:sz w:val="24"/>
        </w:rPr>
        <w:t>定，并按照公正、平等、自愿、诚实信用的原则，同意按照以下条款和条件，签署本合同。</w:t>
      </w:r>
    </w:p>
    <w:p>
      <w:pPr>
        <w:spacing w:before="5"/>
        <w:ind w:left="700"/>
        <w:rPr>
          <w:sz w:val="24"/>
        </w:rPr>
      </w:pPr>
      <w:r>
        <w:rPr>
          <w:sz w:val="24"/>
        </w:rPr>
        <w:t>一、合同文件</w:t>
      </w:r>
    </w:p>
    <w:p>
      <w:pPr>
        <w:spacing w:before="194"/>
        <w:ind w:left="700"/>
        <w:rPr>
          <w:sz w:val="24"/>
        </w:rPr>
      </w:pPr>
      <w:r>
        <w:rPr>
          <w:sz w:val="24"/>
        </w:rPr>
        <w:t>本合同所附下列文件是构成本合同不可分割的部分：</w:t>
      </w:r>
    </w:p>
    <w:p>
      <w:pPr>
        <w:spacing w:before="196"/>
        <w:ind w:left="700"/>
        <w:rPr>
          <w:sz w:val="24"/>
        </w:rPr>
      </w:pPr>
      <w:r>
        <w:rPr>
          <w:sz w:val="24"/>
        </w:rPr>
        <w:t>（一）本项目磋商文件</w:t>
      </w:r>
    </w:p>
    <w:p>
      <w:pPr>
        <w:spacing w:before="195"/>
        <w:ind w:left="700"/>
        <w:rPr>
          <w:sz w:val="24"/>
        </w:rPr>
      </w:pPr>
      <w:r>
        <w:rPr>
          <w:sz w:val="24"/>
        </w:rPr>
        <w:t>（二）供应商的响应文件</w:t>
      </w:r>
    </w:p>
    <w:p>
      <w:pPr>
        <w:spacing w:before="194"/>
        <w:ind w:left="700"/>
        <w:rPr>
          <w:sz w:val="24"/>
        </w:rPr>
      </w:pPr>
      <w:r>
        <w:rPr>
          <w:sz w:val="24"/>
        </w:rPr>
        <w:t>（三）合同格式、合同条款</w:t>
      </w:r>
    </w:p>
    <w:p>
      <w:pPr>
        <w:spacing w:before="194"/>
        <w:ind w:left="700"/>
        <w:rPr>
          <w:sz w:val="24"/>
        </w:rPr>
      </w:pPr>
      <w:r>
        <w:rPr>
          <w:sz w:val="24"/>
        </w:rPr>
        <w:t>（四）中标人在评标过程中做出的有关澄清、说明或者补正文件</w:t>
      </w:r>
    </w:p>
    <w:p>
      <w:pPr>
        <w:spacing w:before="194"/>
        <w:ind w:left="700"/>
        <w:rPr>
          <w:sz w:val="24"/>
        </w:rPr>
      </w:pPr>
      <w:r>
        <w:rPr>
          <w:sz w:val="24"/>
        </w:rPr>
        <w:t>（五）中标通知书</w:t>
      </w:r>
    </w:p>
    <w:p>
      <w:pPr>
        <w:spacing w:before="195"/>
        <w:ind w:left="700"/>
        <w:rPr>
          <w:sz w:val="24"/>
        </w:rPr>
      </w:pPr>
      <w:r>
        <w:rPr>
          <w:sz w:val="24"/>
        </w:rPr>
        <w:t>（六）本合同附件</w:t>
      </w:r>
    </w:p>
    <w:p>
      <w:pPr>
        <w:spacing w:before="196"/>
        <w:ind w:left="700"/>
        <w:rPr>
          <w:sz w:val="24"/>
        </w:rPr>
      </w:pPr>
      <w:r>
        <w:rPr>
          <w:sz w:val="24"/>
        </w:rPr>
        <w:t>二、合同的范围和条件</w:t>
      </w:r>
    </w:p>
    <w:p>
      <w:pPr>
        <w:spacing w:before="194" w:line="391" w:lineRule="auto"/>
        <w:ind w:left="820" w:right="3743" w:hanging="120"/>
        <w:rPr>
          <w:sz w:val="24"/>
        </w:rPr>
      </w:pPr>
      <w:r>
        <w:rPr>
          <w:spacing w:val="-1"/>
          <w:sz w:val="24"/>
        </w:rPr>
        <w:t>本合同的范围和条件应与上述合同文件的规定相一致。</w:t>
      </w:r>
      <w:r>
        <w:rPr>
          <w:sz w:val="24"/>
        </w:rPr>
        <w:t>三、合同金额</w:t>
      </w:r>
    </w:p>
    <w:p>
      <w:pPr>
        <w:tabs>
          <w:tab w:val="left" w:pos="3580"/>
        </w:tabs>
        <w:spacing w:before="1" w:line="391" w:lineRule="auto"/>
        <w:ind w:left="700" w:right="2903"/>
        <w:rPr>
          <w:sz w:val="24"/>
        </w:rPr>
      </w:pPr>
      <w:r>
        <w:rPr>
          <w:sz w:val="24"/>
        </w:rPr>
        <w:t>合同总金额：人民币：</w:t>
      </w:r>
      <w:r>
        <w:rPr>
          <w:sz w:val="24"/>
        </w:rPr>
        <w:tab/>
      </w:r>
      <w:r>
        <w:rPr>
          <w:sz w:val="24"/>
        </w:rPr>
        <w:t>元（大写）</w:t>
      </w:r>
      <w:r>
        <w:rPr>
          <w:spacing w:val="-6"/>
          <w:sz w:val="24"/>
        </w:rPr>
        <w:t xml:space="preserve"> </w:t>
      </w:r>
      <w:r>
        <w:rPr>
          <w:sz w:val="24"/>
        </w:rPr>
        <w:t>人民币：</w:t>
      </w:r>
      <w:r>
        <w:rPr>
          <w:spacing w:val="110"/>
          <w:sz w:val="24"/>
        </w:rPr>
        <w:t xml:space="preserve"> </w:t>
      </w:r>
      <w:r>
        <w:rPr>
          <w:sz w:val="24"/>
        </w:rPr>
        <w:t>元（小写）</w:t>
      </w:r>
      <w:r>
        <w:rPr>
          <w:spacing w:val="-117"/>
          <w:sz w:val="24"/>
        </w:rPr>
        <w:t xml:space="preserve"> </w:t>
      </w:r>
      <w:r>
        <w:rPr>
          <w:sz w:val="24"/>
        </w:rPr>
        <w:t>四、质量要求：</w:t>
      </w:r>
    </w:p>
    <w:p>
      <w:pPr>
        <w:spacing w:before="1" w:line="393" w:lineRule="auto"/>
        <w:ind w:left="700" w:right="8064"/>
        <w:rPr>
          <w:sz w:val="24"/>
        </w:rPr>
      </w:pPr>
      <w:r>
        <w:rPr>
          <w:spacing w:val="-1"/>
          <w:sz w:val="24"/>
        </w:rPr>
        <w:t>五、付款方式</w:t>
      </w:r>
      <w:r>
        <w:rPr>
          <w:sz w:val="24"/>
        </w:rPr>
        <w:t>付款方式：</w:t>
      </w:r>
    </w:p>
    <w:p>
      <w:pPr>
        <w:spacing w:line="304" w:lineRule="exact"/>
        <w:ind w:left="700"/>
        <w:rPr>
          <w:sz w:val="24"/>
        </w:rPr>
      </w:pPr>
      <w:r>
        <w:rPr>
          <w:sz w:val="24"/>
        </w:rPr>
        <w:t>六、服务日期、地点</w:t>
      </w:r>
    </w:p>
    <w:p>
      <w:pPr>
        <w:spacing w:before="194"/>
        <w:ind w:left="640"/>
        <w:rPr>
          <w:sz w:val="24"/>
        </w:rPr>
      </w:pPr>
      <w:r>
        <w:rPr>
          <w:sz w:val="24"/>
        </w:rPr>
        <w:t>1</w:t>
      </w:r>
      <w:r>
        <w:rPr>
          <w:spacing w:val="13"/>
          <w:sz w:val="24"/>
        </w:rPr>
        <w:t>、服务时间：于 年 月 日以前完成。</w:t>
      </w:r>
    </w:p>
    <w:p>
      <w:pPr>
        <w:spacing w:before="194" w:line="391" w:lineRule="auto"/>
        <w:ind w:left="700" w:right="6803" w:hanging="60"/>
        <w:rPr>
          <w:sz w:val="24"/>
        </w:rPr>
      </w:pPr>
      <w:r>
        <w:rPr>
          <w:spacing w:val="-1"/>
          <w:sz w:val="24"/>
        </w:rPr>
        <w:t>2</w:t>
      </w:r>
      <w:r>
        <w:rPr>
          <w:sz w:val="24"/>
        </w:rPr>
        <w:t>、地点：甲方指定地点。七、合同保存</w:t>
      </w:r>
    </w:p>
    <w:p>
      <w:pPr>
        <w:tabs>
          <w:tab w:val="left" w:pos="2320"/>
          <w:tab w:val="left" w:pos="3580"/>
        </w:tabs>
        <w:spacing w:before="2" w:line="393" w:lineRule="auto"/>
        <w:ind w:left="700" w:right="2783" w:hanging="60"/>
        <w:rPr>
          <w:sz w:val="24"/>
        </w:rPr>
      </w:pPr>
      <w:r>
        <w:rPr>
          <w:sz w:val="24"/>
        </w:rPr>
        <w:t>本合同一式</w:t>
      </w:r>
      <w:r>
        <w:rPr>
          <w:sz w:val="24"/>
        </w:rPr>
        <w:tab/>
      </w:r>
      <w:r>
        <w:rPr>
          <w:sz w:val="24"/>
        </w:rPr>
        <w:t>份，甲方</w:t>
      </w:r>
      <w:r>
        <w:rPr>
          <w:sz w:val="24"/>
        </w:rPr>
        <w:tab/>
      </w:r>
      <w:r>
        <w:rPr>
          <w:sz w:val="24"/>
        </w:rPr>
        <w:t>份，乙方</w:t>
      </w:r>
      <w:r>
        <w:rPr>
          <w:spacing w:val="51"/>
          <w:sz w:val="24"/>
        </w:rPr>
        <w:t xml:space="preserve"> </w:t>
      </w:r>
      <w:r>
        <w:rPr>
          <w:sz w:val="24"/>
        </w:rPr>
        <w:t>份，采购代理机构</w:t>
      </w:r>
      <w:r>
        <w:rPr>
          <w:spacing w:val="54"/>
          <w:sz w:val="24"/>
        </w:rPr>
        <w:t xml:space="preserve"> </w:t>
      </w:r>
      <w:r>
        <w:rPr>
          <w:sz w:val="24"/>
        </w:rPr>
        <w:t>份。八、违约条款</w:t>
      </w:r>
    </w:p>
    <w:p>
      <w:pPr>
        <w:pStyle w:val="42"/>
        <w:numPr>
          <w:ilvl w:val="0"/>
          <w:numId w:val="6"/>
        </w:numPr>
        <w:tabs>
          <w:tab w:val="left" w:pos="1242"/>
        </w:tabs>
        <w:spacing w:line="388" w:lineRule="auto"/>
        <w:ind w:right="116" w:firstLine="0"/>
        <w:rPr>
          <w:sz w:val="7"/>
        </w:rPr>
      </w:pPr>
      <w:r>
        <w:rPr>
          <w:spacing w:val="-2"/>
          <w:sz w:val="24"/>
        </w:rPr>
        <w:t xml:space="preserve">合同一方违约，违约方向对方支付违约金，违约金额为中标金额的 </w:t>
      </w:r>
      <w:r>
        <w:rPr>
          <w:sz w:val="24"/>
        </w:rPr>
        <w:t>10%。乙方违约，</w:t>
      </w:r>
      <w:r>
        <w:rPr>
          <w:spacing w:val="-117"/>
          <w:sz w:val="24"/>
        </w:rPr>
        <w:t xml:space="preserve"> </w:t>
      </w:r>
      <w:r>
        <w:rPr>
          <w:sz w:val="24"/>
        </w:rPr>
        <w:t>直接从进度款或履约保金中扣除；甲方违约，从合同款项中扣除。</w:t>
      </w:r>
    </w:p>
    <w:p>
      <w:pPr>
        <w:pStyle w:val="42"/>
        <w:numPr>
          <w:ilvl w:val="0"/>
          <w:numId w:val="6"/>
        </w:numPr>
        <w:tabs>
          <w:tab w:val="left" w:pos="1302"/>
        </w:tabs>
        <w:spacing w:before="66" w:line="388" w:lineRule="auto"/>
        <w:ind w:left="220" w:right="263" w:firstLine="480"/>
        <w:rPr>
          <w:sz w:val="24"/>
        </w:rPr>
      </w:pPr>
      <w:r>
        <w:rPr>
          <w:spacing w:val="-1"/>
          <w:sz w:val="24"/>
        </w:rPr>
        <w:t>乙方给用户造成的实际损失高于违约金的，乙方应给用户对高出违约金的部分予以</w:t>
      </w:r>
      <w:r>
        <w:rPr>
          <w:sz w:val="24"/>
        </w:rPr>
        <w:t>赔偿。</w:t>
      </w:r>
    </w:p>
    <w:p>
      <w:pPr>
        <w:pStyle w:val="42"/>
        <w:numPr>
          <w:ilvl w:val="0"/>
          <w:numId w:val="6"/>
        </w:numPr>
        <w:tabs>
          <w:tab w:val="left" w:pos="1302"/>
        </w:tabs>
        <w:spacing w:before="8" w:line="388" w:lineRule="auto"/>
        <w:ind w:left="220" w:right="263" w:firstLine="480"/>
        <w:rPr>
          <w:sz w:val="24"/>
        </w:rPr>
      </w:pPr>
      <w:r>
        <w:rPr>
          <w:spacing w:val="-1"/>
          <w:sz w:val="24"/>
        </w:rPr>
        <w:t>乙方迟延履行合同、不完全履行合同或提供的服务不符合招标文件的要求，除支付</w:t>
      </w:r>
      <w:r>
        <w:rPr>
          <w:sz w:val="24"/>
        </w:rPr>
        <w:t>违约金外，仍应实际履行合同或重新提供符合要求的服务。</w:t>
      </w:r>
    </w:p>
    <w:p>
      <w:pPr>
        <w:pStyle w:val="42"/>
        <w:numPr>
          <w:ilvl w:val="0"/>
          <w:numId w:val="6"/>
        </w:numPr>
        <w:tabs>
          <w:tab w:val="left" w:pos="1302"/>
        </w:tabs>
        <w:spacing w:before="4"/>
        <w:ind w:left="1301" w:hanging="602"/>
        <w:rPr>
          <w:sz w:val="24"/>
        </w:rPr>
      </w:pPr>
      <w:r>
        <w:rPr>
          <w:sz w:val="24"/>
        </w:rPr>
        <w:t>由于乙方原因造成的延期，每延期一天，需支付甲方损失为合同总价款的 1‰。</w:t>
      </w:r>
    </w:p>
    <w:p>
      <w:pPr>
        <w:pStyle w:val="42"/>
        <w:numPr>
          <w:ilvl w:val="0"/>
          <w:numId w:val="6"/>
        </w:numPr>
        <w:tabs>
          <w:tab w:val="left" w:pos="1302"/>
        </w:tabs>
        <w:spacing w:before="194"/>
        <w:ind w:left="1301" w:hanging="602"/>
        <w:rPr>
          <w:sz w:val="24"/>
        </w:rPr>
      </w:pPr>
      <w:r>
        <w:rPr>
          <w:sz w:val="24"/>
        </w:rPr>
        <w:t>甲方和乙方若需签订补充协议，补充协议与该合同具有同等法律效力。</w:t>
      </w:r>
    </w:p>
    <w:p>
      <w:pPr>
        <w:pStyle w:val="42"/>
        <w:numPr>
          <w:ilvl w:val="0"/>
          <w:numId w:val="6"/>
        </w:numPr>
        <w:tabs>
          <w:tab w:val="left" w:pos="1302"/>
        </w:tabs>
        <w:spacing w:before="194"/>
        <w:ind w:left="1301" w:hanging="602"/>
        <w:jc w:val="both"/>
        <w:rPr>
          <w:sz w:val="24"/>
        </w:rPr>
      </w:pPr>
      <w:r>
        <w:rPr>
          <w:sz w:val="24"/>
        </w:rPr>
        <w:t>其它未尽事宜，以《中华人民共和国合同法》规定为准。 九、合同生效及其它</w:t>
      </w:r>
    </w:p>
    <w:p>
      <w:pPr>
        <w:pStyle w:val="42"/>
        <w:numPr>
          <w:ilvl w:val="0"/>
          <w:numId w:val="7"/>
        </w:numPr>
        <w:tabs>
          <w:tab w:val="left" w:pos="1302"/>
        </w:tabs>
        <w:spacing w:before="197" w:line="388" w:lineRule="auto"/>
        <w:ind w:right="236" w:firstLine="480"/>
        <w:jc w:val="both"/>
        <w:rPr>
          <w:sz w:val="24"/>
        </w:rPr>
      </w:pPr>
      <w:r>
        <w:rPr>
          <w:sz w:val="24"/>
        </w:rPr>
        <w:t>合同签订后供需双方即直接产生权利与义务的关系，合同执行过程中出现的问题应</w:t>
      </w:r>
      <w:r>
        <w:rPr>
          <w:spacing w:val="-3"/>
          <w:sz w:val="24"/>
        </w:rPr>
        <w:t>按照《合同法》的规定办理；在合同履行过程中，双方如有争议，经协商无效，任何一方可向</w:t>
      </w:r>
      <w:r>
        <w:rPr>
          <w:sz w:val="24"/>
        </w:rPr>
        <w:t>需方所在地人民法院提起诉讼。</w:t>
      </w:r>
    </w:p>
    <w:p>
      <w:pPr>
        <w:pStyle w:val="42"/>
        <w:numPr>
          <w:ilvl w:val="0"/>
          <w:numId w:val="7"/>
        </w:numPr>
        <w:tabs>
          <w:tab w:val="left" w:pos="1302"/>
        </w:tabs>
        <w:spacing w:before="6" w:line="391" w:lineRule="auto"/>
        <w:ind w:right="263" w:firstLine="480"/>
        <w:rPr>
          <w:sz w:val="24"/>
        </w:rPr>
      </w:pPr>
      <w:r>
        <w:rPr>
          <w:spacing w:val="-1"/>
          <w:sz w:val="24"/>
        </w:rPr>
        <w:t>合同在执行过程中出现的未尽事宜，双方在不违背本合同和招标文件的原则下协商</w:t>
      </w:r>
      <w:r>
        <w:rPr>
          <w:sz w:val="24"/>
        </w:rPr>
        <w:t>解决，协商结果以书面形式盖章记录在案，作为本合同的附件，与本合同具有同等效力。</w:t>
      </w:r>
    </w:p>
    <w:p>
      <w:pPr>
        <w:tabs>
          <w:tab w:val="left" w:pos="4720"/>
        </w:tabs>
        <w:spacing w:before="15"/>
        <w:ind w:left="940"/>
        <w:rPr>
          <w:sz w:val="24"/>
        </w:rPr>
      </w:pPr>
      <w:r>
        <w:rPr>
          <w:sz w:val="24"/>
        </w:rPr>
        <w:t>甲</w:t>
      </w:r>
      <w:r>
        <w:rPr>
          <w:spacing w:val="179"/>
          <w:sz w:val="24"/>
        </w:rPr>
        <w:t xml:space="preserve"> </w:t>
      </w:r>
      <w:r>
        <w:rPr>
          <w:sz w:val="24"/>
        </w:rPr>
        <w:t>方（公章）：</w:t>
      </w:r>
      <w:r>
        <w:rPr>
          <w:sz w:val="24"/>
        </w:rPr>
        <w:tab/>
      </w:r>
      <w:r>
        <w:rPr>
          <w:sz w:val="24"/>
        </w:rPr>
        <w:t>乙</w:t>
      </w:r>
      <w:r>
        <w:rPr>
          <w:spacing w:val="180"/>
          <w:sz w:val="24"/>
        </w:rPr>
        <w:t xml:space="preserve"> </w:t>
      </w:r>
      <w:r>
        <w:rPr>
          <w:sz w:val="24"/>
        </w:rPr>
        <w:t>方（公章）：</w:t>
      </w:r>
    </w:p>
    <w:p>
      <w:pPr>
        <w:tabs>
          <w:tab w:val="left" w:pos="4500"/>
        </w:tabs>
        <w:spacing w:before="214" w:line="408" w:lineRule="auto"/>
        <w:ind w:left="779" w:right="1523"/>
        <w:rPr>
          <w:sz w:val="24"/>
        </w:rPr>
      </w:pPr>
      <w:r>
        <w:rPr>
          <w:sz w:val="24"/>
        </w:rPr>
        <w:t>法定代表人或授权代理人：（签字）</w:t>
      </w:r>
      <w:r>
        <w:rPr>
          <w:spacing w:val="86"/>
          <w:sz w:val="24"/>
        </w:rPr>
        <w:t xml:space="preserve"> </w:t>
      </w:r>
      <w:r>
        <w:rPr>
          <w:sz w:val="24"/>
        </w:rPr>
        <w:t>法定代表人或授权代理人：（签字）</w:t>
      </w:r>
      <w:r>
        <w:rPr>
          <w:spacing w:val="-117"/>
          <w:sz w:val="24"/>
        </w:rPr>
        <w:t xml:space="preserve"> </w:t>
      </w:r>
      <w:r>
        <w:rPr>
          <w:sz w:val="24"/>
        </w:rPr>
        <w:t>开户单位：</w:t>
      </w:r>
      <w:r>
        <w:rPr>
          <w:rFonts w:hint="eastAsia"/>
          <w:sz w:val="24"/>
        </w:rPr>
        <w:tab/>
      </w:r>
      <w:r>
        <w:rPr>
          <w:sz w:val="24"/>
        </w:rPr>
        <w:t>开户单位：</w:t>
      </w:r>
    </w:p>
    <w:p>
      <w:pPr>
        <w:tabs>
          <w:tab w:val="left" w:pos="4600"/>
        </w:tabs>
        <w:spacing w:line="360" w:lineRule="auto"/>
        <w:ind w:left="697"/>
        <w:rPr>
          <w:sz w:val="24"/>
        </w:rPr>
      </w:pPr>
      <w:r>
        <w:rPr>
          <w:sz w:val="24"/>
        </w:rPr>
        <w:t>开户银行：</w:t>
      </w:r>
      <w:r>
        <w:rPr>
          <w:rFonts w:hint="eastAsia"/>
          <w:sz w:val="24"/>
        </w:rPr>
        <w:tab/>
      </w:r>
      <w:r>
        <w:rPr>
          <w:sz w:val="24"/>
        </w:rPr>
        <w:t>开户银行：</w:t>
      </w:r>
    </w:p>
    <w:p>
      <w:pPr>
        <w:tabs>
          <w:tab w:val="left" w:pos="4600"/>
        </w:tabs>
        <w:spacing w:line="360" w:lineRule="auto"/>
        <w:ind w:left="697"/>
        <w:rPr>
          <w:sz w:val="24"/>
        </w:rPr>
      </w:pPr>
      <w:r>
        <w:rPr>
          <w:sz w:val="24"/>
        </w:rPr>
        <w:t>帐 号：</w:t>
      </w:r>
      <w:r>
        <w:rPr>
          <w:sz w:val="24"/>
        </w:rPr>
        <w:tab/>
      </w:r>
      <w:r>
        <w:rPr>
          <w:sz w:val="24"/>
        </w:rPr>
        <w:t>帐 号：</w:t>
      </w:r>
    </w:p>
    <w:p>
      <w:pPr>
        <w:tabs>
          <w:tab w:val="left" w:pos="4600"/>
        </w:tabs>
        <w:spacing w:line="360" w:lineRule="auto"/>
        <w:ind w:left="697"/>
        <w:rPr>
          <w:sz w:val="24"/>
        </w:rPr>
      </w:pPr>
      <w:r>
        <w:rPr>
          <w:sz w:val="24"/>
        </w:rPr>
        <w:t>地 址：</w:t>
      </w:r>
      <w:r>
        <w:rPr>
          <w:sz w:val="24"/>
        </w:rPr>
        <w:tab/>
      </w:r>
      <w:r>
        <w:rPr>
          <w:sz w:val="24"/>
        </w:rPr>
        <w:t>地 址：</w:t>
      </w:r>
    </w:p>
    <w:p>
      <w:pPr>
        <w:tabs>
          <w:tab w:val="left" w:pos="4600"/>
        </w:tabs>
        <w:spacing w:line="360" w:lineRule="auto"/>
        <w:ind w:left="697"/>
        <w:rPr>
          <w:sz w:val="24"/>
        </w:rPr>
      </w:pPr>
      <w:r>
        <w:rPr>
          <w:sz w:val="24"/>
        </w:rPr>
        <w:t>电 话：</w:t>
      </w:r>
      <w:r>
        <w:rPr>
          <w:sz w:val="24"/>
        </w:rPr>
        <w:tab/>
      </w:r>
      <w:r>
        <w:rPr>
          <w:sz w:val="24"/>
        </w:rPr>
        <w:t>电 话：</w:t>
      </w:r>
    </w:p>
    <w:p>
      <w:pPr>
        <w:tabs>
          <w:tab w:val="left" w:pos="4480"/>
        </w:tabs>
        <w:spacing w:before="214" w:line="360" w:lineRule="auto"/>
        <w:ind w:left="697"/>
        <w:rPr>
          <w:sz w:val="24"/>
        </w:rPr>
      </w:pPr>
      <w:r>
        <w:rPr>
          <w:sz w:val="24"/>
        </w:rPr>
        <w:t>签订时间：</w:t>
      </w:r>
      <w:r>
        <w:rPr>
          <w:sz w:val="24"/>
        </w:rPr>
        <w:tab/>
      </w:r>
      <w:r>
        <w:rPr>
          <w:sz w:val="24"/>
        </w:rPr>
        <w:t>签订时间：</w:t>
      </w:r>
    </w:p>
    <w:p>
      <w:pPr>
        <w:jc w:val="both"/>
        <w:rPr>
          <w:sz w:val="24"/>
        </w:rPr>
        <w:sectPr>
          <w:headerReference r:id="rId6" w:type="default"/>
          <w:footerReference r:id="rId7" w:type="default"/>
          <w:pgSz w:w="11910" w:h="16840"/>
          <w:pgMar w:top="1320" w:right="840" w:bottom="1000" w:left="860" w:header="1131" w:footer="805" w:gutter="0"/>
          <w:cols w:space="720" w:num="1"/>
        </w:sectPr>
      </w:pPr>
    </w:p>
    <w:p>
      <w:pPr>
        <w:pStyle w:val="3"/>
        <w:spacing w:before="10"/>
        <w:rPr>
          <w:sz w:val="3"/>
        </w:rPr>
      </w:pPr>
    </w:p>
    <w:p>
      <w:pPr>
        <w:pStyle w:val="3"/>
        <w:spacing w:line="57" w:lineRule="exact"/>
        <w:ind w:left="191"/>
        <w:rPr>
          <w:sz w:val="5"/>
        </w:rPr>
      </w:pPr>
      <w:r>
        <w:rPr>
          <w:sz w:val="5"/>
        </w:rPr>
        <w:drawing>
          <wp:inline distT="0" distB="0" distL="0" distR="0">
            <wp:extent cx="6226175" cy="36195"/>
            <wp:effectExtent l="0" t="0" r="0" b="0"/>
            <wp:docPr id="1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3.png"/>
                    <pic:cNvPicPr>
                      <a:picLocks noChangeAspect="1"/>
                    </pic:cNvPicPr>
                  </pic:nvPicPr>
                  <pic:blipFill>
                    <a:blip r:embed="rId13" cstate="print"/>
                    <a:stretch>
                      <a:fillRect/>
                    </a:stretch>
                  </pic:blipFill>
                  <pic:spPr>
                    <a:xfrm>
                      <a:off x="0" y="0"/>
                      <a:ext cx="6226809" cy="36575"/>
                    </a:xfrm>
                    <a:prstGeom prst="rect">
                      <a:avLst/>
                    </a:prstGeom>
                  </pic:spPr>
                </pic:pic>
              </a:graphicData>
            </a:graphic>
          </wp:inline>
        </w:drawing>
      </w:r>
    </w:p>
    <w:p>
      <w:pPr>
        <w:rPr>
          <w:spacing w:val="9"/>
        </w:rPr>
      </w:pPr>
      <w:bookmarkStart w:id="7" w:name="_Toc24507"/>
    </w:p>
    <w:p>
      <w:pPr>
        <w:pStyle w:val="5"/>
        <w:spacing w:before="3"/>
        <w:ind w:left="0" w:right="16"/>
        <w:jc w:val="center"/>
      </w:pPr>
      <w:r>
        <w:rPr>
          <w:spacing w:val="9"/>
        </w:rPr>
        <w:t>第</w:t>
      </w:r>
      <w:r>
        <w:rPr>
          <w:rFonts w:hint="eastAsia"/>
          <w:spacing w:val="9"/>
        </w:rPr>
        <w:t>六</w:t>
      </w:r>
      <w:r>
        <w:rPr>
          <w:spacing w:val="9"/>
        </w:rPr>
        <w:t>部分 电子标响应</w:t>
      </w:r>
      <w:r>
        <w:rPr>
          <w:rFonts w:hint="eastAsia"/>
          <w:spacing w:val="9"/>
        </w:rPr>
        <w:t>性</w:t>
      </w:r>
      <w:r>
        <w:rPr>
          <w:spacing w:val="9"/>
        </w:rPr>
        <w:t>文件格式</w:t>
      </w:r>
      <w:bookmarkEnd w:id="7"/>
    </w:p>
    <w:p>
      <w:pPr>
        <w:pStyle w:val="3"/>
        <w:rPr>
          <w:b/>
          <w:sz w:val="20"/>
        </w:rPr>
      </w:pPr>
    </w:p>
    <w:p>
      <w:pPr>
        <w:pStyle w:val="3"/>
        <w:rPr>
          <w:b/>
          <w:sz w:val="20"/>
        </w:rPr>
      </w:pPr>
    </w:p>
    <w:p>
      <w:pPr>
        <w:pStyle w:val="3"/>
        <w:spacing w:before="7"/>
        <w:rPr>
          <w:b/>
          <w:sz w:val="18"/>
        </w:rPr>
      </w:pPr>
    </w:p>
    <w:p>
      <w:pPr>
        <w:ind w:left="220"/>
        <w:rPr>
          <w:b/>
          <w:bCs/>
          <w:sz w:val="24"/>
        </w:rPr>
      </w:pPr>
      <w:r>
        <w:rPr>
          <w:b/>
          <w:bCs/>
          <w:sz w:val="24"/>
        </w:rPr>
        <w:t>响应文件封面格式</w:t>
      </w:r>
    </w:p>
    <w:p>
      <w:pPr>
        <w:pStyle w:val="3"/>
        <w:rPr>
          <w:sz w:val="20"/>
        </w:rPr>
      </w:pPr>
    </w:p>
    <w:p>
      <w:pPr>
        <w:pStyle w:val="3"/>
        <w:rPr>
          <w:sz w:val="20"/>
        </w:rPr>
      </w:pPr>
    </w:p>
    <w:p>
      <w:pPr>
        <w:pStyle w:val="3"/>
        <w:rPr>
          <w:sz w:val="20"/>
        </w:rPr>
      </w:pPr>
    </w:p>
    <w:p>
      <w:pPr>
        <w:pStyle w:val="3"/>
        <w:spacing w:before="4"/>
        <w:rPr>
          <w:sz w:val="16"/>
        </w:rPr>
      </w:pPr>
    </w:p>
    <w:p>
      <w:pPr>
        <w:tabs>
          <w:tab w:val="left" w:pos="4419"/>
        </w:tabs>
        <w:spacing w:before="57"/>
        <w:ind w:right="16"/>
        <w:jc w:val="center"/>
        <w:rPr>
          <w:b/>
          <w:sz w:val="40"/>
        </w:rPr>
      </w:pPr>
      <w:r>
        <w:rPr>
          <w:rFonts w:ascii="Times New Roman" w:eastAsia="Times New Roman"/>
          <w:b/>
          <w:sz w:val="40"/>
          <w:u w:val="thick"/>
        </w:rPr>
        <w:t xml:space="preserve"> </w:t>
      </w:r>
      <w:r>
        <w:rPr>
          <w:rFonts w:ascii="Times New Roman" w:eastAsia="Times New Roman"/>
          <w:b/>
          <w:sz w:val="40"/>
          <w:u w:val="thick"/>
        </w:rPr>
        <w:tab/>
      </w:r>
      <w:r>
        <w:rPr>
          <w:b/>
          <w:sz w:val="40"/>
        </w:rPr>
        <w:t>项目</w:t>
      </w:r>
    </w:p>
    <w:p>
      <w:pPr>
        <w:pStyle w:val="3"/>
        <w:rPr>
          <w:b/>
          <w:sz w:val="20"/>
        </w:rPr>
      </w:pPr>
    </w:p>
    <w:p>
      <w:pPr>
        <w:pStyle w:val="3"/>
        <w:rPr>
          <w:b/>
          <w:sz w:val="20"/>
        </w:rPr>
      </w:pPr>
    </w:p>
    <w:p>
      <w:pPr>
        <w:pStyle w:val="3"/>
        <w:rPr>
          <w:b/>
          <w:sz w:val="20"/>
        </w:rPr>
      </w:pPr>
    </w:p>
    <w:p>
      <w:pPr>
        <w:pStyle w:val="3"/>
        <w:rPr>
          <w:b/>
          <w:sz w:val="20"/>
        </w:rPr>
      </w:pPr>
    </w:p>
    <w:p>
      <w:pPr>
        <w:pStyle w:val="3"/>
        <w:rPr>
          <w:b/>
          <w:sz w:val="20"/>
        </w:rPr>
      </w:pPr>
    </w:p>
    <w:p>
      <w:pPr>
        <w:pStyle w:val="3"/>
        <w:rPr>
          <w:b/>
          <w:sz w:val="20"/>
        </w:rPr>
      </w:pPr>
    </w:p>
    <w:p>
      <w:pPr>
        <w:pStyle w:val="3"/>
        <w:rPr>
          <w:b/>
          <w:sz w:val="20"/>
        </w:rPr>
      </w:pPr>
    </w:p>
    <w:p>
      <w:pPr>
        <w:pStyle w:val="3"/>
        <w:rPr>
          <w:b/>
          <w:sz w:val="20"/>
        </w:rPr>
      </w:pPr>
    </w:p>
    <w:p>
      <w:pPr>
        <w:pStyle w:val="3"/>
        <w:rPr>
          <w:b/>
          <w:sz w:val="20"/>
        </w:rPr>
      </w:pPr>
    </w:p>
    <w:p>
      <w:pPr>
        <w:pStyle w:val="3"/>
        <w:rPr>
          <w:b/>
          <w:sz w:val="20"/>
        </w:rPr>
      </w:pPr>
    </w:p>
    <w:p>
      <w:pPr>
        <w:pStyle w:val="3"/>
        <w:rPr>
          <w:b/>
          <w:sz w:val="20"/>
        </w:rPr>
      </w:pPr>
    </w:p>
    <w:p>
      <w:pPr>
        <w:spacing w:before="172"/>
        <w:ind w:right="18"/>
        <w:jc w:val="center"/>
        <w:rPr>
          <w:sz w:val="72"/>
        </w:rPr>
      </w:pPr>
      <w:r>
        <w:rPr>
          <w:sz w:val="72"/>
        </w:rPr>
        <w:t>响应性文件</w:t>
      </w:r>
    </w:p>
    <w:p>
      <w:pPr>
        <w:spacing w:before="167"/>
        <w:ind w:right="18"/>
        <w:jc w:val="center"/>
        <w:rPr>
          <w:sz w:val="24"/>
        </w:rPr>
      </w:pPr>
      <w:r>
        <w:rPr>
          <w:sz w:val="24"/>
        </w:rPr>
        <w:t>采购编号：</w:t>
      </w:r>
    </w:p>
    <w:p>
      <w:pPr>
        <w:pStyle w:val="3"/>
        <w:rPr>
          <w:sz w:val="24"/>
        </w:rPr>
      </w:pPr>
    </w:p>
    <w:p>
      <w:pPr>
        <w:pStyle w:val="3"/>
        <w:rPr>
          <w:sz w:val="24"/>
        </w:rPr>
      </w:pPr>
    </w:p>
    <w:p>
      <w:pPr>
        <w:pStyle w:val="3"/>
        <w:rPr>
          <w:sz w:val="24"/>
        </w:rPr>
      </w:pPr>
    </w:p>
    <w:p>
      <w:pPr>
        <w:pStyle w:val="3"/>
        <w:rPr>
          <w:sz w:val="24"/>
        </w:rPr>
      </w:pPr>
    </w:p>
    <w:p>
      <w:pPr>
        <w:pStyle w:val="3"/>
        <w:rPr>
          <w:sz w:val="24"/>
        </w:rPr>
      </w:pPr>
    </w:p>
    <w:p>
      <w:pPr>
        <w:pStyle w:val="3"/>
        <w:rPr>
          <w:sz w:val="24"/>
        </w:rPr>
      </w:pPr>
    </w:p>
    <w:p>
      <w:pPr>
        <w:pStyle w:val="3"/>
        <w:spacing w:before="8"/>
        <w:rPr>
          <w:sz w:val="32"/>
        </w:rPr>
      </w:pPr>
    </w:p>
    <w:p>
      <w:pPr>
        <w:pStyle w:val="4"/>
      </w:pPr>
    </w:p>
    <w:p>
      <w:pPr>
        <w:spacing w:before="1"/>
        <w:ind w:right="15"/>
        <w:jc w:val="center"/>
        <w:rPr>
          <w:sz w:val="28"/>
        </w:rPr>
      </w:pPr>
      <w:r>
        <w:rPr>
          <w:sz w:val="28"/>
        </w:rPr>
        <w:t>供应商名称：（电子签章）</w:t>
      </w:r>
    </w:p>
    <w:p>
      <w:pPr>
        <w:pStyle w:val="3"/>
        <w:spacing w:before="7"/>
        <w:rPr>
          <w:sz w:val="34"/>
        </w:rPr>
      </w:pPr>
    </w:p>
    <w:p>
      <w:pPr>
        <w:spacing w:before="1"/>
        <w:ind w:right="520"/>
        <w:jc w:val="center"/>
        <w:rPr>
          <w:sz w:val="28"/>
        </w:rPr>
      </w:pPr>
      <w:r>
        <w:rPr>
          <w:spacing w:val="-1"/>
          <w:sz w:val="28"/>
        </w:rPr>
        <w:t>法定代表人或其委托代理人：</w:t>
      </w:r>
      <w:r>
        <w:rPr>
          <w:sz w:val="28"/>
        </w:rPr>
        <w:t>（电子签章）</w:t>
      </w:r>
    </w:p>
    <w:p>
      <w:pPr>
        <w:pStyle w:val="3"/>
        <w:spacing w:before="4"/>
        <w:rPr>
          <w:sz w:val="34"/>
        </w:rPr>
      </w:pPr>
    </w:p>
    <w:p>
      <w:pPr>
        <w:tabs>
          <w:tab w:val="left" w:pos="842"/>
          <w:tab w:val="left" w:pos="1682"/>
        </w:tabs>
        <w:ind w:right="13"/>
        <w:jc w:val="center"/>
        <w:rPr>
          <w:sz w:val="28"/>
        </w:rPr>
      </w:pPr>
      <w:r>
        <w:rPr>
          <w:sz w:val="28"/>
        </w:rPr>
        <w:t>年</w:t>
      </w:r>
      <w:r>
        <w:rPr>
          <w:sz w:val="28"/>
        </w:rPr>
        <w:tab/>
      </w:r>
      <w:r>
        <w:rPr>
          <w:sz w:val="28"/>
        </w:rPr>
        <w:t>月</w:t>
      </w:r>
      <w:r>
        <w:rPr>
          <w:sz w:val="28"/>
        </w:rPr>
        <w:tab/>
      </w:r>
      <w:r>
        <w:rPr>
          <w:sz w:val="28"/>
        </w:rPr>
        <w:t>日</w:t>
      </w:r>
    </w:p>
    <w:p>
      <w:pPr>
        <w:jc w:val="center"/>
        <w:rPr>
          <w:sz w:val="28"/>
        </w:rPr>
        <w:sectPr>
          <w:pgSz w:w="11910" w:h="16840"/>
          <w:pgMar w:top="1320" w:right="840" w:bottom="1000" w:left="860" w:header="1131" w:footer="805" w:gutter="0"/>
          <w:cols w:space="720" w:num="1"/>
        </w:sectPr>
      </w:pPr>
    </w:p>
    <w:p>
      <w:pPr>
        <w:pStyle w:val="3"/>
        <w:spacing w:before="10"/>
        <w:rPr>
          <w:sz w:val="3"/>
        </w:rPr>
      </w:pPr>
    </w:p>
    <w:p>
      <w:pPr>
        <w:pStyle w:val="3"/>
        <w:spacing w:line="57" w:lineRule="exact"/>
        <w:ind w:left="191"/>
        <w:rPr>
          <w:sz w:val="5"/>
        </w:rPr>
      </w:pPr>
    </w:p>
    <w:p>
      <w:pPr>
        <w:jc w:val="center"/>
        <w:rPr>
          <w:b/>
          <w:bCs/>
          <w:sz w:val="36"/>
          <w:szCs w:val="36"/>
        </w:rPr>
      </w:pPr>
      <w:r>
        <w:rPr>
          <w:b/>
          <w:bCs/>
          <w:w w:val="95"/>
          <w:sz w:val="36"/>
          <w:szCs w:val="36"/>
        </w:rPr>
        <w:t>一、磋商函及磋商一览表</w:t>
      </w:r>
    </w:p>
    <w:p>
      <w:pPr>
        <w:pStyle w:val="3"/>
        <w:rPr>
          <w:b/>
          <w:sz w:val="25"/>
        </w:rPr>
      </w:pPr>
    </w:p>
    <w:p>
      <w:pPr>
        <w:spacing w:before="66"/>
        <w:ind w:left="4312"/>
        <w:rPr>
          <w:b/>
          <w:sz w:val="24"/>
          <w:szCs w:val="24"/>
        </w:rPr>
      </w:pPr>
      <w:r>
        <w:rPr>
          <w:b/>
          <w:sz w:val="24"/>
          <w:szCs w:val="24"/>
        </w:rPr>
        <w:t>（一）</w:t>
      </w:r>
      <w:r>
        <w:rPr>
          <w:b/>
          <w:spacing w:val="-2"/>
          <w:sz w:val="24"/>
          <w:szCs w:val="24"/>
        </w:rPr>
        <w:t xml:space="preserve"> 磋商函</w:t>
      </w:r>
    </w:p>
    <w:p>
      <w:pPr>
        <w:spacing w:before="113" w:line="360" w:lineRule="auto"/>
        <w:ind w:left="220"/>
        <w:rPr>
          <w:sz w:val="24"/>
          <w:szCs w:val="24"/>
        </w:rPr>
      </w:pPr>
      <w:r>
        <w:rPr>
          <w:sz w:val="24"/>
          <w:szCs w:val="24"/>
        </w:rPr>
        <w:t>（采购人名称）：</w:t>
      </w:r>
    </w:p>
    <w:p>
      <w:pPr>
        <w:pStyle w:val="42"/>
        <w:numPr>
          <w:ilvl w:val="1"/>
          <w:numId w:val="7"/>
        </w:numPr>
        <w:tabs>
          <w:tab w:val="left" w:pos="1199"/>
          <w:tab w:val="left" w:pos="1780"/>
          <w:tab w:val="left" w:pos="3700"/>
        </w:tabs>
        <w:spacing w:before="112" w:line="360" w:lineRule="auto"/>
        <w:ind w:right="234" w:firstLine="617"/>
        <w:rPr>
          <w:sz w:val="24"/>
          <w:szCs w:val="24"/>
        </w:rPr>
      </w:pPr>
      <w:r>
        <w:rPr>
          <w:sz w:val="24"/>
          <w:szCs w:val="24"/>
        </w:rPr>
        <w:t>我方已仔细研究</w:t>
      </w:r>
      <w:r>
        <w:rPr>
          <w:spacing w:val="-22"/>
          <w:sz w:val="24"/>
          <w:szCs w:val="24"/>
        </w:rPr>
        <w:t>了</w:t>
      </w:r>
      <w:r>
        <w:rPr>
          <w:sz w:val="24"/>
          <w:szCs w:val="24"/>
        </w:rPr>
        <w:t>（项目名称</w:t>
      </w:r>
      <w:r>
        <w:rPr>
          <w:spacing w:val="-22"/>
          <w:sz w:val="24"/>
          <w:szCs w:val="24"/>
        </w:rPr>
        <w:t>）</w:t>
      </w:r>
      <w:r>
        <w:rPr>
          <w:sz w:val="24"/>
          <w:szCs w:val="24"/>
        </w:rPr>
        <w:t>磋商文件的全部内容</w:t>
      </w:r>
      <w:r>
        <w:rPr>
          <w:spacing w:val="-22"/>
          <w:sz w:val="24"/>
          <w:szCs w:val="24"/>
        </w:rPr>
        <w:t>，</w:t>
      </w:r>
      <w:r>
        <w:rPr>
          <w:sz w:val="24"/>
          <w:szCs w:val="24"/>
        </w:rPr>
        <w:t>自愿参与本项目的投标</w:t>
      </w:r>
      <w:r>
        <w:rPr>
          <w:spacing w:val="-22"/>
          <w:sz w:val="24"/>
          <w:szCs w:val="24"/>
        </w:rPr>
        <w:t>。</w:t>
      </w:r>
      <w:r>
        <w:rPr>
          <w:sz w:val="24"/>
          <w:szCs w:val="24"/>
        </w:rPr>
        <w:t>磋</w:t>
      </w:r>
      <w:r>
        <w:rPr>
          <w:spacing w:val="-15"/>
          <w:sz w:val="24"/>
          <w:szCs w:val="24"/>
        </w:rPr>
        <w:t>商</w:t>
      </w:r>
      <w:r>
        <w:rPr>
          <w:sz w:val="24"/>
          <w:szCs w:val="24"/>
        </w:rPr>
        <w:t>报价</w:t>
      </w:r>
      <w:r>
        <w:rPr>
          <w:rFonts w:ascii="Times New Roman" w:eastAsia="Times New Roman"/>
          <w:sz w:val="24"/>
          <w:szCs w:val="24"/>
          <w:u w:val="single"/>
        </w:rPr>
        <w:tab/>
      </w:r>
      <w:r>
        <w:rPr>
          <w:sz w:val="24"/>
          <w:szCs w:val="24"/>
        </w:rPr>
        <w:t>元，</w:t>
      </w:r>
      <w:r>
        <w:rPr>
          <w:rFonts w:hint="eastAsia"/>
          <w:sz w:val="24"/>
          <w:szCs w:val="24"/>
        </w:rPr>
        <w:t>服务期限</w:t>
      </w:r>
      <w:r>
        <w:rPr>
          <w:sz w:val="24"/>
          <w:szCs w:val="24"/>
        </w:rPr>
        <w:t>为</w:t>
      </w:r>
      <w:r>
        <w:rPr>
          <w:rFonts w:ascii="Times New Roman" w:eastAsia="Times New Roman"/>
          <w:sz w:val="24"/>
          <w:szCs w:val="24"/>
          <w:u w:val="single"/>
        </w:rPr>
        <w:tab/>
      </w:r>
      <w:r>
        <w:rPr>
          <w:sz w:val="24"/>
          <w:szCs w:val="24"/>
        </w:rPr>
        <w:t>，提供按磋商文件、及合同要求的</w:t>
      </w:r>
      <w:r>
        <w:rPr>
          <w:rFonts w:hint="eastAsia"/>
          <w:sz w:val="24"/>
          <w:szCs w:val="24"/>
        </w:rPr>
        <w:t>服务</w:t>
      </w:r>
      <w:r>
        <w:rPr>
          <w:sz w:val="24"/>
          <w:szCs w:val="24"/>
        </w:rPr>
        <w:t>内容，质量达到</w:t>
      </w:r>
      <w:r>
        <w:rPr>
          <w:rFonts w:ascii="Times New Roman" w:eastAsia="Times New Roman"/>
          <w:sz w:val="24"/>
          <w:szCs w:val="24"/>
          <w:u w:val="single"/>
        </w:rPr>
        <w:tab/>
      </w:r>
      <w:r>
        <w:rPr>
          <w:sz w:val="24"/>
          <w:szCs w:val="24"/>
        </w:rPr>
        <w:t>。</w:t>
      </w:r>
    </w:p>
    <w:p>
      <w:pPr>
        <w:pStyle w:val="42"/>
        <w:numPr>
          <w:ilvl w:val="1"/>
          <w:numId w:val="7"/>
        </w:numPr>
        <w:tabs>
          <w:tab w:val="left" w:pos="1199"/>
        </w:tabs>
        <w:spacing w:before="113" w:line="360" w:lineRule="auto"/>
        <w:ind w:left="1198" w:hanging="362"/>
        <w:rPr>
          <w:sz w:val="24"/>
          <w:szCs w:val="24"/>
        </w:rPr>
      </w:pPr>
      <w:r>
        <w:rPr>
          <w:spacing w:val="-1"/>
          <w:sz w:val="24"/>
          <w:szCs w:val="24"/>
        </w:rPr>
        <w:t>我方承诺在磋商有效期内不修改、撤销响应性文件。</w:t>
      </w:r>
    </w:p>
    <w:p>
      <w:pPr>
        <w:pStyle w:val="42"/>
        <w:numPr>
          <w:ilvl w:val="1"/>
          <w:numId w:val="7"/>
        </w:numPr>
        <w:tabs>
          <w:tab w:val="left" w:pos="1199"/>
        </w:tabs>
        <w:spacing w:before="112" w:line="360" w:lineRule="auto"/>
        <w:ind w:left="1198" w:hanging="362"/>
        <w:rPr>
          <w:sz w:val="24"/>
          <w:szCs w:val="24"/>
        </w:rPr>
      </w:pPr>
      <w:r>
        <w:rPr>
          <w:sz w:val="24"/>
          <w:szCs w:val="24"/>
        </w:rPr>
        <w:t>如我方中标：</w:t>
      </w:r>
    </w:p>
    <w:p>
      <w:pPr>
        <w:pStyle w:val="42"/>
        <w:numPr>
          <w:ilvl w:val="2"/>
          <w:numId w:val="7"/>
        </w:numPr>
        <w:tabs>
          <w:tab w:val="left" w:pos="1849"/>
        </w:tabs>
        <w:spacing w:before="113" w:line="360" w:lineRule="auto"/>
        <w:ind w:hanging="602"/>
        <w:rPr>
          <w:sz w:val="24"/>
          <w:szCs w:val="24"/>
        </w:rPr>
      </w:pPr>
      <w:r>
        <w:rPr>
          <w:sz w:val="24"/>
          <w:szCs w:val="24"/>
        </w:rPr>
        <w:t>我方承诺在收到成交通知书后，在成交通知书规定的期限内与你方签订合同。</w:t>
      </w:r>
    </w:p>
    <w:p>
      <w:pPr>
        <w:pStyle w:val="42"/>
        <w:numPr>
          <w:ilvl w:val="2"/>
          <w:numId w:val="7"/>
        </w:numPr>
        <w:tabs>
          <w:tab w:val="left" w:pos="1849"/>
        </w:tabs>
        <w:spacing w:before="113" w:line="360" w:lineRule="auto"/>
        <w:ind w:hanging="602"/>
        <w:rPr>
          <w:sz w:val="24"/>
          <w:szCs w:val="24"/>
        </w:rPr>
      </w:pPr>
      <w:r>
        <w:rPr>
          <w:sz w:val="24"/>
          <w:szCs w:val="24"/>
        </w:rPr>
        <w:t>随同本磋商函递交的磋商一览表属于合同文件的组成部分。</w:t>
      </w:r>
    </w:p>
    <w:p>
      <w:pPr>
        <w:pStyle w:val="42"/>
        <w:numPr>
          <w:ilvl w:val="2"/>
          <w:numId w:val="7"/>
        </w:numPr>
        <w:tabs>
          <w:tab w:val="left" w:pos="1849"/>
        </w:tabs>
        <w:spacing w:before="113" w:line="360" w:lineRule="auto"/>
        <w:ind w:hanging="602"/>
        <w:rPr>
          <w:sz w:val="24"/>
          <w:szCs w:val="24"/>
        </w:rPr>
      </w:pPr>
      <w:r>
        <w:rPr>
          <w:sz w:val="24"/>
          <w:szCs w:val="24"/>
        </w:rPr>
        <w:t>我方承诺按照磋商文件规定向你方递交履约担保。</w:t>
      </w:r>
    </w:p>
    <w:p>
      <w:pPr>
        <w:pStyle w:val="42"/>
        <w:numPr>
          <w:ilvl w:val="2"/>
          <w:numId w:val="7"/>
        </w:numPr>
        <w:tabs>
          <w:tab w:val="left" w:pos="1849"/>
        </w:tabs>
        <w:spacing w:before="112" w:line="360" w:lineRule="auto"/>
        <w:ind w:hanging="602"/>
        <w:rPr>
          <w:sz w:val="24"/>
          <w:szCs w:val="24"/>
        </w:rPr>
      </w:pPr>
      <w:r>
        <w:rPr>
          <w:sz w:val="24"/>
          <w:szCs w:val="24"/>
        </w:rPr>
        <w:t>我方承诺在合同约定的期限内优质的服务。</w:t>
      </w:r>
    </w:p>
    <w:p>
      <w:pPr>
        <w:pStyle w:val="3"/>
        <w:spacing w:line="360" w:lineRule="auto"/>
        <w:rPr>
          <w:sz w:val="24"/>
          <w:szCs w:val="24"/>
        </w:rPr>
      </w:pPr>
      <w:r>
        <w:rPr>
          <w:sz w:val="24"/>
          <w:szCs w:val="24"/>
        </w:rPr>
        <w:t>我方在此声明，所递交的响应性文件及有关资料内容完整、真实和准确，且不存在第二部分“供应商须知”规定的任何一种情形。</w:t>
      </w:r>
    </w:p>
    <w:p>
      <w:pPr>
        <w:pStyle w:val="38"/>
      </w:pPr>
    </w:p>
    <w:p>
      <w:pPr>
        <w:rPr>
          <w:sz w:val="24"/>
          <w:szCs w:val="24"/>
        </w:rPr>
      </w:pPr>
    </w:p>
    <w:p>
      <w:pPr>
        <w:pStyle w:val="3"/>
        <w:rPr>
          <w:sz w:val="24"/>
          <w:szCs w:val="24"/>
        </w:rPr>
      </w:pPr>
    </w:p>
    <w:p>
      <w:pPr>
        <w:pStyle w:val="38"/>
      </w:pPr>
    </w:p>
    <w:p>
      <w:pPr>
        <w:rPr>
          <w:sz w:val="24"/>
          <w:szCs w:val="24"/>
        </w:rPr>
      </w:pPr>
    </w:p>
    <w:p>
      <w:pPr>
        <w:pStyle w:val="3"/>
      </w:pP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供应商：（电子签章）</w:t>
      </w: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法定代表人或其委托代理人：        （电子签章授权代表签字）</w:t>
      </w: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网址：</w:t>
      </w: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p>
    <w:p>
      <w:pPr>
        <w:pStyle w:val="3"/>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年 月 日</w:t>
      </w:r>
    </w:p>
    <w:p>
      <w:pPr>
        <w:pStyle w:val="3"/>
        <w:rPr>
          <w:sz w:val="20"/>
        </w:rPr>
      </w:pPr>
    </w:p>
    <w:p>
      <w:pPr>
        <w:pStyle w:val="38"/>
        <w:rPr>
          <w:sz w:val="20"/>
        </w:rPr>
      </w:pPr>
    </w:p>
    <w:p/>
    <w:p>
      <w:pPr>
        <w:jc w:val="center"/>
        <w:rPr>
          <w:b/>
          <w:bCs/>
          <w:w w:val="95"/>
          <w:sz w:val="36"/>
          <w:szCs w:val="36"/>
        </w:rPr>
      </w:pPr>
      <w:r>
        <w:rPr>
          <w:b/>
          <w:bCs/>
          <w:w w:val="95"/>
          <w:sz w:val="36"/>
          <w:szCs w:val="36"/>
        </w:rPr>
        <w:t>（二） 磋商一览表</w:t>
      </w:r>
    </w:p>
    <w:p>
      <w:pPr>
        <w:pStyle w:val="4"/>
      </w:pPr>
    </w:p>
    <w:tbl>
      <w:tblPr>
        <w:tblStyle w:val="22"/>
        <w:tblW w:w="0" w:type="auto"/>
        <w:tblInd w:w="5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1669"/>
        <w:gridCol w:w="1616"/>
        <w:gridCol w:w="41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3337" w:type="dxa"/>
            <w:gridSpan w:val="2"/>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5741" w:type="dxa"/>
            <w:gridSpan w:val="2"/>
          </w:tcPr>
          <w:p>
            <w:pPr>
              <w:pStyle w:val="43"/>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3337" w:type="dxa"/>
            <w:gridSpan w:val="2"/>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p>
        </w:tc>
        <w:tc>
          <w:tcPr>
            <w:tcW w:w="5741" w:type="dxa"/>
            <w:gridSpan w:val="2"/>
          </w:tcPr>
          <w:p>
            <w:pPr>
              <w:pStyle w:val="43"/>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3337" w:type="dxa"/>
            <w:gridSpan w:val="2"/>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磋商报价</w:t>
            </w:r>
          </w:p>
        </w:tc>
        <w:tc>
          <w:tcPr>
            <w:tcW w:w="5741" w:type="dxa"/>
            <w:gridSpan w:val="2"/>
          </w:tcPr>
          <w:p>
            <w:pPr>
              <w:pStyle w:val="43"/>
              <w:rPr>
                <w:rFonts w:asciiTheme="minorEastAsia" w:hAnsiTheme="minorEastAsia" w:eastAsiaTheme="minorEastAsia" w:cstheme="minorEastAsia"/>
                <w:b/>
                <w:sz w:val="24"/>
                <w:szCs w:val="24"/>
              </w:rPr>
            </w:pPr>
          </w:p>
          <w:p>
            <w:pPr>
              <w:pStyle w:val="43"/>
              <w:tabs>
                <w:tab w:val="left" w:pos="2104"/>
              </w:tabs>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3337" w:type="dxa"/>
            <w:gridSpan w:val="2"/>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服务期限</w:t>
            </w:r>
          </w:p>
        </w:tc>
        <w:tc>
          <w:tcPr>
            <w:tcW w:w="5741" w:type="dxa"/>
            <w:gridSpan w:val="2"/>
          </w:tcPr>
          <w:p>
            <w:pPr>
              <w:pStyle w:val="43"/>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3337" w:type="dxa"/>
            <w:gridSpan w:val="2"/>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地点</w:t>
            </w:r>
          </w:p>
        </w:tc>
        <w:tc>
          <w:tcPr>
            <w:tcW w:w="5741" w:type="dxa"/>
            <w:gridSpan w:val="2"/>
          </w:tcPr>
          <w:p>
            <w:pPr>
              <w:pStyle w:val="43"/>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3337" w:type="dxa"/>
            <w:gridSpan w:val="2"/>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质量要求</w:t>
            </w:r>
          </w:p>
        </w:tc>
        <w:tc>
          <w:tcPr>
            <w:tcW w:w="5741" w:type="dxa"/>
            <w:gridSpan w:val="2"/>
          </w:tcPr>
          <w:p>
            <w:pPr>
              <w:pStyle w:val="43"/>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668" w:type="dxa"/>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项目经理</w:t>
            </w:r>
          </w:p>
        </w:tc>
        <w:tc>
          <w:tcPr>
            <w:tcW w:w="1669" w:type="dxa"/>
            <w:vAlign w:val="center"/>
          </w:tcPr>
          <w:p>
            <w:pPr>
              <w:pStyle w:val="43"/>
              <w:jc w:val="center"/>
              <w:rPr>
                <w:rFonts w:asciiTheme="minorEastAsia" w:hAnsiTheme="minorEastAsia" w:eastAsiaTheme="minorEastAsia" w:cstheme="minorEastAsia"/>
                <w:sz w:val="24"/>
                <w:szCs w:val="24"/>
              </w:rPr>
            </w:pPr>
          </w:p>
        </w:tc>
        <w:tc>
          <w:tcPr>
            <w:tcW w:w="1616" w:type="dxa"/>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职称</w:t>
            </w:r>
          </w:p>
        </w:tc>
        <w:tc>
          <w:tcPr>
            <w:tcW w:w="4125" w:type="dxa"/>
          </w:tcPr>
          <w:p>
            <w:pPr>
              <w:pStyle w:val="43"/>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668" w:type="dxa"/>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职业资格</w:t>
            </w:r>
          </w:p>
        </w:tc>
        <w:tc>
          <w:tcPr>
            <w:tcW w:w="1669" w:type="dxa"/>
            <w:vAlign w:val="center"/>
          </w:tcPr>
          <w:p>
            <w:pPr>
              <w:pStyle w:val="43"/>
              <w:jc w:val="center"/>
              <w:rPr>
                <w:rFonts w:asciiTheme="minorEastAsia" w:hAnsiTheme="minorEastAsia" w:eastAsiaTheme="minorEastAsia" w:cstheme="minorEastAsia"/>
                <w:sz w:val="24"/>
                <w:szCs w:val="24"/>
              </w:rPr>
            </w:pPr>
          </w:p>
        </w:tc>
        <w:tc>
          <w:tcPr>
            <w:tcW w:w="1616" w:type="dxa"/>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编号</w:t>
            </w:r>
          </w:p>
        </w:tc>
        <w:tc>
          <w:tcPr>
            <w:tcW w:w="4125" w:type="dxa"/>
          </w:tcPr>
          <w:p>
            <w:pPr>
              <w:pStyle w:val="43"/>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72" w:hRule="atLeast"/>
        </w:trPr>
        <w:tc>
          <w:tcPr>
            <w:tcW w:w="3337" w:type="dxa"/>
            <w:gridSpan w:val="2"/>
            <w:vAlign w:val="center"/>
          </w:tcPr>
          <w:p>
            <w:pPr>
              <w:pStyle w:val="4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其他说明</w:t>
            </w:r>
          </w:p>
        </w:tc>
        <w:tc>
          <w:tcPr>
            <w:tcW w:w="5741" w:type="dxa"/>
            <w:gridSpan w:val="2"/>
          </w:tcPr>
          <w:p>
            <w:pPr>
              <w:pStyle w:val="43"/>
              <w:rPr>
                <w:rFonts w:asciiTheme="minorEastAsia" w:hAnsiTheme="minorEastAsia" w:eastAsiaTheme="minorEastAsia" w:cstheme="minorEastAsia"/>
                <w:sz w:val="24"/>
                <w:szCs w:val="24"/>
              </w:rPr>
            </w:pPr>
          </w:p>
        </w:tc>
      </w:tr>
    </w:tbl>
    <w:p>
      <w:pPr>
        <w:pStyle w:val="3"/>
        <w:spacing w:line="375"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投标人：（电子签章）</w:t>
      </w:r>
    </w:p>
    <w:p>
      <w:pPr>
        <w:pStyle w:val="3"/>
        <w:spacing w:line="375"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法定代表人或其委托代理人：（电子签章/授权代表签字）</w:t>
      </w:r>
    </w:p>
    <w:p>
      <w:pPr>
        <w:pStyle w:val="3"/>
        <w:spacing w:line="375"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p>
      <w:pPr>
        <w:pStyle w:val="3"/>
        <w:spacing w:before="1"/>
        <w:ind w:left="22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p>
      <w:pPr>
        <w:pStyle w:val="3"/>
        <w:tabs>
          <w:tab w:val="left" w:pos="745"/>
          <w:tab w:val="left" w:pos="1271"/>
        </w:tabs>
        <w:spacing w:before="151"/>
        <w:ind w:left="22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日</w:t>
      </w:r>
    </w:p>
    <w:p>
      <w:pPr>
        <w:sectPr>
          <w:headerReference r:id="rId8" w:type="default"/>
          <w:footerReference r:id="rId9" w:type="default"/>
          <w:pgSz w:w="11910" w:h="16840"/>
          <w:pgMar w:top="1420" w:right="840" w:bottom="1000" w:left="860" w:header="1151" w:footer="805" w:gutter="0"/>
          <w:cols w:space="720" w:num="1"/>
        </w:sectPr>
      </w:pPr>
    </w:p>
    <w:p>
      <w:pPr>
        <w:pStyle w:val="3"/>
        <w:rPr>
          <w:sz w:val="20"/>
        </w:rPr>
      </w:pPr>
    </w:p>
    <w:p>
      <w:pPr>
        <w:pStyle w:val="3"/>
        <w:rPr>
          <w:sz w:val="20"/>
        </w:rPr>
      </w:pPr>
    </w:p>
    <w:p>
      <w:pPr>
        <w:pStyle w:val="3"/>
        <w:spacing w:before="3"/>
      </w:pPr>
    </w:p>
    <w:p>
      <w:pPr>
        <w:jc w:val="center"/>
        <w:rPr>
          <w:b/>
          <w:bCs/>
          <w:w w:val="95"/>
          <w:sz w:val="36"/>
          <w:szCs w:val="36"/>
        </w:rPr>
      </w:pPr>
      <w:r>
        <w:rPr>
          <w:b/>
          <w:bCs/>
          <w:w w:val="95"/>
          <w:sz w:val="36"/>
          <w:szCs w:val="36"/>
        </w:rPr>
        <w:t>二、法定代表人身份证明</w:t>
      </w:r>
    </w:p>
    <w:p>
      <w:pPr>
        <w:pStyle w:val="3"/>
        <w:rPr>
          <w:b/>
          <w:sz w:val="20"/>
        </w:rPr>
      </w:pPr>
    </w:p>
    <w:p>
      <w:pPr>
        <w:pStyle w:val="3"/>
        <w:rPr>
          <w:b/>
          <w:sz w:val="24"/>
          <w:szCs w:val="24"/>
        </w:rPr>
      </w:pPr>
    </w:p>
    <w:p>
      <w:pPr>
        <w:pStyle w:val="3"/>
        <w:spacing w:before="3"/>
        <w:rPr>
          <w:b/>
          <w:sz w:val="24"/>
          <w:szCs w:val="24"/>
        </w:rPr>
      </w:pPr>
    </w:p>
    <w:p>
      <w:pPr>
        <w:pStyle w:val="3"/>
        <w:spacing w:line="360" w:lineRule="auto"/>
        <w:ind w:firstLine="480" w:firstLineChars="200"/>
        <w:jc w:val="both"/>
        <w:rPr>
          <w:sz w:val="24"/>
          <w:szCs w:val="24"/>
        </w:rPr>
      </w:pPr>
      <w:r>
        <w:rPr>
          <w:sz w:val="24"/>
          <w:szCs w:val="24"/>
        </w:rPr>
        <w:t>供应商</w:t>
      </w:r>
      <w:r>
        <w:rPr>
          <w:rFonts w:hint="eastAsia"/>
          <w:sz w:val="24"/>
          <w:szCs w:val="24"/>
        </w:rPr>
        <w:t>名</w:t>
      </w:r>
      <w:r>
        <w:rPr>
          <w:sz w:val="24"/>
          <w:szCs w:val="24"/>
        </w:rPr>
        <w:t>称：</w:t>
      </w:r>
    </w:p>
    <w:p>
      <w:pPr>
        <w:pStyle w:val="3"/>
        <w:spacing w:line="360" w:lineRule="auto"/>
        <w:ind w:firstLine="480" w:firstLineChars="200"/>
        <w:jc w:val="both"/>
        <w:rPr>
          <w:spacing w:val="1"/>
          <w:sz w:val="24"/>
          <w:szCs w:val="24"/>
        </w:rPr>
      </w:pPr>
      <w:r>
        <w:rPr>
          <w:sz w:val="24"/>
          <w:szCs w:val="24"/>
        </w:rPr>
        <w:t>单位性质：</w:t>
      </w:r>
      <w:r>
        <w:rPr>
          <w:spacing w:val="1"/>
          <w:sz w:val="24"/>
          <w:szCs w:val="24"/>
        </w:rPr>
        <w:t xml:space="preserve"> </w:t>
      </w:r>
    </w:p>
    <w:p>
      <w:pPr>
        <w:pStyle w:val="3"/>
        <w:spacing w:line="360" w:lineRule="auto"/>
        <w:ind w:firstLine="480" w:firstLineChars="200"/>
        <w:jc w:val="both"/>
        <w:rPr>
          <w:sz w:val="24"/>
          <w:szCs w:val="24"/>
        </w:rPr>
      </w:pPr>
      <w:r>
        <w:rPr>
          <w:sz w:val="24"/>
          <w:szCs w:val="24"/>
        </w:rPr>
        <w:t>地址：</w:t>
      </w:r>
    </w:p>
    <w:p>
      <w:pPr>
        <w:pStyle w:val="3"/>
        <w:spacing w:line="360" w:lineRule="auto"/>
        <w:ind w:firstLine="480" w:firstLineChars="200"/>
        <w:jc w:val="both"/>
        <w:rPr>
          <w:sz w:val="24"/>
          <w:szCs w:val="24"/>
        </w:rPr>
      </w:pPr>
      <w:r>
        <w:rPr>
          <w:sz w:val="24"/>
          <w:szCs w:val="24"/>
        </w:rPr>
        <w:t>成立时间： 年 月 日</w:t>
      </w:r>
    </w:p>
    <w:p>
      <w:pPr>
        <w:pStyle w:val="3"/>
        <w:spacing w:line="360" w:lineRule="auto"/>
        <w:ind w:firstLine="480" w:firstLineChars="200"/>
        <w:jc w:val="both"/>
        <w:rPr>
          <w:sz w:val="24"/>
          <w:szCs w:val="24"/>
        </w:rPr>
      </w:pPr>
      <w:r>
        <w:rPr>
          <w:sz w:val="24"/>
          <w:szCs w:val="24"/>
        </w:rPr>
        <w:t>经营期限：</w:t>
      </w:r>
    </w:p>
    <w:p>
      <w:pPr>
        <w:pStyle w:val="3"/>
        <w:spacing w:line="360" w:lineRule="auto"/>
        <w:ind w:firstLine="480" w:firstLineChars="200"/>
        <w:jc w:val="both"/>
        <w:rPr>
          <w:sz w:val="24"/>
          <w:szCs w:val="24"/>
        </w:rPr>
      </w:pPr>
      <w:r>
        <w:rPr>
          <w:sz w:val="24"/>
          <w:szCs w:val="24"/>
        </w:rPr>
        <w:t>姓名：</w:t>
      </w:r>
      <w:r>
        <w:rPr>
          <w:sz w:val="24"/>
          <w:szCs w:val="24"/>
        </w:rPr>
        <w:tab/>
      </w:r>
      <w:r>
        <w:rPr>
          <w:sz w:val="24"/>
          <w:szCs w:val="24"/>
        </w:rPr>
        <w:t>性别：</w:t>
      </w:r>
      <w:r>
        <w:rPr>
          <w:sz w:val="24"/>
          <w:szCs w:val="24"/>
        </w:rPr>
        <w:tab/>
      </w:r>
      <w:r>
        <w:rPr>
          <w:sz w:val="24"/>
          <w:szCs w:val="24"/>
        </w:rPr>
        <w:t>年龄：</w:t>
      </w:r>
      <w:r>
        <w:rPr>
          <w:sz w:val="24"/>
          <w:szCs w:val="24"/>
        </w:rPr>
        <w:tab/>
      </w:r>
      <w:r>
        <w:rPr>
          <w:sz w:val="24"/>
          <w:szCs w:val="24"/>
        </w:rPr>
        <w:t>职务：</w:t>
      </w:r>
    </w:p>
    <w:p>
      <w:pPr>
        <w:pStyle w:val="3"/>
        <w:spacing w:line="360" w:lineRule="auto"/>
        <w:ind w:firstLine="480" w:firstLineChars="200"/>
        <w:jc w:val="both"/>
        <w:rPr>
          <w:sz w:val="24"/>
          <w:szCs w:val="24"/>
        </w:rPr>
      </w:pPr>
      <w:r>
        <w:rPr>
          <w:sz w:val="24"/>
          <w:szCs w:val="24"/>
        </w:rPr>
        <w:t>系</w:t>
      </w:r>
      <w:r>
        <w:rPr>
          <w:sz w:val="24"/>
          <w:szCs w:val="24"/>
        </w:rPr>
        <w:tab/>
      </w:r>
      <w:r>
        <w:rPr>
          <w:sz w:val="24"/>
          <w:szCs w:val="24"/>
        </w:rPr>
        <w:t>（供应商名称）的法定代表人。</w:t>
      </w:r>
    </w:p>
    <w:p>
      <w:pPr>
        <w:pStyle w:val="3"/>
        <w:rPr>
          <w:sz w:val="24"/>
          <w:szCs w:val="24"/>
        </w:rPr>
      </w:pPr>
    </w:p>
    <w:p>
      <w:pPr>
        <w:pStyle w:val="3"/>
        <w:spacing w:before="3"/>
        <w:rPr>
          <w:sz w:val="24"/>
          <w:szCs w:val="24"/>
        </w:rPr>
      </w:pPr>
    </w:p>
    <w:p>
      <w:pPr>
        <w:pStyle w:val="3"/>
        <w:spacing w:before="1"/>
        <w:ind w:firstLine="720" w:firstLineChars="300"/>
        <w:rPr>
          <w:sz w:val="24"/>
          <w:szCs w:val="24"/>
        </w:rPr>
      </w:pPr>
      <w:r>
        <w:rPr>
          <w:sz w:val="24"/>
          <w:szCs w:val="24"/>
        </w:rPr>
        <w:t>特此证明。</w:t>
      </w:r>
    </w:p>
    <w:p>
      <w:pPr>
        <w:pStyle w:val="3"/>
        <w:spacing w:before="8"/>
        <w:rPr>
          <w:sz w:val="24"/>
          <w:szCs w:val="24"/>
        </w:rPr>
      </w:pPr>
    </w:p>
    <w:p>
      <w:pPr>
        <w:pStyle w:val="3"/>
        <w:ind w:left="640"/>
        <w:rPr>
          <w:sz w:val="24"/>
          <w:szCs w:val="24"/>
        </w:rPr>
      </w:pPr>
      <w:r>
        <w:rPr>
          <w:sz w:val="24"/>
          <w:szCs w:val="24"/>
        </w:rPr>
        <w:t>（附：法定代表人身份证明）</w:t>
      </w:r>
    </w:p>
    <w:p>
      <w:pPr>
        <w:pStyle w:val="3"/>
        <w:rPr>
          <w:sz w:val="24"/>
          <w:szCs w:val="24"/>
        </w:rPr>
      </w:pPr>
    </w:p>
    <w:p>
      <w:pPr>
        <w:pStyle w:val="3"/>
        <w:rPr>
          <w:sz w:val="24"/>
          <w:szCs w:val="24"/>
        </w:rPr>
      </w:pPr>
    </w:p>
    <w:p>
      <w:pPr>
        <w:pStyle w:val="3"/>
        <w:spacing w:before="10"/>
        <w:rPr>
          <w:sz w:val="24"/>
          <w:szCs w:val="24"/>
        </w:rPr>
      </w:pPr>
    </w:p>
    <w:p>
      <w:pPr>
        <w:ind w:right="236"/>
        <w:jc w:val="right"/>
        <w:rPr>
          <w:sz w:val="24"/>
          <w:szCs w:val="24"/>
        </w:rPr>
      </w:pPr>
      <w:r>
        <w:rPr>
          <w:sz w:val="24"/>
          <w:szCs w:val="24"/>
        </w:rPr>
        <w:t>供应商名称：（电子签章）</w:t>
      </w:r>
    </w:p>
    <w:p>
      <w:pPr>
        <w:pStyle w:val="3"/>
        <w:rPr>
          <w:sz w:val="24"/>
          <w:szCs w:val="24"/>
        </w:rPr>
      </w:pPr>
    </w:p>
    <w:p>
      <w:pPr>
        <w:pStyle w:val="3"/>
        <w:tabs>
          <w:tab w:val="left" w:pos="526"/>
          <w:tab w:val="left" w:pos="1051"/>
        </w:tabs>
        <w:ind w:right="548"/>
        <w:jc w:val="right"/>
        <w:rPr>
          <w:sz w:val="24"/>
          <w:szCs w:val="24"/>
        </w:rPr>
      </w:pPr>
      <w:r>
        <w:rPr>
          <w:sz w:val="24"/>
          <w:szCs w:val="24"/>
        </w:rPr>
        <w:t>年</w:t>
      </w:r>
      <w:r>
        <w:rPr>
          <w:sz w:val="24"/>
          <w:szCs w:val="24"/>
        </w:rPr>
        <w:tab/>
      </w:r>
      <w:r>
        <w:rPr>
          <w:sz w:val="24"/>
          <w:szCs w:val="24"/>
        </w:rPr>
        <w:t>月</w:t>
      </w:r>
      <w:r>
        <w:rPr>
          <w:sz w:val="24"/>
          <w:szCs w:val="24"/>
        </w:rPr>
        <w:tab/>
      </w:r>
      <w:r>
        <w:rPr>
          <w:sz w:val="24"/>
          <w:szCs w:val="24"/>
        </w:rPr>
        <w:t>日</w:t>
      </w:r>
    </w:p>
    <w:p>
      <w:pPr>
        <w:jc w:val="right"/>
        <w:sectPr>
          <w:pgSz w:w="11910" w:h="16840"/>
          <w:pgMar w:top="1420" w:right="840" w:bottom="1000" w:left="860" w:header="1151" w:footer="805" w:gutter="0"/>
          <w:cols w:space="720" w:num="1"/>
        </w:sectPr>
      </w:pPr>
    </w:p>
    <w:p>
      <w:pPr>
        <w:pStyle w:val="3"/>
        <w:rPr>
          <w:sz w:val="20"/>
        </w:rPr>
      </w:pPr>
    </w:p>
    <w:p>
      <w:pPr>
        <w:pStyle w:val="3"/>
        <w:rPr>
          <w:sz w:val="20"/>
        </w:rPr>
      </w:pPr>
    </w:p>
    <w:p>
      <w:pPr>
        <w:pStyle w:val="3"/>
        <w:spacing w:before="12"/>
        <w:rPr>
          <w:sz w:val="16"/>
        </w:rPr>
      </w:pPr>
    </w:p>
    <w:p>
      <w:pPr>
        <w:jc w:val="center"/>
        <w:rPr>
          <w:b/>
          <w:bCs/>
          <w:w w:val="95"/>
          <w:sz w:val="36"/>
          <w:szCs w:val="36"/>
        </w:rPr>
      </w:pPr>
      <w:r>
        <w:rPr>
          <w:b/>
          <w:bCs/>
          <w:w w:val="95"/>
          <w:sz w:val="36"/>
          <w:szCs w:val="36"/>
        </w:rPr>
        <w:t>三、授权委托书</w:t>
      </w:r>
    </w:p>
    <w:p>
      <w:pPr>
        <w:pStyle w:val="3"/>
        <w:rPr>
          <w:b/>
          <w:sz w:val="32"/>
        </w:rPr>
      </w:pPr>
    </w:p>
    <w:p>
      <w:pPr>
        <w:pStyle w:val="3"/>
        <w:rPr>
          <w:b/>
          <w:sz w:val="32"/>
        </w:rPr>
      </w:pPr>
    </w:p>
    <w:p>
      <w:pPr>
        <w:pStyle w:val="3"/>
        <w:spacing w:before="12"/>
        <w:rPr>
          <w:b/>
          <w:sz w:val="27"/>
        </w:rPr>
      </w:pPr>
    </w:p>
    <w:p>
      <w:pPr>
        <w:pStyle w:val="3"/>
        <w:tabs>
          <w:tab w:val="left" w:pos="1585"/>
          <w:tab w:val="left" w:pos="3160"/>
          <w:tab w:val="left" w:pos="7152"/>
          <w:tab w:val="left" w:pos="7469"/>
        </w:tabs>
        <w:spacing w:line="446" w:lineRule="auto"/>
        <w:ind w:left="220" w:right="211" w:firstLine="420"/>
        <w:rPr>
          <w:sz w:val="24"/>
          <w:szCs w:val="24"/>
        </w:rPr>
      </w:pPr>
      <w:r>
        <w:rPr>
          <w:sz w:val="24"/>
          <w:szCs w:val="24"/>
        </w:rPr>
        <w:t>本人</w:t>
      </w:r>
      <w:r>
        <w:rPr>
          <w:sz w:val="24"/>
          <w:szCs w:val="24"/>
        </w:rPr>
        <w:tab/>
      </w:r>
      <w:r>
        <w:rPr>
          <w:sz w:val="24"/>
          <w:szCs w:val="24"/>
        </w:rPr>
        <w:t>（姓名）系</w:t>
      </w:r>
      <w:r>
        <w:rPr>
          <w:sz w:val="24"/>
          <w:szCs w:val="24"/>
        </w:rPr>
        <w:tab/>
      </w:r>
      <w:r>
        <w:rPr>
          <w:sz w:val="24"/>
          <w:szCs w:val="24"/>
        </w:rPr>
        <w:t>（投标人名称）的法定代表人，现委托</w:t>
      </w:r>
      <w:r>
        <w:rPr>
          <w:sz w:val="24"/>
          <w:szCs w:val="24"/>
        </w:rPr>
        <w:tab/>
      </w:r>
      <w:r>
        <w:rPr>
          <w:sz w:val="24"/>
          <w:szCs w:val="24"/>
        </w:rPr>
        <w:t>（姓名）为我方代理人。代理人根据授权，以我方名义签署、澄清、说明、补正、递交、撤回、修改</w:t>
      </w:r>
      <w:r>
        <w:rPr>
          <w:sz w:val="24"/>
          <w:szCs w:val="24"/>
        </w:rPr>
        <w:tab/>
      </w:r>
      <w:r>
        <w:rPr>
          <w:sz w:val="24"/>
          <w:szCs w:val="24"/>
        </w:rPr>
        <w:tab/>
      </w:r>
      <w:r>
        <w:rPr>
          <w:sz w:val="24"/>
          <w:szCs w:val="24"/>
        </w:rPr>
        <w:t>（项目名称）响应性文件、签订合同和处理有关事宜，其法律后果由我方承担。</w:t>
      </w:r>
    </w:p>
    <w:p>
      <w:pPr>
        <w:pStyle w:val="3"/>
        <w:spacing w:line="268" w:lineRule="exact"/>
        <w:ind w:left="640"/>
        <w:rPr>
          <w:sz w:val="24"/>
          <w:szCs w:val="24"/>
        </w:rPr>
      </w:pPr>
      <w:r>
        <w:rPr>
          <w:sz w:val="24"/>
          <w:szCs w:val="24"/>
        </w:rPr>
        <w:t>委托期限：。</w:t>
      </w:r>
    </w:p>
    <w:p>
      <w:pPr>
        <w:pStyle w:val="3"/>
        <w:rPr>
          <w:sz w:val="24"/>
          <w:szCs w:val="24"/>
        </w:rPr>
      </w:pPr>
    </w:p>
    <w:p>
      <w:pPr>
        <w:pStyle w:val="3"/>
        <w:ind w:left="640"/>
        <w:rPr>
          <w:sz w:val="24"/>
          <w:szCs w:val="24"/>
        </w:rPr>
      </w:pPr>
      <w:r>
        <w:rPr>
          <w:sz w:val="24"/>
          <w:szCs w:val="24"/>
        </w:rPr>
        <w:t>代理人无转委托权。</w:t>
      </w:r>
    </w:p>
    <w:p>
      <w:pPr>
        <w:pStyle w:val="3"/>
        <w:spacing w:before="2"/>
        <w:rPr>
          <w:sz w:val="24"/>
          <w:szCs w:val="24"/>
        </w:rPr>
      </w:pPr>
    </w:p>
    <w:p>
      <w:pPr>
        <w:pStyle w:val="3"/>
        <w:ind w:left="640"/>
        <w:rPr>
          <w:sz w:val="24"/>
          <w:szCs w:val="24"/>
        </w:rPr>
      </w:pPr>
      <w:r>
        <w:rPr>
          <w:sz w:val="24"/>
          <w:szCs w:val="24"/>
        </w:rPr>
        <w:t>附：委托代理人身份证复印件</w:t>
      </w:r>
    </w:p>
    <w:p>
      <w:pPr>
        <w:pStyle w:val="3"/>
        <w:rPr>
          <w:sz w:val="24"/>
          <w:szCs w:val="24"/>
        </w:rPr>
      </w:pPr>
    </w:p>
    <w:p>
      <w:pPr>
        <w:pStyle w:val="3"/>
        <w:rPr>
          <w:sz w:val="24"/>
          <w:szCs w:val="24"/>
        </w:rPr>
      </w:pPr>
    </w:p>
    <w:p>
      <w:pPr>
        <w:pStyle w:val="3"/>
        <w:rPr>
          <w:sz w:val="24"/>
          <w:szCs w:val="24"/>
        </w:rPr>
      </w:pPr>
    </w:p>
    <w:p>
      <w:pPr>
        <w:pStyle w:val="3"/>
        <w:rPr>
          <w:sz w:val="24"/>
          <w:szCs w:val="24"/>
        </w:rPr>
      </w:pPr>
    </w:p>
    <w:p>
      <w:pPr>
        <w:pStyle w:val="3"/>
        <w:spacing w:before="176" w:line="429" w:lineRule="auto"/>
        <w:rPr>
          <w:spacing w:val="1"/>
          <w:sz w:val="24"/>
          <w:szCs w:val="24"/>
        </w:rPr>
      </w:pPr>
      <w:r>
        <w:rPr>
          <w:sz w:val="24"/>
          <w:szCs w:val="24"/>
        </w:rPr>
        <w:t>供应商：（电子签章）</w:t>
      </w:r>
      <w:r>
        <w:rPr>
          <w:spacing w:val="1"/>
          <w:sz w:val="24"/>
          <w:szCs w:val="24"/>
        </w:rPr>
        <w:t xml:space="preserve"> </w:t>
      </w:r>
    </w:p>
    <w:p>
      <w:pPr>
        <w:pStyle w:val="3"/>
        <w:spacing w:before="176" w:line="429" w:lineRule="auto"/>
        <w:rPr>
          <w:spacing w:val="-102"/>
          <w:sz w:val="24"/>
          <w:szCs w:val="24"/>
        </w:rPr>
      </w:pPr>
      <w:r>
        <w:rPr>
          <w:sz w:val="24"/>
          <w:szCs w:val="24"/>
        </w:rPr>
        <w:t>法定代表人：（电子签章）</w:t>
      </w:r>
      <w:r>
        <w:rPr>
          <w:spacing w:val="-102"/>
          <w:sz w:val="24"/>
          <w:szCs w:val="24"/>
        </w:rPr>
        <w:t xml:space="preserve"> </w:t>
      </w:r>
    </w:p>
    <w:p>
      <w:pPr>
        <w:pStyle w:val="3"/>
        <w:spacing w:before="176" w:line="429" w:lineRule="auto"/>
        <w:rPr>
          <w:sz w:val="24"/>
          <w:szCs w:val="24"/>
        </w:rPr>
      </w:pPr>
      <w:r>
        <w:rPr>
          <w:sz w:val="24"/>
          <w:szCs w:val="24"/>
        </w:rPr>
        <w:t>身份证号码：</w:t>
      </w:r>
    </w:p>
    <w:p>
      <w:pPr>
        <w:pStyle w:val="3"/>
        <w:spacing w:before="17" w:line="446" w:lineRule="auto"/>
        <w:rPr>
          <w:spacing w:val="-102"/>
          <w:sz w:val="24"/>
          <w:szCs w:val="24"/>
        </w:rPr>
      </w:pPr>
      <w:r>
        <w:rPr>
          <w:sz w:val="24"/>
          <w:szCs w:val="24"/>
        </w:rPr>
        <w:t>委托代理人：（签字）</w:t>
      </w:r>
      <w:r>
        <w:rPr>
          <w:spacing w:val="-102"/>
          <w:sz w:val="24"/>
          <w:szCs w:val="24"/>
        </w:rPr>
        <w:t xml:space="preserve"> </w:t>
      </w:r>
    </w:p>
    <w:p>
      <w:pPr>
        <w:pStyle w:val="3"/>
        <w:spacing w:before="17" w:line="446" w:lineRule="auto"/>
        <w:rPr>
          <w:sz w:val="24"/>
          <w:szCs w:val="24"/>
        </w:rPr>
      </w:pPr>
      <w:r>
        <w:rPr>
          <w:sz w:val="24"/>
          <w:szCs w:val="24"/>
        </w:rPr>
        <w:t>身份证号码：</w:t>
      </w:r>
    </w:p>
    <w:p>
      <w:pPr>
        <w:pStyle w:val="3"/>
        <w:tabs>
          <w:tab w:val="left" w:pos="3160"/>
          <w:tab w:val="left" w:pos="3686"/>
        </w:tabs>
        <w:spacing w:line="267" w:lineRule="exact"/>
        <w:ind w:left="2634"/>
        <w:rPr>
          <w:sz w:val="24"/>
          <w:szCs w:val="24"/>
        </w:rPr>
      </w:pPr>
      <w:r>
        <w:rPr>
          <w:sz w:val="24"/>
          <w:szCs w:val="24"/>
        </w:rPr>
        <w:t>年</w:t>
      </w:r>
      <w:r>
        <w:rPr>
          <w:sz w:val="24"/>
          <w:szCs w:val="24"/>
        </w:rPr>
        <w:tab/>
      </w:r>
      <w:r>
        <w:rPr>
          <w:sz w:val="24"/>
          <w:szCs w:val="24"/>
        </w:rPr>
        <w:t>月</w:t>
      </w:r>
      <w:r>
        <w:rPr>
          <w:sz w:val="24"/>
          <w:szCs w:val="24"/>
        </w:rPr>
        <w:tab/>
      </w:r>
      <w:r>
        <w:rPr>
          <w:sz w:val="24"/>
          <w:szCs w:val="24"/>
        </w:rPr>
        <w:t>日</w:t>
      </w:r>
    </w:p>
    <w:p>
      <w:pPr>
        <w:spacing w:line="267" w:lineRule="exact"/>
        <w:sectPr>
          <w:pgSz w:w="11910" w:h="16840"/>
          <w:pgMar w:top="1420" w:right="840" w:bottom="1000" w:left="860" w:header="1151" w:footer="805" w:gutter="0"/>
          <w:cols w:space="720" w:num="1"/>
        </w:sectPr>
      </w:pPr>
    </w:p>
    <w:p>
      <w:pPr>
        <w:pStyle w:val="3"/>
        <w:rPr>
          <w:sz w:val="20"/>
        </w:rPr>
      </w:pPr>
    </w:p>
    <w:p>
      <w:pPr>
        <w:pStyle w:val="3"/>
        <w:rPr>
          <w:sz w:val="20"/>
        </w:rPr>
      </w:pPr>
    </w:p>
    <w:p>
      <w:pPr>
        <w:pStyle w:val="3"/>
        <w:spacing w:before="9"/>
        <w:rPr>
          <w:sz w:val="18"/>
        </w:rPr>
      </w:pPr>
    </w:p>
    <w:p>
      <w:pPr>
        <w:jc w:val="center"/>
        <w:rPr>
          <w:b/>
          <w:bCs/>
          <w:w w:val="95"/>
          <w:sz w:val="36"/>
          <w:szCs w:val="36"/>
        </w:rPr>
      </w:pPr>
      <w:r>
        <w:rPr>
          <w:b/>
          <w:bCs/>
          <w:w w:val="95"/>
          <w:sz w:val="36"/>
          <w:szCs w:val="36"/>
        </w:rPr>
        <w:t>四、技术标部分</w:t>
      </w:r>
    </w:p>
    <w:p>
      <w:pPr>
        <w:pStyle w:val="3"/>
        <w:spacing w:before="2"/>
        <w:rPr>
          <w:b/>
          <w:sz w:val="24"/>
        </w:rPr>
      </w:pPr>
    </w:p>
    <w:p>
      <w:pPr>
        <w:pStyle w:val="3"/>
        <w:ind w:right="13"/>
        <w:jc w:val="center"/>
      </w:pPr>
      <w:r>
        <w:t>（格式自拟）</w:t>
      </w:r>
    </w:p>
    <w:p>
      <w:r>
        <w:br w:type="page"/>
      </w:r>
    </w:p>
    <w:p>
      <w:pPr>
        <w:jc w:val="center"/>
        <w:rPr>
          <w:b/>
          <w:bCs/>
          <w:w w:val="95"/>
          <w:sz w:val="36"/>
          <w:szCs w:val="36"/>
        </w:rPr>
      </w:pPr>
      <w:r>
        <w:rPr>
          <w:rFonts w:hint="eastAsia"/>
          <w:b/>
          <w:bCs/>
          <w:w w:val="95"/>
          <w:sz w:val="36"/>
          <w:szCs w:val="36"/>
          <w:lang w:val="en-US" w:eastAsia="zh-CN"/>
        </w:rPr>
        <w:t>五</w:t>
      </w:r>
      <w:r>
        <w:rPr>
          <w:b/>
          <w:bCs/>
          <w:w w:val="95"/>
          <w:sz w:val="36"/>
          <w:szCs w:val="36"/>
        </w:rPr>
        <w:t>、供应商基本情况表</w:t>
      </w:r>
    </w:p>
    <w:p>
      <w:pPr>
        <w:pStyle w:val="3"/>
        <w:rPr>
          <w:rFonts w:asciiTheme="minorEastAsia" w:hAnsiTheme="minorEastAsia" w:eastAsiaTheme="minorEastAsia" w:cstheme="minorEastAsia"/>
          <w:sz w:val="24"/>
          <w:szCs w:val="24"/>
        </w:rPr>
      </w:pPr>
    </w:p>
    <w:p>
      <w:pPr>
        <w:pStyle w:val="3"/>
        <w:spacing w:before="9"/>
        <w:rPr>
          <w:rFonts w:asciiTheme="minorEastAsia" w:hAnsiTheme="minorEastAsia" w:eastAsiaTheme="minorEastAsia" w:cstheme="minorEastAsia"/>
          <w:sz w:val="24"/>
          <w:szCs w:val="24"/>
        </w:rPr>
      </w:pPr>
    </w:p>
    <w:tbl>
      <w:tblPr>
        <w:tblStyle w:val="22"/>
        <w:tblW w:w="0" w:type="auto"/>
        <w:tblInd w:w="2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0"/>
        <w:gridCol w:w="1180"/>
        <w:gridCol w:w="2953"/>
        <w:gridCol w:w="1217"/>
        <w:gridCol w:w="2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980" w:type="dxa"/>
          </w:tcPr>
          <w:p>
            <w:pPr>
              <w:pStyle w:val="43"/>
              <w:spacing w:before="104"/>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p>
        </w:tc>
        <w:tc>
          <w:tcPr>
            <w:tcW w:w="7550" w:type="dxa"/>
            <w:gridSpan w:val="4"/>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980" w:type="dxa"/>
          </w:tcPr>
          <w:p>
            <w:pPr>
              <w:pStyle w:val="43"/>
              <w:spacing w:before="22"/>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注册地址</w:t>
            </w:r>
          </w:p>
        </w:tc>
        <w:tc>
          <w:tcPr>
            <w:tcW w:w="4133" w:type="dxa"/>
            <w:gridSpan w:val="2"/>
          </w:tcPr>
          <w:p>
            <w:pPr>
              <w:pStyle w:val="43"/>
              <w:jc w:val="center"/>
              <w:rPr>
                <w:rFonts w:asciiTheme="minorEastAsia" w:hAnsiTheme="minorEastAsia" w:eastAsiaTheme="minorEastAsia" w:cstheme="minorEastAsia"/>
                <w:sz w:val="24"/>
                <w:szCs w:val="24"/>
              </w:rPr>
            </w:pPr>
          </w:p>
        </w:tc>
        <w:tc>
          <w:tcPr>
            <w:tcW w:w="1217" w:type="dxa"/>
            <w:vAlign w:val="center"/>
          </w:tcPr>
          <w:p>
            <w:pPr>
              <w:pStyle w:val="43"/>
              <w:spacing w:before="22"/>
              <w:ind w:left="107" w:right="9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p>
        </w:tc>
        <w:tc>
          <w:tcPr>
            <w:tcW w:w="2200" w:type="dxa"/>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980" w:type="dxa"/>
            <w:vMerge w:val="restart"/>
            <w:vAlign w:val="center"/>
          </w:tcPr>
          <w:p>
            <w:pPr>
              <w:pStyle w:val="43"/>
              <w:spacing w:before="152"/>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w:t>
            </w:r>
          </w:p>
        </w:tc>
        <w:tc>
          <w:tcPr>
            <w:tcW w:w="1180" w:type="dxa"/>
            <w:vAlign w:val="center"/>
          </w:tcPr>
          <w:p>
            <w:pPr>
              <w:pStyle w:val="43"/>
              <w:spacing w:before="97"/>
              <w:ind w:left="205" w:right="19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w:t>
            </w:r>
          </w:p>
        </w:tc>
        <w:tc>
          <w:tcPr>
            <w:tcW w:w="2953" w:type="dxa"/>
          </w:tcPr>
          <w:p>
            <w:pPr>
              <w:pStyle w:val="43"/>
              <w:jc w:val="center"/>
              <w:rPr>
                <w:rFonts w:asciiTheme="minorEastAsia" w:hAnsiTheme="minorEastAsia" w:eastAsiaTheme="minorEastAsia" w:cstheme="minorEastAsia"/>
                <w:sz w:val="24"/>
                <w:szCs w:val="24"/>
              </w:rPr>
            </w:pPr>
          </w:p>
        </w:tc>
        <w:tc>
          <w:tcPr>
            <w:tcW w:w="1217" w:type="dxa"/>
            <w:vAlign w:val="center"/>
          </w:tcPr>
          <w:p>
            <w:pPr>
              <w:pStyle w:val="43"/>
              <w:spacing w:before="97"/>
              <w:ind w:left="104" w:right="9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2200" w:type="dxa"/>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3" w:hRule="atLeast"/>
        </w:trPr>
        <w:tc>
          <w:tcPr>
            <w:tcW w:w="1980" w:type="dxa"/>
            <w:vMerge w:val="continue"/>
            <w:tcBorders>
              <w:top w:val="nil"/>
            </w:tcBorders>
          </w:tcPr>
          <w:p>
            <w:pPr>
              <w:jc w:val="center"/>
              <w:rPr>
                <w:rFonts w:asciiTheme="minorEastAsia" w:hAnsiTheme="minorEastAsia" w:eastAsiaTheme="minorEastAsia" w:cstheme="minorEastAsia"/>
                <w:sz w:val="24"/>
                <w:szCs w:val="24"/>
              </w:rPr>
            </w:pPr>
          </w:p>
        </w:tc>
        <w:tc>
          <w:tcPr>
            <w:tcW w:w="1180" w:type="dxa"/>
            <w:vAlign w:val="center"/>
          </w:tcPr>
          <w:p>
            <w:pPr>
              <w:pStyle w:val="43"/>
              <w:spacing w:before="104"/>
              <w:ind w:left="205" w:right="19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2953" w:type="dxa"/>
          </w:tcPr>
          <w:p>
            <w:pPr>
              <w:pStyle w:val="43"/>
              <w:jc w:val="center"/>
              <w:rPr>
                <w:rFonts w:asciiTheme="minorEastAsia" w:hAnsiTheme="minorEastAsia" w:eastAsiaTheme="minorEastAsia" w:cstheme="minorEastAsia"/>
                <w:sz w:val="24"/>
                <w:szCs w:val="24"/>
              </w:rPr>
            </w:pPr>
          </w:p>
        </w:tc>
        <w:tc>
          <w:tcPr>
            <w:tcW w:w="1217" w:type="dxa"/>
            <w:vAlign w:val="center"/>
          </w:tcPr>
          <w:p>
            <w:pPr>
              <w:pStyle w:val="43"/>
              <w:spacing w:before="104"/>
              <w:ind w:left="104" w:right="9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网址</w:t>
            </w:r>
          </w:p>
        </w:tc>
        <w:tc>
          <w:tcPr>
            <w:tcW w:w="2200" w:type="dxa"/>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1980" w:type="dxa"/>
          </w:tcPr>
          <w:p>
            <w:pPr>
              <w:pStyle w:val="43"/>
              <w:spacing w:before="102"/>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组织结构</w:t>
            </w:r>
          </w:p>
        </w:tc>
        <w:tc>
          <w:tcPr>
            <w:tcW w:w="7550" w:type="dxa"/>
            <w:gridSpan w:val="4"/>
            <w:vAlign w:val="center"/>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2" w:hRule="atLeast"/>
        </w:trPr>
        <w:tc>
          <w:tcPr>
            <w:tcW w:w="1980" w:type="dxa"/>
          </w:tcPr>
          <w:p>
            <w:pPr>
              <w:pStyle w:val="43"/>
              <w:spacing w:before="99"/>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p>
        </w:tc>
        <w:tc>
          <w:tcPr>
            <w:tcW w:w="1180" w:type="dxa"/>
          </w:tcPr>
          <w:p>
            <w:pPr>
              <w:pStyle w:val="43"/>
              <w:spacing w:before="99"/>
              <w:ind w:left="205" w:right="19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2953" w:type="dxa"/>
          </w:tcPr>
          <w:p>
            <w:pPr>
              <w:pStyle w:val="43"/>
              <w:jc w:val="center"/>
              <w:rPr>
                <w:rFonts w:asciiTheme="minorEastAsia" w:hAnsiTheme="minorEastAsia" w:eastAsiaTheme="minorEastAsia" w:cstheme="minorEastAsia"/>
                <w:sz w:val="24"/>
                <w:szCs w:val="24"/>
              </w:rPr>
            </w:pPr>
          </w:p>
        </w:tc>
        <w:tc>
          <w:tcPr>
            <w:tcW w:w="1217" w:type="dxa"/>
            <w:vAlign w:val="center"/>
          </w:tcPr>
          <w:p>
            <w:pPr>
              <w:pStyle w:val="43"/>
              <w:spacing w:before="99"/>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2200" w:type="dxa"/>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1980" w:type="dxa"/>
          </w:tcPr>
          <w:p>
            <w:pPr>
              <w:pStyle w:val="43"/>
              <w:spacing w:before="104"/>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p>
        </w:tc>
        <w:tc>
          <w:tcPr>
            <w:tcW w:w="4133" w:type="dxa"/>
            <w:gridSpan w:val="2"/>
          </w:tcPr>
          <w:p>
            <w:pPr>
              <w:pStyle w:val="43"/>
              <w:jc w:val="center"/>
              <w:rPr>
                <w:rFonts w:asciiTheme="minorEastAsia" w:hAnsiTheme="minorEastAsia" w:eastAsiaTheme="minorEastAsia" w:cstheme="minorEastAsia"/>
                <w:sz w:val="24"/>
                <w:szCs w:val="24"/>
              </w:rPr>
            </w:pPr>
          </w:p>
        </w:tc>
        <w:tc>
          <w:tcPr>
            <w:tcW w:w="3417" w:type="dxa"/>
            <w:gridSpan w:val="2"/>
          </w:tcPr>
          <w:p>
            <w:pPr>
              <w:pStyle w:val="43"/>
              <w:spacing w:before="104"/>
              <w:ind w:right="1674"/>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980" w:type="dxa"/>
          </w:tcPr>
          <w:p>
            <w:pPr>
              <w:pStyle w:val="43"/>
              <w:spacing w:before="178"/>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营业执照号</w:t>
            </w:r>
          </w:p>
        </w:tc>
        <w:tc>
          <w:tcPr>
            <w:tcW w:w="7550" w:type="dxa"/>
            <w:gridSpan w:val="4"/>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980" w:type="dxa"/>
          </w:tcPr>
          <w:p>
            <w:pPr>
              <w:pStyle w:val="43"/>
              <w:spacing w:before="109"/>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注册资金</w:t>
            </w:r>
          </w:p>
        </w:tc>
        <w:tc>
          <w:tcPr>
            <w:tcW w:w="7550" w:type="dxa"/>
            <w:gridSpan w:val="4"/>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 w:hRule="atLeast"/>
        </w:trPr>
        <w:tc>
          <w:tcPr>
            <w:tcW w:w="1980" w:type="dxa"/>
          </w:tcPr>
          <w:p>
            <w:pPr>
              <w:pStyle w:val="43"/>
              <w:spacing w:before="178"/>
              <w:ind w:left="233"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c>
          <w:tcPr>
            <w:tcW w:w="7550" w:type="dxa"/>
            <w:gridSpan w:val="4"/>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980" w:type="dxa"/>
          </w:tcPr>
          <w:p>
            <w:pPr>
              <w:pStyle w:val="43"/>
              <w:spacing w:before="104"/>
              <w:ind w:left="235"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p>
        </w:tc>
        <w:tc>
          <w:tcPr>
            <w:tcW w:w="7550" w:type="dxa"/>
            <w:gridSpan w:val="4"/>
          </w:tcPr>
          <w:p>
            <w:pPr>
              <w:pStyle w:val="43"/>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77" w:hRule="atLeast"/>
        </w:trPr>
        <w:tc>
          <w:tcPr>
            <w:tcW w:w="1980" w:type="dxa"/>
            <w:vAlign w:val="center"/>
          </w:tcPr>
          <w:p>
            <w:pPr>
              <w:pStyle w:val="43"/>
              <w:ind w:right="223"/>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经营范围备注</w:t>
            </w:r>
          </w:p>
        </w:tc>
        <w:tc>
          <w:tcPr>
            <w:tcW w:w="7550" w:type="dxa"/>
            <w:gridSpan w:val="4"/>
          </w:tcPr>
          <w:p>
            <w:pPr>
              <w:pStyle w:val="43"/>
              <w:jc w:val="center"/>
              <w:rPr>
                <w:rFonts w:asciiTheme="minorEastAsia" w:hAnsiTheme="minorEastAsia" w:eastAsiaTheme="minorEastAsia" w:cstheme="minorEastAsia"/>
                <w:sz w:val="24"/>
                <w:szCs w:val="24"/>
              </w:rPr>
            </w:pPr>
          </w:p>
        </w:tc>
      </w:tr>
    </w:tbl>
    <w:p>
      <w:pPr>
        <w:spacing w:before="6" w:line="362" w:lineRule="auto"/>
        <w:ind w:left="220" w:right="236"/>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（附企业营业执照，税务登记证或者三证合一的营业执照、资质证书等相关证件的复印件，并</w:t>
      </w:r>
      <w:r>
        <w:rPr>
          <w:rFonts w:hint="eastAsia" w:asciiTheme="minorEastAsia" w:hAnsiTheme="minorEastAsia" w:eastAsiaTheme="minorEastAsia" w:cstheme="minorEastAsia"/>
          <w:sz w:val="24"/>
          <w:szCs w:val="24"/>
        </w:rPr>
        <w:t>加盖单位公章）</w:t>
      </w:r>
    </w:p>
    <w:p>
      <w:pPr>
        <w:spacing w:line="362" w:lineRule="auto"/>
        <w:rPr>
          <w:rFonts w:asciiTheme="minorEastAsia" w:hAnsiTheme="minorEastAsia" w:eastAsiaTheme="minorEastAsia" w:cstheme="minorEastAsia"/>
          <w:sz w:val="24"/>
          <w:szCs w:val="24"/>
        </w:rPr>
        <w:sectPr>
          <w:pgSz w:w="11910" w:h="16840"/>
          <w:pgMar w:top="1420" w:right="840" w:bottom="1000" w:left="860" w:header="1151" w:footer="805" w:gutter="0"/>
          <w:cols w:space="720" w:num="1"/>
        </w:sectPr>
      </w:pPr>
    </w:p>
    <w:p>
      <w:pPr>
        <w:spacing w:before="41"/>
        <w:ind w:left="772" w:right="924"/>
        <w:jc w:val="center"/>
        <w:rPr>
          <w:sz w:val="21"/>
        </w:rPr>
      </w:pPr>
      <w:r>
        <w:rPr>
          <w:rFonts w:hint="eastAsia"/>
          <w:b/>
          <w:bCs/>
          <w:w w:val="95"/>
          <w:sz w:val="36"/>
          <w:szCs w:val="36"/>
          <w:lang w:val="en-US" w:eastAsia="zh-CN"/>
        </w:rPr>
        <w:t>六</w:t>
      </w:r>
      <w:r>
        <w:rPr>
          <w:b/>
          <w:bCs/>
          <w:w w:val="95"/>
          <w:sz w:val="36"/>
          <w:szCs w:val="36"/>
        </w:rPr>
        <w:t>、中小微企业声明函（如有）</w:t>
      </w:r>
      <w:r>
        <w:rPr>
          <w:w w:val="99"/>
          <w:sz w:val="21"/>
        </w:rPr>
        <w:t xml:space="preserve"> </w:t>
      </w:r>
    </w:p>
    <w:p>
      <w:pPr>
        <w:pStyle w:val="3"/>
        <w:spacing w:before="12"/>
        <w:rPr>
          <w:b/>
          <w:sz w:val="24"/>
          <w:szCs w:val="24"/>
        </w:rPr>
      </w:pPr>
    </w:p>
    <w:p>
      <w:pPr>
        <w:pStyle w:val="3"/>
        <w:spacing w:line="360" w:lineRule="auto"/>
        <w:ind w:firstLine="424" w:firstLineChars="200"/>
        <w:jc w:val="both"/>
        <w:rPr>
          <w:sz w:val="24"/>
          <w:szCs w:val="24"/>
        </w:rPr>
      </w:pPr>
      <w:r>
        <w:rPr>
          <w:spacing w:val="-14"/>
          <w:sz w:val="24"/>
          <w:szCs w:val="24"/>
        </w:rPr>
        <w:t>本公司郑重声明，根据《政府采购促进中小企业发展暂行办法</w:t>
      </w:r>
      <w:r>
        <w:rPr>
          <w:spacing w:val="-173"/>
          <w:sz w:val="24"/>
          <w:szCs w:val="24"/>
        </w:rPr>
        <w:t>》</w:t>
      </w:r>
      <w:r>
        <w:rPr>
          <w:sz w:val="24"/>
          <w:szCs w:val="24"/>
        </w:rPr>
        <w:t>（</w:t>
      </w:r>
      <w:r>
        <w:rPr>
          <w:spacing w:val="-30"/>
          <w:sz w:val="24"/>
          <w:szCs w:val="24"/>
        </w:rPr>
        <w:t>财库〔</w:t>
      </w:r>
      <w:r>
        <w:rPr>
          <w:sz w:val="24"/>
          <w:szCs w:val="24"/>
        </w:rPr>
        <w:t>2011〕181号）的规定，本公司为</w:t>
      </w:r>
      <w:r>
        <w:rPr>
          <w:rFonts w:ascii="Times New Roman" w:eastAsia="Times New Roman"/>
          <w:sz w:val="24"/>
          <w:szCs w:val="24"/>
          <w:u w:val="single"/>
        </w:rPr>
        <w:tab/>
      </w:r>
      <w:r>
        <w:rPr>
          <w:spacing w:val="-1"/>
          <w:sz w:val="24"/>
          <w:szCs w:val="24"/>
        </w:rPr>
        <w:t>（</w:t>
      </w:r>
      <w:r>
        <w:rPr>
          <w:sz w:val="24"/>
          <w:szCs w:val="24"/>
        </w:rPr>
        <w:t>请填写：中型、小型、微型）企业。即，本公司同时满足以下条件：</w:t>
      </w:r>
    </w:p>
    <w:p>
      <w:pPr>
        <w:pStyle w:val="3"/>
        <w:tabs>
          <w:tab w:val="left" w:pos="5096"/>
          <w:tab w:val="left" w:pos="6057"/>
          <w:tab w:val="left" w:pos="7689"/>
        </w:tabs>
        <w:spacing w:line="360" w:lineRule="auto"/>
        <w:ind w:firstLine="480" w:firstLineChars="200"/>
        <w:jc w:val="both"/>
        <w:rPr>
          <w:sz w:val="24"/>
          <w:szCs w:val="24"/>
        </w:rPr>
      </w:pPr>
      <w:r>
        <w:rPr>
          <w:sz w:val="24"/>
          <w:szCs w:val="24"/>
        </w:rPr>
        <w:t>1、根据《工业和信息化部、国家统计局、国家发展和改革委员会、财政部关于印发中小企业划型标准规定的通知》（工信部联企业〔2011〕300号）规定的划分标准，本公司属于第四条第</w:t>
      </w:r>
      <w:r>
        <w:rPr>
          <w:rFonts w:hint="eastAsia"/>
          <w:sz w:val="24"/>
          <w:szCs w:val="24"/>
          <w:u w:val="single"/>
        </w:rPr>
        <w:t xml:space="preserve">       </w:t>
      </w:r>
      <w:r>
        <w:rPr>
          <w:sz w:val="24"/>
          <w:szCs w:val="24"/>
        </w:rPr>
        <w:t>项</w:t>
      </w:r>
      <w:r>
        <w:rPr>
          <w:rFonts w:hint="eastAsia"/>
          <w:sz w:val="24"/>
          <w:szCs w:val="24"/>
          <w:u w:val="single"/>
        </w:rPr>
        <w:t xml:space="preserve">       </w:t>
      </w:r>
      <w:r>
        <w:rPr>
          <w:sz w:val="24"/>
          <w:szCs w:val="24"/>
        </w:rPr>
        <w:t>行业，为</w:t>
      </w:r>
      <w:r>
        <w:rPr>
          <w:rFonts w:hint="eastAsia"/>
          <w:sz w:val="24"/>
          <w:szCs w:val="24"/>
          <w:u w:val="single"/>
        </w:rPr>
        <w:t xml:space="preserve">       </w:t>
      </w:r>
      <w:r>
        <w:rPr>
          <w:spacing w:val="-5"/>
          <w:sz w:val="24"/>
          <w:szCs w:val="24"/>
        </w:rPr>
        <w:t>（请</w:t>
      </w:r>
      <w:r>
        <w:rPr>
          <w:spacing w:val="-4"/>
          <w:sz w:val="24"/>
          <w:szCs w:val="24"/>
        </w:rPr>
        <w:t>填写：中</w:t>
      </w:r>
      <w:r>
        <w:rPr>
          <w:sz w:val="24"/>
          <w:szCs w:val="24"/>
        </w:rPr>
        <w:t xml:space="preserve">型、小型、微型）企业。 </w:t>
      </w:r>
    </w:p>
    <w:p>
      <w:pPr>
        <w:pStyle w:val="3"/>
        <w:tabs>
          <w:tab w:val="left" w:pos="6266"/>
        </w:tabs>
        <w:spacing w:line="360" w:lineRule="auto"/>
        <w:ind w:firstLine="480" w:firstLineChars="200"/>
        <w:jc w:val="both"/>
        <w:rPr>
          <w:sz w:val="24"/>
          <w:szCs w:val="24"/>
        </w:rPr>
      </w:pPr>
      <w:r>
        <w:rPr>
          <w:sz w:val="24"/>
          <w:szCs w:val="24"/>
        </w:rPr>
        <w:t>2、本公司参加（采购项目名称）采购活动提供本企业制造的货物，或者提供（制造商名称）制造的货物，该制造商属于</w:t>
      </w:r>
      <w:r>
        <w:rPr>
          <w:rFonts w:hint="eastAsia"/>
          <w:sz w:val="24"/>
          <w:szCs w:val="24"/>
          <w:u w:val="single"/>
        </w:rPr>
        <w:t xml:space="preserve">       </w:t>
      </w:r>
      <w:r>
        <w:rPr>
          <w:spacing w:val="-4"/>
          <w:sz w:val="24"/>
          <w:szCs w:val="24"/>
        </w:rPr>
        <w:t>（请填写：中</w:t>
      </w:r>
      <w:r>
        <w:rPr>
          <w:spacing w:val="-3"/>
          <w:sz w:val="24"/>
          <w:szCs w:val="24"/>
        </w:rPr>
        <w:t>型、小型、微型）企业（见该制造商出具的《中小微企业声明函》）。本</w:t>
      </w:r>
      <w:r>
        <w:rPr>
          <w:spacing w:val="-2"/>
          <w:sz w:val="24"/>
          <w:szCs w:val="24"/>
        </w:rPr>
        <w:t>条所称货物不包括使</w:t>
      </w:r>
      <w:r>
        <w:rPr>
          <w:sz w:val="24"/>
          <w:szCs w:val="24"/>
        </w:rPr>
        <w:t xml:space="preserve">用大型企业注册商标的货物。 </w:t>
      </w:r>
    </w:p>
    <w:p>
      <w:pPr>
        <w:pStyle w:val="3"/>
        <w:spacing w:line="360" w:lineRule="auto"/>
        <w:ind w:firstLine="480" w:firstLineChars="200"/>
        <w:jc w:val="both"/>
        <w:rPr>
          <w:sz w:val="24"/>
          <w:szCs w:val="24"/>
        </w:rPr>
      </w:pPr>
      <w:r>
        <w:rPr>
          <w:sz w:val="24"/>
          <w:szCs w:val="24"/>
        </w:rPr>
        <w:t xml:space="preserve">本公司对上述声明的真实性负责。如有虚假，将承担相应的法律责任。 </w:t>
      </w:r>
    </w:p>
    <w:p>
      <w:pPr>
        <w:pStyle w:val="3"/>
        <w:spacing w:before="161"/>
        <w:ind w:left="1261"/>
        <w:rPr>
          <w:sz w:val="24"/>
          <w:szCs w:val="24"/>
        </w:rPr>
      </w:pPr>
      <w:r>
        <w:rPr>
          <w:sz w:val="24"/>
          <w:szCs w:val="24"/>
        </w:rPr>
        <w:t xml:space="preserve">  </w:t>
      </w:r>
    </w:p>
    <w:p>
      <w:pPr>
        <w:pStyle w:val="3"/>
        <w:spacing w:before="160" w:line="364" w:lineRule="auto"/>
        <w:ind w:left="1261" w:right="5782"/>
        <w:rPr>
          <w:spacing w:val="1"/>
          <w:sz w:val="24"/>
          <w:szCs w:val="24"/>
        </w:rPr>
      </w:pPr>
      <w:r>
        <w:rPr>
          <w:sz w:val="24"/>
          <w:szCs w:val="24"/>
        </w:rPr>
        <w:t>投标供应商名称（公章）：</w:t>
      </w:r>
      <w:r>
        <w:rPr>
          <w:spacing w:val="1"/>
          <w:sz w:val="24"/>
          <w:szCs w:val="24"/>
        </w:rPr>
        <w:t xml:space="preserve"> </w:t>
      </w:r>
    </w:p>
    <w:p>
      <w:pPr>
        <w:pStyle w:val="3"/>
        <w:spacing w:before="160" w:line="364" w:lineRule="auto"/>
        <w:ind w:left="1261" w:right="5782"/>
        <w:rPr>
          <w:sz w:val="24"/>
          <w:szCs w:val="24"/>
        </w:rPr>
      </w:pPr>
      <w:r>
        <w:rPr>
          <w:sz w:val="24"/>
          <w:szCs w:val="24"/>
        </w:rPr>
        <w:t xml:space="preserve">日期： </w:t>
      </w:r>
    </w:p>
    <w:p>
      <w:pPr>
        <w:pStyle w:val="3"/>
        <w:spacing w:before="1"/>
        <w:ind w:left="1261"/>
        <w:rPr>
          <w:sz w:val="24"/>
          <w:szCs w:val="24"/>
        </w:rPr>
      </w:pPr>
    </w:p>
    <w:p>
      <w:pPr>
        <w:pStyle w:val="4"/>
        <w:tabs>
          <w:tab w:val="left" w:pos="540"/>
        </w:tabs>
        <w:rPr>
          <w:sz w:val="24"/>
          <w:szCs w:val="24"/>
        </w:rPr>
      </w:pPr>
    </w:p>
    <w:p>
      <w:pPr>
        <w:pStyle w:val="3"/>
        <w:spacing w:line="360" w:lineRule="auto"/>
        <w:ind w:firstLine="408" w:firstLineChars="200"/>
        <w:jc w:val="both"/>
        <w:rPr>
          <w:sz w:val="24"/>
          <w:szCs w:val="24"/>
        </w:rPr>
      </w:pPr>
      <w:r>
        <w:rPr>
          <w:spacing w:val="-18"/>
          <w:sz w:val="24"/>
          <w:szCs w:val="24"/>
        </w:rPr>
        <w:t>财政部、工信部关于印发《政府采购促进中小企业发展暂行办法》的通知</w:t>
      </w:r>
      <w:r>
        <w:rPr>
          <w:sz w:val="24"/>
          <w:szCs w:val="24"/>
        </w:rPr>
        <w:t xml:space="preserve">（财库〔2011〕181号）第二条规定：中小企业（含中型、小型、微型企业）应当同时符合以下条件： </w:t>
      </w:r>
    </w:p>
    <w:p>
      <w:pPr>
        <w:pStyle w:val="3"/>
        <w:spacing w:line="360" w:lineRule="auto"/>
        <w:ind w:firstLine="480" w:firstLineChars="200"/>
        <w:jc w:val="both"/>
        <w:rPr>
          <w:sz w:val="24"/>
          <w:szCs w:val="24"/>
        </w:rPr>
      </w:pPr>
      <w:r>
        <w:rPr>
          <w:sz w:val="24"/>
          <w:szCs w:val="24"/>
        </w:rPr>
        <w:t>（一）符合中小企业划分标准（见工业和信息化部国家统计局国家发展和改</w:t>
      </w:r>
      <w:r>
        <w:rPr>
          <w:spacing w:val="-12"/>
          <w:sz w:val="24"/>
          <w:szCs w:val="24"/>
        </w:rPr>
        <w:t>革委员财政部《关于印发中小企业划型标准规定的通知》</w:t>
      </w:r>
      <w:r>
        <w:rPr>
          <w:sz w:val="24"/>
          <w:szCs w:val="24"/>
        </w:rPr>
        <w:t>（</w:t>
      </w:r>
      <w:r>
        <w:rPr>
          <w:spacing w:val="-8"/>
          <w:sz w:val="24"/>
          <w:szCs w:val="24"/>
        </w:rPr>
        <w:t>工信部联企业〔</w:t>
      </w:r>
      <w:r>
        <w:rPr>
          <w:sz w:val="24"/>
          <w:szCs w:val="24"/>
        </w:rPr>
        <w:t xml:space="preserve">2011〕300号)）； </w:t>
      </w:r>
    </w:p>
    <w:p>
      <w:pPr>
        <w:pStyle w:val="3"/>
        <w:spacing w:line="360" w:lineRule="auto"/>
        <w:ind w:firstLine="468" w:firstLineChars="200"/>
        <w:jc w:val="both"/>
        <w:rPr>
          <w:sz w:val="24"/>
          <w:szCs w:val="24"/>
        </w:rPr>
      </w:pPr>
      <w:r>
        <w:rPr>
          <w:spacing w:val="-3"/>
          <w:sz w:val="24"/>
          <w:szCs w:val="24"/>
        </w:rPr>
        <w:t>（二）提供本企业制造的货物、承担的工程或者服务，或者提供其他中小企</w:t>
      </w:r>
      <w:r>
        <w:rPr>
          <w:sz w:val="24"/>
          <w:szCs w:val="24"/>
        </w:rPr>
        <w:t xml:space="preserve">业制造的货物。本项所称货物不包括使用大型企业注册商标的货物。 </w:t>
      </w:r>
    </w:p>
    <w:p>
      <w:pPr>
        <w:pStyle w:val="3"/>
        <w:spacing w:line="360" w:lineRule="auto"/>
        <w:ind w:firstLine="468" w:firstLineChars="200"/>
        <w:jc w:val="both"/>
        <w:rPr>
          <w:sz w:val="24"/>
          <w:szCs w:val="24"/>
        </w:rPr>
      </w:pPr>
      <w:r>
        <w:rPr>
          <w:spacing w:val="-3"/>
          <w:sz w:val="24"/>
          <w:szCs w:val="24"/>
        </w:rPr>
        <w:t>本办法所称中小企业划分标准，是指国务院有关部门根据企业从业人员、营</w:t>
      </w:r>
      <w:r>
        <w:rPr>
          <w:sz w:val="24"/>
          <w:szCs w:val="24"/>
        </w:rPr>
        <w:t xml:space="preserve">业收入、资产总额等指标制定的中小企业划型标准。 </w:t>
      </w:r>
    </w:p>
    <w:p>
      <w:pPr>
        <w:rPr>
          <w:sz w:val="24"/>
          <w:szCs w:val="24"/>
        </w:rPr>
      </w:pPr>
      <w:r>
        <w:rPr>
          <w:sz w:val="24"/>
          <w:szCs w:val="24"/>
        </w:rPr>
        <w:t>小型、微型企业提供中型企业制造的货物的，视同为中型企业。</w:t>
      </w:r>
      <w:r>
        <w:rPr>
          <w:b/>
          <w:sz w:val="24"/>
          <w:szCs w:val="24"/>
        </w:rPr>
        <w:t>供应商须提供相关的证明材料。</w:t>
      </w:r>
    </w:p>
    <w:p>
      <w:pPr>
        <w:pStyle w:val="3"/>
        <w:rPr>
          <w:rFonts w:ascii="新宋体"/>
          <w:sz w:val="20"/>
        </w:rPr>
      </w:pPr>
    </w:p>
    <w:p>
      <w:pPr>
        <w:pStyle w:val="4"/>
        <w:rPr>
          <w:rFonts w:ascii="新宋体"/>
          <w:sz w:val="20"/>
        </w:rPr>
      </w:pPr>
    </w:p>
    <w:p>
      <w:pPr>
        <w:pStyle w:val="4"/>
        <w:rPr>
          <w:rFonts w:ascii="新宋体"/>
          <w:sz w:val="20"/>
        </w:rPr>
      </w:pPr>
    </w:p>
    <w:p>
      <w:pPr>
        <w:pStyle w:val="4"/>
        <w:rPr>
          <w:rFonts w:ascii="新宋体"/>
          <w:sz w:val="20"/>
        </w:rPr>
      </w:pPr>
    </w:p>
    <w:p>
      <w:pPr>
        <w:pStyle w:val="4"/>
        <w:rPr>
          <w:rFonts w:ascii="新宋体"/>
          <w:sz w:val="20"/>
        </w:rPr>
      </w:pPr>
    </w:p>
    <w:p>
      <w:pPr>
        <w:jc w:val="center"/>
        <w:rPr>
          <w:b/>
          <w:bCs/>
          <w:w w:val="95"/>
          <w:sz w:val="36"/>
          <w:szCs w:val="36"/>
        </w:rPr>
      </w:pPr>
      <w:r>
        <w:rPr>
          <w:rFonts w:hint="eastAsia"/>
          <w:b/>
          <w:bCs/>
          <w:w w:val="95"/>
          <w:sz w:val="36"/>
          <w:szCs w:val="36"/>
          <w:lang w:val="en-US" w:eastAsia="zh-CN"/>
        </w:rPr>
        <w:t>七</w:t>
      </w:r>
      <w:r>
        <w:rPr>
          <w:b/>
          <w:bCs/>
          <w:w w:val="95"/>
          <w:sz w:val="36"/>
          <w:szCs w:val="36"/>
        </w:rPr>
        <w:t>、其他需提供的资料</w:t>
      </w:r>
    </w:p>
    <w:p>
      <w:pPr>
        <w:pStyle w:val="3"/>
        <w:rPr>
          <w:b/>
          <w:sz w:val="32"/>
        </w:rPr>
      </w:pPr>
    </w:p>
    <w:p>
      <w:pPr>
        <w:pStyle w:val="3"/>
        <w:spacing w:before="1"/>
        <w:rPr>
          <w:b/>
          <w:sz w:val="27"/>
        </w:rPr>
      </w:pPr>
    </w:p>
    <w:p>
      <w:pPr>
        <w:pStyle w:val="42"/>
        <w:numPr>
          <w:ilvl w:val="0"/>
          <w:numId w:val="8"/>
        </w:numPr>
        <w:tabs>
          <w:tab w:val="left" w:pos="822"/>
          <w:tab w:val="left" w:pos="2620"/>
        </w:tabs>
        <w:spacing w:line="360" w:lineRule="auto"/>
        <w:ind w:left="221" w:right="983" w:firstLine="0"/>
        <w:rPr>
          <w:sz w:val="24"/>
          <w:szCs w:val="24"/>
        </w:rPr>
      </w:pPr>
      <w:bookmarkStart w:id="8" w:name="_bookmark22"/>
      <w:bookmarkEnd w:id="8"/>
      <w:r>
        <w:rPr>
          <w:sz w:val="24"/>
          <w:szCs w:val="24"/>
        </w:rPr>
        <w:t>参加本次政府采购活动前三年内，在经营活动中没有重大违法犯罪记录的承诺函</w:t>
      </w:r>
    </w:p>
    <w:p>
      <w:pPr>
        <w:pStyle w:val="42"/>
        <w:tabs>
          <w:tab w:val="left" w:pos="822"/>
          <w:tab w:val="left" w:pos="2620"/>
        </w:tabs>
        <w:spacing w:line="360" w:lineRule="auto"/>
        <w:ind w:right="983" w:firstLine="0"/>
        <w:rPr>
          <w:sz w:val="24"/>
          <w:szCs w:val="24"/>
        </w:rPr>
      </w:pPr>
      <w:r>
        <w:rPr>
          <w:sz w:val="24"/>
          <w:szCs w:val="24"/>
        </w:rPr>
        <w:t>致</w:t>
      </w:r>
      <w:r>
        <w:rPr>
          <w:sz w:val="24"/>
          <w:szCs w:val="24"/>
        </w:rPr>
        <w:tab/>
      </w:r>
      <w:r>
        <w:rPr>
          <w:sz w:val="24"/>
          <w:szCs w:val="24"/>
        </w:rPr>
        <w:t>：（采购人）</w:t>
      </w:r>
    </w:p>
    <w:p>
      <w:pPr>
        <w:pStyle w:val="3"/>
        <w:spacing w:before="9"/>
        <w:rPr>
          <w:sz w:val="24"/>
          <w:szCs w:val="24"/>
        </w:rPr>
      </w:pPr>
    </w:p>
    <w:p>
      <w:pPr>
        <w:spacing w:before="1" w:line="360" w:lineRule="auto"/>
        <w:ind w:left="220" w:right="237"/>
        <w:rPr>
          <w:sz w:val="24"/>
          <w:szCs w:val="24"/>
        </w:rPr>
      </w:pPr>
      <w:r>
        <w:rPr>
          <w:spacing w:val="-4"/>
          <w:sz w:val="24"/>
          <w:szCs w:val="24"/>
        </w:rPr>
        <w:t>我公司保证在参加政府采购活动前三年内在经营活动中没有重大违法记录。我公司保证所述内</w:t>
      </w:r>
      <w:r>
        <w:rPr>
          <w:sz w:val="24"/>
          <w:szCs w:val="24"/>
        </w:rPr>
        <w:t>容真实、有效，并对此声明内容的真实性负法律责任并愿意承担相应责任。</w:t>
      </w:r>
    </w:p>
    <w:p>
      <w:pPr>
        <w:pStyle w:val="3"/>
        <w:spacing w:before="9"/>
        <w:rPr>
          <w:sz w:val="24"/>
          <w:szCs w:val="24"/>
        </w:rPr>
      </w:pPr>
    </w:p>
    <w:p>
      <w:pPr>
        <w:ind w:left="340"/>
        <w:rPr>
          <w:sz w:val="24"/>
          <w:szCs w:val="24"/>
        </w:rPr>
      </w:pPr>
      <w:r>
        <w:rPr>
          <w:sz w:val="24"/>
          <w:szCs w:val="24"/>
        </w:rPr>
        <w:t>特此声明！</w:t>
      </w:r>
    </w:p>
    <w:p>
      <w:pPr>
        <w:pStyle w:val="3"/>
        <w:rPr>
          <w:sz w:val="24"/>
          <w:szCs w:val="24"/>
        </w:rPr>
      </w:pPr>
    </w:p>
    <w:p>
      <w:pPr>
        <w:pStyle w:val="3"/>
        <w:spacing w:before="11"/>
        <w:rPr>
          <w:sz w:val="24"/>
          <w:szCs w:val="24"/>
        </w:rPr>
      </w:pPr>
    </w:p>
    <w:p>
      <w:pPr>
        <w:ind w:left="340"/>
        <w:rPr>
          <w:sz w:val="24"/>
          <w:szCs w:val="24"/>
        </w:rPr>
      </w:pPr>
      <w:r>
        <w:rPr>
          <w:sz w:val="24"/>
          <w:szCs w:val="24"/>
        </w:rPr>
        <w:t>投标人名称：（电子签章）</w:t>
      </w:r>
    </w:p>
    <w:p>
      <w:pPr>
        <w:pStyle w:val="3"/>
        <w:rPr>
          <w:sz w:val="24"/>
          <w:szCs w:val="24"/>
        </w:rPr>
      </w:pPr>
    </w:p>
    <w:p>
      <w:pPr>
        <w:pStyle w:val="3"/>
        <w:spacing w:before="9"/>
        <w:rPr>
          <w:sz w:val="24"/>
          <w:szCs w:val="24"/>
        </w:rPr>
      </w:pPr>
    </w:p>
    <w:p>
      <w:pPr>
        <w:spacing w:line="717" w:lineRule="auto"/>
        <w:ind w:left="220" w:right="3143"/>
        <w:rPr>
          <w:sz w:val="24"/>
          <w:szCs w:val="24"/>
        </w:rPr>
      </w:pPr>
      <w:r>
        <w:rPr>
          <w:sz w:val="24"/>
          <w:szCs w:val="24"/>
        </w:rPr>
        <w:t>法定代表人或其授权委托人：（法人电子签章/委托代理人签字）</w:t>
      </w:r>
      <w:r>
        <w:rPr>
          <w:spacing w:val="-117"/>
          <w:sz w:val="24"/>
          <w:szCs w:val="24"/>
        </w:rPr>
        <w:t xml:space="preserve"> </w:t>
      </w:r>
      <w:r>
        <w:rPr>
          <w:sz w:val="24"/>
          <w:szCs w:val="24"/>
        </w:rPr>
        <w:t>日期：年月日</w:t>
      </w:r>
    </w:p>
    <w:p>
      <w:pPr>
        <w:spacing w:line="717" w:lineRule="auto"/>
        <w:rPr>
          <w:sz w:val="24"/>
          <w:szCs w:val="24"/>
        </w:rPr>
        <w:sectPr>
          <w:pgSz w:w="11910" w:h="16840"/>
          <w:pgMar w:top="1420" w:right="840" w:bottom="1000" w:left="860" w:header="1151" w:footer="805" w:gutter="0"/>
          <w:cols w:space="720" w:num="1"/>
        </w:sectPr>
      </w:pPr>
    </w:p>
    <w:p>
      <w:pPr>
        <w:pStyle w:val="3"/>
        <w:rPr>
          <w:sz w:val="20"/>
        </w:rPr>
      </w:pPr>
    </w:p>
    <w:p>
      <w:pPr>
        <w:pStyle w:val="3"/>
        <w:spacing w:before="2"/>
        <w:rPr>
          <w:sz w:val="18"/>
        </w:rPr>
      </w:pPr>
    </w:p>
    <w:p>
      <w:pPr>
        <w:pStyle w:val="42"/>
        <w:numPr>
          <w:ilvl w:val="0"/>
          <w:numId w:val="8"/>
        </w:numPr>
        <w:tabs>
          <w:tab w:val="left" w:pos="925"/>
        </w:tabs>
        <w:spacing w:before="62"/>
        <w:ind w:left="925" w:hanging="705"/>
        <w:rPr>
          <w:sz w:val="24"/>
          <w:szCs w:val="24"/>
        </w:rPr>
      </w:pPr>
      <w:bookmarkStart w:id="9" w:name="_bookmark23"/>
      <w:bookmarkEnd w:id="9"/>
      <w:r>
        <w:rPr>
          <w:sz w:val="24"/>
          <w:szCs w:val="24"/>
        </w:rPr>
        <w:t>信用要求证明材料</w:t>
      </w:r>
    </w:p>
    <w:p>
      <w:pPr>
        <w:pStyle w:val="3"/>
        <w:spacing w:before="2"/>
        <w:rPr>
          <w:sz w:val="24"/>
          <w:szCs w:val="24"/>
        </w:rPr>
      </w:pPr>
    </w:p>
    <w:p>
      <w:pPr>
        <w:pStyle w:val="42"/>
        <w:numPr>
          <w:ilvl w:val="0"/>
          <w:numId w:val="8"/>
        </w:numPr>
        <w:tabs>
          <w:tab w:val="left" w:pos="925"/>
        </w:tabs>
        <w:ind w:left="925" w:hanging="705"/>
        <w:rPr>
          <w:sz w:val="24"/>
          <w:szCs w:val="24"/>
        </w:rPr>
      </w:pPr>
      <w:bookmarkStart w:id="10" w:name="_bookmark24"/>
      <w:bookmarkEnd w:id="10"/>
      <w:r>
        <w:rPr>
          <w:sz w:val="24"/>
          <w:szCs w:val="24"/>
        </w:rPr>
        <w:t>反商业贿赂承诺书</w:t>
      </w:r>
    </w:p>
    <w:p>
      <w:pPr>
        <w:pStyle w:val="3"/>
        <w:spacing w:before="4"/>
        <w:rPr>
          <w:sz w:val="24"/>
          <w:szCs w:val="24"/>
        </w:rPr>
      </w:pPr>
    </w:p>
    <w:p>
      <w:pPr>
        <w:ind w:left="220"/>
        <w:rPr>
          <w:sz w:val="24"/>
          <w:szCs w:val="24"/>
        </w:rPr>
      </w:pPr>
      <w:r>
        <w:rPr>
          <w:sz w:val="24"/>
          <w:szCs w:val="24"/>
        </w:rPr>
        <w:t>我公司承诺：</w:t>
      </w:r>
    </w:p>
    <w:p>
      <w:pPr>
        <w:spacing w:before="151" w:line="360" w:lineRule="auto"/>
        <w:ind w:left="220" w:right="4823"/>
        <w:rPr>
          <w:sz w:val="24"/>
          <w:szCs w:val="24"/>
        </w:rPr>
      </w:pPr>
      <w:r>
        <w:rPr>
          <w:spacing w:val="-7"/>
          <w:sz w:val="24"/>
          <w:szCs w:val="24"/>
        </w:rPr>
        <w:t xml:space="preserve">在 </w:t>
      </w:r>
      <w:r>
        <w:rPr>
          <w:sz w:val="24"/>
          <w:szCs w:val="24"/>
        </w:rPr>
        <w:t>（项目名称）招标活动中，我公司保证做到：</w:t>
      </w:r>
      <w:r>
        <w:rPr>
          <w:spacing w:val="-117"/>
          <w:sz w:val="24"/>
          <w:szCs w:val="24"/>
        </w:rPr>
        <w:t xml:space="preserve"> </w:t>
      </w:r>
      <w:r>
        <w:rPr>
          <w:sz w:val="24"/>
          <w:szCs w:val="24"/>
        </w:rPr>
        <w:t>一、公平竞争参加本次招标活动。</w:t>
      </w:r>
    </w:p>
    <w:p>
      <w:pPr>
        <w:spacing w:line="360" w:lineRule="auto"/>
        <w:ind w:left="220" w:right="238"/>
        <w:jc w:val="both"/>
        <w:rPr>
          <w:sz w:val="24"/>
          <w:szCs w:val="24"/>
        </w:rPr>
      </w:pPr>
      <w:r>
        <w:rPr>
          <w:spacing w:val="-3"/>
          <w:sz w:val="24"/>
          <w:szCs w:val="24"/>
        </w:rPr>
        <w:t>二、杜绝任何形式的商业贿赂行为。不向国家工作人员、政府招标代理机构工作人员、评审专家及其亲属提供礼品礼金、有价证券、购物券、回扣、佣金、咨询费、劳务费、赞助费、宣传</w:t>
      </w:r>
      <w:r>
        <w:rPr>
          <w:sz w:val="24"/>
          <w:szCs w:val="24"/>
        </w:rPr>
        <w:t>费、宴请；不为其报销各种消费凭证，不支付其旅游、娱乐等费用。</w:t>
      </w:r>
    </w:p>
    <w:p>
      <w:pPr>
        <w:spacing w:line="357" w:lineRule="auto"/>
        <w:ind w:left="220" w:right="239"/>
        <w:rPr>
          <w:sz w:val="24"/>
          <w:szCs w:val="24"/>
        </w:rPr>
      </w:pPr>
      <w:r>
        <w:rPr>
          <w:spacing w:val="-3"/>
          <w:sz w:val="24"/>
          <w:szCs w:val="24"/>
        </w:rPr>
        <w:t>三、若出现上述行为，我公司及参与投标的工作人员愿意接受按照国家法律法规等有关规定给</w:t>
      </w:r>
      <w:r>
        <w:rPr>
          <w:sz w:val="24"/>
          <w:szCs w:val="24"/>
        </w:rPr>
        <w:t>予的处罚。</w:t>
      </w:r>
    </w:p>
    <w:p>
      <w:pPr>
        <w:pStyle w:val="3"/>
        <w:rPr>
          <w:sz w:val="24"/>
          <w:szCs w:val="24"/>
        </w:rPr>
      </w:pPr>
    </w:p>
    <w:p>
      <w:pPr>
        <w:pStyle w:val="3"/>
        <w:rPr>
          <w:sz w:val="24"/>
        </w:rPr>
      </w:pPr>
    </w:p>
    <w:p>
      <w:pPr>
        <w:pStyle w:val="3"/>
        <w:spacing w:before="8"/>
        <w:rPr>
          <w:sz w:val="23"/>
        </w:rPr>
      </w:pPr>
    </w:p>
    <w:p>
      <w:pPr>
        <w:spacing w:line="360" w:lineRule="auto"/>
        <w:ind w:left="220" w:right="3863"/>
        <w:rPr>
          <w:sz w:val="24"/>
        </w:rPr>
      </w:pPr>
      <w:r>
        <w:rPr>
          <w:spacing w:val="-1"/>
          <w:sz w:val="24"/>
        </w:rPr>
        <w:t>公司法人代表或委托代理人</w:t>
      </w:r>
      <w:r>
        <w:rPr>
          <w:sz w:val="24"/>
        </w:rPr>
        <w:t>（电子签章/授权代表签字）：</w:t>
      </w:r>
      <w:r>
        <w:rPr>
          <w:spacing w:val="-117"/>
          <w:sz w:val="24"/>
        </w:rPr>
        <w:t xml:space="preserve"> </w:t>
      </w:r>
      <w:r>
        <w:rPr>
          <w:sz w:val="24"/>
        </w:rPr>
        <w:t>投标单位（公章）：</w:t>
      </w:r>
    </w:p>
    <w:p>
      <w:pPr>
        <w:tabs>
          <w:tab w:val="left" w:pos="1660"/>
          <w:tab w:val="left" w:pos="2140"/>
        </w:tabs>
        <w:spacing w:line="307" w:lineRule="exact"/>
        <w:ind w:left="1180"/>
        <w:rPr>
          <w:sz w:val="24"/>
        </w:rPr>
      </w:pPr>
      <w:r>
        <w:rPr>
          <w:sz w:val="24"/>
        </w:rPr>
        <w:t>年</w:t>
      </w:r>
      <w:r>
        <w:rPr>
          <w:sz w:val="24"/>
        </w:rPr>
        <w:tab/>
      </w:r>
      <w:r>
        <w:rPr>
          <w:sz w:val="24"/>
        </w:rPr>
        <w:t>月</w:t>
      </w:r>
      <w:r>
        <w:rPr>
          <w:sz w:val="24"/>
        </w:rPr>
        <w:tab/>
      </w:r>
      <w:r>
        <w:rPr>
          <w:sz w:val="24"/>
        </w:rPr>
        <w:t>日</w:t>
      </w:r>
    </w:p>
    <w:p>
      <w:pPr>
        <w:pStyle w:val="3"/>
        <w:rPr>
          <w:sz w:val="24"/>
        </w:rPr>
      </w:pPr>
    </w:p>
    <w:p>
      <w:pPr>
        <w:pStyle w:val="3"/>
        <w:spacing w:before="8"/>
        <w:rPr>
          <w:sz w:val="30"/>
        </w:rPr>
      </w:pPr>
    </w:p>
    <w:p>
      <w:pPr>
        <w:pStyle w:val="42"/>
        <w:numPr>
          <w:ilvl w:val="0"/>
          <w:numId w:val="8"/>
        </w:numPr>
        <w:tabs>
          <w:tab w:val="left" w:pos="925"/>
        </w:tabs>
        <w:ind w:left="925" w:hanging="705"/>
        <w:rPr>
          <w:sz w:val="24"/>
          <w:szCs w:val="24"/>
        </w:rPr>
      </w:pPr>
      <w:r>
        <w:rPr>
          <w:sz w:val="24"/>
          <w:szCs w:val="24"/>
        </w:rPr>
        <w:t>磋商文件内容确认书</w:t>
      </w:r>
    </w:p>
    <w:p>
      <w:pPr>
        <w:spacing w:before="130"/>
        <w:ind w:left="220"/>
        <w:rPr>
          <w:sz w:val="24"/>
          <w:szCs w:val="24"/>
        </w:rPr>
      </w:pPr>
      <w:r>
        <w:rPr>
          <w:sz w:val="24"/>
          <w:szCs w:val="24"/>
        </w:rPr>
        <w:t>（采购人名称）：</w:t>
      </w:r>
    </w:p>
    <w:p>
      <w:pPr>
        <w:pStyle w:val="3"/>
        <w:rPr>
          <w:sz w:val="24"/>
          <w:szCs w:val="24"/>
        </w:rPr>
      </w:pPr>
    </w:p>
    <w:p>
      <w:pPr>
        <w:pStyle w:val="3"/>
        <w:spacing w:before="9"/>
        <w:rPr>
          <w:sz w:val="24"/>
          <w:szCs w:val="24"/>
        </w:rPr>
      </w:pPr>
    </w:p>
    <w:p>
      <w:pPr>
        <w:spacing w:line="360" w:lineRule="auto"/>
        <w:ind w:left="220" w:right="240" w:firstLine="468" w:firstLineChars="200"/>
        <w:rPr>
          <w:sz w:val="24"/>
          <w:szCs w:val="24"/>
        </w:rPr>
      </w:pPr>
      <w:r>
        <w:rPr>
          <w:spacing w:val="-3"/>
          <w:sz w:val="24"/>
          <w:szCs w:val="24"/>
        </w:rPr>
        <w:t>我方已经详细阅读整个磋商文件的内容，对本磋商文件的内容没有任何异议，全部同意并接受</w:t>
      </w:r>
      <w:r>
        <w:rPr>
          <w:sz w:val="24"/>
          <w:szCs w:val="24"/>
        </w:rPr>
        <w:t>且我方保证在磋商活动结束后不对本磋商文件的任何内容提出异议。</w:t>
      </w:r>
    </w:p>
    <w:p>
      <w:pPr>
        <w:pStyle w:val="3"/>
        <w:rPr>
          <w:sz w:val="24"/>
          <w:szCs w:val="24"/>
        </w:rPr>
      </w:pPr>
    </w:p>
    <w:p>
      <w:pPr>
        <w:pStyle w:val="3"/>
        <w:rPr>
          <w:sz w:val="24"/>
          <w:szCs w:val="24"/>
        </w:rPr>
      </w:pPr>
    </w:p>
    <w:p>
      <w:pPr>
        <w:pStyle w:val="3"/>
        <w:spacing w:before="9"/>
        <w:rPr>
          <w:sz w:val="24"/>
          <w:szCs w:val="24"/>
        </w:rPr>
      </w:pPr>
    </w:p>
    <w:p>
      <w:pPr>
        <w:spacing w:before="1" w:line="360" w:lineRule="auto"/>
        <w:ind w:left="221"/>
        <w:rPr>
          <w:sz w:val="24"/>
          <w:szCs w:val="24"/>
        </w:rPr>
      </w:pPr>
      <w:r>
        <w:rPr>
          <w:sz w:val="24"/>
          <w:szCs w:val="24"/>
        </w:rPr>
        <w:t>投标人名称：（电子签章）</w:t>
      </w:r>
    </w:p>
    <w:p>
      <w:pPr>
        <w:spacing w:line="360" w:lineRule="auto"/>
        <w:ind w:left="221"/>
        <w:rPr>
          <w:sz w:val="24"/>
          <w:szCs w:val="24"/>
        </w:rPr>
      </w:pPr>
      <w:r>
        <w:rPr>
          <w:sz w:val="24"/>
          <w:szCs w:val="24"/>
        </w:rPr>
        <w:t>法定代表人或其授权委托人： （法人电子签章/委托代理人签字）</w:t>
      </w:r>
    </w:p>
    <w:p>
      <w:pPr>
        <w:spacing w:line="360" w:lineRule="auto"/>
        <w:ind w:left="221"/>
        <w:rPr>
          <w:sz w:val="24"/>
          <w:szCs w:val="24"/>
        </w:rPr>
      </w:pPr>
      <w:r>
        <w:rPr>
          <w:sz w:val="24"/>
          <w:szCs w:val="24"/>
        </w:rPr>
        <w:t>日 期：</w:t>
      </w:r>
      <w:r>
        <w:rPr>
          <w:spacing w:val="-1"/>
          <w:sz w:val="24"/>
          <w:szCs w:val="24"/>
        </w:rPr>
        <w:t xml:space="preserve"> </w:t>
      </w:r>
      <w:r>
        <w:rPr>
          <w:sz w:val="24"/>
          <w:szCs w:val="24"/>
        </w:rPr>
        <w:t>年</w:t>
      </w:r>
      <w:r>
        <w:rPr>
          <w:rFonts w:hint="eastAsia"/>
          <w:sz w:val="24"/>
          <w:szCs w:val="24"/>
        </w:rPr>
        <w:t xml:space="preserve"> </w:t>
      </w:r>
      <w:r>
        <w:rPr>
          <w:sz w:val="24"/>
          <w:szCs w:val="24"/>
        </w:rPr>
        <w:tab/>
      </w:r>
      <w:r>
        <w:rPr>
          <w:sz w:val="24"/>
          <w:szCs w:val="24"/>
        </w:rPr>
        <w:t>月</w:t>
      </w:r>
      <w:r>
        <w:rPr>
          <w:sz w:val="24"/>
          <w:szCs w:val="24"/>
        </w:rPr>
        <w:tab/>
      </w:r>
      <w:r>
        <w:rPr>
          <w:sz w:val="24"/>
          <w:szCs w:val="24"/>
        </w:rPr>
        <w:t>日</w:t>
      </w:r>
    </w:p>
    <w:p>
      <w:pPr>
        <w:pStyle w:val="3"/>
        <w:rPr>
          <w:sz w:val="24"/>
        </w:rPr>
      </w:pPr>
    </w:p>
    <w:p>
      <w:pPr>
        <w:pStyle w:val="4"/>
      </w:pPr>
    </w:p>
    <w:p>
      <w:pPr>
        <w:pStyle w:val="42"/>
        <w:numPr>
          <w:ilvl w:val="0"/>
          <w:numId w:val="8"/>
        </w:numPr>
        <w:tabs>
          <w:tab w:val="left" w:pos="925"/>
        </w:tabs>
        <w:spacing w:before="28" w:line="360" w:lineRule="auto"/>
        <w:ind w:left="221" w:right="5362" w:firstLine="0"/>
        <w:rPr>
          <w:sz w:val="24"/>
          <w:szCs w:val="24"/>
        </w:rPr>
      </w:pPr>
      <w:r>
        <w:rPr>
          <w:spacing w:val="-1"/>
          <w:sz w:val="24"/>
          <w:szCs w:val="24"/>
        </w:rPr>
        <w:t>中标服务费承诺书、投标承诺函</w:t>
      </w:r>
    </w:p>
    <w:p>
      <w:pPr>
        <w:pStyle w:val="42"/>
        <w:tabs>
          <w:tab w:val="left" w:pos="925"/>
        </w:tabs>
        <w:spacing w:before="28" w:line="360" w:lineRule="auto"/>
        <w:ind w:left="221" w:right="5362" w:firstLine="0"/>
        <w:rPr>
          <w:sz w:val="24"/>
          <w:szCs w:val="24"/>
        </w:rPr>
      </w:pPr>
      <w:r>
        <w:rPr>
          <w:b/>
          <w:sz w:val="24"/>
          <w:szCs w:val="24"/>
        </w:rPr>
        <w:t>中标服务费承诺书</w:t>
      </w:r>
    </w:p>
    <w:p>
      <w:pPr>
        <w:spacing w:line="360" w:lineRule="auto"/>
        <w:ind w:left="220"/>
        <w:rPr>
          <w:sz w:val="24"/>
          <w:szCs w:val="24"/>
        </w:rPr>
      </w:pPr>
      <w:r>
        <w:rPr>
          <w:sz w:val="24"/>
          <w:szCs w:val="24"/>
        </w:rPr>
        <w:t>致：（招标代理公司）</w:t>
      </w:r>
    </w:p>
    <w:p>
      <w:pPr>
        <w:tabs>
          <w:tab w:val="left" w:pos="6118"/>
        </w:tabs>
        <w:spacing w:before="4" w:line="360" w:lineRule="auto"/>
        <w:ind w:left="220" w:right="237" w:firstLine="480" w:firstLineChars="200"/>
        <w:rPr>
          <w:sz w:val="24"/>
          <w:szCs w:val="24"/>
        </w:rPr>
      </w:pPr>
      <w:r>
        <w:rPr>
          <w:sz w:val="24"/>
          <w:szCs w:val="24"/>
        </w:rPr>
        <w:t>我们在贵公司组织的</w:t>
      </w:r>
      <w:r>
        <w:rPr>
          <w:sz w:val="24"/>
          <w:szCs w:val="24"/>
        </w:rPr>
        <w:tab/>
      </w:r>
      <w:r>
        <w:rPr>
          <w:sz w:val="24"/>
          <w:szCs w:val="24"/>
        </w:rPr>
        <w:t>项目中若中标，我们保证在领取中标通知书时向贵公司一次性支付该项目的中标服务费。</w:t>
      </w:r>
    </w:p>
    <w:p>
      <w:pPr>
        <w:spacing w:before="1" w:line="360" w:lineRule="auto"/>
        <w:ind w:left="220"/>
        <w:rPr>
          <w:sz w:val="24"/>
          <w:szCs w:val="24"/>
        </w:rPr>
      </w:pPr>
      <w:r>
        <w:rPr>
          <w:sz w:val="24"/>
          <w:szCs w:val="24"/>
        </w:rPr>
        <w:t>特此承诺！</w:t>
      </w:r>
    </w:p>
    <w:p>
      <w:pPr>
        <w:tabs>
          <w:tab w:val="left" w:pos="5740"/>
          <w:tab w:val="left" w:pos="6275"/>
        </w:tabs>
        <w:spacing w:before="4" w:line="360" w:lineRule="auto"/>
        <w:ind w:left="220" w:right="3023"/>
        <w:rPr>
          <w:rFonts w:ascii="Times New Roman" w:eastAsia="Times New Roman"/>
          <w:sz w:val="24"/>
          <w:szCs w:val="24"/>
        </w:rPr>
      </w:pPr>
      <w:r>
        <w:rPr>
          <w:sz w:val="24"/>
          <w:szCs w:val="24"/>
        </w:rPr>
        <w:t>承诺方公司名称：</w:t>
      </w:r>
      <w:r>
        <w:rPr>
          <w:rFonts w:ascii="Times New Roman" w:eastAsia="Times New Roman"/>
          <w:sz w:val="24"/>
          <w:szCs w:val="24"/>
          <w:u w:val="single"/>
        </w:rPr>
        <w:tab/>
      </w:r>
      <w:r>
        <w:rPr>
          <w:spacing w:val="-1"/>
          <w:sz w:val="24"/>
          <w:szCs w:val="24"/>
        </w:rPr>
        <w:t>（</w:t>
      </w:r>
      <w:r>
        <w:rPr>
          <w:sz w:val="24"/>
          <w:szCs w:val="24"/>
        </w:rPr>
        <w:t>电子签章）</w:t>
      </w:r>
      <w:r>
        <w:rPr>
          <w:spacing w:val="-117"/>
          <w:sz w:val="24"/>
          <w:szCs w:val="24"/>
        </w:rPr>
        <w:t xml:space="preserve"> </w:t>
      </w:r>
      <w:r>
        <w:rPr>
          <w:sz w:val="24"/>
          <w:szCs w:val="24"/>
        </w:rPr>
        <w:t>地址：</w:t>
      </w:r>
      <w:r>
        <w:rPr>
          <w:rFonts w:ascii="Times New Roman" w:eastAsia="Times New Roman"/>
          <w:sz w:val="24"/>
          <w:szCs w:val="24"/>
          <w:u w:val="single"/>
        </w:rPr>
        <w:t xml:space="preserve"> </w:t>
      </w:r>
      <w:r>
        <w:rPr>
          <w:rFonts w:ascii="Times New Roman" w:eastAsia="Times New Roman"/>
          <w:sz w:val="24"/>
          <w:szCs w:val="24"/>
          <w:u w:val="single"/>
        </w:rPr>
        <w:tab/>
      </w:r>
      <w:r>
        <w:rPr>
          <w:rFonts w:ascii="Times New Roman" w:eastAsia="Times New Roman"/>
          <w:sz w:val="24"/>
          <w:szCs w:val="24"/>
          <w:u w:val="single"/>
        </w:rPr>
        <w:tab/>
      </w:r>
    </w:p>
    <w:p>
      <w:pPr>
        <w:tabs>
          <w:tab w:val="left" w:pos="3635"/>
        </w:tabs>
        <w:spacing w:line="360" w:lineRule="auto"/>
        <w:ind w:left="220" w:right="38"/>
        <w:rPr>
          <w:rFonts w:ascii="Times New Roman" w:eastAsia="Times New Roman"/>
          <w:sz w:val="24"/>
          <w:szCs w:val="24"/>
        </w:rPr>
      </w:pPr>
      <w:r>
        <w:rPr>
          <w:sz w:val="24"/>
          <w:szCs w:val="24"/>
        </w:rPr>
        <w:t>电话：</w:t>
      </w:r>
      <w:r>
        <w:rPr>
          <w:rFonts w:ascii="Times New Roman" w:eastAsia="Times New Roman"/>
          <w:sz w:val="24"/>
          <w:szCs w:val="24"/>
          <w:u w:val="single"/>
        </w:rPr>
        <w:t xml:space="preserve"> </w:t>
      </w:r>
      <w:r>
        <w:rPr>
          <w:rFonts w:ascii="Times New Roman" w:eastAsia="Times New Roman"/>
          <w:sz w:val="24"/>
          <w:szCs w:val="24"/>
          <w:u w:val="single"/>
        </w:rPr>
        <w:tab/>
      </w:r>
      <w:r>
        <w:rPr>
          <w:sz w:val="24"/>
          <w:szCs w:val="24"/>
          <w:u w:val="single"/>
        </w:rPr>
        <w:t xml:space="preserve"> </w:t>
      </w:r>
      <w:r>
        <w:rPr>
          <w:sz w:val="24"/>
          <w:szCs w:val="24"/>
        </w:rPr>
        <w:t>电传：</w:t>
      </w:r>
      <w:r>
        <w:rPr>
          <w:rFonts w:ascii="Times New Roman" w:eastAsia="Times New Roman"/>
          <w:sz w:val="24"/>
          <w:szCs w:val="24"/>
          <w:u w:val="single"/>
        </w:rPr>
        <w:t xml:space="preserve"> </w:t>
      </w:r>
      <w:r>
        <w:rPr>
          <w:rFonts w:ascii="Times New Roman" w:eastAsia="Times New Roman"/>
          <w:sz w:val="24"/>
          <w:szCs w:val="24"/>
          <w:u w:val="single"/>
        </w:rPr>
        <w:tab/>
      </w:r>
    </w:p>
    <w:p>
      <w:pPr>
        <w:tabs>
          <w:tab w:val="left" w:pos="2554"/>
        </w:tabs>
        <w:spacing w:line="360" w:lineRule="auto"/>
        <w:ind w:firstLine="240" w:firstLineChars="100"/>
        <w:rPr>
          <w:sz w:val="24"/>
          <w:szCs w:val="24"/>
          <w:u w:val="single"/>
        </w:rPr>
      </w:pPr>
      <w:r>
        <w:rPr>
          <w:sz w:val="24"/>
          <w:szCs w:val="24"/>
        </w:rPr>
        <w:t>传真：</w:t>
      </w:r>
      <w:r>
        <w:rPr>
          <w:rFonts w:ascii="Times New Roman" w:eastAsia="Times New Roman"/>
          <w:sz w:val="24"/>
          <w:szCs w:val="24"/>
          <w:u w:val="single"/>
        </w:rPr>
        <w:t xml:space="preserve"> </w:t>
      </w:r>
      <w:r>
        <w:rPr>
          <w:rFonts w:ascii="Times New Roman" w:eastAsia="Times New Roman"/>
          <w:sz w:val="24"/>
          <w:szCs w:val="24"/>
          <w:u w:val="single"/>
        </w:rPr>
        <w:tab/>
      </w:r>
      <w:r>
        <w:rPr>
          <w:sz w:val="24"/>
          <w:szCs w:val="24"/>
          <w:u w:val="single"/>
        </w:rPr>
        <w:t xml:space="preserve"> </w:t>
      </w:r>
    </w:p>
    <w:p>
      <w:pPr>
        <w:tabs>
          <w:tab w:val="left" w:pos="2554"/>
        </w:tabs>
        <w:spacing w:line="360" w:lineRule="auto"/>
        <w:ind w:firstLine="240" w:firstLineChars="100"/>
        <w:rPr>
          <w:rFonts w:ascii="Times New Roman" w:eastAsia="Times New Roman"/>
          <w:sz w:val="24"/>
          <w:szCs w:val="24"/>
        </w:rPr>
      </w:pPr>
      <w:r>
        <w:rPr>
          <w:sz w:val="24"/>
          <w:szCs w:val="24"/>
        </w:rPr>
        <w:t>邮编：</w:t>
      </w:r>
      <w:r>
        <w:rPr>
          <w:rFonts w:ascii="Times New Roman" w:eastAsia="Times New Roman"/>
          <w:sz w:val="24"/>
          <w:szCs w:val="24"/>
          <w:u w:val="single"/>
        </w:rPr>
        <w:t xml:space="preserve"> </w:t>
      </w:r>
      <w:r>
        <w:rPr>
          <w:rFonts w:ascii="Times New Roman" w:eastAsia="Times New Roman"/>
          <w:sz w:val="24"/>
          <w:szCs w:val="24"/>
          <w:u w:val="single"/>
        </w:rPr>
        <w:tab/>
      </w:r>
    </w:p>
    <w:p>
      <w:pPr>
        <w:tabs>
          <w:tab w:val="left" w:pos="4835"/>
          <w:tab w:val="left" w:pos="9103"/>
        </w:tabs>
        <w:spacing w:before="3" w:line="360" w:lineRule="auto"/>
        <w:ind w:left="220" w:right="1100"/>
        <w:rPr>
          <w:sz w:val="24"/>
          <w:szCs w:val="24"/>
        </w:rPr>
      </w:pPr>
    </w:p>
    <w:p>
      <w:pPr>
        <w:tabs>
          <w:tab w:val="left" w:pos="4835"/>
          <w:tab w:val="left" w:pos="9103"/>
        </w:tabs>
        <w:spacing w:before="3" w:line="360" w:lineRule="auto"/>
        <w:ind w:left="220" w:right="1100"/>
        <w:rPr>
          <w:rFonts w:ascii="Times New Roman" w:eastAsia="Times New Roman"/>
          <w:sz w:val="24"/>
          <w:szCs w:val="24"/>
        </w:rPr>
      </w:pPr>
      <w:r>
        <w:rPr>
          <w:sz w:val="24"/>
          <w:szCs w:val="24"/>
        </w:rPr>
        <w:t>承诺方法定代表人或委托代理人签字（法人电子签章</w:t>
      </w:r>
      <w:r>
        <w:rPr>
          <w:rFonts w:ascii="Times New Roman" w:eastAsia="Times New Roman"/>
          <w:sz w:val="24"/>
          <w:szCs w:val="24"/>
        </w:rPr>
        <w:t>/</w:t>
      </w:r>
      <w:r>
        <w:rPr>
          <w:sz w:val="24"/>
          <w:szCs w:val="24"/>
        </w:rPr>
        <w:t>委托代理人签字）：</w:t>
      </w:r>
      <w:r>
        <w:rPr>
          <w:rFonts w:ascii="Times New Roman" w:eastAsia="Times New Roman"/>
          <w:sz w:val="24"/>
          <w:szCs w:val="24"/>
          <w:u w:val="single"/>
        </w:rPr>
        <w:t xml:space="preserve"> </w:t>
      </w:r>
      <w:r>
        <w:rPr>
          <w:rFonts w:ascii="Times New Roman" w:eastAsia="Times New Roman"/>
          <w:sz w:val="24"/>
          <w:szCs w:val="24"/>
          <w:u w:val="single"/>
        </w:rPr>
        <w:tab/>
      </w:r>
      <w:r>
        <w:rPr>
          <w:sz w:val="24"/>
          <w:szCs w:val="24"/>
          <w:u w:val="single"/>
        </w:rPr>
        <w:t xml:space="preserve"> </w:t>
      </w:r>
      <w:r>
        <w:rPr>
          <w:sz w:val="24"/>
          <w:szCs w:val="24"/>
        </w:rPr>
        <w:t>承诺日期：</w:t>
      </w:r>
      <w:r>
        <w:rPr>
          <w:rFonts w:ascii="Times New Roman" w:eastAsia="Times New Roman"/>
          <w:sz w:val="24"/>
          <w:szCs w:val="24"/>
          <w:u w:val="single"/>
        </w:rPr>
        <w:t xml:space="preserve"> </w:t>
      </w:r>
      <w:r>
        <w:rPr>
          <w:rFonts w:ascii="Times New Roman" w:eastAsia="Times New Roman"/>
          <w:sz w:val="24"/>
          <w:szCs w:val="24"/>
          <w:u w:val="single"/>
        </w:rPr>
        <w:tab/>
      </w:r>
    </w:p>
    <w:p>
      <w:pPr>
        <w:pStyle w:val="42"/>
        <w:tabs>
          <w:tab w:val="left" w:pos="925"/>
        </w:tabs>
        <w:spacing w:before="28" w:line="360" w:lineRule="auto"/>
        <w:ind w:left="221" w:right="5362" w:firstLine="0"/>
        <w:rPr>
          <w:b/>
          <w:sz w:val="24"/>
          <w:szCs w:val="24"/>
        </w:rPr>
      </w:pPr>
      <w:r>
        <w:rPr>
          <w:b/>
          <w:sz w:val="24"/>
          <w:szCs w:val="24"/>
        </w:rPr>
        <w:t>投标承诺函</w:t>
      </w:r>
    </w:p>
    <w:p>
      <w:pPr>
        <w:spacing w:before="142" w:line="360" w:lineRule="auto"/>
        <w:rPr>
          <w:sz w:val="24"/>
          <w:szCs w:val="24"/>
        </w:rPr>
      </w:pPr>
      <w:r>
        <w:rPr>
          <w:sz w:val="24"/>
          <w:szCs w:val="24"/>
        </w:rPr>
        <w:t>致（采购人及采购代理机构）：</w:t>
      </w:r>
    </w:p>
    <w:p>
      <w:pPr>
        <w:spacing w:before="151" w:line="360" w:lineRule="auto"/>
        <w:ind w:left="220" w:firstLine="480" w:firstLineChars="200"/>
        <w:rPr>
          <w:sz w:val="24"/>
          <w:szCs w:val="24"/>
        </w:rPr>
      </w:pPr>
      <w:r>
        <w:rPr>
          <w:sz w:val="24"/>
          <w:szCs w:val="24"/>
        </w:rPr>
        <w:t>我公司作为本次采购项目的投标人，根据招标文件要求，现郑重承诺如下：</w:t>
      </w:r>
    </w:p>
    <w:p>
      <w:pPr>
        <w:spacing w:before="153" w:line="360" w:lineRule="auto"/>
        <w:ind w:left="220" w:firstLine="480" w:firstLineChars="200"/>
        <w:rPr>
          <w:sz w:val="24"/>
        </w:rPr>
      </w:pPr>
      <w:r>
        <w:rPr>
          <w:sz w:val="24"/>
          <w:szCs w:val="24"/>
        </w:rPr>
        <w:t>一、具备《中华人民共和国政府采购法》第二十二条第</w:t>
      </w:r>
      <w:r>
        <w:rPr>
          <w:sz w:val="24"/>
        </w:rPr>
        <w:t>一款和本项目规定的条件：</w:t>
      </w:r>
    </w:p>
    <w:p>
      <w:pPr>
        <w:spacing w:before="153" w:line="360" w:lineRule="auto"/>
        <w:ind w:left="220" w:firstLine="480" w:firstLineChars="200"/>
        <w:rPr>
          <w:sz w:val="24"/>
        </w:rPr>
      </w:pPr>
      <w:r>
        <w:rPr>
          <w:sz w:val="24"/>
        </w:rPr>
        <w:t>（一）具有独立承担民事责任的能力；</w:t>
      </w:r>
    </w:p>
    <w:p>
      <w:pPr>
        <w:spacing w:before="151" w:line="360" w:lineRule="auto"/>
        <w:ind w:left="220" w:firstLine="480" w:firstLineChars="200"/>
        <w:rPr>
          <w:sz w:val="24"/>
        </w:rPr>
      </w:pPr>
      <w:r>
        <w:rPr>
          <w:sz w:val="24"/>
        </w:rPr>
        <w:t>（二）具有良好的商业信誉和健全的财务会计制度；</w:t>
      </w:r>
    </w:p>
    <w:p>
      <w:pPr>
        <w:spacing w:before="153" w:line="360" w:lineRule="auto"/>
        <w:ind w:left="220" w:firstLine="480" w:firstLineChars="200"/>
        <w:rPr>
          <w:sz w:val="24"/>
        </w:rPr>
      </w:pPr>
      <w:r>
        <w:rPr>
          <w:sz w:val="24"/>
        </w:rPr>
        <w:t>（三）具有履行合同所必需的设备和专业技术能力；</w:t>
      </w:r>
    </w:p>
    <w:p>
      <w:pPr>
        <w:spacing w:before="154" w:line="360" w:lineRule="auto"/>
        <w:ind w:left="220" w:firstLine="480" w:firstLineChars="200"/>
        <w:rPr>
          <w:sz w:val="24"/>
        </w:rPr>
      </w:pPr>
      <w:r>
        <w:rPr>
          <w:sz w:val="24"/>
        </w:rPr>
        <w:t>（四）有依法缴纳税收和社会保障资金的良好记录；</w:t>
      </w:r>
    </w:p>
    <w:p>
      <w:pPr>
        <w:spacing w:before="151" w:line="360" w:lineRule="auto"/>
        <w:ind w:left="220" w:firstLine="480" w:firstLineChars="200"/>
        <w:rPr>
          <w:sz w:val="24"/>
        </w:rPr>
      </w:pPr>
      <w:r>
        <w:rPr>
          <w:sz w:val="24"/>
        </w:rPr>
        <w:t>（五）参加政府采购活动前三年内，在经营活动中没有重大违法记录；</w:t>
      </w:r>
    </w:p>
    <w:p>
      <w:pPr>
        <w:spacing w:before="153" w:line="360" w:lineRule="auto"/>
        <w:ind w:left="220" w:firstLine="480" w:firstLineChars="200"/>
        <w:rPr>
          <w:sz w:val="24"/>
        </w:rPr>
      </w:pPr>
      <w:r>
        <w:rPr>
          <w:sz w:val="24"/>
        </w:rPr>
        <w:t>（六）法律、行政法规规定的其他条件；</w:t>
      </w:r>
    </w:p>
    <w:p>
      <w:pPr>
        <w:spacing w:before="154" w:line="360" w:lineRule="auto"/>
        <w:ind w:left="220" w:firstLine="480" w:firstLineChars="200"/>
        <w:rPr>
          <w:sz w:val="24"/>
        </w:rPr>
      </w:pPr>
      <w:r>
        <w:rPr>
          <w:sz w:val="24"/>
        </w:rPr>
        <w:t>（七）根据采购项目提出的特殊条件。</w:t>
      </w:r>
    </w:p>
    <w:p>
      <w:pPr>
        <w:spacing w:before="150" w:line="360" w:lineRule="auto"/>
        <w:ind w:left="220" w:right="239" w:firstLine="468" w:firstLineChars="200"/>
        <w:jc w:val="both"/>
        <w:rPr>
          <w:sz w:val="24"/>
        </w:rPr>
      </w:pPr>
      <w:r>
        <w:rPr>
          <w:spacing w:val="-3"/>
          <w:sz w:val="24"/>
        </w:rPr>
        <w:t>二、完全接受和满足本项目招标文件中规定的实质性要求，如对招标文件有异议，已经在投标</w:t>
      </w:r>
      <w:r>
        <w:rPr>
          <w:spacing w:val="-7"/>
          <w:sz w:val="24"/>
        </w:rPr>
        <w:t>截止时间届满前依法进行维权救济，不存在对招标文件有异议的同时又参加投标以求侥幸中标</w:t>
      </w:r>
      <w:r>
        <w:rPr>
          <w:sz w:val="24"/>
        </w:rPr>
        <w:t>或者为实现其他非法目的的行为。</w:t>
      </w:r>
    </w:p>
    <w:p>
      <w:pPr>
        <w:spacing w:line="360" w:lineRule="auto"/>
        <w:ind w:left="220" w:right="239" w:firstLine="468" w:firstLineChars="200"/>
        <w:rPr>
          <w:sz w:val="24"/>
        </w:rPr>
      </w:pPr>
      <w:r>
        <w:rPr>
          <w:spacing w:val="-3"/>
          <w:sz w:val="24"/>
        </w:rPr>
        <w:t>三、参加本次招标采购活动，不存在与单位负责人为同一人或者存在直接控股、管理关系的其</w:t>
      </w:r>
      <w:r>
        <w:rPr>
          <w:sz w:val="24"/>
        </w:rPr>
        <w:t>他供应商参与同一合同项下的政府采购活动的行为。</w:t>
      </w:r>
    </w:p>
    <w:p>
      <w:pPr>
        <w:spacing w:line="360" w:lineRule="auto"/>
        <w:ind w:left="220" w:right="115" w:firstLine="420" w:firstLineChars="200"/>
        <w:rPr>
          <w:sz w:val="24"/>
        </w:rPr>
      </w:pPr>
      <w:r>
        <w:rPr>
          <w:spacing w:val="-15"/>
          <w:sz w:val="24"/>
        </w:rPr>
        <w:t>四、参加本次招标采购活动，不存在为采购项目提供整体设计、规范编制或者项目管理、监理、</w:t>
      </w:r>
      <w:r>
        <w:rPr>
          <w:sz w:val="24"/>
        </w:rPr>
        <w:t>检测等服务的行为。</w:t>
      </w:r>
    </w:p>
    <w:p>
      <w:pPr>
        <w:spacing w:line="360" w:lineRule="auto"/>
        <w:ind w:left="220" w:right="239" w:firstLine="468" w:firstLineChars="200"/>
        <w:rPr>
          <w:sz w:val="24"/>
        </w:rPr>
      </w:pPr>
      <w:r>
        <w:rPr>
          <w:spacing w:val="-3"/>
          <w:sz w:val="24"/>
        </w:rPr>
        <w:t>五、参加本次招标采购活动，不存在和其他供应商在同一合同项下的采购项目中，同时委托同</w:t>
      </w:r>
      <w:r>
        <w:rPr>
          <w:sz w:val="24"/>
        </w:rPr>
        <w:t>一个自然人、同一家庭的人员、同一单位的人员作为代理人的行为。</w:t>
      </w:r>
    </w:p>
    <w:p>
      <w:pPr>
        <w:spacing w:line="360" w:lineRule="auto"/>
        <w:ind w:left="220" w:right="239" w:firstLine="476" w:firstLineChars="200"/>
        <w:rPr>
          <w:spacing w:val="-1"/>
          <w:sz w:val="24"/>
        </w:rPr>
      </w:pPr>
      <w:r>
        <w:rPr>
          <w:spacing w:val="-1"/>
          <w:sz w:val="24"/>
        </w:rPr>
        <w:t>六、投标人参加本次政府采购活动要求在近三年内投标人和其法定代表人没有行贿犯罪行为。</w:t>
      </w:r>
    </w:p>
    <w:p>
      <w:pPr>
        <w:spacing w:line="360" w:lineRule="auto"/>
        <w:ind w:left="220" w:right="239" w:firstLine="480" w:firstLineChars="200"/>
        <w:rPr>
          <w:sz w:val="24"/>
        </w:rPr>
      </w:pPr>
      <w:r>
        <w:rPr>
          <w:sz w:val="24"/>
        </w:rPr>
        <w:t>七、参加本次招标采购活动，不存在联合体投标。</w:t>
      </w:r>
    </w:p>
    <w:p>
      <w:pPr>
        <w:spacing w:line="360" w:lineRule="auto"/>
        <w:ind w:left="220" w:right="240" w:firstLine="468" w:firstLineChars="200"/>
        <w:rPr>
          <w:sz w:val="24"/>
        </w:rPr>
      </w:pPr>
      <w:r>
        <w:rPr>
          <w:spacing w:val="-3"/>
          <w:sz w:val="24"/>
        </w:rPr>
        <w:t>八、投标文件中提供的能够给予我公司带来优惠、好处的任何材料资料和技术、服务、商务等</w:t>
      </w:r>
      <w:r>
        <w:rPr>
          <w:sz w:val="24"/>
        </w:rPr>
        <w:t>响应承诺情况都是真实的、有效的、合法的。</w:t>
      </w:r>
    </w:p>
    <w:p>
      <w:pPr>
        <w:spacing w:line="357" w:lineRule="auto"/>
        <w:ind w:left="220" w:right="239" w:firstLine="468" w:firstLineChars="200"/>
        <w:jc w:val="both"/>
        <w:rPr>
          <w:spacing w:val="-3"/>
          <w:sz w:val="24"/>
        </w:rPr>
      </w:pPr>
      <w:r>
        <w:rPr>
          <w:spacing w:val="-3"/>
          <w:sz w:val="24"/>
        </w:rPr>
        <w:t>九、如本项目评标过程中需要提供样品，则我公司提供的样品即为中标后将要提供的中标产品，我公司对提供样品的性能和质量负责，因样品存在缺陷或者不符合招标文件要求导致</w:t>
      </w:r>
      <w:r>
        <w:rPr>
          <w:sz w:val="24"/>
        </w:rPr>
        <w:t>未</w:t>
      </w:r>
      <w:r>
        <w:rPr>
          <w:spacing w:val="-3"/>
          <w:sz w:val="24"/>
        </w:rPr>
        <w:t>能中标的，我公司愿意承担相应不利后果。（如提供样品）</w:t>
      </w:r>
    </w:p>
    <w:p>
      <w:pPr>
        <w:spacing w:line="357" w:lineRule="auto"/>
        <w:ind w:left="220" w:right="239" w:firstLine="468" w:firstLineChars="200"/>
        <w:jc w:val="both"/>
        <w:rPr>
          <w:spacing w:val="-3"/>
          <w:sz w:val="24"/>
        </w:rPr>
      </w:pPr>
      <w:r>
        <w:rPr>
          <w:spacing w:val="-3"/>
          <w:sz w:val="24"/>
        </w:rPr>
        <w:t>十、存在以下行为之一的愿意接受相关部门的处理：</w:t>
      </w:r>
    </w:p>
    <w:p>
      <w:pPr>
        <w:spacing w:line="357" w:lineRule="auto"/>
        <w:ind w:left="220" w:right="239" w:firstLine="468" w:firstLineChars="200"/>
        <w:jc w:val="both"/>
        <w:rPr>
          <w:spacing w:val="-3"/>
          <w:sz w:val="24"/>
        </w:rPr>
      </w:pPr>
      <w:r>
        <w:rPr>
          <w:spacing w:val="-3"/>
          <w:sz w:val="24"/>
        </w:rPr>
        <w:t>（一）投标有效期内撤销投标文件的；</w:t>
      </w:r>
    </w:p>
    <w:p>
      <w:pPr>
        <w:spacing w:line="357" w:lineRule="auto"/>
        <w:ind w:left="220" w:right="239" w:firstLine="468" w:firstLineChars="200"/>
        <w:jc w:val="both"/>
        <w:rPr>
          <w:spacing w:val="-3"/>
          <w:sz w:val="24"/>
        </w:rPr>
      </w:pPr>
      <w:r>
        <w:rPr>
          <w:spacing w:val="-3"/>
          <w:sz w:val="24"/>
        </w:rPr>
        <w:t>（二）在采购人确定中标人以前放弃中标候选资格的；</w:t>
      </w:r>
    </w:p>
    <w:p>
      <w:pPr>
        <w:spacing w:line="357" w:lineRule="auto"/>
        <w:ind w:left="220" w:right="239" w:firstLine="468" w:firstLineChars="200"/>
        <w:jc w:val="both"/>
        <w:rPr>
          <w:spacing w:val="-3"/>
          <w:sz w:val="24"/>
        </w:rPr>
      </w:pPr>
      <w:r>
        <w:rPr>
          <w:spacing w:val="-3"/>
          <w:sz w:val="24"/>
        </w:rPr>
        <w:t>（三）由于中标人的原因未能按照招标文件的规定与采购人签订合同；</w:t>
      </w:r>
    </w:p>
    <w:p>
      <w:pPr>
        <w:spacing w:line="357" w:lineRule="auto"/>
        <w:ind w:left="220" w:right="239" w:firstLine="468" w:firstLineChars="200"/>
        <w:jc w:val="both"/>
        <w:rPr>
          <w:spacing w:val="-3"/>
          <w:sz w:val="24"/>
        </w:rPr>
      </w:pPr>
      <w:r>
        <w:rPr>
          <w:spacing w:val="-3"/>
          <w:sz w:val="24"/>
        </w:rPr>
        <w:t>（四）由于中标人的原因未能按照招标文件的规定交纳履约保证金；</w:t>
      </w:r>
    </w:p>
    <w:p>
      <w:pPr>
        <w:spacing w:line="357" w:lineRule="auto"/>
        <w:ind w:left="220" w:right="239" w:firstLine="468" w:firstLineChars="200"/>
        <w:jc w:val="both"/>
        <w:rPr>
          <w:spacing w:val="-3"/>
          <w:sz w:val="24"/>
        </w:rPr>
      </w:pPr>
      <w:r>
        <w:rPr>
          <w:spacing w:val="-3"/>
          <w:sz w:val="24"/>
        </w:rPr>
        <w:t>（五）在投标文件中提供虚假材料谋取中标；</w:t>
      </w:r>
    </w:p>
    <w:p>
      <w:pPr>
        <w:spacing w:line="357" w:lineRule="auto"/>
        <w:ind w:left="220" w:right="239" w:firstLine="468" w:firstLineChars="200"/>
        <w:jc w:val="both"/>
        <w:rPr>
          <w:spacing w:val="-3"/>
          <w:sz w:val="24"/>
        </w:rPr>
      </w:pPr>
      <w:r>
        <w:rPr>
          <w:spacing w:val="-3"/>
          <w:sz w:val="24"/>
        </w:rPr>
        <w:t>（六）与采购人、其他供应商或者采购代理机构恶意串通的；</w:t>
      </w:r>
    </w:p>
    <w:p>
      <w:pPr>
        <w:spacing w:line="357" w:lineRule="auto"/>
        <w:ind w:left="220" w:right="239" w:firstLine="468" w:firstLineChars="200"/>
        <w:jc w:val="both"/>
        <w:rPr>
          <w:spacing w:val="-3"/>
          <w:sz w:val="24"/>
        </w:rPr>
      </w:pPr>
      <w:r>
        <w:rPr>
          <w:spacing w:val="-3"/>
          <w:sz w:val="24"/>
        </w:rPr>
        <w:t>（七）投标有效期内，投标人在政府采购活动中有违法、违规、违纪行为。</w:t>
      </w:r>
    </w:p>
    <w:p>
      <w:pPr>
        <w:spacing w:line="357" w:lineRule="auto"/>
        <w:ind w:left="220" w:right="239" w:firstLine="468" w:firstLineChars="200"/>
        <w:jc w:val="both"/>
        <w:rPr>
          <w:spacing w:val="-3"/>
          <w:sz w:val="24"/>
        </w:rPr>
      </w:pPr>
      <w:r>
        <w:rPr>
          <w:spacing w:val="-3"/>
          <w:sz w:val="24"/>
        </w:rPr>
        <w:t>由此产生的一切法律后果和责任由我公司承担,给采购人造成损失的，由我司赔偿采购人相关的损失。我公司声明放弃对此提出任何异议和追索的权利。</w:t>
      </w:r>
    </w:p>
    <w:p>
      <w:pPr>
        <w:spacing w:line="357" w:lineRule="auto"/>
        <w:ind w:left="220" w:right="239" w:firstLine="468" w:firstLineChars="200"/>
        <w:jc w:val="both"/>
        <w:rPr>
          <w:spacing w:val="-3"/>
          <w:sz w:val="24"/>
        </w:rPr>
      </w:pPr>
      <w:r>
        <w:rPr>
          <w:spacing w:val="-3"/>
          <w:sz w:val="24"/>
        </w:rPr>
        <w:t>本公司对上述承诺的内容事项真实性负责。如经查实上述承诺的内容事项存在虚假，我公司愿意接受以提供虚假材料谋取中标追究法律责任。</w:t>
      </w:r>
    </w:p>
    <w:p>
      <w:pPr>
        <w:pStyle w:val="3"/>
        <w:spacing w:before="6"/>
        <w:rPr>
          <w:sz w:val="35"/>
        </w:rPr>
      </w:pPr>
    </w:p>
    <w:p>
      <w:pPr>
        <w:tabs>
          <w:tab w:val="left" w:pos="5981"/>
        </w:tabs>
        <w:ind w:left="220"/>
        <w:rPr>
          <w:sz w:val="24"/>
        </w:rPr>
      </w:pPr>
      <w:r>
        <w:rPr>
          <w:sz w:val="24"/>
        </w:rPr>
        <w:t>投标人名称：</w:t>
      </w:r>
      <w:r>
        <w:rPr>
          <w:sz w:val="24"/>
        </w:rPr>
        <w:tab/>
      </w:r>
      <w:r>
        <w:rPr>
          <w:sz w:val="24"/>
        </w:rPr>
        <w:t>（电子签章）</w:t>
      </w:r>
    </w:p>
    <w:p>
      <w:pPr>
        <w:tabs>
          <w:tab w:val="left" w:pos="4780"/>
        </w:tabs>
        <w:spacing w:before="153" w:line="360" w:lineRule="auto"/>
        <w:ind w:left="220" w:right="1943"/>
        <w:rPr>
          <w:sz w:val="24"/>
        </w:rPr>
      </w:pPr>
      <w:r>
        <w:rPr>
          <w:sz w:val="24"/>
        </w:rPr>
        <w:t>法定代表人或授权代表：</w:t>
      </w:r>
      <w:r>
        <w:rPr>
          <w:sz w:val="24"/>
        </w:rPr>
        <w:tab/>
      </w:r>
      <w:r>
        <w:rPr>
          <w:spacing w:val="-1"/>
          <w:sz w:val="24"/>
        </w:rPr>
        <w:t>（</w:t>
      </w:r>
      <w:r>
        <w:rPr>
          <w:sz w:val="24"/>
        </w:rPr>
        <w:t>法人电子签章/授权代表签字）</w:t>
      </w:r>
      <w:r>
        <w:rPr>
          <w:spacing w:val="-117"/>
          <w:sz w:val="24"/>
        </w:rPr>
        <w:t xml:space="preserve"> </w:t>
      </w:r>
      <w:r>
        <w:rPr>
          <w:sz w:val="24"/>
        </w:rPr>
        <w:t>日期：</w:t>
      </w:r>
    </w:p>
    <w:p>
      <w:pPr>
        <w:pStyle w:val="3"/>
        <w:rPr>
          <w:sz w:val="24"/>
        </w:rPr>
      </w:pPr>
    </w:p>
    <w:p>
      <w:pPr>
        <w:pStyle w:val="3"/>
        <w:spacing w:before="7"/>
        <w:rPr>
          <w:sz w:val="24"/>
          <w:szCs w:val="24"/>
        </w:rPr>
      </w:pPr>
    </w:p>
    <w:p>
      <w:pPr>
        <w:pStyle w:val="42"/>
        <w:tabs>
          <w:tab w:val="left" w:pos="929"/>
        </w:tabs>
        <w:ind w:firstLine="0"/>
        <w:rPr>
          <w:b/>
          <w:color w:val="0000FF"/>
          <w:w w:val="95"/>
          <w:sz w:val="24"/>
          <w:szCs w:val="24"/>
        </w:rPr>
      </w:pPr>
      <w:bookmarkStart w:id="11" w:name="_bookmark25"/>
      <w:bookmarkEnd w:id="11"/>
      <w:r>
        <w:rPr>
          <w:rFonts w:hint="eastAsia"/>
          <w:spacing w:val="-1"/>
          <w:sz w:val="24"/>
          <w:szCs w:val="24"/>
        </w:rPr>
        <w:t>（6）</w:t>
      </w:r>
      <w:r>
        <w:rPr>
          <w:spacing w:val="-1"/>
          <w:sz w:val="24"/>
          <w:szCs w:val="24"/>
        </w:rPr>
        <w:t>投标人认为需附的以及招标文件要求的其他资料</w:t>
      </w:r>
    </w:p>
    <w:p>
      <w:pPr>
        <w:pStyle w:val="3"/>
        <w:rPr>
          <w:b/>
          <w:color w:val="0000FF"/>
          <w:w w:val="95"/>
          <w:sz w:val="24"/>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pStyle w:val="4"/>
        <w:rPr>
          <w:b/>
          <w:color w:val="0000FF"/>
          <w:w w:val="95"/>
          <w:sz w:val="28"/>
        </w:rPr>
      </w:pPr>
    </w:p>
    <w:p>
      <w:pPr>
        <w:jc w:val="center"/>
        <w:rPr>
          <w:rFonts w:ascii="微软雅黑" w:hAnsi="微软雅黑"/>
          <w:color w:val="444444"/>
          <w:sz w:val="24"/>
          <w:szCs w:val="32"/>
        </w:rPr>
      </w:pPr>
      <w:r>
        <w:rPr>
          <w:rFonts w:hint="eastAsia"/>
          <w:b/>
          <w:bCs/>
          <w:w w:val="95"/>
          <w:sz w:val="36"/>
          <w:szCs w:val="36"/>
          <w:lang w:val="en-US" w:eastAsia="zh-CN"/>
        </w:rPr>
        <w:t>八</w:t>
      </w:r>
      <w:r>
        <w:rPr>
          <w:rFonts w:hint="eastAsia"/>
          <w:b/>
          <w:bCs/>
          <w:w w:val="95"/>
          <w:sz w:val="36"/>
          <w:szCs w:val="36"/>
        </w:rPr>
        <w:t>、唐河县政府采购合同融资告知函</w:t>
      </w:r>
    </w:p>
    <w:p>
      <w:pPr>
        <w:spacing w:line="360" w:lineRule="auto"/>
        <w:rPr>
          <w:rFonts w:ascii="微软雅黑" w:hAnsi="微软雅黑"/>
          <w:color w:val="444444"/>
          <w:sz w:val="24"/>
          <w:szCs w:val="32"/>
        </w:rPr>
      </w:pPr>
      <w:r>
        <w:rPr>
          <w:rFonts w:hint="eastAsia" w:ascii="微软雅黑" w:hAnsi="微软雅黑"/>
          <w:color w:val="444444"/>
          <w:sz w:val="24"/>
          <w:szCs w:val="32"/>
        </w:rPr>
        <w:t>各供应商： </w:t>
      </w:r>
    </w:p>
    <w:p>
      <w:pPr>
        <w:spacing w:line="360" w:lineRule="auto"/>
        <w:ind w:firstLine="480" w:firstLineChars="200"/>
        <w:rPr>
          <w:rFonts w:ascii="微软雅黑" w:hAnsi="微软雅黑"/>
          <w:color w:val="444444"/>
          <w:sz w:val="24"/>
          <w:szCs w:val="32"/>
        </w:rPr>
      </w:pPr>
      <w:r>
        <w:rPr>
          <w:rFonts w:hint="eastAsia" w:ascii="微软雅黑" w:hAnsi="微软雅黑"/>
          <w:color w:val="444444"/>
          <w:sz w:val="24"/>
          <w:szCs w:val="32"/>
        </w:rPr>
        <w:t>欢迎贵公司参与唐河县政府采购活动！ </w:t>
      </w:r>
    </w:p>
    <w:p>
      <w:pPr>
        <w:spacing w:line="360" w:lineRule="auto"/>
        <w:ind w:firstLine="480" w:firstLineChars="200"/>
        <w:rPr>
          <w:rFonts w:ascii="微软雅黑" w:hAnsi="微软雅黑"/>
          <w:color w:val="444444"/>
          <w:sz w:val="24"/>
          <w:szCs w:val="32"/>
        </w:rPr>
      </w:pPr>
      <w:r>
        <w:rPr>
          <w:rFonts w:hint="eastAsia" w:ascii="微软雅黑" w:hAnsi="微软雅黑"/>
          <w:color w:val="444444"/>
          <w:sz w:val="24"/>
          <w:szCs w:val="32"/>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pPr>
        <w:spacing w:line="360" w:lineRule="auto"/>
        <w:ind w:firstLine="480" w:firstLineChars="200"/>
        <w:rPr>
          <w:rFonts w:ascii="微软雅黑" w:hAnsi="微软雅黑"/>
          <w:color w:val="444444"/>
          <w:sz w:val="24"/>
          <w:szCs w:val="32"/>
        </w:rPr>
      </w:pPr>
      <w:r>
        <w:rPr>
          <w:rFonts w:hint="eastAsia" w:ascii="微软雅黑" w:hAnsi="微软雅黑"/>
          <w:color w:val="444444"/>
          <w:sz w:val="24"/>
          <w:szCs w:val="32"/>
        </w:rPr>
        <w:t>贷款渠道和提供贷款的金融机构，可在河南省政府采购网“河南省政府采购合同融资平台”查询联系。</w:t>
      </w:r>
    </w:p>
    <w:p>
      <w:pPr>
        <w:spacing w:line="360" w:lineRule="auto"/>
        <w:rPr>
          <w:rFonts w:ascii="微软雅黑" w:hAnsi="微软雅黑"/>
          <w:color w:val="444444"/>
          <w:sz w:val="24"/>
          <w:szCs w:val="32"/>
        </w:rPr>
      </w:pPr>
    </w:p>
    <w:p>
      <w:pPr>
        <w:pStyle w:val="4"/>
        <w:rPr>
          <w:b/>
          <w:color w:val="0000FF"/>
          <w:w w:val="95"/>
          <w:sz w:val="28"/>
        </w:rPr>
      </w:pPr>
    </w:p>
    <w:p>
      <w:pPr>
        <w:pStyle w:val="4"/>
        <w:rPr>
          <w:b/>
          <w:color w:val="0000FF"/>
          <w:w w:val="95"/>
          <w:sz w:val="28"/>
        </w:rPr>
      </w:pPr>
    </w:p>
    <w:sectPr>
      <w:headerReference r:id="rId10" w:type="default"/>
      <w:footerReference r:id="rId11" w:type="default"/>
      <w:pgSz w:w="11910" w:h="16840"/>
      <w:pgMar w:top="1420" w:right="840" w:bottom="1000" w:left="860" w:header="1151" w:footer="80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673100</wp:posOffset>
              </wp:positionH>
              <wp:positionV relativeFrom="page">
                <wp:posOffset>717550</wp:posOffset>
              </wp:positionV>
              <wp:extent cx="3412490" cy="139700"/>
              <wp:effectExtent l="0" t="0" r="0" b="0"/>
              <wp:wrapNone/>
              <wp:docPr id="7" name="docshape19"/>
              <wp:cNvGraphicFramePr/>
              <a:graphic xmlns:a="http://schemas.openxmlformats.org/drawingml/2006/main">
                <a:graphicData uri="http://schemas.microsoft.com/office/word/2010/wordprocessingShape">
                  <wps:wsp>
                    <wps:cNvSpPr txBox="1"/>
                    <wps:spPr>
                      <a:xfrm>
                        <a:off x="0" y="0"/>
                        <a:ext cx="3412490" cy="139700"/>
                      </a:xfrm>
                      <a:prstGeom prst="rect">
                        <a:avLst/>
                      </a:prstGeom>
                      <a:noFill/>
                      <a:ln>
                        <a:noFill/>
                      </a:ln>
                    </wps:spPr>
                    <wps:txbx>
                      <w:txbxContent>
                        <w:p>
                          <w:pPr>
                            <w:spacing w:line="220" w:lineRule="exact"/>
                            <w:ind w:left="20"/>
                            <w:rPr>
                              <w:b/>
                              <w:sz w:val="18"/>
                            </w:rPr>
                          </w:pPr>
                        </w:p>
                      </w:txbxContent>
                    </wps:txbx>
                    <wps:bodyPr lIns="0" tIns="0" rIns="0" bIns="0" upright="1"/>
                  </wps:wsp>
                </a:graphicData>
              </a:graphic>
            </wp:anchor>
          </w:drawing>
        </mc:Choice>
        <mc:Fallback>
          <w:pict>
            <v:shape id="docshape19" o:spid="_x0000_s1026" o:spt="202" type="#_x0000_t202" style="position:absolute;left:0pt;margin-left:53pt;margin-top:56.5pt;height:11pt;width:268.7pt;mso-position-horizontal-relative:page;mso-position-vertical-relative:page;z-index:-251657216;mso-width-relative:page;mso-height-relative:page;" filled="f" stroked="f" coordsize="21600,21600" o:gfxdata="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vnKnXAAAA&#10;CwEAAA8AAAAAAAAAAQAgAAAAIgAAAGRycy9kb3ducmV2LnhtbFBLAQIUABQAAAAIAIdO4kCc1+Wt&#10;rAEAAHEDAAAOAAAAAAAAAAEAIAAAACYBAABkcnMvZTJvRG9jLnhtbFBLBQYAAAAABgAGAFkBAABE&#10;BQAAAAA=&#10;">
              <v:fill on="f" focussize="0,0"/>
              <v:stroke on="f"/>
              <v:imagedata o:title=""/>
              <o:lock v:ext="edit" aspectratio="f"/>
              <v:textbox inset="0mm,0mm,0mm,0mm">
                <w:txbxContent>
                  <w:p>
                    <w:pPr>
                      <w:spacing w:line="220" w:lineRule="exact"/>
                      <w:ind w:left="20"/>
                      <w:rPr>
                        <w:b/>
                        <w:sz w:val="18"/>
                      </w:rPr>
                    </w:pPr>
                  </w:p>
                </w:txbxContent>
              </v:textbox>
            </v:shap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5036820</wp:posOffset>
              </wp:positionH>
              <wp:positionV relativeFrom="page">
                <wp:posOffset>717550</wp:posOffset>
              </wp:positionV>
              <wp:extent cx="827405" cy="139700"/>
              <wp:effectExtent l="0" t="0" r="0" b="0"/>
              <wp:wrapNone/>
              <wp:docPr id="8" name="docshape20"/>
              <wp:cNvGraphicFramePr/>
              <a:graphic xmlns:a="http://schemas.openxmlformats.org/drawingml/2006/main">
                <a:graphicData uri="http://schemas.microsoft.com/office/word/2010/wordprocessingShape">
                  <wps:wsp>
                    <wps:cNvSpPr txBox="1"/>
                    <wps:spPr>
                      <a:xfrm>
                        <a:off x="0" y="0"/>
                        <a:ext cx="827405" cy="139700"/>
                      </a:xfrm>
                      <a:prstGeom prst="rect">
                        <a:avLst/>
                      </a:prstGeom>
                      <a:noFill/>
                      <a:ln>
                        <a:noFill/>
                      </a:ln>
                    </wps:spPr>
                    <wps:txbx>
                      <w:txbxContent>
                        <w:p>
                          <w:pPr>
                            <w:spacing w:line="220" w:lineRule="exact"/>
                            <w:ind w:left="20"/>
                            <w:rPr>
                              <w:b/>
                              <w:sz w:val="18"/>
                            </w:rPr>
                          </w:pPr>
                        </w:p>
                      </w:txbxContent>
                    </wps:txbx>
                    <wps:bodyPr lIns="0" tIns="0" rIns="0" bIns="0" upright="1"/>
                  </wps:wsp>
                </a:graphicData>
              </a:graphic>
            </wp:anchor>
          </w:drawing>
        </mc:Choice>
        <mc:Fallback>
          <w:pict>
            <v:shape id="docshape20" o:spid="_x0000_s1026" o:spt="202" type="#_x0000_t202" style="position:absolute;left:0pt;margin-left:396.6pt;margin-top:56.5pt;height:11pt;width:65.15pt;mso-position-horizontal-relative:page;mso-position-vertical-relative:page;z-index:-251656192;mso-width-relative:page;mso-height-relative:page;" filled="f" stroked="f" coordsize="21600,21600" o:gfxdata="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K7x4QjZAAAA&#10;CwEAAA8AAAAAAAAAAQAgAAAAIgAAAGRycy9kb3ducmV2LnhtbFBLAQIUABQAAAAIAIdO4kBS+ags&#10;qgEAAHADAAAOAAAAAAAAAAEAIAAAACgBAABkcnMvZTJvRG9jLnhtbFBLBQYAAAAABgAGAFkBAABE&#10;BQAAAAA=&#10;">
              <v:fill on="f" focussize="0,0"/>
              <v:stroke on="f"/>
              <v:imagedata o:title=""/>
              <o:lock v:ext="edit" aspectratio="f"/>
              <v:textbox inset="0mm,0mm,0mm,0mm">
                <w:txbxContent>
                  <w:p>
                    <w:pPr>
                      <w:spacing w:line="220" w:lineRule="exact"/>
                      <w:ind w:left="20"/>
                      <w:rPr>
                        <w:b/>
                        <w:sz w:val="18"/>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673100</wp:posOffset>
              </wp:positionH>
              <wp:positionV relativeFrom="page">
                <wp:posOffset>717550</wp:posOffset>
              </wp:positionV>
              <wp:extent cx="3412490" cy="139700"/>
              <wp:effectExtent l="0" t="0" r="0" b="0"/>
              <wp:wrapNone/>
              <wp:docPr id="5" name="docshape24"/>
              <wp:cNvGraphicFramePr/>
              <a:graphic xmlns:a="http://schemas.openxmlformats.org/drawingml/2006/main">
                <a:graphicData uri="http://schemas.microsoft.com/office/word/2010/wordprocessingShape">
                  <wps:wsp>
                    <wps:cNvSpPr txBox="1"/>
                    <wps:spPr>
                      <a:xfrm>
                        <a:off x="0" y="0"/>
                        <a:ext cx="3412490" cy="139700"/>
                      </a:xfrm>
                      <a:prstGeom prst="rect">
                        <a:avLst/>
                      </a:prstGeom>
                      <a:noFill/>
                      <a:ln>
                        <a:noFill/>
                      </a:ln>
                    </wps:spPr>
                    <wps:txbx>
                      <w:txbxContent>
                        <w:p>
                          <w:pPr>
                            <w:spacing w:line="220" w:lineRule="exact"/>
                            <w:rPr>
                              <w:b/>
                              <w:sz w:val="18"/>
                            </w:rPr>
                          </w:pPr>
                        </w:p>
                      </w:txbxContent>
                    </wps:txbx>
                    <wps:bodyPr lIns="0" tIns="0" rIns="0" bIns="0" upright="1"/>
                  </wps:wsp>
                </a:graphicData>
              </a:graphic>
            </wp:anchor>
          </w:drawing>
        </mc:Choice>
        <mc:Fallback>
          <w:pict>
            <v:shape id="docshape24" o:spid="_x0000_s1026" o:spt="202" type="#_x0000_t202" style="position:absolute;left:0pt;margin-left:53pt;margin-top:56.5pt;height:11pt;width:268.7pt;mso-position-horizontal-relative:page;mso-position-vertical-relative:page;z-index:-251655168;mso-width-relative:page;mso-height-relative:page;" filled="f" stroked="f" coordsize="21600,21600" o:gfxdata="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vnKnXAAAA&#10;CwEAAA8AAAAAAAAAAQAgAAAAIgAAAGRycy9kb3ducmV2LnhtbFBLAQIUABQAAAAIAIdO4kC/otpV&#10;rAEAAHEDAAAOAAAAAAAAAAEAIAAAACYBAABkcnMvZTJvRG9jLnhtbFBLBQYAAAAABgAGAFkBAABE&#10;BQAAAAA=&#10;">
              <v:fill on="f" focussize="0,0"/>
              <v:stroke on="f"/>
              <v:imagedata o:title=""/>
              <o:lock v:ext="edit" aspectratio="f"/>
              <v:textbox inset="0mm,0mm,0mm,0mm">
                <w:txbxContent>
                  <w:p>
                    <w:pPr>
                      <w:spacing w:line="220" w:lineRule="exact"/>
                      <w:rPr>
                        <w:b/>
                        <w:sz w:val="18"/>
                      </w:rPr>
                    </w:pPr>
                  </w:p>
                </w:txbxContent>
              </v:textbox>
            </v:shape>
          </w:pict>
        </mc:Fallback>
      </mc:AlternateContent>
    </w:r>
    <w:r>
      <mc:AlternateContent>
        <mc:Choice Requires="wps">
          <w:drawing>
            <wp:anchor distT="0" distB="0" distL="114300" distR="114300" simplePos="0" relativeHeight="251664384" behindDoc="1" locked="0" layoutInCell="1" allowOverlap="1">
              <wp:simplePos x="0" y="0"/>
              <wp:positionH relativeFrom="page">
                <wp:posOffset>5036820</wp:posOffset>
              </wp:positionH>
              <wp:positionV relativeFrom="page">
                <wp:posOffset>717550</wp:posOffset>
              </wp:positionV>
              <wp:extent cx="827405" cy="139700"/>
              <wp:effectExtent l="0" t="0" r="0" b="0"/>
              <wp:wrapNone/>
              <wp:docPr id="6" name="docshape25"/>
              <wp:cNvGraphicFramePr/>
              <a:graphic xmlns:a="http://schemas.openxmlformats.org/drawingml/2006/main">
                <a:graphicData uri="http://schemas.microsoft.com/office/word/2010/wordprocessingShape">
                  <wps:wsp>
                    <wps:cNvSpPr txBox="1"/>
                    <wps:spPr>
                      <a:xfrm>
                        <a:off x="0" y="0"/>
                        <a:ext cx="827405" cy="139700"/>
                      </a:xfrm>
                      <a:prstGeom prst="rect">
                        <a:avLst/>
                      </a:prstGeom>
                      <a:noFill/>
                      <a:ln>
                        <a:noFill/>
                      </a:ln>
                    </wps:spPr>
                    <wps:txbx>
                      <w:txbxContent>
                        <w:p>
                          <w:pPr>
                            <w:spacing w:line="220" w:lineRule="exact"/>
                            <w:rPr>
                              <w:b/>
                              <w:sz w:val="18"/>
                            </w:rPr>
                          </w:pPr>
                        </w:p>
                      </w:txbxContent>
                    </wps:txbx>
                    <wps:bodyPr lIns="0" tIns="0" rIns="0" bIns="0" upright="1"/>
                  </wps:wsp>
                </a:graphicData>
              </a:graphic>
            </wp:anchor>
          </w:drawing>
        </mc:Choice>
        <mc:Fallback>
          <w:pict>
            <v:shape id="docshape25" o:spid="_x0000_s1026" o:spt="202" type="#_x0000_t202" style="position:absolute;left:0pt;margin-left:396.6pt;margin-top:56.5pt;height:11pt;width:65.15pt;mso-position-horizontal-relative:page;mso-position-vertical-relative:page;z-index:-251652096;mso-width-relative:page;mso-height-relative:page;" filled="f" stroked="f" coordsize="21600,21600" o:gfxdata="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rvHhCNkA&#10;AAALAQAADwAAAAAAAAABACAAAAAiAAAAZHJzL2Rvd25yZXYueG1sUEsBAhQAFAAAAAgAh07iQKkE&#10;zBKsAQAAcAMAAA4AAAAAAAAAAQAgAAAAKAEAAGRycy9lMm9Eb2MueG1sUEsFBgAAAAAGAAYAWQEA&#10;AEYFAAAAAA==&#10;">
              <v:fill on="f" focussize="0,0"/>
              <v:stroke on="f"/>
              <v:imagedata o:title=""/>
              <o:lock v:ext="edit" aspectratio="f"/>
              <v:textbox inset="0mm,0mm,0mm,0mm">
                <w:txbxContent>
                  <w:p>
                    <w:pPr>
                      <w:spacing w:line="220" w:lineRule="exact"/>
                      <w:rPr>
                        <w:b/>
                        <w:sz w:val="18"/>
                      </w:rPr>
                    </w:pP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667385</wp:posOffset>
              </wp:positionH>
              <wp:positionV relativeFrom="page">
                <wp:posOffset>875665</wp:posOffset>
              </wp:positionV>
              <wp:extent cx="6226810" cy="36830"/>
              <wp:effectExtent l="0" t="0" r="2540" b="1270"/>
              <wp:wrapNone/>
              <wp:docPr id="10" name="docshape23"/>
              <wp:cNvGraphicFramePr/>
              <a:graphic xmlns:a="http://schemas.openxmlformats.org/drawingml/2006/main">
                <a:graphicData uri="http://schemas.microsoft.com/office/word/2010/wordprocessingShape">
                  <wps:wsp>
                    <wps:cNvSpPr/>
                    <wps:spPr>
                      <a:xfrm>
                        <a:off x="0" y="0"/>
                        <a:ext cx="6226810" cy="36830"/>
                      </a:xfrm>
                      <a:custGeom>
                        <a:avLst/>
                        <a:gdLst/>
                        <a:ahLst/>
                        <a:cxnLst/>
                        <a:rect l="0" t="0" r="0" b="0"/>
                        <a:pathLst>
                          <a:path w="9806" h="58">
                            <a:moveTo>
                              <a:pt x="9806" y="43"/>
                            </a:moveTo>
                            <a:lnTo>
                              <a:pt x="0" y="43"/>
                            </a:lnTo>
                            <a:lnTo>
                              <a:pt x="0" y="58"/>
                            </a:lnTo>
                            <a:lnTo>
                              <a:pt x="9806" y="58"/>
                            </a:lnTo>
                            <a:lnTo>
                              <a:pt x="9806" y="43"/>
                            </a:lnTo>
                            <a:close/>
                            <a:moveTo>
                              <a:pt x="9806" y="0"/>
                            </a:moveTo>
                            <a:lnTo>
                              <a:pt x="0" y="0"/>
                            </a:lnTo>
                            <a:lnTo>
                              <a:pt x="0" y="29"/>
                            </a:lnTo>
                            <a:lnTo>
                              <a:pt x="9806" y="29"/>
                            </a:lnTo>
                            <a:lnTo>
                              <a:pt x="9806" y="0"/>
                            </a:lnTo>
                            <a:close/>
                          </a:path>
                        </a:pathLst>
                      </a:custGeom>
                      <a:solidFill>
                        <a:srgbClr val="000000"/>
                      </a:solidFill>
                      <a:ln>
                        <a:noFill/>
                      </a:ln>
                    </wps:spPr>
                    <wps:bodyPr upright="1"/>
                  </wps:wsp>
                </a:graphicData>
              </a:graphic>
            </wp:anchor>
          </w:drawing>
        </mc:Choice>
        <mc:Fallback>
          <w:pict>
            <v:shape id="docshape23" o:spid="_x0000_s1026" o:spt="100" style="position:absolute;left:0pt;margin-left:52.55pt;margin-top:68.95pt;height:2.9pt;width:490.3pt;mso-position-horizontal-relative:page;mso-position-vertical-relative:page;z-index:-251654144;mso-width-relative:page;mso-height-relative:page;" fillcolor="#000000" filled="t" stroked="f" coordsize="9806,58" o:gfxdata="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poVB&#10;dtoAAAAMAQAADwAAAAAAAAABACAAAAAiAAAAZHJzL2Rvd25yZXYueG1sUEsBAhQAFAAAAAgAh07i&#10;QD1u01ggAgAAagUAAA4AAAAAAAAAAQAgAAAAKQEAAGRycy9lMm9Eb2MueG1sUEsFBgAAAAAGAAYA&#10;WQEAALsFAAAAAA==&#10;" path="m9806,43l0,43,0,58,9806,58,9806,43xm9806,0l0,0,0,29,9806,29,9806,0xe">
              <v:fill on="t" focussize="0,0"/>
              <v:stroke on="f"/>
              <v:imagedata o:title=""/>
              <o:lock v:ext="edit" aspectratio="f"/>
            </v:shap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673100</wp:posOffset>
              </wp:positionH>
              <wp:positionV relativeFrom="page">
                <wp:posOffset>717550</wp:posOffset>
              </wp:positionV>
              <wp:extent cx="3412490" cy="139700"/>
              <wp:effectExtent l="0" t="0" r="0" b="0"/>
              <wp:wrapNone/>
              <wp:docPr id="11" name="docshape24"/>
              <wp:cNvGraphicFramePr/>
              <a:graphic xmlns:a="http://schemas.openxmlformats.org/drawingml/2006/main">
                <a:graphicData uri="http://schemas.microsoft.com/office/word/2010/wordprocessingShape">
                  <wps:wsp>
                    <wps:cNvSpPr txBox="1"/>
                    <wps:spPr>
                      <a:xfrm>
                        <a:off x="0" y="0"/>
                        <a:ext cx="3412490" cy="139700"/>
                      </a:xfrm>
                      <a:prstGeom prst="rect">
                        <a:avLst/>
                      </a:prstGeom>
                      <a:noFill/>
                      <a:ln>
                        <a:noFill/>
                      </a:ln>
                    </wps:spPr>
                    <wps:txbx>
                      <w:txbxContent>
                        <w:p>
                          <w:pPr>
                            <w:spacing w:line="220" w:lineRule="exact"/>
                            <w:rPr>
                              <w:b/>
                              <w:sz w:val="18"/>
                            </w:rPr>
                          </w:pPr>
                        </w:p>
                      </w:txbxContent>
                    </wps:txbx>
                    <wps:bodyPr lIns="0" tIns="0" rIns="0" bIns="0" upright="1"/>
                  </wps:wsp>
                </a:graphicData>
              </a:graphic>
            </wp:anchor>
          </w:drawing>
        </mc:Choice>
        <mc:Fallback>
          <w:pict>
            <v:shape id="docshape24" o:spid="_x0000_s1026" o:spt="202" type="#_x0000_t202" style="position:absolute;left:0pt;margin-left:53pt;margin-top:56.5pt;height:11pt;width:268.7pt;mso-position-horizontal-relative:page;mso-position-vertical-relative:page;z-index:-251653120;mso-width-relative:page;mso-height-relative:page;" filled="f" stroked="f" coordsize="21600,21600" o:gfxdata="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vnKnXAAAA&#10;CwEAAA8AAAAAAAAAAQAgAAAAIgAAAGRycy9kb3ducmV2LnhtbFBLAQIUABQAAAAIAIdO4kAgUTEr&#10;rAEAAHIDAAAOAAAAAAAAAAEAIAAAACYBAABkcnMvZTJvRG9jLnhtbFBLBQYAAAAABgAGAFkBAABE&#10;BQAAAAA=&#10;">
              <v:fill on="f" focussize="0,0"/>
              <v:stroke on="f"/>
              <v:imagedata o:title=""/>
              <o:lock v:ext="edit" aspectratio="f"/>
              <v:textbox inset="0mm,0mm,0mm,0mm">
                <w:txbxContent>
                  <w:p>
                    <w:pPr>
                      <w:spacing w:line="220" w:lineRule="exact"/>
                      <w:rPr>
                        <w:b/>
                        <w:sz w:val="18"/>
                      </w:rPr>
                    </w:pPr>
                  </w:p>
                </w:txbxContent>
              </v:textbox>
            </v:shape>
          </w:pict>
        </mc:Fallback>
      </mc:AlternateContent>
    </w:r>
    <w:r>
      <mc:AlternateContent>
        <mc:Choice Requires="wps">
          <w:drawing>
            <wp:anchor distT="0" distB="0" distL="114300" distR="114300" simplePos="0" relativeHeight="251665408" behindDoc="1" locked="0" layoutInCell="1" allowOverlap="1">
              <wp:simplePos x="0" y="0"/>
              <wp:positionH relativeFrom="page">
                <wp:posOffset>5036820</wp:posOffset>
              </wp:positionH>
              <wp:positionV relativeFrom="page">
                <wp:posOffset>717550</wp:posOffset>
              </wp:positionV>
              <wp:extent cx="827405" cy="139700"/>
              <wp:effectExtent l="0" t="0" r="0" b="0"/>
              <wp:wrapNone/>
              <wp:docPr id="12" name="docshape25"/>
              <wp:cNvGraphicFramePr/>
              <a:graphic xmlns:a="http://schemas.openxmlformats.org/drawingml/2006/main">
                <a:graphicData uri="http://schemas.microsoft.com/office/word/2010/wordprocessingShape">
                  <wps:wsp>
                    <wps:cNvSpPr txBox="1"/>
                    <wps:spPr>
                      <a:xfrm>
                        <a:off x="0" y="0"/>
                        <a:ext cx="827405" cy="139700"/>
                      </a:xfrm>
                      <a:prstGeom prst="rect">
                        <a:avLst/>
                      </a:prstGeom>
                      <a:noFill/>
                      <a:ln>
                        <a:noFill/>
                      </a:ln>
                    </wps:spPr>
                    <wps:txbx>
                      <w:txbxContent>
                        <w:p>
                          <w:pPr>
                            <w:spacing w:line="220" w:lineRule="exact"/>
                            <w:rPr>
                              <w:b/>
                              <w:sz w:val="18"/>
                            </w:rPr>
                          </w:pPr>
                        </w:p>
                      </w:txbxContent>
                    </wps:txbx>
                    <wps:bodyPr lIns="0" tIns="0" rIns="0" bIns="0" upright="1"/>
                  </wps:wsp>
                </a:graphicData>
              </a:graphic>
            </wp:anchor>
          </w:drawing>
        </mc:Choice>
        <mc:Fallback>
          <w:pict>
            <v:shape id="docshape25" o:spid="_x0000_s1026" o:spt="202" type="#_x0000_t202" style="position:absolute;left:0pt;margin-left:396.6pt;margin-top:56.5pt;height:11pt;width:65.15pt;mso-position-horizontal-relative:page;mso-position-vertical-relative:page;z-index:-251651072;mso-width-relative:page;mso-height-relative:page;" filled="f" stroked="f" coordsize="21600,21600" o:gfxdata="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rvHhCNkA&#10;AAALAQAADwAAAAAAAAABACAAAAAiAAAAZHJzL2Rvd25yZXYueG1sUEsBAhQAFAAAAAgAh07iQKQm&#10;Q0isAQAAcQMAAA4AAAAAAAAAAQAgAAAAKAEAAGRycy9lMm9Eb2MueG1sUEsFBgAAAAAGAAYAWQEA&#10;AEYFAAAAAA==&#10;">
              <v:fill on="f" focussize="0,0"/>
              <v:stroke on="f"/>
              <v:imagedata o:title=""/>
              <o:lock v:ext="edit" aspectratio="f"/>
              <v:textbox inset="0mm,0mm,0mm,0mm">
                <w:txbxContent>
                  <w:p>
                    <w:pPr>
                      <w:spacing w:line="220" w:lineRule="exact"/>
                      <w:rPr>
                        <w:b/>
                        <w:sz w:val="18"/>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8B902"/>
    <w:multiLevelType w:val="multilevel"/>
    <w:tmpl w:val="9288B902"/>
    <w:lvl w:ilvl="0" w:tentative="0">
      <w:start w:val="1"/>
      <w:numFmt w:val="decimal"/>
      <w:lvlText w:val="（%1）"/>
      <w:lvlJc w:val="left"/>
      <w:pPr>
        <w:ind w:left="220" w:hanging="601"/>
        <w:jc w:val="left"/>
      </w:pPr>
      <w:rPr>
        <w:rFonts w:hint="default" w:ascii="宋体" w:hAnsi="宋体" w:eastAsia="宋体" w:cs="宋体"/>
        <w:b w:val="0"/>
        <w:bCs w:val="0"/>
        <w:i w:val="0"/>
        <w:iCs w:val="0"/>
        <w:w w:val="100"/>
        <w:sz w:val="22"/>
        <w:szCs w:val="22"/>
        <w:lang w:val="en-US" w:eastAsia="zh-CN" w:bidi="ar-SA"/>
      </w:rPr>
    </w:lvl>
    <w:lvl w:ilvl="1" w:tentative="0">
      <w:start w:val="1"/>
      <w:numFmt w:val="decimal"/>
      <w:lvlText w:val="%2."/>
      <w:lvlJc w:val="left"/>
      <w:pPr>
        <w:ind w:left="220" w:hanging="361"/>
        <w:jc w:val="left"/>
      </w:pPr>
      <w:rPr>
        <w:rFonts w:hint="default" w:ascii="宋体" w:hAnsi="宋体" w:eastAsia="宋体" w:cs="宋体"/>
        <w:b w:val="0"/>
        <w:bCs w:val="0"/>
        <w:i w:val="0"/>
        <w:iCs w:val="0"/>
        <w:spacing w:val="-22"/>
        <w:w w:val="100"/>
        <w:sz w:val="22"/>
        <w:szCs w:val="22"/>
        <w:lang w:val="en-US" w:eastAsia="zh-CN" w:bidi="ar-SA"/>
      </w:rPr>
    </w:lvl>
    <w:lvl w:ilvl="2" w:tentative="0">
      <w:start w:val="1"/>
      <w:numFmt w:val="decimal"/>
      <w:lvlText w:val="（%3）"/>
      <w:lvlJc w:val="left"/>
      <w:pPr>
        <w:ind w:left="1848" w:hanging="601"/>
        <w:jc w:val="left"/>
      </w:pPr>
      <w:rPr>
        <w:rFonts w:hint="default" w:ascii="宋体" w:hAnsi="宋体" w:eastAsia="宋体" w:cs="宋体"/>
        <w:b w:val="0"/>
        <w:bCs w:val="0"/>
        <w:i w:val="0"/>
        <w:iCs w:val="0"/>
        <w:w w:val="100"/>
        <w:sz w:val="22"/>
        <w:szCs w:val="22"/>
        <w:lang w:val="en-US" w:eastAsia="zh-CN" w:bidi="ar-SA"/>
      </w:rPr>
    </w:lvl>
    <w:lvl w:ilvl="3" w:tentative="0">
      <w:start w:val="0"/>
      <w:numFmt w:val="bullet"/>
      <w:lvlText w:val="•"/>
      <w:lvlJc w:val="left"/>
      <w:pPr>
        <w:ind w:left="3699" w:hanging="601"/>
      </w:pPr>
      <w:rPr>
        <w:rFonts w:hint="default"/>
        <w:lang w:val="en-US" w:eastAsia="zh-CN" w:bidi="ar-SA"/>
      </w:rPr>
    </w:lvl>
    <w:lvl w:ilvl="4" w:tentative="0">
      <w:start w:val="0"/>
      <w:numFmt w:val="bullet"/>
      <w:lvlText w:val="•"/>
      <w:lvlJc w:val="left"/>
      <w:pPr>
        <w:ind w:left="4628" w:hanging="601"/>
      </w:pPr>
      <w:rPr>
        <w:rFonts w:hint="default"/>
        <w:lang w:val="en-US" w:eastAsia="zh-CN" w:bidi="ar-SA"/>
      </w:rPr>
    </w:lvl>
    <w:lvl w:ilvl="5" w:tentative="0">
      <w:start w:val="0"/>
      <w:numFmt w:val="bullet"/>
      <w:lvlText w:val="•"/>
      <w:lvlJc w:val="left"/>
      <w:pPr>
        <w:ind w:left="5558" w:hanging="601"/>
      </w:pPr>
      <w:rPr>
        <w:rFonts w:hint="default"/>
        <w:lang w:val="en-US" w:eastAsia="zh-CN" w:bidi="ar-SA"/>
      </w:rPr>
    </w:lvl>
    <w:lvl w:ilvl="6" w:tentative="0">
      <w:start w:val="0"/>
      <w:numFmt w:val="bullet"/>
      <w:lvlText w:val="•"/>
      <w:lvlJc w:val="left"/>
      <w:pPr>
        <w:ind w:left="6488" w:hanging="601"/>
      </w:pPr>
      <w:rPr>
        <w:rFonts w:hint="default"/>
        <w:lang w:val="en-US" w:eastAsia="zh-CN" w:bidi="ar-SA"/>
      </w:rPr>
    </w:lvl>
    <w:lvl w:ilvl="7" w:tentative="0">
      <w:start w:val="0"/>
      <w:numFmt w:val="bullet"/>
      <w:lvlText w:val="•"/>
      <w:lvlJc w:val="left"/>
      <w:pPr>
        <w:ind w:left="7417" w:hanging="601"/>
      </w:pPr>
      <w:rPr>
        <w:rFonts w:hint="default"/>
        <w:lang w:val="en-US" w:eastAsia="zh-CN" w:bidi="ar-SA"/>
      </w:rPr>
    </w:lvl>
    <w:lvl w:ilvl="8" w:tentative="0">
      <w:start w:val="0"/>
      <w:numFmt w:val="bullet"/>
      <w:lvlText w:val="•"/>
      <w:lvlJc w:val="left"/>
      <w:pPr>
        <w:ind w:left="8347" w:hanging="601"/>
      </w:pPr>
      <w:rPr>
        <w:rFonts w:hint="default"/>
        <w:lang w:val="en-US" w:eastAsia="zh-CN" w:bidi="ar-SA"/>
      </w:rPr>
    </w:lvl>
  </w:abstractNum>
  <w:abstractNum w:abstractNumId="1">
    <w:nsid w:val="9D3E662C"/>
    <w:multiLevelType w:val="singleLevel"/>
    <w:tmpl w:val="9D3E662C"/>
    <w:lvl w:ilvl="0" w:tentative="0">
      <w:start w:val="1"/>
      <w:numFmt w:val="decimal"/>
      <w:suff w:val="nothing"/>
      <w:lvlText w:val="（%1）"/>
      <w:lvlJc w:val="left"/>
    </w:lvl>
  </w:abstractNum>
  <w:abstractNum w:abstractNumId="2">
    <w:nsid w:val="B704D910"/>
    <w:multiLevelType w:val="singleLevel"/>
    <w:tmpl w:val="B704D910"/>
    <w:lvl w:ilvl="0" w:tentative="0">
      <w:start w:val="4"/>
      <w:numFmt w:val="chineseCounting"/>
      <w:suff w:val="space"/>
      <w:lvlText w:val="第%1部分"/>
      <w:lvlJc w:val="left"/>
      <w:rPr>
        <w:rFonts w:hint="eastAsia"/>
      </w:rPr>
    </w:lvl>
  </w:abstractNum>
  <w:abstractNum w:abstractNumId="3">
    <w:nsid w:val="DC92C60F"/>
    <w:multiLevelType w:val="singleLevel"/>
    <w:tmpl w:val="DC92C60F"/>
    <w:lvl w:ilvl="0" w:tentative="0">
      <w:start w:val="1"/>
      <w:numFmt w:val="decimal"/>
      <w:suff w:val="nothing"/>
      <w:lvlText w:val="%1、"/>
      <w:lvlJc w:val="left"/>
    </w:lvl>
  </w:abstractNum>
  <w:abstractNum w:abstractNumId="4">
    <w:nsid w:val="F416B28B"/>
    <w:multiLevelType w:val="singleLevel"/>
    <w:tmpl w:val="F416B28B"/>
    <w:lvl w:ilvl="0" w:tentative="0">
      <w:start w:val="1"/>
      <w:numFmt w:val="decimal"/>
      <w:suff w:val="nothing"/>
      <w:lvlText w:val="%1、"/>
      <w:lvlJc w:val="left"/>
    </w:lvl>
  </w:abstractNum>
  <w:abstractNum w:abstractNumId="5">
    <w:nsid w:val="281F69AC"/>
    <w:multiLevelType w:val="singleLevel"/>
    <w:tmpl w:val="281F69AC"/>
    <w:lvl w:ilvl="0" w:tentative="0">
      <w:start w:val="1"/>
      <w:numFmt w:val="decimal"/>
      <w:suff w:val="nothing"/>
      <w:lvlText w:val="%1、"/>
      <w:lvlJc w:val="left"/>
    </w:lvl>
  </w:abstractNum>
  <w:abstractNum w:abstractNumId="6">
    <w:nsid w:val="39A0D9AC"/>
    <w:multiLevelType w:val="multilevel"/>
    <w:tmpl w:val="39A0D9AC"/>
    <w:lvl w:ilvl="0" w:tentative="0">
      <w:start w:val="1"/>
      <w:numFmt w:val="decimal"/>
      <w:lvlText w:val="（%1）"/>
      <w:lvlJc w:val="left"/>
      <w:pPr>
        <w:ind w:left="220" w:hanging="602"/>
        <w:jc w:val="left"/>
      </w:pPr>
      <w:rPr>
        <w:rFonts w:hint="default"/>
        <w:w w:val="100"/>
        <w:lang w:val="en-US" w:eastAsia="zh-CN" w:bidi="ar-SA"/>
      </w:rPr>
    </w:lvl>
    <w:lvl w:ilvl="1" w:tentative="0">
      <w:start w:val="0"/>
      <w:numFmt w:val="bullet"/>
      <w:lvlText w:val="•"/>
      <w:lvlJc w:val="left"/>
      <w:pPr>
        <w:ind w:left="1218" w:hanging="602"/>
      </w:pPr>
      <w:rPr>
        <w:rFonts w:hint="default"/>
        <w:lang w:val="en-US" w:eastAsia="zh-CN" w:bidi="ar-SA"/>
      </w:rPr>
    </w:lvl>
    <w:lvl w:ilvl="2" w:tentative="0">
      <w:start w:val="0"/>
      <w:numFmt w:val="bullet"/>
      <w:lvlText w:val="•"/>
      <w:lvlJc w:val="left"/>
      <w:pPr>
        <w:ind w:left="2217" w:hanging="602"/>
      </w:pPr>
      <w:rPr>
        <w:rFonts w:hint="default"/>
        <w:lang w:val="en-US" w:eastAsia="zh-CN" w:bidi="ar-SA"/>
      </w:rPr>
    </w:lvl>
    <w:lvl w:ilvl="3" w:tentative="0">
      <w:start w:val="0"/>
      <w:numFmt w:val="bullet"/>
      <w:lvlText w:val="•"/>
      <w:lvlJc w:val="left"/>
      <w:pPr>
        <w:ind w:left="3215" w:hanging="602"/>
      </w:pPr>
      <w:rPr>
        <w:rFonts w:hint="default"/>
        <w:lang w:val="en-US" w:eastAsia="zh-CN" w:bidi="ar-SA"/>
      </w:rPr>
    </w:lvl>
    <w:lvl w:ilvl="4" w:tentative="0">
      <w:start w:val="0"/>
      <w:numFmt w:val="bullet"/>
      <w:lvlText w:val="•"/>
      <w:lvlJc w:val="left"/>
      <w:pPr>
        <w:ind w:left="4214" w:hanging="602"/>
      </w:pPr>
      <w:rPr>
        <w:rFonts w:hint="default"/>
        <w:lang w:val="en-US" w:eastAsia="zh-CN" w:bidi="ar-SA"/>
      </w:rPr>
    </w:lvl>
    <w:lvl w:ilvl="5" w:tentative="0">
      <w:start w:val="0"/>
      <w:numFmt w:val="bullet"/>
      <w:lvlText w:val="•"/>
      <w:lvlJc w:val="left"/>
      <w:pPr>
        <w:ind w:left="5213" w:hanging="602"/>
      </w:pPr>
      <w:rPr>
        <w:rFonts w:hint="default"/>
        <w:lang w:val="en-US" w:eastAsia="zh-CN" w:bidi="ar-SA"/>
      </w:rPr>
    </w:lvl>
    <w:lvl w:ilvl="6" w:tentative="0">
      <w:start w:val="0"/>
      <w:numFmt w:val="bullet"/>
      <w:lvlText w:val="•"/>
      <w:lvlJc w:val="left"/>
      <w:pPr>
        <w:ind w:left="6211" w:hanging="602"/>
      </w:pPr>
      <w:rPr>
        <w:rFonts w:hint="default"/>
        <w:lang w:val="en-US" w:eastAsia="zh-CN" w:bidi="ar-SA"/>
      </w:rPr>
    </w:lvl>
    <w:lvl w:ilvl="7" w:tentative="0">
      <w:start w:val="0"/>
      <w:numFmt w:val="bullet"/>
      <w:lvlText w:val="•"/>
      <w:lvlJc w:val="left"/>
      <w:pPr>
        <w:ind w:left="7210" w:hanging="602"/>
      </w:pPr>
      <w:rPr>
        <w:rFonts w:hint="default"/>
        <w:lang w:val="en-US" w:eastAsia="zh-CN" w:bidi="ar-SA"/>
      </w:rPr>
    </w:lvl>
    <w:lvl w:ilvl="8" w:tentative="0">
      <w:start w:val="0"/>
      <w:numFmt w:val="bullet"/>
      <w:lvlText w:val="•"/>
      <w:lvlJc w:val="left"/>
      <w:pPr>
        <w:ind w:left="8209" w:hanging="602"/>
      </w:pPr>
      <w:rPr>
        <w:rFonts w:hint="default"/>
        <w:lang w:val="en-US" w:eastAsia="zh-CN" w:bidi="ar-SA"/>
      </w:rPr>
    </w:lvl>
  </w:abstractNum>
  <w:abstractNum w:abstractNumId="7">
    <w:nsid w:val="629F7852"/>
    <w:multiLevelType w:val="multilevel"/>
    <w:tmpl w:val="629F7852"/>
    <w:lvl w:ilvl="0" w:tentative="0">
      <w:start w:val="1"/>
      <w:numFmt w:val="decimal"/>
      <w:lvlText w:val="（%1）"/>
      <w:lvlJc w:val="left"/>
      <w:pPr>
        <w:ind w:left="640" w:hanging="601"/>
        <w:jc w:val="left"/>
      </w:pPr>
      <w:rPr>
        <w:rFonts w:hint="default" w:ascii="宋体" w:hAnsi="宋体" w:eastAsia="宋体" w:cs="宋体"/>
        <w:b w:val="0"/>
        <w:bCs w:val="0"/>
        <w:i w:val="0"/>
        <w:iCs w:val="0"/>
        <w:spacing w:val="-10"/>
        <w:w w:val="100"/>
        <w:sz w:val="22"/>
        <w:szCs w:val="22"/>
        <w:lang w:val="en-US" w:eastAsia="zh-CN" w:bidi="ar-SA"/>
      </w:rPr>
    </w:lvl>
    <w:lvl w:ilvl="1" w:tentative="0">
      <w:start w:val="0"/>
      <w:numFmt w:val="bullet"/>
      <w:lvlText w:val="•"/>
      <w:lvlJc w:val="left"/>
      <w:pPr>
        <w:ind w:left="1596" w:hanging="601"/>
      </w:pPr>
      <w:rPr>
        <w:rFonts w:hint="default"/>
        <w:lang w:val="en-US" w:eastAsia="zh-CN" w:bidi="ar-SA"/>
      </w:rPr>
    </w:lvl>
    <w:lvl w:ilvl="2" w:tentative="0">
      <w:start w:val="0"/>
      <w:numFmt w:val="bullet"/>
      <w:lvlText w:val="•"/>
      <w:lvlJc w:val="left"/>
      <w:pPr>
        <w:ind w:left="2553" w:hanging="601"/>
      </w:pPr>
      <w:rPr>
        <w:rFonts w:hint="default"/>
        <w:lang w:val="en-US" w:eastAsia="zh-CN" w:bidi="ar-SA"/>
      </w:rPr>
    </w:lvl>
    <w:lvl w:ilvl="3" w:tentative="0">
      <w:start w:val="0"/>
      <w:numFmt w:val="bullet"/>
      <w:lvlText w:val="•"/>
      <w:lvlJc w:val="left"/>
      <w:pPr>
        <w:ind w:left="3509" w:hanging="601"/>
      </w:pPr>
      <w:rPr>
        <w:rFonts w:hint="default"/>
        <w:lang w:val="en-US" w:eastAsia="zh-CN" w:bidi="ar-SA"/>
      </w:rPr>
    </w:lvl>
    <w:lvl w:ilvl="4" w:tentative="0">
      <w:start w:val="0"/>
      <w:numFmt w:val="bullet"/>
      <w:lvlText w:val="•"/>
      <w:lvlJc w:val="left"/>
      <w:pPr>
        <w:ind w:left="4466" w:hanging="601"/>
      </w:pPr>
      <w:rPr>
        <w:rFonts w:hint="default"/>
        <w:lang w:val="en-US" w:eastAsia="zh-CN" w:bidi="ar-SA"/>
      </w:rPr>
    </w:lvl>
    <w:lvl w:ilvl="5" w:tentative="0">
      <w:start w:val="0"/>
      <w:numFmt w:val="bullet"/>
      <w:lvlText w:val="•"/>
      <w:lvlJc w:val="left"/>
      <w:pPr>
        <w:ind w:left="5423" w:hanging="601"/>
      </w:pPr>
      <w:rPr>
        <w:rFonts w:hint="default"/>
        <w:lang w:val="en-US" w:eastAsia="zh-CN" w:bidi="ar-SA"/>
      </w:rPr>
    </w:lvl>
    <w:lvl w:ilvl="6" w:tentative="0">
      <w:start w:val="0"/>
      <w:numFmt w:val="bullet"/>
      <w:lvlText w:val="•"/>
      <w:lvlJc w:val="left"/>
      <w:pPr>
        <w:ind w:left="6379" w:hanging="601"/>
      </w:pPr>
      <w:rPr>
        <w:rFonts w:hint="default"/>
        <w:lang w:val="en-US" w:eastAsia="zh-CN" w:bidi="ar-SA"/>
      </w:rPr>
    </w:lvl>
    <w:lvl w:ilvl="7" w:tentative="0">
      <w:start w:val="0"/>
      <w:numFmt w:val="bullet"/>
      <w:lvlText w:val="•"/>
      <w:lvlJc w:val="left"/>
      <w:pPr>
        <w:ind w:left="7336" w:hanging="601"/>
      </w:pPr>
      <w:rPr>
        <w:rFonts w:hint="default"/>
        <w:lang w:val="en-US" w:eastAsia="zh-CN" w:bidi="ar-SA"/>
      </w:rPr>
    </w:lvl>
    <w:lvl w:ilvl="8" w:tentative="0">
      <w:start w:val="0"/>
      <w:numFmt w:val="bullet"/>
      <w:lvlText w:val="•"/>
      <w:lvlJc w:val="left"/>
      <w:pPr>
        <w:ind w:left="8293" w:hanging="601"/>
      </w:pPr>
      <w:rPr>
        <w:rFonts w:hint="default"/>
        <w:lang w:val="en-US" w:eastAsia="zh-CN" w:bidi="ar-SA"/>
      </w:rPr>
    </w:lvl>
  </w:abstractNum>
  <w:num w:numId="1">
    <w:abstractNumId w:val="1"/>
  </w:num>
  <w:num w:numId="2">
    <w:abstractNumId w:val="4"/>
  </w:num>
  <w:num w:numId="3">
    <w:abstractNumId w:val="3"/>
  </w:num>
  <w:num w:numId="4">
    <w:abstractNumId w:val="5"/>
  </w:num>
  <w:num w:numId="5">
    <w:abstractNumId w:val="2"/>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Y3OGIxZDEyMDE0OTc1ODU5NzEwMmQ0YTdiOTMxZDEifQ=="/>
  </w:docVars>
  <w:rsids>
    <w:rsidRoot w:val="00606F56"/>
    <w:rsid w:val="004853D4"/>
    <w:rsid w:val="005152E4"/>
    <w:rsid w:val="00606F56"/>
    <w:rsid w:val="006978D7"/>
    <w:rsid w:val="00697FB3"/>
    <w:rsid w:val="008702D1"/>
    <w:rsid w:val="008F4978"/>
    <w:rsid w:val="00962812"/>
    <w:rsid w:val="00F50EB7"/>
    <w:rsid w:val="05365C5E"/>
    <w:rsid w:val="05692E69"/>
    <w:rsid w:val="05F06336"/>
    <w:rsid w:val="05FE2B7F"/>
    <w:rsid w:val="06073DF7"/>
    <w:rsid w:val="07AA1E69"/>
    <w:rsid w:val="07AE3249"/>
    <w:rsid w:val="07C92075"/>
    <w:rsid w:val="07FC2F53"/>
    <w:rsid w:val="083118D7"/>
    <w:rsid w:val="083D0F19"/>
    <w:rsid w:val="08F46A85"/>
    <w:rsid w:val="09135B7F"/>
    <w:rsid w:val="09BD7AB6"/>
    <w:rsid w:val="09EC3509"/>
    <w:rsid w:val="0B0461D0"/>
    <w:rsid w:val="0BFE5CAD"/>
    <w:rsid w:val="0C8069A4"/>
    <w:rsid w:val="0D713FBC"/>
    <w:rsid w:val="0E275709"/>
    <w:rsid w:val="102B1F20"/>
    <w:rsid w:val="1035579F"/>
    <w:rsid w:val="10537F76"/>
    <w:rsid w:val="108A484A"/>
    <w:rsid w:val="121334AB"/>
    <w:rsid w:val="13AB154A"/>
    <w:rsid w:val="157D4288"/>
    <w:rsid w:val="17E036C6"/>
    <w:rsid w:val="19007A66"/>
    <w:rsid w:val="19AA4BD5"/>
    <w:rsid w:val="19DB2D10"/>
    <w:rsid w:val="1A667D67"/>
    <w:rsid w:val="1AF07A92"/>
    <w:rsid w:val="1B2E1294"/>
    <w:rsid w:val="1B6A7E7A"/>
    <w:rsid w:val="1B9B0818"/>
    <w:rsid w:val="1C8A0AA3"/>
    <w:rsid w:val="1CEB277B"/>
    <w:rsid w:val="1D53011A"/>
    <w:rsid w:val="1D8F546B"/>
    <w:rsid w:val="1ED9057C"/>
    <w:rsid w:val="1EFD7E4D"/>
    <w:rsid w:val="1F9E4E57"/>
    <w:rsid w:val="20320939"/>
    <w:rsid w:val="20EB008D"/>
    <w:rsid w:val="214C2B2C"/>
    <w:rsid w:val="224552E8"/>
    <w:rsid w:val="23182F8B"/>
    <w:rsid w:val="232414B8"/>
    <w:rsid w:val="232E75D7"/>
    <w:rsid w:val="24680079"/>
    <w:rsid w:val="261677FC"/>
    <w:rsid w:val="26645D8D"/>
    <w:rsid w:val="268573FA"/>
    <w:rsid w:val="27FD41FB"/>
    <w:rsid w:val="29DF4AE4"/>
    <w:rsid w:val="2B267C4E"/>
    <w:rsid w:val="2B3D4372"/>
    <w:rsid w:val="2B41771D"/>
    <w:rsid w:val="2BB7000F"/>
    <w:rsid w:val="2C552BF5"/>
    <w:rsid w:val="2CA93793"/>
    <w:rsid w:val="2CBF3242"/>
    <w:rsid w:val="2DA64F6B"/>
    <w:rsid w:val="2E095936"/>
    <w:rsid w:val="2E0D2606"/>
    <w:rsid w:val="2EDB467D"/>
    <w:rsid w:val="2EFC3F7D"/>
    <w:rsid w:val="2F684CDA"/>
    <w:rsid w:val="2FDB41B4"/>
    <w:rsid w:val="2FDF1825"/>
    <w:rsid w:val="30EA639A"/>
    <w:rsid w:val="313D7765"/>
    <w:rsid w:val="3163332F"/>
    <w:rsid w:val="31823023"/>
    <w:rsid w:val="323C11A5"/>
    <w:rsid w:val="326642CE"/>
    <w:rsid w:val="32714620"/>
    <w:rsid w:val="32A039AE"/>
    <w:rsid w:val="33C11BB1"/>
    <w:rsid w:val="35144825"/>
    <w:rsid w:val="369757C1"/>
    <w:rsid w:val="371A5E50"/>
    <w:rsid w:val="374F7FBA"/>
    <w:rsid w:val="37606BAD"/>
    <w:rsid w:val="38AA4400"/>
    <w:rsid w:val="39A80919"/>
    <w:rsid w:val="3A5A79DA"/>
    <w:rsid w:val="3B003DE4"/>
    <w:rsid w:val="3B0A1FEC"/>
    <w:rsid w:val="3BB47DF5"/>
    <w:rsid w:val="3C5A667E"/>
    <w:rsid w:val="3D222425"/>
    <w:rsid w:val="3E083F2D"/>
    <w:rsid w:val="3E1B130B"/>
    <w:rsid w:val="3F93315A"/>
    <w:rsid w:val="40435E0B"/>
    <w:rsid w:val="40907FDA"/>
    <w:rsid w:val="40A56A6D"/>
    <w:rsid w:val="410E1DC9"/>
    <w:rsid w:val="41112A35"/>
    <w:rsid w:val="41B47CE7"/>
    <w:rsid w:val="42C36C74"/>
    <w:rsid w:val="433436C5"/>
    <w:rsid w:val="43BE0C91"/>
    <w:rsid w:val="444E4635"/>
    <w:rsid w:val="4452173E"/>
    <w:rsid w:val="45480F52"/>
    <w:rsid w:val="454B024B"/>
    <w:rsid w:val="455B17C3"/>
    <w:rsid w:val="463E6D61"/>
    <w:rsid w:val="467549E8"/>
    <w:rsid w:val="474B28A4"/>
    <w:rsid w:val="479541B9"/>
    <w:rsid w:val="480C2924"/>
    <w:rsid w:val="49267A70"/>
    <w:rsid w:val="49AE59EE"/>
    <w:rsid w:val="4AD51C64"/>
    <w:rsid w:val="4B0D2E44"/>
    <w:rsid w:val="4B15244F"/>
    <w:rsid w:val="4C741664"/>
    <w:rsid w:val="4C8E1BCD"/>
    <w:rsid w:val="4DC76A88"/>
    <w:rsid w:val="4DC83123"/>
    <w:rsid w:val="4E583BE9"/>
    <w:rsid w:val="4F1E00F2"/>
    <w:rsid w:val="4F641698"/>
    <w:rsid w:val="4FB02F54"/>
    <w:rsid w:val="5015346E"/>
    <w:rsid w:val="504F4DF0"/>
    <w:rsid w:val="50AA2BF3"/>
    <w:rsid w:val="51081FA6"/>
    <w:rsid w:val="54931F9E"/>
    <w:rsid w:val="54C05D76"/>
    <w:rsid w:val="55375819"/>
    <w:rsid w:val="55683FFB"/>
    <w:rsid w:val="55694CBF"/>
    <w:rsid w:val="55B121F8"/>
    <w:rsid w:val="57272F01"/>
    <w:rsid w:val="57915395"/>
    <w:rsid w:val="57EF7856"/>
    <w:rsid w:val="580D47EB"/>
    <w:rsid w:val="58F0509B"/>
    <w:rsid w:val="59E554B4"/>
    <w:rsid w:val="5AC71BB3"/>
    <w:rsid w:val="5AEB570A"/>
    <w:rsid w:val="5BD168C9"/>
    <w:rsid w:val="5EA613EA"/>
    <w:rsid w:val="5F997D7B"/>
    <w:rsid w:val="5FDE60AB"/>
    <w:rsid w:val="601D2030"/>
    <w:rsid w:val="60306890"/>
    <w:rsid w:val="619904D2"/>
    <w:rsid w:val="61A77915"/>
    <w:rsid w:val="63061E02"/>
    <w:rsid w:val="638C3054"/>
    <w:rsid w:val="639B7E10"/>
    <w:rsid w:val="63CC5CC3"/>
    <w:rsid w:val="641C325D"/>
    <w:rsid w:val="64987BDE"/>
    <w:rsid w:val="64D17CD6"/>
    <w:rsid w:val="6760019A"/>
    <w:rsid w:val="677018E1"/>
    <w:rsid w:val="67C12D58"/>
    <w:rsid w:val="6885073E"/>
    <w:rsid w:val="6A607774"/>
    <w:rsid w:val="6B002255"/>
    <w:rsid w:val="6B012CCF"/>
    <w:rsid w:val="6B3E08C3"/>
    <w:rsid w:val="6B8339B3"/>
    <w:rsid w:val="6BC456E6"/>
    <w:rsid w:val="6BD40370"/>
    <w:rsid w:val="6C2C2BC5"/>
    <w:rsid w:val="6C8C5BB1"/>
    <w:rsid w:val="6CF56176"/>
    <w:rsid w:val="6D5F2FE5"/>
    <w:rsid w:val="6DEF66A5"/>
    <w:rsid w:val="6E7D14B4"/>
    <w:rsid w:val="6F2D7589"/>
    <w:rsid w:val="6FE11AF9"/>
    <w:rsid w:val="6FE43C12"/>
    <w:rsid w:val="70D20680"/>
    <w:rsid w:val="71936834"/>
    <w:rsid w:val="7257055D"/>
    <w:rsid w:val="72921E7C"/>
    <w:rsid w:val="729545D3"/>
    <w:rsid w:val="73FB6D5F"/>
    <w:rsid w:val="740850EF"/>
    <w:rsid w:val="75C629AC"/>
    <w:rsid w:val="75CC4A3F"/>
    <w:rsid w:val="76A178ED"/>
    <w:rsid w:val="76A744F5"/>
    <w:rsid w:val="77AD6C9D"/>
    <w:rsid w:val="77DD7538"/>
    <w:rsid w:val="785C35D6"/>
    <w:rsid w:val="788F2AAB"/>
    <w:rsid w:val="7890626C"/>
    <w:rsid w:val="79C2606A"/>
    <w:rsid w:val="7ABB18CF"/>
    <w:rsid w:val="7B2F0786"/>
    <w:rsid w:val="7BD71470"/>
    <w:rsid w:val="7D7C7E13"/>
    <w:rsid w:val="7E214F88"/>
    <w:rsid w:val="7E2F485B"/>
    <w:rsid w:val="7E7F038E"/>
    <w:rsid w:val="7E870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zh-CN" w:bidi="ar-SA"/>
    </w:rPr>
  </w:style>
  <w:style w:type="paragraph" w:styleId="5">
    <w:name w:val="heading 1"/>
    <w:basedOn w:val="1"/>
    <w:next w:val="1"/>
    <w:qFormat/>
    <w:uiPriority w:val="1"/>
    <w:pPr>
      <w:spacing w:before="17"/>
      <w:ind w:left="3821"/>
      <w:outlineLvl w:val="0"/>
    </w:pPr>
    <w:rPr>
      <w:rFonts w:ascii="黑体" w:hAnsi="黑体" w:eastAsia="黑体" w:cs="黑体"/>
      <w:sz w:val="40"/>
      <w:szCs w:val="40"/>
    </w:rPr>
  </w:style>
  <w:style w:type="paragraph" w:styleId="6">
    <w:name w:val="heading 2"/>
    <w:basedOn w:val="1"/>
    <w:next w:val="1"/>
    <w:link w:val="44"/>
    <w:qFormat/>
    <w:uiPriority w:val="1"/>
    <w:pPr>
      <w:spacing w:before="55"/>
      <w:jc w:val="center"/>
      <w:outlineLvl w:val="1"/>
    </w:pPr>
    <w:rPr>
      <w:b/>
      <w:bCs/>
      <w:sz w:val="32"/>
      <w:szCs w:val="32"/>
    </w:rPr>
  </w:style>
  <w:style w:type="paragraph" w:styleId="7">
    <w:name w:val="heading 3"/>
    <w:basedOn w:val="1"/>
    <w:next w:val="1"/>
    <w:qFormat/>
    <w:uiPriority w:val="1"/>
    <w:pPr>
      <w:spacing w:before="3"/>
      <w:ind w:left="220" w:right="239"/>
      <w:jc w:val="center"/>
      <w:outlineLvl w:val="2"/>
    </w:pPr>
    <w:rPr>
      <w:b/>
      <w:bCs/>
      <w:sz w:val="30"/>
      <w:szCs w:val="30"/>
    </w:rPr>
  </w:style>
  <w:style w:type="paragraph" w:styleId="8">
    <w:name w:val="heading 4"/>
    <w:basedOn w:val="1"/>
    <w:next w:val="1"/>
    <w:qFormat/>
    <w:uiPriority w:val="1"/>
    <w:pPr>
      <w:ind w:left="642" w:hanging="423"/>
      <w:outlineLvl w:val="3"/>
    </w:pPr>
    <w:rPr>
      <w:b/>
      <w:bCs/>
      <w:sz w:val="21"/>
      <w:szCs w:val="21"/>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rFonts w:ascii="Calibri" w:hAnsi="Calibri" w:cs="Times New Roman"/>
    </w:rPr>
  </w:style>
  <w:style w:type="paragraph" w:styleId="3">
    <w:name w:val="Body Text"/>
    <w:basedOn w:val="1"/>
    <w:next w:val="4"/>
    <w:qFormat/>
    <w:uiPriority w:val="1"/>
    <w:rPr>
      <w:sz w:val="21"/>
      <w:szCs w:val="21"/>
    </w:rPr>
  </w:style>
  <w:style w:type="paragraph" w:styleId="4">
    <w:name w:val="Body Text 2"/>
    <w:basedOn w:val="1"/>
    <w:next w:val="3"/>
    <w:qFormat/>
    <w:uiPriority w:val="0"/>
    <w:pPr>
      <w:spacing w:after="120" w:line="480" w:lineRule="auto"/>
    </w:pPr>
  </w:style>
  <w:style w:type="paragraph" w:styleId="9">
    <w:name w:val="annotation text"/>
    <w:basedOn w:val="1"/>
    <w:link w:val="51"/>
    <w:qFormat/>
    <w:uiPriority w:val="0"/>
  </w:style>
  <w:style w:type="paragraph" w:styleId="10">
    <w:name w:val="Body Text Indent"/>
    <w:basedOn w:val="1"/>
    <w:next w:val="11"/>
    <w:qFormat/>
    <w:uiPriority w:val="0"/>
    <w:pPr>
      <w:spacing w:after="120"/>
      <w:ind w:left="420" w:leftChars="200"/>
    </w:pPr>
  </w:style>
  <w:style w:type="paragraph" w:styleId="11">
    <w:name w:val="envelope return"/>
    <w:basedOn w:val="1"/>
    <w:unhideWhenUsed/>
    <w:qFormat/>
    <w:uiPriority w:val="99"/>
    <w:pPr>
      <w:snapToGrid w:val="0"/>
    </w:pPr>
    <w:rPr>
      <w:rFonts w:ascii="Arial" w:hAnsi="Arial"/>
    </w:rPr>
  </w:style>
  <w:style w:type="paragraph" w:styleId="12">
    <w:name w:val="toc 3"/>
    <w:basedOn w:val="1"/>
    <w:next w:val="1"/>
    <w:qFormat/>
    <w:uiPriority w:val="1"/>
    <w:pPr>
      <w:spacing w:before="205"/>
      <w:ind w:left="220"/>
    </w:pPr>
    <w:rPr>
      <w:b/>
      <w:bCs/>
      <w:sz w:val="20"/>
      <w:szCs w:val="20"/>
    </w:rPr>
  </w:style>
  <w:style w:type="paragraph" w:styleId="13">
    <w:name w:val="Balloon Text"/>
    <w:basedOn w:val="1"/>
    <w:link w:val="53"/>
    <w:qFormat/>
    <w:uiPriority w:val="0"/>
    <w:rPr>
      <w:sz w:val="18"/>
      <w:szCs w:val="18"/>
    </w:rPr>
  </w:style>
  <w:style w:type="paragraph" w:styleId="14">
    <w:name w:val="footer"/>
    <w:basedOn w:val="1"/>
    <w:qFormat/>
    <w:uiPriority w:val="0"/>
    <w:pPr>
      <w:tabs>
        <w:tab w:val="center" w:pos="4153"/>
        <w:tab w:val="right" w:pos="8306"/>
      </w:tabs>
      <w:snapToGrid w:val="0"/>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6">
    <w:name w:val="toc 1"/>
    <w:basedOn w:val="1"/>
    <w:next w:val="1"/>
    <w:qFormat/>
    <w:uiPriority w:val="1"/>
    <w:pPr>
      <w:spacing w:before="177"/>
      <w:ind w:right="17"/>
      <w:jc w:val="center"/>
    </w:pPr>
    <w:rPr>
      <w:rFonts w:ascii="黑体" w:hAnsi="黑体" w:eastAsia="黑体" w:cs="黑体"/>
      <w:b/>
      <w:bCs/>
      <w:sz w:val="20"/>
      <w:szCs w:val="20"/>
    </w:rPr>
  </w:style>
  <w:style w:type="paragraph" w:styleId="17">
    <w:name w:val="toc 4"/>
    <w:basedOn w:val="1"/>
    <w:next w:val="1"/>
    <w:qFormat/>
    <w:uiPriority w:val="1"/>
    <w:pPr>
      <w:spacing w:before="205"/>
      <w:ind w:left="640"/>
    </w:pPr>
    <w:rPr>
      <w:sz w:val="20"/>
      <w:szCs w:val="20"/>
    </w:rPr>
  </w:style>
  <w:style w:type="paragraph" w:styleId="18">
    <w:name w:val="toc 2"/>
    <w:basedOn w:val="1"/>
    <w:next w:val="1"/>
    <w:qFormat/>
    <w:uiPriority w:val="1"/>
    <w:pPr>
      <w:spacing w:before="205"/>
      <w:ind w:left="220"/>
    </w:pPr>
    <w:rPr>
      <w:b/>
      <w:bCs/>
      <w:sz w:val="20"/>
      <w:szCs w:val="20"/>
    </w:rPr>
  </w:style>
  <w:style w:type="paragraph" w:styleId="19">
    <w:name w:val="Normal (Web)"/>
    <w:basedOn w:val="1"/>
    <w:qFormat/>
    <w:uiPriority w:val="0"/>
    <w:pPr>
      <w:spacing w:before="100" w:beforeAutospacing="1" w:after="100" w:afterAutospacing="1"/>
    </w:pPr>
    <w:rPr>
      <w:rFonts w:cs="Times New Roman"/>
      <w:sz w:val="24"/>
    </w:rPr>
  </w:style>
  <w:style w:type="paragraph" w:styleId="20">
    <w:name w:val="annotation subject"/>
    <w:basedOn w:val="9"/>
    <w:next w:val="9"/>
    <w:link w:val="52"/>
    <w:qFormat/>
    <w:uiPriority w:val="0"/>
    <w:rPr>
      <w:b/>
      <w:bCs/>
    </w:rPr>
  </w:style>
  <w:style w:type="paragraph" w:styleId="21">
    <w:name w:val="Body Text First Indent 2"/>
    <w:basedOn w:val="10"/>
    <w:next w:val="1"/>
    <w:qFormat/>
    <w:uiPriority w:val="0"/>
    <w:pPr>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style>
  <w:style w:type="character" w:styleId="26">
    <w:name w:val="FollowedHyperlink"/>
    <w:basedOn w:val="24"/>
    <w:qFormat/>
    <w:uiPriority w:val="0"/>
    <w:rPr>
      <w:color w:val="800080"/>
      <w:u w:val="none"/>
    </w:rPr>
  </w:style>
  <w:style w:type="character" w:styleId="27">
    <w:name w:val="Emphasis"/>
    <w:basedOn w:val="24"/>
    <w:qFormat/>
    <w:uiPriority w:val="0"/>
  </w:style>
  <w:style w:type="character" w:styleId="28">
    <w:name w:val="HTML Definition"/>
    <w:basedOn w:val="24"/>
    <w:qFormat/>
    <w:uiPriority w:val="0"/>
  </w:style>
  <w:style w:type="character" w:styleId="29">
    <w:name w:val="HTML Typewriter"/>
    <w:basedOn w:val="24"/>
    <w:qFormat/>
    <w:uiPriority w:val="0"/>
    <w:rPr>
      <w:rFonts w:hint="default" w:ascii="Consolas" w:hAnsi="Consolas" w:eastAsia="Consolas" w:cs="Consolas"/>
      <w:sz w:val="20"/>
    </w:rPr>
  </w:style>
  <w:style w:type="character" w:styleId="30">
    <w:name w:val="HTML Acronym"/>
    <w:basedOn w:val="24"/>
    <w:qFormat/>
    <w:uiPriority w:val="0"/>
  </w:style>
  <w:style w:type="character" w:styleId="31">
    <w:name w:val="HTML Variable"/>
    <w:basedOn w:val="24"/>
    <w:qFormat/>
    <w:uiPriority w:val="0"/>
  </w:style>
  <w:style w:type="character" w:styleId="32">
    <w:name w:val="Hyperlink"/>
    <w:basedOn w:val="24"/>
    <w:qFormat/>
    <w:uiPriority w:val="0"/>
    <w:rPr>
      <w:color w:val="0000FF"/>
      <w:u w:val="none"/>
    </w:rPr>
  </w:style>
  <w:style w:type="character" w:styleId="33">
    <w:name w:val="HTML Code"/>
    <w:basedOn w:val="24"/>
    <w:qFormat/>
    <w:uiPriority w:val="0"/>
    <w:rPr>
      <w:rFonts w:hint="default" w:ascii="Consolas" w:hAnsi="Consolas" w:eastAsia="Consolas" w:cs="Consolas"/>
      <w:sz w:val="20"/>
    </w:rPr>
  </w:style>
  <w:style w:type="character" w:styleId="34">
    <w:name w:val="annotation reference"/>
    <w:basedOn w:val="24"/>
    <w:qFormat/>
    <w:uiPriority w:val="0"/>
    <w:rPr>
      <w:sz w:val="21"/>
      <w:szCs w:val="21"/>
    </w:rPr>
  </w:style>
  <w:style w:type="character" w:styleId="35">
    <w:name w:val="HTML Cite"/>
    <w:basedOn w:val="24"/>
    <w:qFormat/>
    <w:uiPriority w:val="0"/>
  </w:style>
  <w:style w:type="character" w:styleId="36">
    <w:name w:val="HTML Keyboard"/>
    <w:basedOn w:val="24"/>
    <w:qFormat/>
    <w:uiPriority w:val="0"/>
    <w:rPr>
      <w:rFonts w:hint="default" w:ascii="Consolas" w:hAnsi="Consolas" w:eastAsia="Consolas" w:cs="Consolas"/>
      <w:sz w:val="20"/>
    </w:rPr>
  </w:style>
  <w:style w:type="character" w:styleId="37">
    <w:name w:val="HTML Sample"/>
    <w:basedOn w:val="24"/>
    <w:qFormat/>
    <w:uiPriority w:val="0"/>
    <w:rPr>
      <w:rFonts w:ascii="Consolas" w:hAnsi="Consolas" w:eastAsia="Consolas" w:cs="Consolas"/>
    </w:rPr>
  </w:style>
  <w:style w:type="paragraph" w:customStyle="1" w:styleId="38">
    <w:name w:val="Default"/>
    <w:next w:val="1"/>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9">
    <w:name w:val="style4"/>
    <w:basedOn w:val="1"/>
    <w:next w:val="40"/>
    <w:unhideWhenUsed/>
    <w:qFormat/>
    <w:uiPriority w:val="0"/>
    <w:pPr>
      <w:widowControl/>
      <w:spacing w:before="100" w:beforeAutospacing="1" w:after="100" w:afterAutospacing="1"/>
    </w:pPr>
    <w:rPr>
      <w:rFonts w:hint="eastAsia"/>
      <w:sz w:val="18"/>
    </w:rPr>
  </w:style>
  <w:style w:type="paragraph" w:customStyle="1" w:styleId="40">
    <w:name w:val="2"/>
    <w:next w:val="1"/>
    <w:unhideWhenUsed/>
    <w:qFormat/>
    <w:uiPriority w:val="0"/>
    <w:pPr>
      <w:widowControl w:val="0"/>
      <w:jc w:val="both"/>
    </w:pPr>
    <w:rPr>
      <w:rFonts w:ascii="Times New Roman" w:hAnsi="Times New Roman" w:eastAsia="宋体" w:cs="Times New Roman"/>
      <w:sz w:val="21"/>
      <w:lang w:val="en-US" w:eastAsia="zh-CN" w:bidi="ar-SA"/>
    </w:rPr>
  </w:style>
  <w:style w:type="table" w:customStyle="1" w:styleId="41">
    <w:name w:val="Table Normal"/>
    <w:semiHidden/>
    <w:unhideWhenUsed/>
    <w:qFormat/>
    <w:uiPriority w:val="2"/>
    <w:tblPr>
      <w:tblCellMar>
        <w:top w:w="0" w:type="dxa"/>
        <w:left w:w="0" w:type="dxa"/>
        <w:bottom w:w="0" w:type="dxa"/>
        <w:right w:w="0" w:type="dxa"/>
      </w:tblCellMar>
    </w:tblPr>
  </w:style>
  <w:style w:type="paragraph" w:styleId="42">
    <w:name w:val="List Paragraph"/>
    <w:basedOn w:val="1"/>
    <w:qFormat/>
    <w:uiPriority w:val="1"/>
    <w:pPr>
      <w:ind w:left="220" w:firstLine="420"/>
    </w:pPr>
  </w:style>
  <w:style w:type="paragraph" w:customStyle="1" w:styleId="43">
    <w:name w:val="Table Paragraph"/>
    <w:basedOn w:val="1"/>
    <w:qFormat/>
    <w:uiPriority w:val="1"/>
  </w:style>
  <w:style w:type="character" w:customStyle="1" w:styleId="44">
    <w:name w:val="标题 2 字符"/>
    <w:link w:val="6"/>
    <w:qFormat/>
    <w:uiPriority w:val="1"/>
    <w:rPr>
      <w:rFonts w:ascii="宋体" w:hAnsi="宋体" w:eastAsia="宋体" w:cs="宋体"/>
      <w:b/>
      <w:bCs/>
      <w:sz w:val="32"/>
      <w:szCs w:val="32"/>
      <w:lang w:val="en-US" w:eastAsia="zh-CN" w:bidi="ar-SA"/>
    </w:rPr>
  </w:style>
  <w:style w:type="paragraph" w:customStyle="1" w:styleId="4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6">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列出段落1"/>
    <w:basedOn w:val="1"/>
    <w:qFormat/>
    <w:uiPriority w:val="0"/>
    <w:pPr>
      <w:ind w:firstLine="420" w:firstLineChars="200"/>
    </w:pPr>
    <w:rPr>
      <w:rFonts w:ascii="Times New Roman" w:hAnsi="Times New Roman"/>
      <w:szCs w:val="21"/>
    </w:rPr>
  </w:style>
  <w:style w:type="paragraph" w:customStyle="1" w:styleId="49">
    <w:name w:val="Body Text First Indent 21"/>
    <w:basedOn w:val="50"/>
    <w:qFormat/>
    <w:uiPriority w:val="0"/>
    <w:pPr>
      <w:ind w:firstLine="420" w:firstLineChars="200"/>
    </w:pPr>
  </w:style>
  <w:style w:type="paragraph" w:customStyle="1" w:styleId="50">
    <w:name w:val="Body Text Indent1"/>
    <w:basedOn w:val="1"/>
    <w:qFormat/>
    <w:uiPriority w:val="0"/>
    <w:pPr>
      <w:spacing w:after="120"/>
      <w:ind w:left="420" w:leftChars="200"/>
    </w:pPr>
  </w:style>
  <w:style w:type="character" w:customStyle="1" w:styleId="51">
    <w:name w:val="批注文字 字符"/>
    <w:basedOn w:val="24"/>
    <w:link w:val="9"/>
    <w:qFormat/>
    <w:uiPriority w:val="0"/>
    <w:rPr>
      <w:rFonts w:ascii="宋体" w:hAnsi="宋体" w:cs="宋体"/>
      <w:sz w:val="22"/>
      <w:szCs w:val="22"/>
    </w:rPr>
  </w:style>
  <w:style w:type="character" w:customStyle="1" w:styleId="52">
    <w:name w:val="批注主题 字符"/>
    <w:basedOn w:val="51"/>
    <w:link w:val="20"/>
    <w:qFormat/>
    <w:uiPriority w:val="0"/>
    <w:rPr>
      <w:rFonts w:ascii="宋体" w:hAnsi="宋体" w:cs="宋体"/>
      <w:b/>
      <w:bCs/>
      <w:sz w:val="22"/>
      <w:szCs w:val="22"/>
    </w:rPr>
  </w:style>
  <w:style w:type="character" w:customStyle="1" w:styleId="53">
    <w:name w:val="批注框文本 字符"/>
    <w:basedOn w:val="24"/>
    <w:link w:val="13"/>
    <w:qFormat/>
    <w:uiPriority w:val="0"/>
    <w:rPr>
      <w:rFonts w:ascii="宋体" w:hAnsi="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18451</Words>
  <Characters>19333</Characters>
  <Lines>154</Lines>
  <Paragraphs>43</Paragraphs>
  <TotalTime>0</TotalTime>
  <ScaleCrop>false</ScaleCrop>
  <LinksUpToDate>false</LinksUpToDate>
  <CharactersWithSpaces>19701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2022-07-11T08:44:00Z</dcterms:created>
  <dc:creator>HP</dc:creator>
  <cp:lastModifiedBy>杨楠</cp:lastModifiedBy>
  <cp:lastPrinted>2022-08-10T00:39:00Z</cp:lastPrinted>
  <dcterms:modified xsi:type="dcterms:W3CDTF">2022-08-18T02:12:30Z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2021-07-15T00:00:00Z</vt:filetime>
  </property>
  <property fmtid="{D5CDD505-2E9C-101B-9397-08002B2CF9AE}" pid="3" name="Creator">
    <vt:lpwstr>Aspose Ltd.</vt:lpwstr>
  </property>
  <property fmtid="{D5CDD505-2E9C-101B-9397-08002B2CF9AE}" pid="4" name="LastSaved">
    <vt:filetime>2021-07-15T00:00:00Z</vt:filetime>
  </property>
  <property fmtid="{D5CDD505-2E9C-101B-9397-08002B2CF9AE}" pid="5" name="KSOProductBuildVer">
    <vt:lpwstr>2052-11.1.0.12302</vt:lpwstr>
  </property>
  <property fmtid="{D5CDD505-2E9C-101B-9397-08002B2CF9AE}" pid="6" name="ICV">
    <vt:lpwstr>DCAEF041CBEA4C2C89BB94BFBD2E7923</vt:lpwstr>
  </property>
</Properties>
</file>