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autoSpaceDE w:val="0"/>
        <w:autoSpaceDN/>
        <w:snapToGrid w:val="0"/>
        <w:spacing w:line="240" w:lineRule="auto"/>
        <w:ind w:left="0" w:leftChars="0" w:firstLine="0" w:firstLineChars="0"/>
        <w:jc w:val="center"/>
        <w:rPr>
          <w:rFonts w:hint="eastAsia" w:asciiTheme="minorEastAsia" w:hAnsiTheme="minorEastAsia" w:eastAsiaTheme="minorEastAsia" w:cstheme="minorEastAsia"/>
          <w:b/>
          <w:bCs/>
          <w:sz w:val="32"/>
          <w:szCs w:val="32"/>
          <w:lang w:val="zh-CN" w:eastAsia="zh-CN"/>
        </w:rPr>
      </w:pPr>
      <w:r>
        <w:rPr>
          <w:rFonts w:hint="eastAsia" w:asciiTheme="minorEastAsia" w:hAnsiTheme="minorEastAsia" w:eastAsiaTheme="minorEastAsia" w:cstheme="minorEastAsia"/>
          <w:b/>
          <w:bCs/>
          <w:sz w:val="32"/>
          <w:szCs w:val="32"/>
          <w:lang w:val="zh-CN" w:eastAsia="zh-CN"/>
        </w:rPr>
        <w:t>梅河口市2022年高标准农田建设项目工程平行和</w:t>
      </w:r>
    </w:p>
    <w:p>
      <w:pPr>
        <w:pStyle w:val="3"/>
        <w:keepNext w:val="0"/>
        <w:keepLines w:val="0"/>
        <w:widowControl/>
        <w:suppressLineNumbers w:val="0"/>
        <w:autoSpaceDE w:val="0"/>
        <w:autoSpaceDN/>
        <w:snapToGrid w:val="0"/>
        <w:spacing w:line="240" w:lineRule="auto"/>
        <w:ind w:left="0" w:leftChars="0" w:firstLine="0" w:firstLineChars="0"/>
        <w:jc w:val="center"/>
        <w:rPr>
          <w:rFonts w:hint="eastAsia" w:asciiTheme="minorEastAsia" w:hAnsiTheme="minorEastAsia" w:eastAsiaTheme="minorEastAsia" w:cstheme="minorEastAsia"/>
          <w:b/>
          <w:bCs/>
          <w:sz w:val="32"/>
          <w:szCs w:val="32"/>
          <w:lang w:val="zh-CN" w:eastAsia="zh-CN"/>
        </w:rPr>
      </w:pPr>
      <w:r>
        <w:rPr>
          <w:rFonts w:hint="eastAsia" w:asciiTheme="minorEastAsia" w:hAnsiTheme="minorEastAsia" w:eastAsiaTheme="minorEastAsia" w:cstheme="minorEastAsia"/>
          <w:b/>
          <w:bCs/>
          <w:sz w:val="32"/>
          <w:szCs w:val="32"/>
          <w:lang w:val="zh-CN" w:eastAsia="zh-CN"/>
        </w:rPr>
        <w:t>完工质量检测服务招标招标公告</w:t>
      </w:r>
    </w:p>
    <w:p>
      <w:pPr>
        <w:bidi w:val="0"/>
        <w:jc w:val="center"/>
        <w:rPr>
          <w:rFonts w:hint="default" w:ascii="宋体" w:hAnsi="宋体" w:eastAsia="宋体" w:cs="宋体"/>
          <w:sz w:val="24"/>
          <w:szCs w:val="24"/>
          <w:highlight w:val="yellow"/>
          <w:lang w:val="en-US" w:eastAsia="zh-CN"/>
        </w:rPr>
      </w:pPr>
      <w:r>
        <w:rPr>
          <w:rFonts w:hint="eastAsia" w:ascii="宋体" w:hAnsi="宋体" w:eastAsia="宋体" w:cs="宋体"/>
          <w:sz w:val="24"/>
          <w:szCs w:val="24"/>
          <w:highlight w:val="none"/>
          <w:lang w:val="en-US" w:eastAsia="zh-CN"/>
        </w:rPr>
        <w:t>项目</w:t>
      </w:r>
      <w:r>
        <w:rPr>
          <w:rFonts w:hint="eastAsia" w:ascii="宋体" w:hAnsi="宋体" w:eastAsia="宋体" w:cs="宋体"/>
          <w:sz w:val="24"/>
          <w:szCs w:val="24"/>
          <w:highlight w:val="none"/>
        </w:rPr>
        <w:t>编号：</w:t>
      </w:r>
      <w:r>
        <w:rPr>
          <w:rFonts w:hint="eastAsia" w:ascii="宋体" w:hAnsi="宋体" w:eastAsia="宋体" w:cs="宋体"/>
          <w:b w:val="0"/>
          <w:bCs w:val="0"/>
          <w:sz w:val="24"/>
          <w:szCs w:val="24"/>
          <w:highlight w:val="none"/>
          <w:lang w:val="en-US" w:eastAsia="zh-CN"/>
        </w:rPr>
        <w:t>ZH-ZB[2022]-0802</w:t>
      </w:r>
    </w:p>
    <w:p>
      <w:pPr>
        <w:ind w:firstLine="422" w:firstLineChars="200"/>
        <w:rPr>
          <w:rFonts w:hint="eastAsia"/>
          <w:b/>
          <w:bCs/>
        </w:rPr>
      </w:pPr>
    </w:p>
    <w:p>
      <w:pPr>
        <w:keepNext w:val="0"/>
        <w:keepLines w:val="0"/>
        <w:widowControl w:val="0"/>
        <w:suppressLineNumbers w:val="0"/>
        <w:autoSpaceDE w:val="0"/>
        <w:autoSpaceDN/>
        <w:spacing w:before="0" w:beforeAutospacing="0" w:after="0" w:afterAutospacing="0" w:line="360" w:lineRule="auto"/>
        <w:ind w:right="0"/>
        <w:jc w:val="both"/>
        <w:rPr>
          <w:rFonts w:hint="eastAsia" w:asciiTheme="minorEastAsia" w:hAnsiTheme="minorEastAsia" w:eastAsiaTheme="minorEastAsia" w:cstheme="minorEastAsia"/>
          <w:b/>
          <w:bCs/>
          <w:kern w:val="2"/>
          <w:sz w:val="24"/>
          <w:szCs w:val="24"/>
        </w:rPr>
      </w:pPr>
      <w:r>
        <w:rPr>
          <w:rFonts w:hint="eastAsia" w:asciiTheme="minorEastAsia" w:hAnsiTheme="minorEastAsia" w:eastAsiaTheme="minorEastAsia" w:cstheme="minorEastAsia"/>
          <w:b/>
          <w:bCs/>
          <w:kern w:val="2"/>
          <w:sz w:val="24"/>
          <w:szCs w:val="24"/>
          <w:lang w:val="en-US" w:eastAsia="zh-CN" w:bidi="ar"/>
        </w:rPr>
        <w:t>项目概况</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Theme="minorEastAsia" w:hAnsiTheme="minorEastAsia" w:eastAsiaTheme="minorEastAsia" w:cstheme="minorEastAsia"/>
          <w:b w:val="0"/>
          <w:bCs w:val="0"/>
          <w:sz w:val="24"/>
          <w:szCs w:val="24"/>
          <w:vertAlign w:val="baseline"/>
        </w:rPr>
      </w:pPr>
      <w:r>
        <w:rPr>
          <w:rFonts w:hint="eastAsia" w:asciiTheme="minorEastAsia" w:hAnsiTheme="minorEastAsia" w:eastAsiaTheme="minorEastAsia" w:cstheme="minorEastAsia"/>
          <w:color w:val="auto"/>
          <w:sz w:val="24"/>
          <w:szCs w:val="24"/>
          <w:u w:val="single"/>
          <w:lang w:val="en-US" w:eastAsia="zh-CN"/>
        </w:rPr>
        <w:t>梅河口市2022年高标准农田建设项目工程平行和完工质量检测服务招标</w:t>
      </w:r>
      <w:r>
        <w:rPr>
          <w:rFonts w:hint="eastAsia" w:asciiTheme="minorEastAsia" w:hAnsiTheme="minorEastAsia" w:eastAsiaTheme="minorEastAsia" w:cstheme="minorEastAsia"/>
          <w:sz w:val="24"/>
          <w:szCs w:val="24"/>
        </w:rPr>
        <w:t>项目的潜在投标人应在通化市公共资源交易中心（通化市政府采购中心）网（http://thsggzyjy.tonghua.gov.cn/，下同）获取招标文件，</w:t>
      </w:r>
      <w:r>
        <w:rPr>
          <w:rFonts w:hint="eastAsia" w:asciiTheme="minorEastAsia" w:hAnsiTheme="minorEastAsia" w:eastAsiaTheme="minorEastAsia" w:cstheme="minorEastAsia"/>
          <w:sz w:val="24"/>
          <w:szCs w:val="24"/>
          <w:highlight w:val="none"/>
        </w:rPr>
        <w:t>并于</w:t>
      </w:r>
      <w:r>
        <w:rPr>
          <w:rFonts w:hint="eastAsia" w:asciiTheme="minorEastAsia" w:hAnsiTheme="minorEastAsia" w:eastAsiaTheme="minorEastAsia" w:cstheme="minorEastAsia"/>
          <w:sz w:val="24"/>
          <w:szCs w:val="24"/>
          <w:highlight w:val="none"/>
          <w:lang w:val="en-US" w:eastAsia="zh-CN"/>
        </w:rPr>
        <w:t>2022</w:t>
      </w:r>
      <w:r>
        <w:rPr>
          <w:rFonts w:hint="eastAsia" w:asciiTheme="minorEastAsia" w:hAnsiTheme="minorEastAsia" w:eastAsiaTheme="minorEastAsia" w:cstheme="minorEastAsia"/>
          <w:b w:val="0"/>
          <w:bCs w:val="0"/>
          <w:sz w:val="24"/>
          <w:szCs w:val="24"/>
          <w:highlight w:val="none"/>
          <w:vertAlign w:val="baseline"/>
        </w:rPr>
        <w:t>年</w:t>
      </w:r>
      <w:r>
        <w:rPr>
          <w:rFonts w:hint="eastAsia" w:asciiTheme="minorEastAsia" w:hAnsiTheme="minorEastAsia" w:eastAsiaTheme="minorEastAsia" w:cstheme="minorEastAsia"/>
          <w:b w:val="0"/>
          <w:bCs w:val="0"/>
          <w:sz w:val="24"/>
          <w:szCs w:val="24"/>
          <w:highlight w:val="none"/>
          <w:vertAlign w:val="baseline"/>
          <w:lang w:val="en-US" w:eastAsia="zh-CN"/>
        </w:rPr>
        <w:t>09</w:t>
      </w:r>
      <w:r>
        <w:rPr>
          <w:rFonts w:hint="eastAsia" w:asciiTheme="minorEastAsia" w:hAnsiTheme="minorEastAsia" w:eastAsiaTheme="minorEastAsia" w:cstheme="minorEastAsia"/>
          <w:b w:val="0"/>
          <w:bCs w:val="0"/>
          <w:sz w:val="24"/>
          <w:szCs w:val="24"/>
          <w:highlight w:val="none"/>
          <w:vertAlign w:val="baseline"/>
        </w:rPr>
        <w:t>月</w:t>
      </w:r>
      <w:r>
        <w:rPr>
          <w:rFonts w:hint="eastAsia" w:asciiTheme="minorEastAsia" w:hAnsiTheme="minorEastAsia" w:eastAsiaTheme="minorEastAsia" w:cstheme="minorEastAsia"/>
          <w:b w:val="0"/>
          <w:bCs w:val="0"/>
          <w:sz w:val="24"/>
          <w:szCs w:val="24"/>
          <w:highlight w:val="none"/>
          <w:vertAlign w:val="baseline"/>
          <w:lang w:val="en-US" w:eastAsia="zh-CN"/>
        </w:rPr>
        <w:t>22</w:t>
      </w:r>
      <w:r>
        <w:rPr>
          <w:rFonts w:hint="eastAsia" w:asciiTheme="minorEastAsia" w:hAnsiTheme="minorEastAsia" w:eastAsiaTheme="minorEastAsia" w:cstheme="minorEastAsia"/>
          <w:b w:val="0"/>
          <w:bCs w:val="0"/>
          <w:sz w:val="24"/>
          <w:szCs w:val="24"/>
          <w:highlight w:val="none"/>
          <w:vertAlign w:val="baseline"/>
        </w:rPr>
        <w:t>日</w:t>
      </w:r>
      <w:r>
        <w:rPr>
          <w:rFonts w:hint="eastAsia" w:asciiTheme="minorEastAsia" w:hAnsiTheme="minorEastAsia" w:eastAsiaTheme="minorEastAsia" w:cstheme="minorEastAsia"/>
          <w:b w:val="0"/>
          <w:bCs w:val="0"/>
          <w:sz w:val="24"/>
          <w:szCs w:val="24"/>
          <w:highlight w:val="none"/>
          <w:vertAlign w:val="baseline"/>
          <w:lang w:val="en-US" w:eastAsia="zh-CN"/>
        </w:rPr>
        <w:t>9</w:t>
      </w:r>
      <w:r>
        <w:rPr>
          <w:rFonts w:hint="eastAsia" w:asciiTheme="minorEastAsia" w:hAnsiTheme="minorEastAsia" w:eastAsiaTheme="minorEastAsia" w:cstheme="minorEastAsia"/>
          <w:b w:val="0"/>
          <w:bCs w:val="0"/>
          <w:sz w:val="24"/>
          <w:szCs w:val="24"/>
          <w:highlight w:val="none"/>
          <w:vertAlign w:val="baseline"/>
          <w:lang w:eastAsia="zh-CN"/>
        </w:rPr>
        <w:t>时</w:t>
      </w:r>
      <w:r>
        <w:rPr>
          <w:rFonts w:hint="eastAsia" w:asciiTheme="minorEastAsia" w:hAnsiTheme="minorEastAsia" w:eastAsiaTheme="minorEastAsia" w:cstheme="minorEastAsia"/>
          <w:b w:val="0"/>
          <w:bCs w:val="0"/>
          <w:sz w:val="24"/>
          <w:szCs w:val="24"/>
          <w:highlight w:val="none"/>
          <w:vertAlign w:val="baseline"/>
          <w:lang w:val="en-US" w:eastAsia="zh-CN"/>
        </w:rPr>
        <w:t>00</w:t>
      </w:r>
      <w:r>
        <w:rPr>
          <w:rFonts w:hint="eastAsia" w:asciiTheme="minorEastAsia" w:hAnsiTheme="minorEastAsia" w:eastAsiaTheme="minorEastAsia" w:cstheme="minorEastAsia"/>
          <w:b w:val="0"/>
          <w:bCs w:val="0"/>
          <w:sz w:val="24"/>
          <w:szCs w:val="24"/>
          <w:highlight w:val="none"/>
          <w:vertAlign w:val="baseline"/>
        </w:rPr>
        <w:t>分</w:t>
      </w:r>
      <w:r>
        <w:rPr>
          <w:rFonts w:hint="eastAsia" w:asciiTheme="minorEastAsia" w:hAnsiTheme="minorEastAsia" w:eastAsiaTheme="minorEastAsia" w:cstheme="minorEastAsia"/>
          <w:b w:val="0"/>
          <w:bCs w:val="0"/>
          <w:sz w:val="24"/>
          <w:szCs w:val="24"/>
          <w:vertAlign w:val="baseline"/>
        </w:rPr>
        <w:t>（北京时间）前递交投标文件。</w:t>
      </w:r>
    </w:p>
    <w:p>
      <w:pPr>
        <w:keepNext w:val="0"/>
        <w:keepLines w:val="0"/>
        <w:widowControl w:val="0"/>
        <w:suppressLineNumbers w:val="0"/>
        <w:autoSpaceDE w:val="0"/>
        <w:autoSpaceDN/>
        <w:spacing w:before="0" w:beforeAutospacing="0" w:after="0" w:afterAutospacing="0" w:line="360" w:lineRule="auto"/>
        <w:ind w:right="0"/>
        <w:jc w:val="both"/>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b/>
          <w:bCs/>
          <w:kern w:val="2"/>
          <w:sz w:val="24"/>
          <w:szCs w:val="24"/>
          <w:lang w:val="en-US" w:eastAsia="zh-CN" w:bidi="ar"/>
        </w:rPr>
        <w:t>一、项目基本情况</w:t>
      </w:r>
    </w:p>
    <w:p>
      <w:pPr>
        <w:pStyle w:val="6"/>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Theme="minorEastAsia" w:hAnsiTheme="minorEastAsia" w:eastAsiaTheme="minorEastAsia" w:cstheme="minorEastAsia"/>
          <w:b w:val="0"/>
          <w:bCs w:val="0"/>
          <w:kern w:val="2"/>
          <w:sz w:val="24"/>
          <w:szCs w:val="24"/>
        </w:rPr>
      </w:pPr>
      <w:r>
        <w:rPr>
          <w:rFonts w:hint="eastAsia" w:asciiTheme="minorEastAsia" w:hAnsiTheme="minorEastAsia" w:eastAsiaTheme="minorEastAsia" w:cstheme="minorEastAsia"/>
          <w:b w:val="0"/>
          <w:bCs w:val="0"/>
          <w:kern w:val="2"/>
          <w:sz w:val="24"/>
          <w:szCs w:val="24"/>
          <w:lang w:val="en-US" w:eastAsia="zh-CN" w:bidi="ar"/>
        </w:rPr>
        <w:t>1.</w:t>
      </w:r>
      <w:r>
        <w:rPr>
          <w:rFonts w:hint="eastAsia" w:asciiTheme="minorEastAsia" w:hAnsiTheme="minorEastAsia" w:eastAsiaTheme="minorEastAsia" w:cstheme="minorEastAsia"/>
          <w:i w:val="0"/>
          <w:iCs w:val="0"/>
          <w:caps w:val="0"/>
          <w:color w:val="000000"/>
          <w:spacing w:val="0"/>
          <w:kern w:val="0"/>
          <w:sz w:val="24"/>
          <w:szCs w:val="24"/>
          <w:shd w:val="clear" w:fill="FFFFFF"/>
          <w:lang w:val="en-US" w:eastAsia="zh-CN" w:bidi="ar"/>
        </w:rPr>
        <w:t>采购计划编号：项目采购X[20220802]-0191号</w:t>
      </w:r>
    </w:p>
    <w:p>
      <w:pPr>
        <w:pStyle w:val="6"/>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Theme="minorEastAsia" w:hAnsiTheme="minorEastAsia" w:eastAsiaTheme="minorEastAsia" w:cstheme="minorEastAsia"/>
          <w:b w:val="0"/>
          <w:bCs w:val="0"/>
          <w:kern w:val="2"/>
          <w:sz w:val="24"/>
          <w:szCs w:val="24"/>
          <w:lang w:val="en-US" w:eastAsia="zh-CN" w:bidi="ar"/>
        </w:rPr>
      </w:pPr>
      <w:r>
        <w:rPr>
          <w:rFonts w:hint="eastAsia" w:asciiTheme="minorEastAsia" w:hAnsiTheme="minorEastAsia" w:eastAsiaTheme="minorEastAsia" w:cstheme="minorEastAsia"/>
          <w:b w:val="0"/>
          <w:bCs w:val="0"/>
          <w:kern w:val="2"/>
          <w:sz w:val="24"/>
          <w:szCs w:val="24"/>
          <w:lang w:val="en-US" w:eastAsia="zh-CN" w:bidi="ar"/>
        </w:rPr>
        <w:t>2.项目名称：</w:t>
      </w:r>
      <w:bookmarkStart w:id="0" w:name="_GoBack"/>
      <w:r>
        <w:rPr>
          <w:rFonts w:hint="eastAsia" w:asciiTheme="minorEastAsia" w:hAnsiTheme="minorEastAsia" w:eastAsiaTheme="minorEastAsia" w:cstheme="minorEastAsia"/>
          <w:color w:val="auto"/>
          <w:sz w:val="24"/>
          <w:szCs w:val="24"/>
          <w:u w:val="none"/>
          <w:lang w:val="en-US" w:eastAsia="zh-CN"/>
        </w:rPr>
        <w:t>梅河口市2022年高标准农田建设项目工程平行和完工质量检测服务招标</w:t>
      </w:r>
      <w:bookmarkEnd w:id="0"/>
    </w:p>
    <w:p>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3.采购方式：公开招标</w:t>
      </w:r>
    </w:p>
    <w:p>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4.标段划分：本项目共计2个标段</w:t>
      </w:r>
    </w:p>
    <w:p>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5.最高限价：一标段188000元，二标段517000元，共计705000元</w:t>
      </w:r>
    </w:p>
    <w:p>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6.采购内容：</w:t>
      </w:r>
    </w:p>
    <w:tbl>
      <w:tblPr>
        <w:tblStyle w:val="8"/>
        <w:tblpPr w:leftFromText="180" w:rightFromText="180" w:vertAnchor="text" w:horzAnchor="page" w:tblpX="982" w:tblpY="90"/>
        <w:tblOverlap w:val="never"/>
        <w:tblW w:w="512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2467"/>
        <w:gridCol w:w="2174"/>
        <w:gridCol w:w="1903"/>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06" w:type="pct"/>
            <w:noWrap w:val="0"/>
            <w:vAlign w:val="center"/>
          </w:tcPr>
          <w:p>
            <w:pPr>
              <w:spacing w:line="360" w:lineRule="auto"/>
              <w:jc w:val="center"/>
              <w:rPr>
                <w:rFonts w:hint="eastAsia" w:asciiTheme="minorEastAsia" w:hAnsiTheme="minorEastAsia" w:eastAsiaTheme="minorEastAsia" w:cstheme="minorEastAsia"/>
                <w:b/>
                <w:bCs/>
                <w:sz w:val="24"/>
                <w:szCs w:val="24"/>
                <w:highlight w:val="none"/>
                <w:lang w:eastAsia="zh-CN"/>
              </w:rPr>
            </w:pPr>
            <w:r>
              <w:rPr>
                <w:rFonts w:hint="eastAsia" w:asciiTheme="minorEastAsia" w:hAnsiTheme="minorEastAsia" w:eastAsiaTheme="minorEastAsia" w:cstheme="minorEastAsia"/>
                <w:b/>
                <w:bCs/>
                <w:sz w:val="24"/>
                <w:szCs w:val="24"/>
                <w:highlight w:val="none"/>
                <w:lang w:eastAsia="zh-CN"/>
              </w:rPr>
              <w:t>标段划分</w:t>
            </w:r>
          </w:p>
        </w:tc>
        <w:tc>
          <w:tcPr>
            <w:tcW w:w="1411" w:type="pct"/>
            <w:noWrap w:val="0"/>
            <w:vAlign w:val="center"/>
          </w:tcPr>
          <w:p>
            <w:pPr>
              <w:spacing w:line="360" w:lineRule="auto"/>
              <w:jc w:val="center"/>
              <w:rPr>
                <w:rFonts w:hint="eastAsia" w:asciiTheme="minorEastAsia" w:hAnsiTheme="minorEastAsia" w:eastAsiaTheme="minorEastAsia" w:cstheme="minorEastAsia"/>
                <w:b/>
                <w:bCs/>
                <w:kern w:val="2"/>
                <w:sz w:val="24"/>
                <w:szCs w:val="24"/>
                <w:highlight w:val="none"/>
                <w:lang w:val="en-US" w:eastAsia="zh-CN" w:bidi="ar-SA"/>
              </w:rPr>
            </w:pPr>
            <w:r>
              <w:rPr>
                <w:rFonts w:hint="eastAsia" w:asciiTheme="minorEastAsia" w:hAnsiTheme="minorEastAsia" w:eastAsiaTheme="minorEastAsia" w:cstheme="minorEastAsia"/>
                <w:b/>
                <w:bCs/>
                <w:sz w:val="24"/>
                <w:szCs w:val="24"/>
                <w:highlight w:val="none"/>
                <w:lang w:eastAsia="zh-CN"/>
              </w:rPr>
              <w:t>标段名称</w:t>
            </w:r>
          </w:p>
        </w:tc>
        <w:tc>
          <w:tcPr>
            <w:tcW w:w="1244" w:type="pct"/>
            <w:noWrap w:val="0"/>
            <w:vAlign w:val="center"/>
          </w:tcPr>
          <w:p>
            <w:pPr>
              <w:spacing w:line="360" w:lineRule="auto"/>
              <w:jc w:val="center"/>
              <w:rPr>
                <w:rFonts w:hint="eastAsia" w:asciiTheme="minorEastAsia" w:hAnsiTheme="minorEastAsia" w:eastAsiaTheme="minorEastAsia" w:cstheme="minorEastAsia"/>
                <w:b/>
                <w:bCs/>
                <w:kern w:val="2"/>
                <w:sz w:val="24"/>
                <w:szCs w:val="24"/>
                <w:highlight w:val="none"/>
                <w:lang w:val="en-US" w:eastAsia="zh-CN" w:bidi="ar-SA"/>
              </w:rPr>
            </w:pPr>
            <w:r>
              <w:rPr>
                <w:rFonts w:hint="eastAsia" w:asciiTheme="minorEastAsia" w:hAnsiTheme="minorEastAsia" w:eastAsiaTheme="minorEastAsia" w:cstheme="minorEastAsia"/>
                <w:b/>
                <w:bCs/>
                <w:sz w:val="24"/>
                <w:szCs w:val="24"/>
                <w:highlight w:val="none"/>
              </w:rPr>
              <w:t>项目编号</w:t>
            </w:r>
          </w:p>
        </w:tc>
        <w:tc>
          <w:tcPr>
            <w:tcW w:w="1088" w:type="pct"/>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Theme="minorEastAsia" w:hAnsiTheme="minorEastAsia" w:eastAsiaTheme="minorEastAsia" w:cstheme="minorEastAsia"/>
                <w:b/>
                <w:bCs/>
                <w:sz w:val="24"/>
                <w:szCs w:val="24"/>
                <w:highlight w:val="none"/>
                <w:vertAlign w:val="baseline"/>
              </w:rPr>
            </w:pPr>
            <w:r>
              <w:rPr>
                <w:rFonts w:hint="eastAsia" w:asciiTheme="minorEastAsia" w:hAnsiTheme="minorEastAsia" w:eastAsiaTheme="minorEastAsia" w:cstheme="minorEastAsia"/>
                <w:b/>
                <w:bCs/>
                <w:sz w:val="24"/>
                <w:szCs w:val="24"/>
                <w:highlight w:val="none"/>
                <w:lang w:val="en-US" w:eastAsia="zh-CN"/>
              </w:rPr>
              <w:t>采购内容</w:t>
            </w:r>
          </w:p>
        </w:tc>
        <w:tc>
          <w:tcPr>
            <w:tcW w:w="648" w:type="pct"/>
            <w:noWrap w:val="0"/>
            <w:vAlign w:val="center"/>
          </w:tcPr>
          <w:p>
            <w:pPr>
              <w:spacing w:line="360" w:lineRule="auto"/>
              <w:jc w:val="center"/>
              <w:rPr>
                <w:rFonts w:hint="eastAsia" w:asciiTheme="minorEastAsia" w:hAnsiTheme="minorEastAsia" w:eastAsiaTheme="minorEastAsia" w:cstheme="minorEastAsia"/>
                <w:b/>
                <w:bCs/>
                <w:kern w:val="2"/>
                <w:sz w:val="24"/>
                <w:szCs w:val="24"/>
                <w:highlight w:val="none"/>
                <w:lang w:val="en-US" w:eastAsia="zh-CN" w:bidi="ar-SA"/>
              </w:rPr>
            </w:pPr>
            <w:r>
              <w:rPr>
                <w:rFonts w:hint="eastAsia" w:asciiTheme="minorEastAsia" w:hAnsiTheme="minorEastAsia" w:eastAsiaTheme="minorEastAsia" w:cstheme="minorEastAsia"/>
                <w:b/>
                <w:bCs/>
                <w:sz w:val="24"/>
                <w:szCs w:val="24"/>
                <w:highlight w:val="none"/>
                <w:lang w:eastAsia="zh-CN"/>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6" w:type="pct"/>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Theme="minorEastAsia" w:hAnsiTheme="minorEastAsia" w:eastAsiaTheme="minorEastAsia" w:cstheme="minorEastAsia"/>
                <w:kern w:val="2"/>
                <w:sz w:val="24"/>
                <w:szCs w:val="24"/>
                <w:highlight w:val="none"/>
                <w:vertAlign w:val="baseline"/>
                <w:lang w:val="en-US" w:eastAsia="zh-CN" w:bidi="ar-SA"/>
              </w:rPr>
            </w:pPr>
            <w:r>
              <w:rPr>
                <w:rFonts w:hint="eastAsia" w:asciiTheme="minorEastAsia" w:hAnsiTheme="minorEastAsia" w:eastAsiaTheme="minorEastAsia" w:cstheme="minorEastAsia"/>
                <w:sz w:val="24"/>
                <w:szCs w:val="24"/>
                <w:highlight w:val="none"/>
                <w:vertAlign w:val="baseline"/>
                <w:lang w:eastAsia="zh-CN"/>
              </w:rPr>
              <w:t>一标段</w:t>
            </w:r>
          </w:p>
        </w:tc>
        <w:tc>
          <w:tcPr>
            <w:tcW w:w="1411" w:type="pct"/>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Theme="minorEastAsia" w:hAnsiTheme="minorEastAsia" w:eastAsiaTheme="minorEastAsia" w:cstheme="minorEastAsia"/>
                <w:sz w:val="24"/>
                <w:szCs w:val="24"/>
                <w:highlight w:val="none"/>
                <w:vertAlign w:val="baseline"/>
                <w:lang w:eastAsia="zh-CN"/>
              </w:rPr>
            </w:pPr>
            <w:r>
              <w:rPr>
                <w:rFonts w:hint="eastAsia" w:asciiTheme="minorEastAsia" w:hAnsiTheme="minorEastAsia" w:eastAsiaTheme="minorEastAsia" w:cstheme="minorEastAsia"/>
                <w:color w:val="auto"/>
                <w:sz w:val="24"/>
                <w:szCs w:val="24"/>
                <w:u w:val="none"/>
                <w:lang w:val="en-US" w:eastAsia="zh-CN"/>
              </w:rPr>
              <w:t>梅河口市2022年高标准农田建设项目工程平行质量检测服务招标</w:t>
            </w:r>
          </w:p>
        </w:tc>
        <w:tc>
          <w:tcPr>
            <w:tcW w:w="1244" w:type="pct"/>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b w:val="0"/>
                <w:bCs w:val="0"/>
                <w:sz w:val="24"/>
                <w:szCs w:val="24"/>
                <w:highlight w:val="none"/>
                <w:lang w:val="en-US" w:eastAsia="zh-CN"/>
              </w:rPr>
              <w:t>ZH-ZB[2022]-0802</w:t>
            </w:r>
            <w:r>
              <w:rPr>
                <w:rFonts w:hint="eastAsia" w:asciiTheme="minorEastAsia" w:hAnsiTheme="minorEastAsia" w:eastAsiaTheme="minorEastAsia" w:cstheme="minorEastAsia"/>
                <w:sz w:val="24"/>
                <w:szCs w:val="24"/>
                <w:highlight w:val="none"/>
                <w:lang w:val="en-US" w:eastAsia="zh-CN"/>
              </w:rPr>
              <w:t>-1</w:t>
            </w:r>
          </w:p>
        </w:tc>
        <w:tc>
          <w:tcPr>
            <w:tcW w:w="1088" w:type="pct"/>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Theme="minorEastAsia" w:hAnsiTheme="minorEastAsia" w:eastAsiaTheme="minorEastAsia" w:cstheme="minorEastAsia"/>
                <w:color w:val="auto"/>
                <w:sz w:val="24"/>
                <w:szCs w:val="24"/>
                <w:u w:val="none"/>
                <w:lang w:val="en-US" w:eastAsia="zh-CN"/>
              </w:rPr>
            </w:pPr>
            <w:r>
              <w:rPr>
                <w:rFonts w:hint="eastAsia" w:asciiTheme="minorEastAsia" w:hAnsiTheme="minorEastAsia" w:eastAsiaTheme="minorEastAsia" w:cstheme="minorEastAsia"/>
                <w:color w:val="auto"/>
                <w:sz w:val="24"/>
                <w:szCs w:val="24"/>
                <w:u w:val="none"/>
                <w:lang w:val="en-US" w:eastAsia="zh-CN"/>
              </w:rPr>
              <w:t>平行检测</w:t>
            </w:r>
          </w:p>
        </w:tc>
        <w:tc>
          <w:tcPr>
            <w:tcW w:w="648" w:type="pct"/>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Theme="minorEastAsia" w:hAnsiTheme="minorEastAsia" w:eastAsiaTheme="minorEastAsia" w:cstheme="minorEastAsia"/>
                <w:kern w:val="2"/>
                <w:sz w:val="24"/>
                <w:szCs w:val="24"/>
                <w:highlight w:val="none"/>
                <w:vertAlign w:val="baseline"/>
                <w:lang w:val="en-US" w:eastAsia="zh-CN" w:bidi="ar-SA"/>
              </w:rPr>
            </w:pPr>
            <w:r>
              <w:rPr>
                <w:rFonts w:hint="eastAsia" w:asciiTheme="minorEastAsia" w:hAnsiTheme="minorEastAsia" w:eastAsiaTheme="minorEastAsia" w:cstheme="minorEastAsia"/>
                <w:b w:val="0"/>
                <w:bCs w:val="0"/>
                <w:sz w:val="24"/>
                <w:szCs w:val="24"/>
                <w:highlight w:val="none"/>
                <w:lang w:val="en-US" w:eastAsia="zh-CN"/>
              </w:rPr>
              <w:t>188000</w:t>
            </w:r>
            <w:r>
              <w:rPr>
                <w:rFonts w:hint="eastAsia" w:asciiTheme="minorEastAsia" w:hAnsiTheme="minorEastAsia" w:eastAsiaTheme="minorEastAsia" w:cstheme="minorEastAsia"/>
                <w:sz w:val="24"/>
                <w:szCs w:val="24"/>
                <w:highlight w:val="none"/>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06" w:type="pct"/>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Theme="minorEastAsia" w:hAnsiTheme="minorEastAsia" w:eastAsiaTheme="minorEastAsia" w:cstheme="minorEastAsia"/>
                <w:kern w:val="2"/>
                <w:sz w:val="24"/>
                <w:szCs w:val="24"/>
                <w:highlight w:val="none"/>
                <w:vertAlign w:val="baseline"/>
                <w:lang w:val="en-US" w:eastAsia="zh-CN" w:bidi="ar-SA"/>
              </w:rPr>
            </w:pPr>
            <w:r>
              <w:rPr>
                <w:rFonts w:hint="eastAsia" w:asciiTheme="minorEastAsia" w:hAnsiTheme="minorEastAsia" w:eastAsiaTheme="minorEastAsia" w:cstheme="minorEastAsia"/>
                <w:sz w:val="24"/>
                <w:szCs w:val="24"/>
                <w:highlight w:val="none"/>
                <w:vertAlign w:val="baseline"/>
                <w:lang w:eastAsia="zh-CN"/>
              </w:rPr>
              <w:t>二标段</w:t>
            </w:r>
          </w:p>
        </w:tc>
        <w:tc>
          <w:tcPr>
            <w:tcW w:w="1411" w:type="pct"/>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Theme="minorEastAsia" w:hAnsiTheme="minorEastAsia" w:eastAsiaTheme="minorEastAsia" w:cstheme="minorEastAsia"/>
                <w:sz w:val="24"/>
                <w:szCs w:val="24"/>
                <w:highlight w:val="none"/>
                <w:vertAlign w:val="baseline"/>
              </w:rPr>
            </w:pPr>
            <w:r>
              <w:rPr>
                <w:rFonts w:hint="eastAsia" w:asciiTheme="minorEastAsia" w:hAnsiTheme="minorEastAsia" w:eastAsiaTheme="minorEastAsia" w:cstheme="minorEastAsia"/>
                <w:color w:val="auto"/>
                <w:sz w:val="24"/>
                <w:szCs w:val="24"/>
                <w:u w:val="none"/>
                <w:lang w:val="en-US" w:eastAsia="zh-CN"/>
              </w:rPr>
              <w:t>梅河口市2022年高标准农田建设项目工程完工质量检测服务招标</w:t>
            </w:r>
          </w:p>
        </w:tc>
        <w:tc>
          <w:tcPr>
            <w:tcW w:w="1244" w:type="pct"/>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b w:val="0"/>
                <w:bCs w:val="0"/>
                <w:sz w:val="24"/>
                <w:szCs w:val="24"/>
                <w:highlight w:val="none"/>
                <w:lang w:val="en-US" w:eastAsia="zh-CN"/>
              </w:rPr>
              <w:t>ZH-ZB[2022]-0802</w:t>
            </w:r>
            <w:r>
              <w:rPr>
                <w:rFonts w:hint="eastAsia" w:asciiTheme="minorEastAsia" w:hAnsiTheme="minorEastAsia" w:eastAsiaTheme="minorEastAsia" w:cstheme="minorEastAsia"/>
                <w:sz w:val="24"/>
                <w:szCs w:val="24"/>
                <w:highlight w:val="none"/>
                <w:lang w:val="en-US" w:eastAsia="zh-CN"/>
              </w:rPr>
              <w:t>-2</w:t>
            </w:r>
          </w:p>
        </w:tc>
        <w:tc>
          <w:tcPr>
            <w:tcW w:w="1088" w:type="pct"/>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Theme="minorEastAsia" w:hAnsiTheme="minorEastAsia" w:eastAsiaTheme="minorEastAsia" w:cstheme="minorEastAsia"/>
                <w:color w:val="auto"/>
                <w:sz w:val="24"/>
                <w:szCs w:val="24"/>
                <w:u w:val="none"/>
                <w:lang w:val="en-US" w:eastAsia="zh-CN"/>
              </w:rPr>
            </w:pPr>
            <w:r>
              <w:rPr>
                <w:rFonts w:hint="eastAsia" w:asciiTheme="minorEastAsia" w:hAnsiTheme="minorEastAsia" w:eastAsiaTheme="minorEastAsia" w:cstheme="minorEastAsia"/>
                <w:color w:val="auto"/>
                <w:sz w:val="24"/>
                <w:szCs w:val="24"/>
                <w:u w:val="none"/>
                <w:lang w:val="en-US" w:eastAsia="zh-CN"/>
              </w:rPr>
              <w:t>完工检测</w:t>
            </w:r>
          </w:p>
        </w:tc>
        <w:tc>
          <w:tcPr>
            <w:tcW w:w="648" w:type="pct"/>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Theme="minorEastAsia" w:hAnsiTheme="minorEastAsia" w:eastAsiaTheme="minorEastAsia" w:cstheme="minorEastAsia"/>
                <w:kern w:val="2"/>
                <w:sz w:val="24"/>
                <w:szCs w:val="24"/>
                <w:highlight w:val="none"/>
                <w:vertAlign w:val="baseline"/>
                <w:lang w:val="en-US" w:eastAsia="zh-CN" w:bidi="ar-SA"/>
              </w:rPr>
            </w:pPr>
            <w:r>
              <w:rPr>
                <w:rFonts w:hint="eastAsia" w:asciiTheme="minorEastAsia" w:hAnsiTheme="minorEastAsia" w:eastAsiaTheme="minorEastAsia" w:cstheme="minorEastAsia"/>
                <w:b w:val="0"/>
                <w:bCs w:val="0"/>
                <w:sz w:val="24"/>
                <w:szCs w:val="24"/>
                <w:highlight w:val="none"/>
                <w:lang w:val="en-US" w:eastAsia="zh-CN"/>
              </w:rPr>
              <w:t>517000</w:t>
            </w:r>
            <w:r>
              <w:rPr>
                <w:rFonts w:hint="eastAsia" w:asciiTheme="minorEastAsia" w:hAnsiTheme="minorEastAsia" w:eastAsiaTheme="minorEastAsia" w:cstheme="minorEastAsia"/>
                <w:sz w:val="24"/>
                <w:szCs w:val="24"/>
                <w:highlight w:val="none"/>
                <w:vertAlign w:val="baseline"/>
                <w:lang w:val="en-US" w:eastAsia="zh-CN"/>
              </w:rPr>
              <w:t>元</w:t>
            </w:r>
          </w:p>
        </w:tc>
      </w:tr>
    </w:tbl>
    <w:p>
      <w:pPr>
        <w:keepNext w:val="0"/>
        <w:keepLines w:val="0"/>
        <w:widowControl w:val="0"/>
        <w:numPr>
          <w:ilvl w:val="0"/>
          <w:numId w:val="0"/>
        </w:numPr>
        <w:suppressLineNumbers w:val="0"/>
        <w:spacing w:before="0" w:beforeAutospacing="0" w:after="0" w:afterAutospacing="0" w:line="360" w:lineRule="auto"/>
        <w:ind w:right="0" w:rightChars="0" w:firstLine="480" w:firstLineChars="200"/>
        <w:jc w:val="both"/>
        <w:rPr>
          <w:rFonts w:hint="eastAsia" w:asciiTheme="minorEastAsia" w:hAnsiTheme="minorEastAsia" w:eastAsiaTheme="minorEastAsia" w:cstheme="minorEastAsia"/>
          <w:color w:val="auto"/>
          <w:kern w:val="2"/>
          <w:sz w:val="24"/>
          <w:szCs w:val="24"/>
          <w:u w:val="none"/>
          <w:lang w:val="en-US" w:eastAsia="zh-CN" w:bidi="ar-SA"/>
        </w:rPr>
      </w:pPr>
      <w:r>
        <w:rPr>
          <w:rFonts w:hint="eastAsia" w:asciiTheme="minorEastAsia" w:hAnsiTheme="minorEastAsia" w:eastAsiaTheme="minorEastAsia" w:cstheme="minorEastAsia"/>
          <w:color w:val="auto"/>
          <w:kern w:val="2"/>
          <w:sz w:val="24"/>
          <w:szCs w:val="24"/>
          <w:u w:val="none"/>
          <w:lang w:val="en-US" w:eastAsia="zh-CN" w:bidi="ar-SA"/>
        </w:rPr>
        <w:t>7.质量标准：符合国家及行业现行相关标准的合格服务</w:t>
      </w:r>
    </w:p>
    <w:p>
      <w:pPr>
        <w:keepNext w:val="0"/>
        <w:keepLines w:val="0"/>
        <w:widowControl w:val="0"/>
        <w:numPr>
          <w:ilvl w:val="0"/>
          <w:numId w:val="0"/>
        </w:numPr>
        <w:suppressLineNumbers w:val="0"/>
        <w:spacing w:before="0" w:beforeAutospacing="0" w:after="0" w:afterAutospacing="0" w:line="360" w:lineRule="auto"/>
        <w:ind w:right="0" w:rightChars="0" w:firstLine="480" w:firstLineChars="200"/>
        <w:jc w:val="both"/>
        <w:rPr>
          <w:rFonts w:hint="eastAsia" w:asciiTheme="minorEastAsia" w:hAnsiTheme="minorEastAsia" w:eastAsiaTheme="minorEastAsia" w:cstheme="minorEastAsia"/>
          <w:color w:val="FF0000"/>
          <w:kern w:val="2"/>
          <w:sz w:val="24"/>
          <w:szCs w:val="24"/>
          <w:u w:val="none"/>
          <w:lang w:val="en-US" w:eastAsia="zh-CN" w:bidi="ar-SA"/>
        </w:rPr>
      </w:pPr>
      <w:r>
        <w:rPr>
          <w:rFonts w:hint="eastAsia" w:asciiTheme="minorEastAsia" w:hAnsiTheme="minorEastAsia" w:eastAsiaTheme="minorEastAsia" w:cstheme="minorEastAsia"/>
          <w:color w:val="auto"/>
          <w:kern w:val="2"/>
          <w:sz w:val="24"/>
          <w:szCs w:val="24"/>
          <w:u w:val="none"/>
          <w:lang w:val="en-US" w:eastAsia="zh-CN" w:bidi="ar-SA"/>
        </w:rPr>
        <w:t>8.合同履行期限：自合同签订之日起至合同履行完毕</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Theme="minorEastAsia" w:hAnsiTheme="minorEastAsia" w:eastAsiaTheme="minorEastAsia" w:cstheme="minorEastAsia"/>
          <w:b/>
          <w:bCs/>
          <w:kern w:val="2"/>
          <w:sz w:val="24"/>
          <w:szCs w:val="24"/>
        </w:rPr>
      </w:pPr>
      <w:r>
        <w:rPr>
          <w:rFonts w:hint="eastAsia" w:asciiTheme="minorEastAsia" w:hAnsiTheme="minorEastAsia" w:eastAsiaTheme="minorEastAsia" w:cstheme="minorEastAsia"/>
          <w:kern w:val="2"/>
          <w:sz w:val="24"/>
          <w:szCs w:val="24"/>
          <w:lang w:val="en-US" w:eastAsia="zh-CN" w:bidi="ar"/>
        </w:rPr>
        <w:t>9.本项目不接受联合体投标。</w:t>
      </w:r>
    </w:p>
    <w:p>
      <w:pPr>
        <w:keepNext w:val="0"/>
        <w:keepLines w:val="0"/>
        <w:widowControl w:val="0"/>
        <w:suppressLineNumbers w:val="0"/>
        <w:autoSpaceDE w:val="0"/>
        <w:autoSpaceDN/>
        <w:spacing w:before="0" w:beforeAutospacing="0" w:after="0" w:afterAutospacing="0" w:line="360" w:lineRule="auto"/>
        <w:ind w:left="0" w:right="0" w:firstLine="482" w:firstLineChars="200"/>
        <w:jc w:val="both"/>
        <w:rPr>
          <w:rFonts w:hint="eastAsia" w:asciiTheme="minorEastAsia" w:hAnsiTheme="minorEastAsia" w:eastAsiaTheme="minorEastAsia" w:cstheme="minorEastAsia"/>
          <w:b/>
          <w:bCs/>
          <w:kern w:val="2"/>
          <w:sz w:val="24"/>
          <w:szCs w:val="24"/>
        </w:rPr>
      </w:pPr>
      <w:r>
        <w:rPr>
          <w:rFonts w:hint="eastAsia" w:asciiTheme="minorEastAsia" w:hAnsiTheme="minorEastAsia" w:eastAsiaTheme="minorEastAsia" w:cstheme="minorEastAsia"/>
          <w:b/>
          <w:bCs/>
          <w:kern w:val="2"/>
          <w:sz w:val="24"/>
          <w:szCs w:val="24"/>
          <w:lang w:val="en-US" w:eastAsia="zh-CN" w:bidi="ar"/>
        </w:rPr>
        <w:t>二、投标人资格要求</w:t>
      </w:r>
    </w:p>
    <w:p>
      <w:pPr>
        <w:pStyle w:val="6"/>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bidi="ar"/>
        </w:rPr>
        <w:t>1.满足《中华人民共和国政府采购法》第二十二条规定；</w:t>
      </w:r>
    </w:p>
    <w:p>
      <w:pPr>
        <w:pStyle w:val="6"/>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bidi="ar"/>
        </w:rPr>
        <w:t>2.落实政府采购政策需满足的资格要求：本项目非专门面向中小企业采购。需要落实的政府采购政策：《政府采购促进中小企业发展管理办法》、《关于政府采购支持监狱企业发展有关问题的通知》（财库[2014]68 号）、《关于促进残疾人就业政府采购政策的通知》（财库[2017]141 号）、《关于环境标志产品政府采购实施的意见》（财库[2006]90 号）、《节能产品政府采购实施意见》的通知（财库[2004]185 号）、《关于调整优化节能产品、环境标志产品政府采购执行机制的通知》（财库[2019]9号）等。</w:t>
      </w:r>
    </w:p>
    <w:p>
      <w:pPr>
        <w:pStyle w:val="6"/>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bidi="ar"/>
        </w:rPr>
        <w:t>3.本项目的特定资格要求：</w:t>
      </w:r>
    </w:p>
    <w:p>
      <w:pPr>
        <w:pStyle w:val="6"/>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kern w:val="2"/>
          <w:sz w:val="24"/>
          <w:szCs w:val="24"/>
          <w:lang w:val="en-US" w:eastAsia="zh-CN" w:bidi="ar"/>
        </w:rPr>
        <w:t>（1）</w:t>
      </w:r>
      <w:r>
        <w:rPr>
          <w:rFonts w:hint="eastAsia" w:asciiTheme="minorEastAsia" w:hAnsiTheme="minorEastAsia" w:eastAsiaTheme="minorEastAsia" w:cstheme="minorEastAsia"/>
          <w:color w:val="auto"/>
          <w:kern w:val="2"/>
          <w:sz w:val="24"/>
          <w:szCs w:val="24"/>
          <w:lang w:val="en-US" w:eastAsia="zh-CN" w:bidi="ar"/>
        </w:rPr>
        <w:t>本项目的</w:t>
      </w:r>
      <w:r>
        <w:rPr>
          <w:rFonts w:hint="eastAsia" w:asciiTheme="minorEastAsia" w:hAnsiTheme="minorEastAsia" w:eastAsiaTheme="minorEastAsia" w:cstheme="minorEastAsia"/>
          <w:color w:val="auto"/>
          <w:kern w:val="0"/>
          <w:sz w:val="24"/>
          <w:szCs w:val="24"/>
          <w:lang w:val="en-US" w:eastAsia="zh-CN" w:bidi="ar"/>
        </w:rPr>
        <w:t>投标人具有独立法人资格，持有效营业执照。须具有建设行政主管部门核发的水利工程质量检测（岩土工程、混凝土工程、量测）乙级及以上资质</w:t>
      </w:r>
      <w:r>
        <w:rPr>
          <w:rFonts w:hint="eastAsia" w:asciiTheme="minorEastAsia" w:hAnsiTheme="minorEastAsia" w:eastAsiaTheme="minorEastAsia" w:cstheme="minorEastAsia"/>
          <w:color w:val="auto"/>
          <w:kern w:val="2"/>
          <w:sz w:val="24"/>
          <w:szCs w:val="24"/>
          <w:lang w:val="en-US" w:eastAsia="zh-CN" w:bidi="ar"/>
        </w:rPr>
        <w:t>，并在人员、设备、资金等方面具有相应的能力。</w:t>
      </w:r>
    </w:p>
    <w:p>
      <w:pPr>
        <w:pStyle w:val="6"/>
        <w:keepNext w:val="0"/>
        <w:keepLines w:val="0"/>
        <w:widowControl w:val="0"/>
        <w:suppressLineNumbers w:val="0"/>
        <w:autoSpaceDE w:val="0"/>
        <w:autoSpaceDN/>
        <w:spacing w:before="0" w:beforeAutospacing="0" w:after="0" w:afterAutospacing="0" w:line="360" w:lineRule="auto"/>
        <w:ind w:left="0" w:right="0" w:rightChars="0" w:firstLine="480" w:firstLineChars="200"/>
        <w:jc w:val="both"/>
        <w:rPr>
          <w:rFonts w:hint="eastAsia" w:asciiTheme="minorEastAsia" w:hAnsiTheme="minorEastAsia" w:eastAsiaTheme="minorEastAsia" w:cstheme="minorEastAsia"/>
          <w:kern w:val="2"/>
          <w:sz w:val="24"/>
          <w:szCs w:val="24"/>
          <w:lang w:val="en-US" w:eastAsia="zh-CN" w:bidi="ar"/>
        </w:rPr>
      </w:pPr>
      <w:r>
        <w:rPr>
          <w:rFonts w:hint="eastAsia" w:asciiTheme="minorEastAsia" w:hAnsiTheme="minorEastAsia" w:eastAsiaTheme="minorEastAsia" w:cstheme="minorEastAsia"/>
          <w:color w:val="auto"/>
          <w:kern w:val="2"/>
          <w:sz w:val="24"/>
          <w:szCs w:val="24"/>
          <w:lang w:val="en-US" w:eastAsia="zh-CN" w:bidi="ar"/>
        </w:rPr>
        <w:t>（2）本项供应商拟派出的项目负责人需具备相关专业注册资格证书和高级职称证书，有丰富的检测经验，</w:t>
      </w:r>
      <w:r>
        <w:rPr>
          <w:rFonts w:hint="eastAsia" w:asciiTheme="minorEastAsia" w:hAnsiTheme="minorEastAsia" w:eastAsiaTheme="minorEastAsia" w:cstheme="minorEastAsia"/>
          <w:kern w:val="2"/>
          <w:sz w:val="24"/>
          <w:szCs w:val="24"/>
          <w:lang w:val="en-US" w:eastAsia="zh-CN" w:bidi="ar"/>
        </w:rPr>
        <w:t>近三年（2019-2021年度）具有至少一项类似业绩。</w:t>
      </w:r>
    </w:p>
    <w:p>
      <w:pPr>
        <w:pStyle w:val="6"/>
        <w:keepNext w:val="0"/>
        <w:keepLines w:val="0"/>
        <w:widowControl w:val="0"/>
        <w:suppressLineNumbers w:val="0"/>
        <w:autoSpaceDE w:val="0"/>
        <w:autoSpaceDN/>
        <w:spacing w:before="0" w:beforeAutospacing="0" w:after="0" w:afterAutospacing="0" w:line="360" w:lineRule="auto"/>
        <w:ind w:left="0" w:right="0" w:rightChars="0" w:firstLine="480" w:firstLineChars="200"/>
        <w:jc w:val="both"/>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bidi="ar"/>
        </w:rPr>
        <w:t>（3）财务要求：近三年（2019年－2021年）财务状况良好，具有审计资格的会计师事务所或审计机构出具的近三年财务审计报告（当投标单位成立日期在2019年－2021年之间的，提供从成立日期起至2021年之间的经会计师事务所审计的财务审计报告，2022年以后新成立的公司无财务审计报告的，提供一份财务状况良好承诺即可）。</w:t>
      </w:r>
    </w:p>
    <w:p>
      <w:pPr>
        <w:pStyle w:val="6"/>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bidi="ar"/>
        </w:rPr>
        <w:t>（4）投标人应具有依法缴纳税收和社会保障资金的良好记录：提供近一年内任意一个月的缴税凭据或完税证明等材料，依法免税的，应提供相应文件（复印件）证明其依法免税（证明材料需加盖投标人公章）；提供近一年内任意一个月的缴税社会保险的凭据证明等材料，依法不需要缴纳社会保险的，应提供相应文件（复印件）证明其依法不需要缴纳社会保险（证明材料需加盖投标人公章）。</w:t>
      </w:r>
    </w:p>
    <w:p>
      <w:pPr>
        <w:pStyle w:val="6"/>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bidi="ar"/>
        </w:rPr>
        <w:t xml:space="preserve">（5）信誉要求：拒绝列入政府取消投标资格记录期间的投标人或个人参加；参加政府采购活动前三年内，在经营活动中没有重大违法记录（提供由法定代表人或其委托代理人签字并加盖单位公章的承诺书）；未被最高人民法院在“信用中国”网站列入失信被执行人和重大税收违法案件当事人名单；未被中国政府采购网列入政府采购严重违法失信行为记录名单（详见财库[2016]125号文）。 </w:t>
      </w:r>
    </w:p>
    <w:p>
      <w:pPr>
        <w:pStyle w:val="6"/>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bidi="ar"/>
        </w:rPr>
        <w:t>（6）与招标人存在利害关系可能影响招标公正性的法人、其他组织或者个人，不得参加投标。单位负责人为同一人或者存在控股、管理关系的不同单位，不得参加同一标段投标或者未划分标段的同一招标项目投标。违反上述规定的，相关投标均无效。</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bidi="ar"/>
        </w:rPr>
        <w:t xml:space="preserve">（7）招投标过程中，投标人所提供的所有证件均需在有效期内且注册单位名称与投标人的名称一致，如企业名称发生变更，需提供主管部门出具的变更证明材料，否则不接受其投标人参与本项目的投标。     </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bidi="ar"/>
        </w:rPr>
        <w:t>（</w:t>
      </w:r>
      <w:r>
        <w:rPr>
          <w:rFonts w:hint="eastAsia" w:asciiTheme="minorEastAsia" w:hAnsiTheme="minorEastAsia" w:eastAsiaTheme="minorEastAsia" w:cstheme="minorEastAsia"/>
          <w:color w:val="auto"/>
          <w:kern w:val="2"/>
          <w:sz w:val="24"/>
          <w:szCs w:val="24"/>
          <w:lang w:val="en-US" w:eastAsia="zh-CN" w:bidi="ar"/>
        </w:rPr>
        <w:t>8）投标人可对本项目多个标段同时投标，但只允许其中一个标段中标（兼投不兼中）。</w:t>
      </w:r>
    </w:p>
    <w:p>
      <w:pPr>
        <w:keepNext w:val="0"/>
        <w:keepLines w:val="0"/>
        <w:widowControl w:val="0"/>
        <w:suppressLineNumbers w:val="0"/>
        <w:autoSpaceDE w:val="0"/>
        <w:autoSpaceDN/>
        <w:spacing w:before="0" w:beforeAutospacing="0" w:after="0" w:afterAutospacing="0" w:line="360" w:lineRule="auto"/>
        <w:ind w:left="0" w:right="0" w:firstLine="482" w:firstLineChars="200"/>
        <w:jc w:val="both"/>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b/>
          <w:bCs/>
          <w:kern w:val="2"/>
          <w:sz w:val="24"/>
          <w:szCs w:val="24"/>
          <w:lang w:val="en-US" w:eastAsia="zh-CN" w:bidi="ar"/>
        </w:rPr>
        <w:t>三、招标文件的获取</w:t>
      </w:r>
    </w:p>
    <w:p>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时间：2022年</w:t>
      </w:r>
      <w:r>
        <w:rPr>
          <w:rFonts w:hint="eastAsia" w:ascii="宋体" w:hAnsi="宋体" w:cs="宋体"/>
          <w:sz w:val="24"/>
          <w:szCs w:val="24"/>
          <w:highlight w:val="none"/>
          <w:lang w:val="en-US" w:eastAsia="zh-CN"/>
        </w:rPr>
        <w:t>08</w:t>
      </w:r>
      <w:r>
        <w:rPr>
          <w:rFonts w:hint="eastAsia" w:ascii="宋体" w:hAnsi="宋体" w:eastAsia="宋体" w:cs="宋体"/>
          <w:sz w:val="24"/>
          <w:szCs w:val="24"/>
          <w:highlight w:val="none"/>
          <w:lang w:val="en-US" w:eastAsia="zh-CN"/>
        </w:rPr>
        <w:t>月</w:t>
      </w:r>
      <w:r>
        <w:rPr>
          <w:rFonts w:hint="eastAsia" w:ascii="宋体" w:hAnsi="宋体" w:cs="宋体"/>
          <w:sz w:val="24"/>
          <w:szCs w:val="24"/>
          <w:highlight w:val="none"/>
          <w:lang w:val="en-US" w:eastAsia="zh-CN"/>
        </w:rPr>
        <w:t>29</w:t>
      </w:r>
      <w:r>
        <w:rPr>
          <w:rFonts w:hint="eastAsia" w:ascii="宋体" w:hAnsi="宋体" w:eastAsia="宋体" w:cs="宋体"/>
          <w:sz w:val="24"/>
          <w:szCs w:val="24"/>
          <w:highlight w:val="none"/>
          <w:lang w:val="en-US" w:eastAsia="zh-CN"/>
        </w:rPr>
        <w:t>日至2022年</w:t>
      </w:r>
      <w:r>
        <w:rPr>
          <w:rFonts w:hint="eastAsia" w:ascii="宋体" w:hAnsi="宋体" w:cs="宋体"/>
          <w:sz w:val="24"/>
          <w:szCs w:val="24"/>
          <w:highlight w:val="none"/>
          <w:lang w:val="en-US" w:eastAsia="zh-CN"/>
        </w:rPr>
        <w:t>09</w:t>
      </w:r>
      <w:r>
        <w:rPr>
          <w:rFonts w:hint="eastAsia" w:ascii="宋体" w:hAnsi="宋体" w:eastAsia="宋体" w:cs="宋体"/>
          <w:sz w:val="24"/>
          <w:szCs w:val="24"/>
          <w:highlight w:val="none"/>
          <w:lang w:val="en-US" w:eastAsia="zh-CN"/>
        </w:rPr>
        <w:t>月</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 xml:space="preserve">日（北京时间，法定节假日除外）。 </w:t>
      </w:r>
    </w:p>
    <w:p>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地点：通化市公共资源交易中心（通化市政府采购中心）网站。</w:t>
      </w:r>
    </w:p>
    <w:p>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方式：投标人应于招标文件获取时间内，先注册成为通化市公共资源交易中心（通化市政府采购中心）网供应商，再登录通化市公共资源交易中心（通化市政府采购中心）网下载招标文件并填写投标信息（先下载招标文件后填写，否则无法填写）。供应商下载招标文件后，务必在规定的“招标文件获取时间”内填写投标信息，否则将失去参加本项目的投标资格。具体注册及下载招标文件方法请访问通化市公共资源交易中心（通化市政府采购中心）网查询相关信息。</w:t>
      </w:r>
    </w:p>
    <w:p>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售价：免费获取。</w:t>
      </w:r>
    </w:p>
    <w:p>
      <w:pPr>
        <w:keepNext w:val="0"/>
        <w:keepLines w:val="0"/>
        <w:widowControl w:val="0"/>
        <w:suppressLineNumbers w:val="0"/>
        <w:autoSpaceDE w:val="0"/>
        <w:autoSpaceDN/>
        <w:spacing w:before="0" w:beforeAutospacing="0" w:after="0" w:afterAutospacing="0" w:line="360" w:lineRule="auto"/>
        <w:ind w:left="0" w:right="0" w:firstLine="482" w:firstLineChars="200"/>
        <w:jc w:val="both"/>
        <w:rPr>
          <w:rFonts w:hint="eastAsia" w:asciiTheme="minorEastAsia" w:hAnsiTheme="minorEastAsia" w:eastAsiaTheme="minorEastAsia" w:cstheme="minorEastAsia"/>
          <w:b/>
          <w:bCs/>
          <w:kern w:val="2"/>
          <w:sz w:val="24"/>
          <w:szCs w:val="24"/>
        </w:rPr>
      </w:pPr>
      <w:r>
        <w:rPr>
          <w:rFonts w:hint="eastAsia" w:asciiTheme="minorEastAsia" w:hAnsiTheme="minorEastAsia" w:eastAsiaTheme="minorEastAsia" w:cstheme="minorEastAsia"/>
          <w:b/>
          <w:bCs/>
          <w:kern w:val="2"/>
          <w:sz w:val="24"/>
          <w:szCs w:val="24"/>
          <w:lang w:val="en-US" w:eastAsia="zh-CN" w:bidi="ar"/>
        </w:rPr>
        <w:t>四、提交投标文件截止时间、开标时间和地点</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Theme="minorEastAsia" w:hAnsiTheme="minorEastAsia" w:eastAsiaTheme="minorEastAsia" w:cstheme="minorEastAsia"/>
          <w:b w:val="0"/>
          <w:bCs w:val="0"/>
          <w:kern w:val="2"/>
          <w:sz w:val="24"/>
          <w:szCs w:val="24"/>
          <w:highlight w:val="none"/>
        </w:rPr>
      </w:pPr>
      <w:r>
        <w:rPr>
          <w:rFonts w:hint="eastAsia" w:asciiTheme="minorEastAsia" w:hAnsiTheme="minorEastAsia" w:eastAsiaTheme="minorEastAsia" w:cstheme="minorEastAsia"/>
          <w:b w:val="0"/>
          <w:bCs w:val="0"/>
          <w:kern w:val="2"/>
          <w:sz w:val="24"/>
          <w:szCs w:val="24"/>
          <w:highlight w:val="none"/>
          <w:lang w:val="en-US" w:eastAsia="zh-CN" w:bidi="ar"/>
        </w:rPr>
        <w:t>1.投标截止时间：2022年09月22日9时00分（北京时间）</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Theme="minorEastAsia" w:hAnsiTheme="minorEastAsia" w:eastAsiaTheme="minorEastAsia" w:cstheme="minorEastAsia"/>
          <w:b w:val="0"/>
          <w:bCs w:val="0"/>
          <w:kern w:val="2"/>
          <w:sz w:val="24"/>
          <w:szCs w:val="24"/>
          <w:highlight w:val="yellow"/>
        </w:rPr>
      </w:pPr>
      <w:r>
        <w:rPr>
          <w:rFonts w:hint="eastAsia" w:asciiTheme="minorEastAsia" w:hAnsiTheme="minorEastAsia" w:eastAsiaTheme="minorEastAsia" w:cstheme="minorEastAsia"/>
          <w:b w:val="0"/>
          <w:bCs w:val="0"/>
          <w:kern w:val="2"/>
          <w:sz w:val="24"/>
          <w:szCs w:val="24"/>
          <w:highlight w:val="none"/>
          <w:lang w:val="en-US" w:eastAsia="zh-CN" w:bidi="ar"/>
        </w:rPr>
        <w:t>2.递交投标文件地点：</w:t>
      </w:r>
      <w:r>
        <w:rPr>
          <w:rFonts w:hint="eastAsia" w:ascii="宋体" w:hAnsi="宋体" w:eastAsia="宋体" w:cs="宋体"/>
          <w:sz w:val="24"/>
          <w:szCs w:val="24"/>
          <w:highlight w:val="none"/>
          <w:lang w:val="en-US" w:eastAsia="zh-CN"/>
        </w:rPr>
        <w:t>通化市公共资源交易中心</w:t>
      </w:r>
      <w:r>
        <w:rPr>
          <w:rFonts w:hint="eastAsia" w:ascii="宋体" w:hAnsi="宋体" w:cs="宋体"/>
          <w:sz w:val="24"/>
          <w:szCs w:val="24"/>
          <w:highlight w:val="none"/>
          <w:lang w:val="en-US" w:eastAsia="zh-CN"/>
        </w:rPr>
        <w:t>第二开标室</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Theme="minorEastAsia" w:hAnsiTheme="minorEastAsia" w:eastAsiaTheme="minorEastAsia" w:cstheme="minorEastAsia"/>
          <w:b w:val="0"/>
          <w:bCs w:val="0"/>
          <w:kern w:val="2"/>
          <w:sz w:val="24"/>
          <w:szCs w:val="24"/>
        </w:rPr>
      </w:pPr>
      <w:r>
        <w:rPr>
          <w:rFonts w:hint="eastAsia" w:asciiTheme="minorEastAsia" w:hAnsiTheme="minorEastAsia" w:eastAsiaTheme="minorEastAsia" w:cstheme="minorEastAsia"/>
          <w:b w:val="0"/>
          <w:bCs w:val="0"/>
          <w:kern w:val="2"/>
          <w:sz w:val="24"/>
          <w:szCs w:val="24"/>
          <w:lang w:val="en-US" w:eastAsia="zh-CN" w:bidi="ar"/>
        </w:rPr>
        <w:t>3.开标时间：同投标截止时间</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Theme="minorEastAsia" w:hAnsiTheme="minorEastAsia" w:eastAsiaTheme="minorEastAsia" w:cstheme="minorEastAsia"/>
          <w:b w:val="0"/>
          <w:bCs w:val="0"/>
          <w:kern w:val="2"/>
          <w:sz w:val="24"/>
          <w:szCs w:val="24"/>
          <w:highlight w:val="yellow"/>
        </w:rPr>
      </w:pPr>
      <w:r>
        <w:rPr>
          <w:rFonts w:hint="eastAsia" w:asciiTheme="minorEastAsia" w:hAnsiTheme="minorEastAsia" w:eastAsiaTheme="minorEastAsia" w:cstheme="minorEastAsia"/>
          <w:b w:val="0"/>
          <w:bCs w:val="0"/>
          <w:kern w:val="2"/>
          <w:sz w:val="24"/>
          <w:szCs w:val="24"/>
          <w:highlight w:val="none"/>
          <w:lang w:val="en-US" w:eastAsia="zh-CN" w:bidi="ar"/>
        </w:rPr>
        <w:t>4.开标地点：</w:t>
      </w:r>
      <w:r>
        <w:rPr>
          <w:rFonts w:hint="eastAsia" w:ascii="宋体" w:hAnsi="宋体" w:eastAsia="宋体" w:cs="宋体"/>
          <w:sz w:val="24"/>
          <w:szCs w:val="24"/>
          <w:highlight w:val="none"/>
          <w:lang w:val="en-US" w:eastAsia="zh-CN"/>
        </w:rPr>
        <w:t>通化市公共资源交易中心</w:t>
      </w:r>
      <w:r>
        <w:rPr>
          <w:rFonts w:hint="eastAsia" w:ascii="宋体" w:hAnsi="宋体" w:cs="宋体"/>
          <w:sz w:val="24"/>
          <w:szCs w:val="24"/>
          <w:highlight w:val="none"/>
          <w:lang w:val="en-US" w:eastAsia="zh-CN"/>
        </w:rPr>
        <w:t>第二开标室</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Theme="minorEastAsia" w:hAnsiTheme="minorEastAsia" w:eastAsiaTheme="minorEastAsia" w:cstheme="minorEastAsia"/>
          <w:b w:val="0"/>
          <w:bCs w:val="0"/>
          <w:kern w:val="2"/>
          <w:sz w:val="24"/>
          <w:szCs w:val="24"/>
        </w:rPr>
      </w:pPr>
      <w:r>
        <w:rPr>
          <w:rFonts w:hint="eastAsia" w:asciiTheme="minorEastAsia" w:hAnsiTheme="minorEastAsia" w:eastAsiaTheme="minorEastAsia" w:cstheme="minorEastAsia"/>
          <w:b w:val="0"/>
          <w:bCs w:val="0"/>
          <w:kern w:val="2"/>
          <w:sz w:val="24"/>
          <w:szCs w:val="24"/>
          <w:lang w:val="en-US" w:eastAsia="zh-CN" w:bidi="ar"/>
        </w:rPr>
        <w:t>5.逾期送达的或者未送达指定地点的文件，采购人不予受理</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Theme="minorEastAsia" w:hAnsiTheme="minorEastAsia" w:eastAsiaTheme="minorEastAsia" w:cstheme="minorEastAsia"/>
          <w:b w:val="0"/>
          <w:bCs w:val="0"/>
          <w:kern w:val="2"/>
          <w:sz w:val="24"/>
          <w:szCs w:val="24"/>
        </w:rPr>
      </w:pPr>
      <w:r>
        <w:rPr>
          <w:rFonts w:hint="eastAsia" w:asciiTheme="minorEastAsia" w:hAnsiTheme="minorEastAsia" w:eastAsiaTheme="minorEastAsia" w:cstheme="minorEastAsia"/>
          <w:b w:val="0"/>
          <w:bCs w:val="0"/>
          <w:kern w:val="2"/>
          <w:sz w:val="24"/>
          <w:szCs w:val="24"/>
          <w:lang w:val="en-US" w:eastAsia="zh-CN" w:bidi="ar"/>
        </w:rPr>
        <w:t>6.有效投标人不足三家时，采购人另行组织招标。</w:t>
      </w:r>
    </w:p>
    <w:p>
      <w:pPr>
        <w:keepNext w:val="0"/>
        <w:keepLines w:val="0"/>
        <w:widowControl w:val="0"/>
        <w:suppressLineNumbers w:val="0"/>
        <w:autoSpaceDE w:val="0"/>
        <w:autoSpaceDN/>
        <w:spacing w:before="0" w:beforeAutospacing="0" w:after="0" w:afterAutospacing="0" w:line="360" w:lineRule="auto"/>
        <w:ind w:left="0" w:right="0" w:firstLine="482" w:firstLineChars="200"/>
        <w:jc w:val="both"/>
        <w:rPr>
          <w:rFonts w:hint="eastAsia" w:asciiTheme="minorEastAsia" w:hAnsiTheme="minorEastAsia" w:eastAsiaTheme="minorEastAsia" w:cstheme="minorEastAsia"/>
          <w:b/>
          <w:bCs/>
          <w:kern w:val="2"/>
          <w:sz w:val="24"/>
          <w:szCs w:val="24"/>
        </w:rPr>
      </w:pPr>
      <w:r>
        <w:rPr>
          <w:rFonts w:hint="eastAsia" w:asciiTheme="minorEastAsia" w:hAnsiTheme="minorEastAsia" w:eastAsiaTheme="minorEastAsia" w:cstheme="minorEastAsia"/>
          <w:b/>
          <w:bCs/>
          <w:kern w:val="2"/>
          <w:sz w:val="24"/>
          <w:szCs w:val="24"/>
          <w:lang w:val="en-US" w:eastAsia="zh-CN" w:bidi="ar"/>
        </w:rPr>
        <w:t>五、公告期限</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Theme="minorEastAsia" w:hAnsiTheme="minorEastAsia" w:eastAsiaTheme="minorEastAsia" w:cstheme="minorEastAsia"/>
          <w:b w:val="0"/>
          <w:bCs w:val="0"/>
          <w:kern w:val="2"/>
          <w:sz w:val="24"/>
          <w:szCs w:val="24"/>
        </w:rPr>
      </w:pPr>
      <w:r>
        <w:rPr>
          <w:rFonts w:hint="eastAsia" w:asciiTheme="minorEastAsia" w:hAnsiTheme="minorEastAsia" w:eastAsiaTheme="minorEastAsia" w:cstheme="minorEastAsia"/>
          <w:b w:val="0"/>
          <w:bCs w:val="0"/>
          <w:kern w:val="2"/>
          <w:sz w:val="24"/>
          <w:szCs w:val="24"/>
          <w:lang w:val="en-US" w:eastAsia="zh-CN" w:bidi="ar"/>
        </w:rPr>
        <w:t>自本公告发布之日起5个工作日。</w:t>
      </w:r>
    </w:p>
    <w:p>
      <w:pPr>
        <w:keepNext w:val="0"/>
        <w:keepLines w:val="0"/>
        <w:widowControl w:val="0"/>
        <w:suppressLineNumbers w:val="0"/>
        <w:autoSpaceDE w:val="0"/>
        <w:autoSpaceDN/>
        <w:spacing w:before="0" w:beforeAutospacing="0" w:after="0" w:afterAutospacing="0" w:line="360" w:lineRule="auto"/>
        <w:ind w:left="0" w:right="0" w:firstLine="482" w:firstLineChars="200"/>
        <w:jc w:val="both"/>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b/>
          <w:bCs/>
          <w:kern w:val="2"/>
          <w:sz w:val="24"/>
          <w:szCs w:val="24"/>
          <w:lang w:val="en-US" w:eastAsia="zh-CN" w:bidi="ar"/>
        </w:rPr>
        <w:t>六、其他补充事宜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1.现场考察时间和地点：本项目不组织现场考察。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2.开标前答疑会时间和地点：本项目不组织开标前答疑会。</w:t>
      </w:r>
    </w:p>
    <w:p>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kern w:val="2"/>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3.投标文件解密时间及方式：本项目采用QQ视频开标方式，并于开标截止时间前20分钟内加入</w:t>
      </w:r>
      <w:r>
        <w:rPr>
          <w:rFonts w:hint="eastAsia" w:asciiTheme="minorEastAsia" w:hAnsiTheme="minorEastAsia" w:eastAsiaTheme="minorEastAsia" w:cstheme="minorEastAsia"/>
          <w:b/>
          <w:bCs/>
          <w:color w:val="000000"/>
          <w:kern w:val="0"/>
          <w:sz w:val="24"/>
          <w:szCs w:val="24"/>
          <w:lang w:val="en-US" w:eastAsia="zh-CN" w:bidi="ar"/>
        </w:rPr>
        <w:t>563700407</w:t>
      </w:r>
      <w:r>
        <w:rPr>
          <w:rFonts w:hint="eastAsia" w:asciiTheme="minorEastAsia" w:hAnsiTheme="minorEastAsia" w:eastAsiaTheme="minorEastAsia" w:cstheme="minorEastAsia"/>
          <w:color w:val="000000"/>
          <w:kern w:val="0"/>
          <w:sz w:val="24"/>
          <w:szCs w:val="24"/>
          <w:lang w:val="en-US" w:eastAsia="zh-CN" w:bidi="ar"/>
        </w:rPr>
        <w:t>开标直播QQ工作群组，不可提前加入），加入后将群昵称改为供应商名称，并在QQ工作群中输入以下内容：供应商名称、采购项目名称、采购项目编号、分包名称（如有）、分包编号（如有）、个人姓名、联系方式。投标文件提交截止时间后30分钟内，由供应商持制作该投标文件的同一数字证书远程对投标文件进行解密，因供应商自身原因未能成功解密的，视为逾期未提交投标文件。</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Theme="minorEastAsia" w:hAnsiTheme="minorEastAsia" w:eastAsiaTheme="minorEastAsia" w:cstheme="minorEastAsia"/>
          <w:kern w:val="2"/>
          <w:sz w:val="24"/>
          <w:szCs w:val="24"/>
          <w:lang w:val="en-US" w:eastAsia="zh-CN" w:bidi="ar"/>
        </w:rPr>
      </w:pPr>
      <w:r>
        <w:rPr>
          <w:rFonts w:hint="eastAsia" w:asciiTheme="minorEastAsia" w:hAnsiTheme="minorEastAsia" w:eastAsiaTheme="minorEastAsia" w:cstheme="minorEastAsia"/>
          <w:kern w:val="2"/>
          <w:sz w:val="24"/>
          <w:szCs w:val="24"/>
          <w:lang w:val="en-US" w:eastAsia="zh-CN" w:bidi="ar"/>
        </w:rPr>
        <w:t>4.投标保证金：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4.1提交形式和时间：详见招标文件《供应商须知》</w:t>
      </w:r>
    </w:p>
    <w:p>
      <w:pPr>
        <w:pStyle w:val="4"/>
        <w:rPr>
          <w:rFonts w:hint="eastAsia"/>
        </w:rPr>
      </w:pPr>
    </w:p>
    <w:tbl>
      <w:tblPr>
        <w:tblStyle w:val="7"/>
        <w:tblW w:w="10043" w:type="dxa"/>
        <w:tblInd w:w="13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369"/>
        <w:gridCol w:w="4339"/>
        <w:gridCol w:w="33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369" w:type="dxa"/>
            <w:tcBorders>
              <w:top w:val="single" w:color="000000" w:sz="6" w:space="0"/>
              <w:left w:val="single" w:color="000000" w:sz="6" w:space="0"/>
              <w:bottom w:val="single" w:color="000000" w:sz="6" w:space="0"/>
              <w:right w:val="single" w:color="000000" w:sz="6" w:space="0"/>
            </w:tcBorders>
            <w:shd w:val="clear" w:color="auto" w:fill="FFFFFF"/>
            <w:noWrap w:val="0"/>
            <w:tcMar>
              <w:left w:w="101" w:type="dxa"/>
              <w:right w:w="101" w:type="dxa"/>
            </w:tcMar>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lang w:val="en-US" w:eastAsia="zh-CN" w:bidi="ar"/>
              </w:rPr>
              <w:t>数额（元）</w:t>
            </w:r>
          </w:p>
        </w:tc>
        <w:tc>
          <w:tcPr>
            <w:tcW w:w="4339" w:type="dxa"/>
            <w:tcBorders>
              <w:top w:val="single" w:color="000000" w:sz="6" w:space="0"/>
              <w:left w:val="nil"/>
              <w:bottom w:val="single" w:color="000000" w:sz="6" w:space="0"/>
              <w:right w:val="single" w:color="000000" w:sz="6" w:space="0"/>
            </w:tcBorders>
            <w:shd w:val="clear" w:color="auto" w:fill="FFFFFF"/>
            <w:noWrap w:val="0"/>
            <w:tcMar>
              <w:left w:w="101" w:type="dxa"/>
              <w:right w:w="101" w:type="dxa"/>
            </w:tcMar>
            <w:vAlign w:val="center"/>
          </w:tcPr>
          <w:p>
            <w:pPr>
              <w:keepNext w:val="0"/>
              <w:keepLines w:val="0"/>
              <w:widowControl w:val="0"/>
              <w:suppressLineNumbers w:val="0"/>
              <w:spacing w:before="0" w:beforeAutospacing="0" w:after="0" w:afterAutospacing="0" w:line="240" w:lineRule="auto"/>
              <w:ind w:left="0" w:right="0" w:firstLine="480" w:firstLineChars="200"/>
              <w:jc w:val="center"/>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lang w:val="en-US" w:eastAsia="zh-CN" w:bidi="ar"/>
              </w:rPr>
              <w:t>开户银行</w:t>
            </w:r>
          </w:p>
        </w:tc>
        <w:tc>
          <w:tcPr>
            <w:tcW w:w="3335" w:type="dxa"/>
            <w:tcBorders>
              <w:top w:val="single" w:color="000000" w:sz="6" w:space="0"/>
              <w:left w:val="nil"/>
              <w:bottom w:val="single" w:color="000000" w:sz="6" w:space="0"/>
              <w:right w:val="single" w:color="000000" w:sz="6" w:space="0"/>
            </w:tcBorders>
            <w:shd w:val="clear" w:color="auto" w:fill="FFFFFF"/>
            <w:noWrap w:val="0"/>
            <w:tcMar>
              <w:left w:w="101" w:type="dxa"/>
              <w:right w:w="101" w:type="dxa"/>
            </w:tcMar>
            <w:vAlign w:val="center"/>
          </w:tcPr>
          <w:p>
            <w:pPr>
              <w:keepNext w:val="0"/>
              <w:keepLines w:val="0"/>
              <w:widowControl w:val="0"/>
              <w:suppressLineNumbers w:val="0"/>
              <w:spacing w:before="0" w:beforeAutospacing="0" w:after="0" w:afterAutospacing="0" w:line="240" w:lineRule="auto"/>
              <w:ind w:left="0" w:right="0" w:firstLine="480" w:firstLineChars="200"/>
              <w:jc w:val="center"/>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lang w:val="en-US" w:eastAsia="zh-CN" w:bidi="ar"/>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369" w:type="dxa"/>
            <w:tcBorders>
              <w:top w:val="single" w:color="000000" w:sz="6" w:space="0"/>
              <w:left w:val="single" w:color="000000" w:sz="6" w:space="0"/>
              <w:bottom w:val="single" w:color="000000" w:sz="6" w:space="0"/>
              <w:right w:val="single" w:color="000000" w:sz="6" w:space="0"/>
            </w:tcBorders>
            <w:shd w:val="clear" w:color="auto" w:fill="FFFFFF"/>
            <w:noWrap w:val="0"/>
            <w:tcMar>
              <w:left w:w="101" w:type="dxa"/>
              <w:right w:w="101" w:type="dxa"/>
            </w:tcMar>
            <w:vAlign w:val="center"/>
          </w:tcPr>
          <w:p>
            <w:pPr>
              <w:keepNext w:val="0"/>
              <w:keepLines w:val="0"/>
              <w:widowControl w:val="0"/>
              <w:suppressLineNumbers w:val="0"/>
              <w:spacing w:before="0" w:beforeAutospacing="0" w:after="0" w:afterAutospacing="0" w:line="240" w:lineRule="auto"/>
              <w:ind w:right="0"/>
              <w:jc w:val="left"/>
              <w:rPr>
                <w:rFonts w:hint="default" w:ascii="宋体" w:hAnsi="宋体" w:eastAsia="宋体" w:cs="宋体"/>
                <w:b w:val="0"/>
                <w:bCs w:val="0"/>
                <w:kern w:val="2"/>
                <w:sz w:val="24"/>
                <w:szCs w:val="24"/>
                <w:lang w:val="en-US" w:eastAsia="zh-CN"/>
              </w:rPr>
            </w:pPr>
            <w:r>
              <w:rPr>
                <w:rFonts w:hint="eastAsia" w:ascii="宋体" w:hAnsi="宋体" w:eastAsia="宋体" w:cs="宋体"/>
                <w:b w:val="0"/>
                <w:bCs w:val="0"/>
                <w:kern w:val="2"/>
                <w:sz w:val="24"/>
                <w:szCs w:val="24"/>
                <w:lang w:val="en-US" w:eastAsia="zh-CN"/>
              </w:rPr>
              <w:t>第一标段：</w:t>
            </w:r>
            <w:r>
              <w:rPr>
                <w:rFonts w:hint="eastAsia" w:ascii="宋体" w:hAnsi="宋体" w:cs="宋体"/>
                <w:b w:val="0"/>
                <w:bCs w:val="0"/>
                <w:kern w:val="2"/>
                <w:sz w:val="24"/>
                <w:szCs w:val="24"/>
                <w:lang w:val="en-US" w:eastAsia="zh-CN"/>
              </w:rPr>
              <w:t>3700</w:t>
            </w:r>
          </w:p>
        </w:tc>
        <w:tc>
          <w:tcPr>
            <w:tcW w:w="4339" w:type="dxa"/>
            <w:vMerge w:val="restart"/>
            <w:tcBorders>
              <w:top w:val="single" w:color="000000" w:sz="6" w:space="0"/>
              <w:left w:val="nil"/>
              <w:right w:val="single" w:color="000000" w:sz="6" w:space="0"/>
            </w:tcBorders>
            <w:shd w:val="clear" w:color="auto" w:fill="FFFFFF"/>
            <w:noWrap w:val="0"/>
            <w:tcMar>
              <w:left w:w="101" w:type="dxa"/>
              <w:right w:w="101" w:type="dxa"/>
            </w:tcMar>
            <w:vAlign w:val="center"/>
          </w:tcPr>
          <w:p>
            <w:pPr>
              <w:keepNext w:val="0"/>
              <w:keepLines w:val="0"/>
              <w:widowControl w:val="0"/>
              <w:suppressLineNumbers w:val="0"/>
              <w:spacing w:before="0" w:beforeAutospacing="0" w:after="0" w:afterAutospacing="0" w:line="240" w:lineRule="auto"/>
              <w:ind w:left="0" w:right="0" w:firstLine="480" w:firstLineChars="200"/>
              <w:jc w:val="center"/>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lang w:val="en-US" w:eastAsia="zh-CN" w:bidi="ar"/>
              </w:rPr>
              <w:t>吉林银行通化振通支行</w:t>
            </w:r>
          </w:p>
        </w:tc>
        <w:tc>
          <w:tcPr>
            <w:tcW w:w="3335" w:type="dxa"/>
            <w:tcBorders>
              <w:top w:val="single" w:color="000000" w:sz="6" w:space="0"/>
              <w:left w:val="nil"/>
              <w:bottom w:val="single" w:color="000000" w:sz="6" w:space="0"/>
              <w:right w:val="single" w:color="000000" w:sz="6" w:space="0"/>
            </w:tcBorders>
            <w:shd w:val="clear" w:color="auto" w:fill="FFFFFF"/>
            <w:noWrap w:val="0"/>
            <w:tcMar>
              <w:left w:w="101" w:type="dxa"/>
              <w:right w:w="101" w:type="dxa"/>
            </w:tcMar>
            <w:vAlign w:val="center"/>
          </w:tcPr>
          <w:p>
            <w:pPr>
              <w:keepNext w:val="0"/>
              <w:keepLines w:val="0"/>
              <w:widowControl w:val="0"/>
              <w:suppressLineNumbers w:val="0"/>
              <w:spacing w:before="0" w:beforeAutospacing="0" w:after="0" w:afterAutospacing="0" w:line="240" w:lineRule="auto"/>
              <w:ind w:right="0"/>
              <w:jc w:val="left"/>
              <w:rPr>
                <w:rFonts w:hint="eastAsia" w:ascii="宋体" w:hAnsi="宋体" w:eastAsia="宋体" w:cs="宋体"/>
                <w:b w:val="0"/>
                <w:bCs w:val="0"/>
                <w:kern w:val="2"/>
                <w:sz w:val="24"/>
                <w:szCs w:val="24"/>
                <w:highlight w:val="yellow"/>
                <w:lang w:val="en-US" w:eastAsia="zh-CN" w:bidi="ar"/>
              </w:rPr>
            </w:pPr>
            <w:r>
              <w:rPr>
                <w:rFonts w:hint="eastAsia" w:ascii="宋体" w:hAnsi="宋体" w:cs="宋体"/>
                <w:b w:val="0"/>
                <w:bCs w:val="0"/>
                <w:kern w:val="2"/>
                <w:sz w:val="24"/>
                <w:szCs w:val="24"/>
                <w:lang w:val="en-US" w:eastAsia="zh-CN"/>
              </w:rPr>
              <w:t>0401161000000615-220824722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369" w:type="dxa"/>
            <w:tcBorders>
              <w:top w:val="single" w:color="000000" w:sz="6" w:space="0"/>
              <w:left w:val="single" w:color="000000" w:sz="6" w:space="0"/>
              <w:bottom w:val="single" w:color="000000" w:sz="6" w:space="0"/>
              <w:right w:val="single" w:color="000000" w:sz="6" w:space="0"/>
            </w:tcBorders>
            <w:shd w:val="clear" w:color="auto" w:fill="FFFFFF"/>
            <w:noWrap w:val="0"/>
            <w:tcMar>
              <w:left w:w="101" w:type="dxa"/>
              <w:right w:w="101" w:type="dxa"/>
            </w:tcMar>
            <w:vAlign w:val="center"/>
          </w:tcPr>
          <w:p>
            <w:pPr>
              <w:keepNext w:val="0"/>
              <w:keepLines w:val="0"/>
              <w:widowControl w:val="0"/>
              <w:suppressLineNumbers w:val="0"/>
              <w:spacing w:before="0" w:beforeAutospacing="0" w:after="0" w:afterAutospacing="0" w:line="240" w:lineRule="auto"/>
              <w:ind w:right="0"/>
              <w:jc w:val="left"/>
              <w:rPr>
                <w:rFonts w:hint="default" w:ascii="宋体" w:hAnsi="宋体" w:eastAsia="宋体" w:cs="宋体"/>
                <w:b w:val="0"/>
                <w:bCs w:val="0"/>
                <w:kern w:val="2"/>
                <w:sz w:val="24"/>
                <w:szCs w:val="24"/>
                <w:lang w:val="en-US" w:eastAsia="zh-CN"/>
              </w:rPr>
            </w:pPr>
            <w:r>
              <w:rPr>
                <w:rFonts w:hint="eastAsia" w:ascii="宋体" w:hAnsi="宋体" w:eastAsia="宋体" w:cs="宋体"/>
                <w:b w:val="0"/>
                <w:bCs w:val="0"/>
                <w:kern w:val="2"/>
                <w:sz w:val="24"/>
                <w:szCs w:val="24"/>
              </w:rPr>
              <w:t>第</w:t>
            </w:r>
            <w:r>
              <w:rPr>
                <w:rFonts w:hint="eastAsia" w:ascii="宋体" w:hAnsi="宋体" w:cs="宋体"/>
                <w:b w:val="0"/>
                <w:bCs w:val="0"/>
                <w:kern w:val="2"/>
                <w:sz w:val="24"/>
                <w:szCs w:val="24"/>
                <w:lang w:val="en-US" w:eastAsia="zh-CN"/>
              </w:rPr>
              <w:t>二</w:t>
            </w:r>
            <w:r>
              <w:rPr>
                <w:rFonts w:hint="eastAsia" w:ascii="宋体" w:hAnsi="宋体" w:eastAsia="宋体" w:cs="宋体"/>
                <w:b w:val="0"/>
                <w:bCs w:val="0"/>
                <w:kern w:val="2"/>
                <w:sz w:val="24"/>
                <w:szCs w:val="24"/>
              </w:rPr>
              <w:t>标段：</w:t>
            </w:r>
            <w:r>
              <w:rPr>
                <w:rFonts w:hint="eastAsia" w:ascii="宋体" w:hAnsi="宋体" w:cs="宋体"/>
                <w:b w:val="0"/>
                <w:bCs w:val="0"/>
                <w:kern w:val="2"/>
                <w:sz w:val="24"/>
                <w:szCs w:val="24"/>
                <w:lang w:val="en-US" w:eastAsia="zh-CN"/>
              </w:rPr>
              <w:t>10000</w:t>
            </w:r>
          </w:p>
        </w:tc>
        <w:tc>
          <w:tcPr>
            <w:tcW w:w="4339" w:type="dxa"/>
            <w:vMerge w:val="continue"/>
            <w:tcBorders>
              <w:left w:val="nil"/>
              <w:bottom w:val="single" w:color="000000" w:sz="6" w:space="0"/>
              <w:right w:val="single" w:color="000000" w:sz="6" w:space="0"/>
            </w:tcBorders>
            <w:shd w:val="clear" w:color="auto" w:fill="FFFFFF"/>
            <w:noWrap w:val="0"/>
            <w:tcMar>
              <w:left w:w="101" w:type="dxa"/>
              <w:right w:w="101" w:type="dxa"/>
            </w:tcMar>
            <w:vAlign w:val="center"/>
          </w:tcPr>
          <w:p>
            <w:pPr>
              <w:keepNext w:val="0"/>
              <w:keepLines w:val="0"/>
              <w:widowControl w:val="0"/>
              <w:suppressLineNumbers w:val="0"/>
              <w:spacing w:before="0" w:beforeAutospacing="0" w:after="0" w:afterAutospacing="0" w:line="240" w:lineRule="auto"/>
              <w:ind w:left="0" w:right="0" w:firstLine="480" w:firstLineChars="200"/>
              <w:jc w:val="center"/>
              <w:rPr>
                <w:rFonts w:hint="eastAsia" w:ascii="宋体" w:hAnsi="宋体" w:eastAsia="宋体" w:cs="宋体"/>
                <w:b w:val="0"/>
                <w:bCs w:val="0"/>
                <w:kern w:val="2"/>
                <w:sz w:val="24"/>
                <w:szCs w:val="24"/>
              </w:rPr>
            </w:pPr>
          </w:p>
        </w:tc>
        <w:tc>
          <w:tcPr>
            <w:tcW w:w="3335" w:type="dxa"/>
            <w:tcBorders>
              <w:top w:val="single" w:color="000000" w:sz="6" w:space="0"/>
              <w:left w:val="nil"/>
              <w:bottom w:val="single" w:color="000000" w:sz="6" w:space="0"/>
              <w:right w:val="single" w:color="000000" w:sz="6" w:space="0"/>
            </w:tcBorders>
            <w:shd w:val="clear" w:color="auto" w:fill="FFFFFF"/>
            <w:noWrap w:val="0"/>
            <w:tcMar>
              <w:left w:w="101" w:type="dxa"/>
              <w:right w:w="101" w:type="dxa"/>
            </w:tcMar>
            <w:vAlign w:val="center"/>
          </w:tcPr>
          <w:p>
            <w:pPr>
              <w:keepNext w:val="0"/>
              <w:keepLines w:val="0"/>
              <w:widowControl w:val="0"/>
              <w:suppressLineNumbers w:val="0"/>
              <w:spacing w:before="0" w:beforeAutospacing="0" w:after="0" w:afterAutospacing="0" w:line="240" w:lineRule="auto"/>
              <w:ind w:right="0"/>
              <w:jc w:val="left"/>
              <w:rPr>
                <w:rFonts w:hint="default" w:ascii="宋体" w:hAnsi="宋体" w:eastAsia="宋体" w:cs="宋体"/>
                <w:b w:val="0"/>
                <w:bCs w:val="0"/>
                <w:kern w:val="2"/>
                <w:sz w:val="24"/>
                <w:szCs w:val="24"/>
                <w:highlight w:val="yellow"/>
                <w:lang w:val="en-US" w:eastAsia="zh-CN"/>
              </w:rPr>
            </w:pPr>
            <w:r>
              <w:rPr>
                <w:rFonts w:hint="default" w:ascii="宋体" w:hAnsi="宋体" w:cs="宋体"/>
                <w:b w:val="0"/>
                <w:bCs w:val="0"/>
                <w:kern w:val="2"/>
                <w:sz w:val="24"/>
                <w:szCs w:val="24"/>
                <w:lang w:val="en-US" w:eastAsia="zh-CN"/>
              </w:rPr>
              <w:t>0401161000000615-</w:t>
            </w:r>
            <w:r>
              <w:rPr>
                <w:rFonts w:hint="eastAsia" w:ascii="宋体" w:hAnsi="宋体" w:cs="宋体"/>
                <w:b w:val="0"/>
                <w:bCs w:val="0"/>
                <w:kern w:val="2"/>
                <w:sz w:val="24"/>
                <w:szCs w:val="24"/>
                <w:lang w:val="en-US" w:eastAsia="zh-CN"/>
              </w:rPr>
              <w:t>220824723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369"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val="0"/>
              <w:suppressLineNumbers w:val="0"/>
              <w:spacing w:before="0" w:beforeAutospacing="0" w:after="0" w:afterAutospacing="0" w:line="240" w:lineRule="auto"/>
              <w:ind w:left="0" w:right="0" w:firstLine="480" w:firstLineChars="200"/>
              <w:jc w:val="both"/>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lang w:val="en-US" w:eastAsia="zh-CN" w:bidi="ar"/>
              </w:rPr>
              <w:t>账户名称</w:t>
            </w:r>
          </w:p>
        </w:tc>
        <w:tc>
          <w:tcPr>
            <w:tcW w:w="7674"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val="0"/>
              <w:suppressLineNumbers w:val="0"/>
              <w:spacing w:before="0" w:beforeAutospacing="0" w:after="0" w:afterAutospacing="0" w:line="240" w:lineRule="auto"/>
              <w:ind w:right="0"/>
              <w:jc w:val="both"/>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lang w:val="en-US" w:eastAsia="zh-CN" w:bidi="ar"/>
              </w:rPr>
              <w:t>通化市公共资源交易中心（通化市政府采购中心）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trPr>
        <w:tc>
          <w:tcPr>
            <w:tcW w:w="2369"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val="0"/>
              <w:suppressLineNumbers w:val="0"/>
              <w:spacing w:before="0" w:beforeAutospacing="0" w:after="0" w:afterAutospacing="0" w:line="240" w:lineRule="auto"/>
              <w:ind w:left="0" w:right="0" w:firstLine="480" w:firstLineChars="200"/>
              <w:jc w:val="both"/>
              <w:rPr>
                <w:rFonts w:hint="eastAsia" w:ascii="宋体" w:hAnsi="宋体" w:eastAsia="宋体" w:cs="宋体"/>
                <w:b w:val="0"/>
                <w:bCs w:val="0"/>
                <w:kern w:val="2"/>
                <w:sz w:val="24"/>
                <w:szCs w:val="24"/>
              </w:rPr>
            </w:pPr>
            <w:r>
              <w:rPr>
                <w:rFonts w:hint="eastAsia" w:ascii="宋体" w:hAnsi="宋体" w:cs="宋体"/>
                <w:b w:val="0"/>
                <w:bCs w:val="0"/>
                <w:kern w:val="2"/>
                <w:sz w:val="24"/>
                <w:szCs w:val="24"/>
                <w:lang w:val="en-US" w:eastAsia="zh-CN" w:bidi="ar"/>
              </w:rPr>
              <w:t>注：</w:t>
            </w:r>
          </w:p>
        </w:tc>
        <w:tc>
          <w:tcPr>
            <w:tcW w:w="7674"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val="0"/>
              <w:suppressLineNumbers w:val="0"/>
              <w:autoSpaceDE w:val="0"/>
              <w:autoSpaceDN w:val="0"/>
              <w:adjustRightInd w:val="0"/>
              <w:spacing w:before="0" w:beforeAutospacing="0" w:after="0" w:afterAutospacing="0" w:line="240" w:lineRule="auto"/>
              <w:ind w:right="0"/>
              <w:jc w:val="left"/>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lang w:val="en-US" w:eastAsia="zh-CN" w:bidi="ar"/>
              </w:rPr>
              <w:t>1.投标人在提交保证金时，汇款账号须严格按照公告提供的账号完整填写（完整账号：基本账号、横线、虚拟子账号），如只填写基本账号，导致保证金汇入基本账号，属未按招标文件要求提交保证金，响应无效。</w:t>
            </w:r>
          </w:p>
          <w:p>
            <w:pPr>
              <w:keepNext w:val="0"/>
              <w:keepLines w:val="0"/>
              <w:widowControl w:val="0"/>
              <w:suppressLineNumbers w:val="0"/>
              <w:spacing w:before="0" w:beforeAutospacing="0" w:after="0" w:afterAutospacing="0" w:line="240" w:lineRule="auto"/>
              <w:ind w:right="0"/>
              <w:jc w:val="left"/>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lang w:val="en-US" w:eastAsia="zh-CN" w:bidi="ar"/>
              </w:rPr>
              <w:t>2.投标人在提交保证金时，须在存款单备注中注明本项目编号、名称（可简写）及投标保证金便于集中采购机构查询相关信息。</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jc w:val="left"/>
        <w:rPr>
          <w:rFonts w:hint="eastAsia" w:asciiTheme="minorEastAsia" w:hAnsiTheme="minorEastAsia" w:eastAsiaTheme="minorEastAsia" w:cstheme="minorEastAsia"/>
          <w:kern w:val="2"/>
          <w:sz w:val="24"/>
          <w:szCs w:val="24"/>
          <w:lang w:val="en-US" w:eastAsia="zh-CN" w:bidi="ar"/>
        </w:rPr>
      </w:pPr>
      <w:r>
        <w:rPr>
          <w:rFonts w:hint="eastAsia" w:asciiTheme="minorEastAsia" w:hAnsiTheme="minorEastAsia" w:eastAsiaTheme="minorEastAsia" w:cstheme="minorEastAsia"/>
          <w:kern w:val="2"/>
          <w:sz w:val="24"/>
          <w:szCs w:val="24"/>
          <w:lang w:val="en-US" w:eastAsia="zh-CN" w:bidi="ar"/>
        </w:rPr>
        <w:t>4.2采用保函形式的递交地点：投标人可在提交投标文件截止时间前使用通化市公共资源交易平台嵌入的电子保函服务功能，在系统“电子保函”菜单下，点击“立即申请”按钮，进入电子保函申请页面申请电子保函，开标后以系统查到的电子保函作为保证金提交的依据。如采用此种方式，建议在提交投标保证金截止日前24小时进行投保，保费应通过投保人（供应商）基本账户进行支付。未按要求递交的，投标无效。</w:t>
      </w:r>
    </w:p>
    <w:p>
      <w:pPr>
        <w:pStyle w:val="5"/>
        <w:keepNext w:val="0"/>
        <w:keepLines w:val="0"/>
        <w:pageBreakBefore w:val="0"/>
        <w:widowControl w:val="0"/>
        <w:kinsoku/>
        <w:wordWrap/>
        <w:overflowPunct/>
        <w:topLinePunct w:val="0"/>
        <w:autoSpaceDE/>
        <w:autoSpaceDN/>
        <w:bidi w:val="0"/>
        <w:adjustRightInd/>
        <w:snapToGrid/>
        <w:spacing w:after="0" w:line="240" w:lineRule="auto"/>
        <w:ind w:firstLine="482" w:firstLineChars="200"/>
        <w:textAlignment w:val="auto"/>
        <w:rPr>
          <w:rFonts w:hint="eastAsia" w:asciiTheme="minorEastAsia" w:hAnsiTheme="minorEastAsia" w:eastAsiaTheme="minorEastAsia" w:cstheme="minorEastAsia"/>
          <w:b/>
          <w:bCs/>
          <w:kern w:val="2"/>
          <w:sz w:val="24"/>
          <w:szCs w:val="24"/>
          <w:lang w:val="en-US" w:eastAsia="zh-CN" w:bidi="ar"/>
        </w:rPr>
      </w:pPr>
      <w:r>
        <w:rPr>
          <w:rFonts w:hint="eastAsia" w:asciiTheme="minorEastAsia" w:hAnsiTheme="minorEastAsia" w:eastAsiaTheme="minorEastAsia" w:cstheme="minorEastAsia"/>
          <w:b/>
          <w:bCs/>
          <w:kern w:val="2"/>
          <w:sz w:val="24"/>
          <w:szCs w:val="24"/>
          <w:lang w:val="en-US" w:eastAsia="zh-CN" w:bidi="ar"/>
        </w:rPr>
        <w:t>七、发布公告的媒介</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Theme="minorEastAsia" w:hAnsiTheme="minorEastAsia" w:eastAsiaTheme="minorEastAsia" w:cstheme="minorEastAsia"/>
          <w:kern w:val="2"/>
          <w:sz w:val="24"/>
          <w:szCs w:val="24"/>
        </w:rPr>
      </w:pPr>
      <w:r>
        <w:rPr>
          <w:rFonts w:hint="eastAsia" w:ascii="宋体" w:hAnsi="宋体" w:eastAsia="宋体" w:cs="宋体"/>
          <w:color w:val="000000"/>
          <w:kern w:val="0"/>
          <w:sz w:val="24"/>
          <w:szCs w:val="24"/>
          <w:lang w:val="en-US" w:eastAsia="zh-CN" w:bidi="ar"/>
        </w:rPr>
        <w:t>本次招标公告同时在《中国政府采购网》、《通化市公共资源交易中心》网站上发布并同步推送到《吉林省公共资源交易公共服务平台》发布。</w:t>
      </w:r>
    </w:p>
    <w:p>
      <w:pPr>
        <w:keepNext w:val="0"/>
        <w:keepLines w:val="0"/>
        <w:widowControl w:val="0"/>
        <w:suppressLineNumbers w:val="0"/>
        <w:autoSpaceDE w:val="0"/>
        <w:autoSpaceDN/>
        <w:spacing w:before="0" w:beforeAutospacing="0" w:after="0" w:afterAutospacing="0" w:line="360" w:lineRule="auto"/>
        <w:ind w:left="0" w:right="0" w:firstLine="482" w:firstLineChars="200"/>
        <w:jc w:val="both"/>
        <w:rPr>
          <w:rFonts w:hint="eastAsia" w:asciiTheme="minorEastAsia" w:hAnsiTheme="minorEastAsia" w:eastAsiaTheme="minorEastAsia" w:cstheme="minorEastAsia"/>
          <w:b/>
          <w:bCs/>
          <w:kern w:val="2"/>
          <w:sz w:val="24"/>
          <w:szCs w:val="24"/>
        </w:rPr>
      </w:pPr>
      <w:r>
        <w:rPr>
          <w:rFonts w:hint="eastAsia" w:asciiTheme="minorEastAsia" w:hAnsiTheme="minorEastAsia" w:eastAsiaTheme="minorEastAsia" w:cstheme="minorEastAsia"/>
          <w:b/>
          <w:bCs/>
          <w:kern w:val="2"/>
          <w:sz w:val="24"/>
          <w:szCs w:val="24"/>
          <w:lang w:val="en-US" w:eastAsia="zh-CN" w:bidi="ar"/>
        </w:rPr>
        <w:t>八、对本次招标提出询问，请按以下方式联系</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bidi="ar"/>
        </w:rPr>
        <w:t>1.采购人信息</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bidi="ar"/>
        </w:rPr>
        <w:t xml:space="preserve">名称：梅河口市农业农村局 </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bidi="ar"/>
        </w:rPr>
        <w:t>地址：梅河口市北环路建国广场88-113号</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bidi="ar"/>
        </w:rPr>
        <w:t>联系人：朴春海</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bidi="ar"/>
        </w:rPr>
        <w:t>联系方式：0435-5096258</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Theme="minorEastAsia" w:hAnsiTheme="minorEastAsia" w:eastAsiaTheme="minorEastAsia" w:cstheme="minorEastAsia"/>
          <w:kern w:val="2"/>
          <w:sz w:val="24"/>
          <w:szCs w:val="24"/>
          <w:lang w:val="en-US" w:eastAsia="zh-CN" w:bidi="ar"/>
        </w:rPr>
      </w:pPr>
      <w:r>
        <w:rPr>
          <w:rFonts w:hint="eastAsia" w:asciiTheme="minorEastAsia" w:hAnsiTheme="minorEastAsia" w:eastAsiaTheme="minorEastAsia" w:cstheme="minorEastAsia"/>
          <w:kern w:val="2"/>
          <w:sz w:val="24"/>
          <w:szCs w:val="24"/>
          <w:lang w:val="en-US" w:eastAsia="zh-CN" w:bidi="ar"/>
        </w:rPr>
        <w:t>2.采购代理机构信息</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Theme="minorEastAsia" w:hAnsiTheme="minorEastAsia" w:eastAsiaTheme="minorEastAsia" w:cstheme="minorEastAsia"/>
          <w:kern w:val="2"/>
          <w:sz w:val="24"/>
          <w:szCs w:val="24"/>
          <w:lang w:val="en-US" w:eastAsia="zh-CN" w:bidi="ar"/>
        </w:rPr>
      </w:pPr>
      <w:r>
        <w:rPr>
          <w:rFonts w:hint="eastAsia" w:asciiTheme="minorEastAsia" w:hAnsiTheme="minorEastAsia" w:eastAsiaTheme="minorEastAsia" w:cstheme="minorEastAsia"/>
          <w:kern w:val="2"/>
          <w:sz w:val="24"/>
          <w:szCs w:val="24"/>
          <w:lang w:val="en-US" w:eastAsia="zh-CN" w:bidi="ar"/>
        </w:rPr>
        <w:t>名称：中惠工程项目管理（吉林）有限公司</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Theme="minorEastAsia" w:hAnsiTheme="minorEastAsia" w:eastAsiaTheme="minorEastAsia" w:cstheme="minorEastAsia"/>
          <w:kern w:val="2"/>
          <w:sz w:val="24"/>
          <w:szCs w:val="24"/>
          <w:lang w:val="en-US" w:eastAsia="zh-CN" w:bidi="ar"/>
        </w:rPr>
      </w:pPr>
      <w:r>
        <w:rPr>
          <w:rFonts w:hint="eastAsia" w:asciiTheme="minorEastAsia" w:hAnsiTheme="minorEastAsia" w:eastAsiaTheme="minorEastAsia" w:cstheme="minorEastAsia"/>
          <w:kern w:val="2"/>
          <w:sz w:val="24"/>
          <w:szCs w:val="24"/>
          <w:lang w:val="en-US" w:eastAsia="zh-CN" w:bidi="ar"/>
        </w:rPr>
        <w:t>地址：长春市绿园区西安大路西安花园三期一栋二单元10楼</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Theme="minorEastAsia" w:hAnsiTheme="minorEastAsia" w:eastAsiaTheme="minorEastAsia" w:cstheme="minorEastAsia"/>
          <w:kern w:val="2"/>
          <w:sz w:val="24"/>
          <w:szCs w:val="24"/>
          <w:lang w:val="en-US" w:eastAsia="zh-CN" w:bidi="ar"/>
        </w:rPr>
      </w:pPr>
      <w:r>
        <w:rPr>
          <w:rFonts w:hint="eastAsia" w:asciiTheme="minorEastAsia" w:hAnsiTheme="minorEastAsia" w:eastAsiaTheme="minorEastAsia" w:cstheme="minorEastAsia"/>
          <w:kern w:val="2"/>
          <w:sz w:val="24"/>
          <w:szCs w:val="24"/>
          <w:lang w:val="en-US" w:eastAsia="zh-CN" w:bidi="ar"/>
        </w:rPr>
        <w:t>3.项目联系人</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default" w:asciiTheme="minorEastAsia" w:hAnsiTheme="minorEastAsia" w:eastAsiaTheme="minorEastAsia" w:cstheme="minorEastAsia"/>
          <w:kern w:val="2"/>
          <w:sz w:val="24"/>
          <w:szCs w:val="24"/>
          <w:lang w:val="en-US" w:eastAsia="zh-CN" w:bidi="ar"/>
        </w:rPr>
      </w:pPr>
      <w:r>
        <w:rPr>
          <w:rFonts w:hint="eastAsia" w:asciiTheme="minorEastAsia" w:hAnsiTheme="minorEastAsia" w:eastAsiaTheme="minorEastAsia" w:cstheme="minorEastAsia"/>
          <w:kern w:val="2"/>
          <w:sz w:val="24"/>
          <w:szCs w:val="24"/>
          <w:lang w:val="en-US" w:eastAsia="zh-CN" w:bidi="ar"/>
        </w:rPr>
        <w:t xml:space="preserve">联系人：李春萍 </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default" w:asciiTheme="minorEastAsia" w:hAnsiTheme="minorEastAsia" w:eastAsiaTheme="minorEastAsia" w:cstheme="minorEastAsia"/>
          <w:kern w:val="2"/>
          <w:sz w:val="24"/>
          <w:szCs w:val="24"/>
          <w:lang w:val="en-US" w:eastAsia="zh-CN" w:bidi="ar"/>
        </w:rPr>
      </w:pPr>
      <w:r>
        <w:rPr>
          <w:rFonts w:hint="eastAsia" w:asciiTheme="minorEastAsia" w:hAnsiTheme="minorEastAsia" w:eastAsiaTheme="minorEastAsia" w:cstheme="minorEastAsia"/>
          <w:kern w:val="2"/>
          <w:sz w:val="24"/>
          <w:szCs w:val="24"/>
          <w:lang w:val="en-US" w:eastAsia="zh-CN" w:bidi="ar"/>
        </w:rPr>
        <w:t>联系方式：0431-80562585</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bidi="ar"/>
        </w:rPr>
        <w:t xml:space="preserve">4.技术服务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jc w:val="left"/>
      </w:pPr>
      <w:r>
        <w:rPr>
          <w:rFonts w:hint="eastAsia" w:ascii="宋体" w:hAnsi="宋体" w:eastAsia="宋体" w:cs="宋体"/>
          <w:color w:val="000000"/>
          <w:kern w:val="0"/>
          <w:sz w:val="24"/>
          <w:szCs w:val="24"/>
          <w:lang w:val="en-US" w:eastAsia="zh-CN" w:bidi="ar"/>
        </w:rPr>
        <w:t>用户注册咨询人：任姝颖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jc w:val="left"/>
      </w:pPr>
      <w:r>
        <w:rPr>
          <w:rFonts w:hint="eastAsia" w:ascii="宋体" w:hAnsi="宋体" w:eastAsia="宋体" w:cs="宋体"/>
          <w:color w:val="000000"/>
          <w:kern w:val="0"/>
          <w:sz w:val="24"/>
          <w:szCs w:val="24"/>
          <w:lang w:val="en-US" w:eastAsia="zh-CN" w:bidi="ar"/>
        </w:rPr>
        <w:t>联系电话：0435-3295836</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jc w:val="left"/>
      </w:pPr>
      <w:r>
        <w:rPr>
          <w:rFonts w:hint="eastAsia" w:ascii="宋体" w:hAnsi="宋体" w:eastAsia="宋体" w:cs="宋体"/>
          <w:color w:val="000000"/>
          <w:kern w:val="0"/>
          <w:sz w:val="24"/>
          <w:szCs w:val="24"/>
          <w:lang w:val="en-US" w:eastAsia="zh-CN" w:bidi="ar"/>
        </w:rPr>
        <w:t>CA办理咨询电话：0435-3295811</w:t>
      </w:r>
    </w:p>
    <w:p>
      <w:r>
        <w:rPr>
          <w:rFonts w:hint="eastAsia" w:ascii="宋体" w:hAnsi="宋体" w:eastAsia="宋体" w:cs="宋体"/>
          <w:color w:val="000000"/>
          <w:kern w:val="0"/>
          <w:sz w:val="24"/>
          <w:szCs w:val="24"/>
          <w:lang w:val="en-US" w:eastAsia="zh-CN" w:bidi="ar"/>
        </w:rPr>
        <w:t>网络技术支持（招标文件获取等）咨询电话：0435-3295811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jNDczMTU4MzU4MDJlMjc4ZmQ3OGZlNjMyNDZmNGMifQ=="/>
  </w:docVars>
  <w:rsids>
    <w:rsidRoot w:val="40B848FD"/>
    <w:rsid w:val="40B84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widowControl/>
      <w:tabs>
        <w:tab w:val="left" w:pos="432"/>
      </w:tabs>
      <w:ind w:left="432" w:hanging="432"/>
      <w:jc w:val="center"/>
      <w:outlineLvl w:val="0"/>
    </w:pPr>
    <w:rPr>
      <w:rFonts w:ascii="黑体" w:eastAsia="黑体"/>
      <w:kern w:val="0"/>
      <w:sz w:val="52"/>
      <w:szCs w:val="20"/>
    </w:rPr>
  </w:style>
  <w:style w:type="paragraph" w:styleId="4">
    <w:name w:val="heading 2"/>
    <w:basedOn w:val="1"/>
    <w:next w:val="1"/>
    <w:qFormat/>
    <w:uiPriority w:val="0"/>
    <w:pPr>
      <w:keepNext/>
      <w:keepLines/>
      <w:widowControl/>
      <w:spacing w:before="260" w:after="260" w:line="416" w:lineRule="auto"/>
      <w:jc w:val="center"/>
      <w:outlineLvl w:val="1"/>
    </w:pPr>
    <w:rPr>
      <w:rFonts w:ascii="Arial" w:hAnsi="Arial" w:eastAsia="黑体"/>
      <w:kern w:val="0"/>
      <w:sz w:val="44"/>
      <w:szCs w:val="20"/>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2"/>
    <w:basedOn w:val="1"/>
    <w:qFormat/>
    <w:uiPriority w:val="0"/>
    <w:pPr>
      <w:widowControl w:val="0"/>
      <w:spacing w:before="0" w:after="120" w:line="480" w:lineRule="auto"/>
      <w:ind w:left="0" w:right="0"/>
      <w:jc w:val="both"/>
    </w:pPr>
    <w:rPr>
      <w:rFonts w:ascii="Times New Roman" w:hAnsi="Times New Roman" w:eastAsia="宋体" w:cs="Times New Roman"/>
      <w:kern w:val="2"/>
      <w:sz w:val="21"/>
      <w:szCs w:val="24"/>
      <w:lang w:val="en-US" w:eastAsia="zh-CN" w:bidi="ar-SA"/>
    </w:rPr>
  </w:style>
  <w:style w:type="paragraph" w:styleId="5">
    <w:name w:val="Body Text"/>
    <w:basedOn w:val="1"/>
    <w:next w:val="1"/>
    <w:qFormat/>
    <w:uiPriority w:val="0"/>
    <w:pPr>
      <w:spacing w:after="120"/>
    </w:pPr>
  </w:style>
  <w:style w:type="paragraph" w:styleId="6">
    <w:name w:val="Normal (Web)"/>
    <w:basedOn w:val="1"/>
    <w:qFormat/>
    <w:uiPriority w:val="99"/>
    <w:pPr>
      <w:widowControl/>
      <w:autoSpaceDE/>
      <w:autoSpaceDN/>
      <w:spacing w:before="100" w:beforeAutospacing="1" w:after="100" w:afterAutospacing="1"/>
    </w:pPr>
    <w:rPr>
      <w:rFonts w:hint="eastAsia" w:cs="Times New Roman"/>
      <w:sz w:val="24"/>
      <w:szCs w:val="20"/>
      <w:lang w:val="en-US" w:bidi="ar-SA"/>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2968</Words>
  <Characters>3364</Characters>
  <Lines>0</Lines>
  <Paragraphs>0</Paragraphs>
  <TotalTime>0</TotalTime>
  <ScaleCrop>false</ScaleCrop>
  <LinksUpToDate>false</LinksUpToDate>
  <CharactersWithSpaces>3378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2022-08-26T05:49:00Z</dcterms:created>
  <dc:creator>REVIEW.</dc:creator>
  <cp:lastModifiedBy>REVIEW.</cp:lastModifiedBy>
  <dcterms:modified xsi:type="dcterms:W3CDTF">2022-08-26T05:50:53Z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B6843BDC3771488E8E12F6AFBD6BE569</vt:lpwstr>
  </property>
</Properties>
</file>