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left="1080" w:leftChars="257" w:hanging="540"/>
        <w:jc w:val="center"/>
        <w:rPr>
          <w:rFonts w:hint="eastAsia" w:ascii="宋体" w:hAnsi="宋体" w:eastAsia="宋体" w:cs="宋体"/>
          <w:b/>
          <w:sz w:val="30"/>
          <w:szCs w:val="30"/>
        </w:rPr>
      </w:pPr>
      <w:r>
        <w:rPr>
          <w:rFonts w:hint="eastAsia" w:ascii="宋体" w:hAnsi="宋体" w:eastAsia="宋体" w:cs="宋体"/>
          <w:b/>
          <w:sz w:val="52"/>
        </w:rPr>
        <w:drawing>
          <wp:inline distT="0" distB="0" distL="0" distR="0">
            <wp:extent cx="940435" cy="1155700"/>
            <wp:effectExtent l="19050" t="0" r="0" b="0"/>
            <wp:docPr id="1" name="图片 1" descr="说明: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logo1"/>
                    <pic:cNvPicPr>
                      <a:picLocks noChangeAspect="1" noChangeArrowheads="1"/>
                    </pic:cNvPicPr>
                  </pic:nvPicPr>
                  <pic:blipFill>
                    <a:blip r:embed="rId8"/>
                    <a:srcRect/>
                    <a:stretch>
                      <a:fillRect/>
                    </a:stretch>
                  </pic:blipFill>
                  <pic:spPr>
                    <a:xfrm>
                      <a:off x="0" y="0"/>
                      <a:ext cx="940435" cy="1155700"/>
                    </a:xfrm>
                    <a:prstGeom prst="rect">
                      <a:avLst/>
                    </a:prstGeom>
                    <a:noFill/>
                    <a:ln w="9525">
                      <a:noFill/>
                      <a:miter lim="800000"/>
                      <a:headEnd/>
                      <a:tailEnd/>
                    </a:ln>
                  </pic:spPr>
                </pic:pic>
              </a:graphicData>
            </a:graphic>
          </wp:inline>
        </w:drawing>
      </w:r>
    </w:p>
    <w:p>
      <w:pPr>
        <w:spacing w:line="240" w:lineRule="atLeast"/>
        <w:ind w:left="1080" w:leftChars="257" w:hanging="540"/>
        <w:jc w:val="center"/>
        <w:rPr>
          <w:rFonts w:hint="eastAsia" w:ascii="宋体" w:hAnsi="宋体" w:eastAsia="宋体" w:cs="宋体"/>
          <w:b/>
          <w:sz w:val="52"/>
          <w:szCs w:val="52"/>
        </w:rPr>
      </w:pPr>
    </w:p>
    <w:p>
      <w:pPr>
        <w:spacing w:line="240" w:lineRule="atLeast"/>
        <w:ind w:left="1080" w:leftChars="257" w:hanging="540"/>
        <w:jc w:val="center"/>
        <w:rPr>
          <w:rFonts w:hint="eastAsia" w:ascii="宋体" w:hAnsi="宋体" w:eastAsia="宋体" w:cs="宋体"/>
          <w:b/>
          <w:sz w:val="52"/>
          <w:szCs w:val="52"/>
        </w:rPr>
      </w:pPr>
      <w:r>
        <w:rPr>
          <w:rFonts w:hint="eastAsia" w:ascii="宋体" w:hAnsi="宋体" w:eastAsia="宋体" w:cs="宋体"/>
          <w:b/>
          <w:sz w:val="52"/>
          <w:szCs w:val="52"/>
        </w:rPr>
        <w:t>政府采购</w:t>
      </w:r>
    </w:p>
    <w:p>
      <w:pPr>
        <w:spacing w:line="240" w:lineRule="atLeast"/>
        <w:ind w:left="1080" w:leftChars="257" w:hanging="540"/>
        <w:jc w:val="center"/>
        <w:rPr>
          <w:rFonts w:hint="eastAsia" w:ascii="宋体" w:hAnsi="宋体" w:eastAsia="宋体" w:cs="宋体"/>
          <w:b/>
          <w:sz w:val="52"/>
          <w:szCs w:val="52"/>
        </w:rPr>
      </w:pPr>
      <w:r>
        <w:rPr>
          <w:rFonts w:hint="eastAsia" w:ascii="宋体" w:hAnsi="宋体" w:eastAsia="宋体" w:cs="宋体"/>
          <w:b/>
          <w:sz w:val="52"/>
          <w:szCs w:val="52"/>
        </w:rPr>
        <w:t>货物公开招标文件</w:t>
      </w:r>
    </w:p>
    <w:p>
      <w:pPr>
        <w:spacing w:line="240" w:lineRule="atLeast"/>
        <w:ind w:left="1080" w:leftChars="257" w:hanging="540"/>
        <w:jc w:val="center"/>
        <w:rPr>
          <w:rFonts w:hint="eastAsia" w:ascii="宋体" w:hAnsi="宋体" w:eastAsia="宋体" w:cs="宋体"/>
          <w:b/>
          <w:sz w:val="52"/>
        </w:rPr>
      </w:pPr>
    </w:p>
    <w:p>
      <w:pPr>
        <w:spacing w:line="240" w:lineRule="atLeast"/>
        <w:ind w:left="1080" w:leftChars="257" w:hanging="540"/>
        <w:rPr>
          <w:rFonts w:hint="eastAsia" w:ascii="宋体" w:hAnsi="宋体" w:eastAsia="宋体" w:cs="宋体"/>
          <w:b/>
          <w:sz w:val="28"/>
        </w:rPr>
      </w:pPr>
    </w:p>
    <w:p>
      <w:pPr>
        <w:spacing w:line="240" w:lineRule="atLeast"/>
        <w:ind w:left="1080" w:leftChars="257" w:hanging="540"/>
        <w:jc w:val="center"/>
        <w:rPr>
          <w:rFonts w:hint="eastAsia" w:ascii="宋体" w:hAnsi="宋体" w:eastAsia="宋体" w:cs="宋体"/>
          <w:b/>
          <w:sz w:val="48"/>
          <w:szCs w:val="48"/>
        </w:rPr>
      </w:pPr>
      <w:r>
        <w:rPr>
          <w:rFonts w:hint="eastAsia" w:ascii="宋体" w:hAnsi="宋体" w:eastAsia="宋体" w:cs="宋体"/>
          <w:b/>
          <w:sz w:val="48"/>
          <w:szCs w:val="48"/>
        </w:rPr>
        <w:t>第二册</w:t>
      </w:r>
    </w:p>
    <w:p>
      <w:pPr>
        <w:spacing w:line="240" w:lineRule="atLeast"/>
        <w:ind w:left="1080" w:leftChars="257" w:hanging="540"/>
        <w:rPr>
          <w:rFonts w:hint="eastAsia" w:ascii="宋体" w:hAnsi="宋体" w:eastAsia="宋体" w:cs="宋体"/>
          <w:b/>
          <w:sz w:val="28"/>
        </w:rPr>
      </w:pPr>
    </w:p>
    <w:p>
      <w:pPr>
        <w:spacing w:line="240" w:lineRule="atLeast"/>
        <w:ind w:left="1080" w:leftChars="257" w:hanging="540"/>
        <w:rPr>
          <w:rFonts w:hint="eastAsia" w:ascii="宋体" w:hAnsi="宋体" w:eastAsia="宋体" w:cs="宋体"/>
          <w:b/>
          <w:sz w:val="28"/>
        </w:rPr>
      </w:pPr>
    </w:p>
    <w:p>
      <w:pPr>
        <w:spacing w:line="240" w:lineRule="atLeast"/>
        <w:ind w:left="1080" w:leftChars="257" w:hanging="540"/>
        <w:rPr>
          <w:rFonts w:hint="eastAsia" w:ascii="宋体" w:hAnsi="宋体" w:eastAsia="宋体" w:cs="宋体"/>
          <w:b/>
          <w:sz w:val="28"/>
        </w:rPr>
      </w:pPr>
    </w:p>
    <w:p>
      <w:pPr>
        <w:spacing w:line="240" w:lineRule="atLeast"/>
        <w:ind w:left="1080" w:leftChars="257" w:hanging="540"/>
        <w:rPr>
          <w:rFonts w:hint="eastAsia" w:ascii="宋体" w:hAnsi="宋体" w:eastAsia="宋体" w:cs="宋体"/>
          <w:b/>
          <w:sz w:val="28"/>
        </w:rPr>
      </w:pPr>
    </w:p>
    <w:p>
      <w:pPr>
        <w:spacing w:line="240" w:lineRule="atLeast"/>
        <w:ind w:left="1080" w:leftChars="257" w:hanging="540"/>
        <w:jc w:val="center"/>
        <w:rPr>
          <w:rFonts w:hint="eastAsia" w:ascii="宋体" w:hAnsi="宋体" w:eastAsia="宋体" w:cs="宋体"/>
          <w:b/>
          <w:sz w:val="48"/>
          <w:szCs w:val="48"/>
        </w:rPr>
      </w:pPr>
      <w:r>
        <w:rPr>
          <w:rFonts w:hint="eastAsia" w:ascii="宋体" w:hAnsi="宋体" w:eastAsia="宋体" w:cs="宋体"/>
          <w:b/>
          <w:sz w:val="48"/>
          <w:szCs w:val="48"/>
        </w:rPr>
        <w:t>项目名称:(上海2022年度)风云三号03批气象卫星工程建设项目</w:t>
      </w:r>
    </w:p>
    <w:p>
      <w:pPr>
        <w:spacing w:line="240" w:lineRule="atLeast"/>
        <w:ind w:left="1080" w:leftChars="257" w:hanging="540"/>
        <w:jc w:val="center"/>
        <w:rPr>
          <w:rFonts w:hint="eastAsia" w:ascii="宋体" w:hAnsi="宋体" w:eastAsia="宋体" w:cs="宋体"/>
          <w:b/>
          <w:sz w:val="52"/>
          <w:szCs w:val="52"/>
        </w:rPr>
      </w:pPr>
    </w:p>
    <w:p>
      <w:pPr>
        <w:spacing w:line="240" w:lineRule="atLeast"/>
        <w:ind w:left="1080" w:leftChars="257" w:hanging="540"/>
        <w:jc w:val="center"/>
        <w:rPr>
          <w:rFonts w:hint="eastAsia" w:ascii="宋体" w:hAnsi="宋体" w:eastAsia="宋体" w:cs="宋体"/>
          <w:b/>
          <w:sz w:val="32"/>
        </w:rPr>
      </w:pPr>
      <w:r>
        <w:rPr>
          <w:rFonts w:hint="eastAsia" w:ascii="宋体" w:hAnsi="宋体" w:eastAsia="宋体" w:cs="宋体"/>
          <w:b/>
          <w:sz w:val="32"/>
        </w:rPr>
        <w:t>招标编号：TC220L0AH</w:t>
      </w:r>
    </w:p>
    <w:p>
      <w:pPr>
        <w:spacing w:line="240" w:lineRule="atLeast"/>
        <w:ind w:left="1080" w:leftChars="257" w:hanging="540"/>
        <w:jc w:val="center"/>
        <w:rPr>
          <w:rFonts w:hint="eastAsia" w:ascii="宋体" w:hAnsi="宋体" w:eastAsia="宋体" w:cs="宋体"/>
          <w:b/>
          <w:sz w:val="52"/>
        </w:rPr>
      </w:pPr>
    </w:p>
    <w:p>
      <w:pPr>
        <w:spacing w:line="240" w:lineRule="atLeast"/>
        <w:ind w:left="1080" w:leftChars="257" w:hanging="540"/>
        <w:jc w:val="center"/>
        <w:rPr>
          <w:rFonts w:hint="eastAsia" w:ascii="宋体" w:hAnsi="宋体" w:eastAsia="宋体" w:cs="宋体"/>
          <w:b/>
          <w:sz w:val="52"/>
        </w:rPr>
      </w:pPr>
    </w:p>
    <w:p>
      <w:pPr>
        <w:spacing w:line="240" w:lineRule="atLeast"/>
        <w:ind w:left="1080" w:leftChars="257" w:hanging="540"/>
        <w:jc w:val="center"/>
        <w:rPr>
          <w:rFonts w:hint="eastAsia" w:ascii="宋体" w:hAnsi="宋体" w:eastAsia="宋体" w:cs="宋体"/>
          <w:b/>
          <w:sz w:val="52"/>
        </w:rPr>
      </w:pPr>
    </w:p>
    <w:p>
      <w:pPr>
        <w:spacing w:line="240" w:lineRule="atLeast"/>
        <w:ind w:left="1080" w:leftChars="257" w:hanging="540"/>
        <w:jc w:val="center"/>
        <w:rPr>
          <w:rFonts w:hint="eastAsia" w:ascii="宋体" w:hAnsi="宋体" w:eastAsia="宋体" w:cs="宋体"/>
          <w:b/>
          <w:sz w:val="52"/>
        </w:rPr>
      </w:pPr>
      <w:r>
        <w:rPr>
          <w:rFonts w:hint="eastAsia" w:ascii="宋体" w:hAnsi="宋体" w:eastAsia="宋体" w:cs="宋体"/>
          <w:b/>
          <w:sz w:val="52"/>
        </w:rPr>
        <w:t>中招国际招标有限公司</w:t>
      </w:r>
    </w:p>
    <w:p>
      <w:pPr>
        <w:jc w:val="center"/>
        <w:rPr>
          <w:rFonts w:hint="eastAsia" w:ascii="宋体" w:hAnsi="宋体" w:eastAsia="宋体" w:cs="宋体"/>
          <w:b/>
          <w:sz w:val="52"/>
        </w:rPr>
      </w:pPr>
      <w:r>
        <w:rPr>
          <w:rFonts w:hint="eastAsia" w:ascii="宋体" w:hAnsi="宋体" w:eastAsia="宋体" w:cs="宋体"/>
          <w:b/>
          <w:sz w:val="52"/>
        </w:rPr>
        <w:br w:type="page"/>
      </w:r>
      <w:bookmarkStart w:id="0" w:name="_Toc220229427"/>
      <w:bookmarkStart w:id="1" w:name="_Toc218935349"/>
      <w:bookmarkStart w:id="2" w:name="_Toc220229323"/>
      <w:bookmarkStart w:id="3" w:name="_Toc219175633"/>
    </w:p>
    <w:p>
      <w:pPr>
        <w:jc w:val="center"/>
        <w:rPr>
          <w:rFonts w:hint="eastAsia" w:ascii="宋体" w:hAnsi="宋体" w:eastAsia="宋体" w:cs="宋体"/>
          <w:b/>
          <w:sz w:val="32"/>
          <w:szCs w:val="32"/>
        </w:rPr>
      </w:pPr>
      <w:r>
        <w:rPr>
          <w:rFonts w:hint="eastAsia" w:ascii="宋体" w:hAnsi="宋体" w:eastAsia="宋体" w:cs="宋体"/>
          <w:b/>
          <w:sz w:val="32"/>
          <w:szCs w:val="32"/>
        </w:rPr>
        <w:t>目      录</w:t>
      </w:r>
      <w:bookmarkEnd w:id="0"/>
      <w:bookmarkEnd w:id="1"/>
      <w:bookmarkEnd w:id="2"/>
      <w:bookmarkEnd w:id="3"/>
    </w:p>
    <w:p>
      <w:pPr>
        <w:jc w:val="center"/>
        <w:rPr>
          <w:rFonts w:hint="eastAsia" w:ascii="宋体" w:hAnsi="宋体" w:eastAsia="宋体" w:cs="宋体"/>
          <w:b/>
          <w:sz w:val="28"/>
        </w:rPr>
      </w:pPr>
    </w:p>
    <w:p>
      <w:pPr>
        <w:jc w:val="center"/>
        <w:rPr>
          <w:rFonts w:hint="eastAsia" w:ascii="宋体" w:hAnsi="宋体" w:eastAsia="宋体" w:cs="宋体"/>
          <w:b/>
          <w:sz w:val="28"/>
        </w:rPr>
      </w:pPr>
    </w:p>
    <w:p>
      <w:pPr>
        <w:pStyle w:val="41"/>
        <w:tabs>
          <w:tab w:val="left" w:pos="1050"/>
          <w:tab w:val="right" w:leader="dot" w:pos="8302"/>
        </w:tabs>
        <w:spacing w:line="48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TOC \o "1-3" \h \z \u </w:instrText>
      </w:r>
      <w:r>
        <w:rPr>
          <w:rFonts w:hint="eastAsia" w:ascii="宋体" w:hAnsi="宋体" w:eastAsia="宋体" w:cs="宋体"/>
          <w:sz w:val="28"/>
          <w:szCs w:val="28"/>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"_Toc507399902" </w:instrText>
      </w:r>
      <w:r>
        <w:rPr>
          <w:rFonts w:hint="eastAsia" w:ascii="宋体" w:hAnsi="宋体" w:eastAsia="宋体" w:cs="宋体"/>
        </w:rPr>
        <w:fldChar w:fldCharType="separate"/>
      </w:r>
      <w:r>
        <w:rPr>
          <w:rFonts w:hint="eastAsia" w:ascii="宋体" w:hAnsi="宋体" w:eastAsia="宋体" w:cs="宋体"/>
          <w:sz w:val="28"/>
          <w:szCs w:val="28"/>
        </w:rPr>
        <w:t>第四章</w:t>
      </w:r>
      <w:r>
        <w:rPr>
          <w:rFonts w:hint="eastAsia" w:ascii="宋体" w:hAnsi="宋体" w:eastAsia="宋体" w:cs="宋体"/>
          <w:sz w:val="28"/>
          <w:szCs w:val="28"/>
        </w:rPr>
        <w:tab/>
      </w:r>
      <w:r>
        <w:rPr>
          <w:rFonts w:hint="eastAsia" w:ascii="宋体" w:hAnsi="宋体" w:eastAsia="宋体" w:cs="宋体"/>
          <w:sz w:val="28"/>
          <w:szCs w:val="28"/>
        </w:rPr>
        <w:t>投标邀请</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_Toc507399902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41"/>
        <w:tabs>
          <w:tab w:val="left" w:pos="1050"/>
          <w:tab w:val="right" w:leader="dot" w:pos="8302"/>
        </w:tabs>
        <w:spacing w:line="480" w:lineRule="auto"/>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"_Toc507399903" </w:instrText>
      </w:r>
      <w:r>
        <w:rPr>
          <w:rFonts w:hint="eastAsia" w:ascii="宋体" w:hAnsi="宋体" w:eastAsia="宋体" w:cs="宋体"/>
        </w:rPr>
        <w:fldChar w:fldCharType="separate"/>
      </w:r>
      <w:r>
        <w:rPr>
          <w:rFonts w:hint="eastAsia" w:ascii="宋体" w:hAnsi="宋体" w:eastAsia="宋体" w:cs="宋体"/>
          <w:sz w:val="28"/>
          <w:szCs w:val="28"/>
        </w:rPr>
        <w:t>第五章</w:t>
      </w:r>
      <w:r>
        <w:rPr>
          <w:rFonts w:hint="eastAsia" w:ascii="宋体" w:hAnsi="宋体" w:eastAsia="宋体" w:cs="宋体"/>
          <w:sz w:val="28"/>
          <w:szCs w:val="28"/>
        </w:rPr>
        <w:tab/>
      </w:r>
      <w:r>
        <w:rPr>
          <w:rFonts w:hint="eastAsia" w:ascii="宋体" w:hAnsi="宋体" w:eastAsia="宋体" w:cs="宋体"/>
          <w:sz w:val="28"/>
          <w:szCs w:val="28"/>
        </w:rPr>
        <w:t>投标人须知资料表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_Toc507399903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41"/>
        <w:tabs>
          <w:tab w:val="left" w:pos="1050"/>
          <w:tab w:val="right" w:leader="dot" w:pos="8302"/>
        </w:tabs>
        <w:spacing w:line="480" w:lineRule="auto"/>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"_Toc507399904" </w:instrText>
      </w:r>
      <w:r>
        <w:rPr>
          <w:rFonts w:hint="eastAsia" w:ascii="宋体" w:hAnsi="宋体" w:eastAsia="宋体" w:cs="宋体"/>
        </w:rPr>
        <w:fldChar w:fldCharType="separate"/>
      </w:r>
      <w:r>
        <w:rPr>
          <w:rFonts w:hint="eastAsia" w:ascii="宋体" w:hAnsi="宋体" w:eastAsia="宋体" w:cs="宋体"/>
          <w:sz w:val="28"/>
          <w:szCs w:val="28"/>
        </w:rPr>
        <w:t>第六章</w:t>
      </w:r>
      <w:r>
        <w:rPr>
          <w:rFonts w:hint="eastAsia" w:ascii="宋体" w:hAnsi="宋体" w:eastAsia="宋体" w:cs="宋体"/>
          <w:sz w:val="28"/>
          <w:szCs w:val="28"/>
        </w:rPr>
        <w:tab/>
      </w:r>
      <w:r>
        <w:rPr>
          <w:rFonts w:hint="eastAsia" w:ascii="宋体" w:hAnsi="宋体" w:eastAsia="宋体" w:cs="宋体"/>
          <w:sz w:val="28"/>
          <w:szCs w:val="28"/>
        </w:rPr>
        <w:t>政府采购</w:t>
      </w:r>
      <w:bookmarkStart w:id="4" w:name="_Hlt507399915"/>
      <w:bookmarkStart w:id="5" w:name="_Hlt507399916"/>
      <w:r>
        <w:rPr>
          <w:rFonts w:hint="eastAsia" w:ascii="宋体" w:hAnsi="宋体" w:eastAsia="宋体" w:cs="宋体"/>
          <w:sz w:val="28"/>
          <w:szCs w:val="28"/>
        </w:rPr>
        <w:t>合</w:t>
      </w:r>
      <w:bookmarkEnd w:id="4"/>
      <w:bookmarkEnd w:id="5"/>
      <w:r>
        <w:rPr>
          <w:rFonts w:hint="eastAsia" w:ascii="宋体" w:hAnsi="宋体" w:eastAsia="宋体" w:cs="宋体"/>
          <w:sz w:val="28"/>
          <w:szCs w:val="28"/>
        </w:rPr>
        <w:t>同格式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_Toc507399904 \h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41"/>
        <w:tabs>
          <w:tab w:val="left" w:pos="1050"/>
          <w:tab w:val="right" w:leader="dot" w:pos="8302"/>
        </w:tabs>
        <w:spacing w:line="480" w:lineRule="auto"/>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"_Toc507399905" </w:instrText>
      </w:r>
      <w:r>
        <w:rPr>
          <w:rFonts w:hint="eastAsia" w:ascii="宋体" w:hAnsi="宋体" w:eastAsia="宋体" w:cs="宋体"/>
        </w:rPr>
        <w:fldChar w:fldCharType="separate"/>
      </w:r>
      <w:r>
        <w:rPr>
          <w:rFonts w:hint="eastAsia" w:ascii="宋体" w:hAnsi="宋体" w:eastAsia="宋体" w:cs="宋体"/>
          <w:sz w:val="28"/>
          <w:szCs w:val="28"/>
        </w:rPr>
        <w:t>第七章</w:t>
      </w:r>
      <w:r>
        <w:rPr>
          <w:rFonts w:hint="eastAsia" w:ascii="宋体" w:hAnsi="宋体" w:eastAsia="宋体" w:cs="宋体"/>
          <w:sz w:val="28"/>
          <w:szCs w:val="28"/>
        </w:rPr>
        <w:tab/>
      </w:r>
      <w:r>
        <w:rPr>
          <w:rFonts w:hint="eastAsia" w:ascii="宋体" w:hAnsi="宋体" w:eastAsia="宋体" w:cs="宋体"/>
          <w:sz w:val="28"/>
          <w:szCs w:val="28"/>
        </w:rPr>
        <w:t>合同专用条款</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_Toc507399905 \h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41"/>
        <w:tabs>
          <w:tab w:val="left" w:pos="1050"/>
          <w:tab w:val="right" w:leader="dot" w:pos="8302"/>
        </w:tabs>
        <w:spacing w:line="480" w:lineRule="auto"/>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"_Toc507399906" </w:instrText>
      </w:r>
      <w:r>
        <w:rPr>
          <w:rFonts w:hint="eastAsia" w:ascii="宋体" w:hAnsi="宋体" w:eastAsia="宋体" w:cs="宋体"/>
        </w:rPr>
        <w:fldChar w:fldCharType="separate"/>
      </w:r>
      <w:r>
        <w:rPr>
          <w:rFonts w:hint="eastAsia" w:ascii="宋体" w:hAnsi="宋体" w:eastAsia="宋体" w:cs="宋体"/>
          <w:sz w:val="28"/>
          <w:szCs w:val="28"/>
        </w:rPr>
        <w:t>第八章</w:t>
      </w:r>
      <w:r>
        <w:rPr>
          <w:rFonts w:hint="eastAsia" w:ascii="宋体" w:hAnsi="宋体" w:eastAsia="宋体" w:cs="宋体"/>
          <w:sz w:val="28"/>
          <w:szCs w:val="28"/>
        </w:rPr>
        <w:tab/>
      </w:r>
      <w:r>
        <w:rPr>
          <w:rFonts w:hint="eastAsia" w:ascii="宋体" w:hAnsi="宋体" w:eastAsia="宋体" w:cs="宋体"/>
          <w:sz w:val="28"/>
          <w:szCs w:val="28"/>
        </w:rPr>
        <w:t>货物需求一览表及技术规格</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_Toc507399906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41"/>
        <w:tabs>
          <w:tab w:val="left" w:pos="1050"/>
          <w:tab w:val="right" w:leader="dot" w:pos="8302"/>
        </w:tabs>
        <w:spacing w:line="480" w:lineRule="auto"/>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"_Toc507399907" </w:instrText>
      </w:r>
      <w:r>
        <w:rPr>
          <w:rFonts w:hint="eastAsia" w:ascii="宋体" w:hAnsi="宋体" w:eastAsia="宋体" w:cs="宋体"/>
        </w:rPr>
        <w:fldChar w:fldCharType="separate"/>
      </w:r>
      <w:r>
        <w:rPr>
          <w:rFonts w:hint="eastAsia" w:ascii="宋体" w:hAnsi="宋体" w:eastAsia="宋体" w:cs="宋体"/>
          <w:sz w:val="28"/>
          <w:szCs w:val="28"/>
        </w:rPr>
        <w:t>第九章</w:t>
      </w:r>
      <w:r>
        <w:rPr>
          <w:rFonts w:hint="eastAsia" w:ascii="宋体" w:hAnsi="宋体" w:eastAsia="宋体" w:cs="宋体"/>
          <w:sz w:val="28"/>
          <w:szCs w:val="28"/>
        </w:rPr>
        <w:tab/>
      </w:r>
      <w:r>
        <w:rPr>
          <w:rFonts w:hint="eastAsia" w:ascii="宋体" w:hAnsi="宋体" w:eastAsia="宋体" w:cs="宋体"/>
          <w:sz w:val="28"/>
          <w:szCs w:val="28"/>
        </w:rPr>
        <w:t>评标方法和标准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_Toc507399907 \h </w:instrText>
      </w:r>
      <w:r>
        <w:rPr>
          <w:rFonts w:hint="eastAsia" w:ascii="宋体" w:hAnsi="宋体" w:eastAsia="宋体" w:cs="宋体"/>
          <w:sz w:val="28"/>
          <w:szCs w:val="28"/>
        </w:rPr>
        <w:fldChar w:fldCharType="separate"/>
      </w:r>
      <w:r>
        <w:rPr>
          <w:rFonts w:hint="eastAsia" w:ascii="宋体" w:hAnsi="宋体" w:eastAsia="宋体" w:cs="宋体"/>
          <w:sz w:val="28"/>
          <w:szCs w:val="28"/>
        </w:rPr>
        <w:t>31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spacing w:line="360" w:lineRule="auto"/>
        <w:rPr>
          <w:rFonts w:hint="eastAsia" w:ascii="宋体" w:hAnsi="宋体" w:eastAsia="宋体" w:cs="宋体"/>
          <w:sz w:val="28"/>
          <w:szCs w:val="28"/>
        </w:rPr>
      </w:pPr>
      <w:r>
        <w:rPr>
          <w:rFonts w:hint="eastAsia" w:ascii="宋体" w:hAnsi="宋体" w:eastAsia="宋体" w:cs="宋体"/>
          <w:sz w:val="28"/>
          <w:szCs w:val="28"/>
        </w:rPr>
        <w:fldChar w:fldCharType="end"/>
      </w:r>
    </w:p>
    <w:p>
      <w:pPr>
        <w:pStyle w:val="2"/>
        <w:numPr>
          <w:ilvl w:val="0"/>
          <w:numId w:val="1"/>
        </w:numPr>
        <w:spacing w:before="0" w:after="0" w:line="240" w:lineRule="atLeast"/>
        <w:rPr>
          <w:rFonts w:hint="eastAsia" w:ascii="宋体" w:hAnsi="宋体" w:eastAsia="宋体" w:cs="宋体"/>
        </w:rPr>
      </w:pPr>
      <w:r>
        <w:rPr>
          <w:rFonts w:hint="eastAsia" w:ascii="宋体" w:hAnsi="宋体" w:eastAsia="宋体" w:cs="宋体"/>
        </w:rPr>
        <w:br w:type="page"/>
      </w:r>
      <w:bookmarkStart w:id="6" w:name="_Toc218935350"/>
      <w:bookmarkStart w:id="7" w:name="_Toc216582822"/>
      <w:bookmarkStart w:id="8" w:name="_Toc507399902"/>
      <w:bookmarkStart w:id="9" w:name="_Toc219175634"/>
      <w:r>
        <w:rPr>
          <w:rFonts w:hint="eastAsia" w:ascii="宋体" w:hAnsi="宋体" w:eastAsia="宋体" w:cs="宋体"/>
        </w:rPr>
        <w:t>投标邀请</w:t>
      </w:r>
      <w:bookmarkEnd w:id="6"/>
      <w:bookmarkEnd w:id="7"/>
      <w:bookmarkEnd w:id="8"/>
      <w:bookmarkEnd w:id="9"/>
    </w:p>
    <w:p>
      <w:pPr>
        <w:rPr>
          <w:rFonts w:hint="eastAsia" w:ascii="宋体" w:hAnsi="宋体" w:eastAsia="宋体" w:cs="宋体"/>
        </w:rPr>
      </w:pPr>
    </w:p>
    <w:p>
      <w:pPr>
        <w:spacing w:line="360" w:lineRule="auto"/>
        <w:rPr>
          <w:rFonts w:hint="eastAsia" w:ascii="宋体" w:hAnsi="宋体" w:eastAsia="宋体" w:cs="宋体"/>
          <w:sz w:val="24"/>
        </w:rPr>
      </w:pPr>
      <w:bookmarkStart w:id="10" w:name="_Hlk71146882"/>
      <w:r>
        <w:rPr>
          <w:rFonts w:hint="eastAsia" w:ascii="宋体" w:hAnsi="宋体" w:eastAsia="宋体" w:cs="宋体"/>
          <w:sz w:val="24"/>
        </w:rPr>
        <w:t>中招国际招标有限公司受</w:t>
      </w:r>
      <w:r>
        <w:rPr>
          <w:rFonts w:hint="eastAsia" w:ascii="宋体" w:hAnsi="宋体" w:eastAsia="宋体" w:cs="宋体"/>
          <w:sz w:val="24"/>
          <w:u w:val="single"/>
        </w:rPr>
        <w:t>上海市生态气象和卫星遥感中心</w:t>
      </w:r>
      <w:r>
        <w:rPr>
          <w:rFonts w:hint="eastAsia" w:ascii="宋体" w:hAnsi="宋体" w:eastAsia="宋体" w:cs="宋体"/>
          <w:sz w:val="24"/>
        </w:rPr>
        <w:t>委托，对下述货物及服务进行国内</w:t>
      </w:r>
      <w:r>
        <w:rPr>
          <w:rFonts w:hint="eastAsia" w:ascii="宋体" w:hAnsi="宋体" w:eastAsia="宋体" w:cs="宋体"/>
          <w:sz w:val="24"/>
          <w:u w:val="single"/>
        </w:rPr>
        <w:t>公开</w:t>
      </w:r>
      <w:r>
        <w:rPr>
          <w:rFonts w:hint="eastAsia" w:ascii="宋体" w:hAnsi="宋体" w:eastAsia="宋体" w:cs="宋体"/>
          <w:sz w:val="24"/>
        </w:rPr>
        <w:t>招标。现邀请合格的投标人前来投标。</w:t>
      </w:r>
    </w:p>
    <w:p>
      <w:pPr>
        <w:spacing w:line="360" w:lineRule="auto"/>
        <w:ind w:left="1080" w:leftChars="257" w:hanging="540"/>
        <w:rPr>
          <w:rFonts w:hint="eastAsia" w:ascii="宋体" w:hAnsi="宋体" w:eastAsia="宋体" w:cs="宋体"/>
          <w:sz w:val="24"/>
        </w:rPr>
      </w:pPr>
    </w:p>
    <w:p>
      <w:pPr>
        <w:numPr>
          <w:ilvl w:val="0"/>
          <w:numId w:val="2"/>
        </w:numPr>
        <w:spacing w:line="360" w:lineRule="auto"/>
        <w:ind w:left="1080" w:leftChars="257" w:hanging="540"/>
        <w:rPr>
          <w:rFonts w:hint="eastAsia" w:ascii="宋体" w:hAnsi="宋体" w:eastAsia="宋体" w:cs="宋体"/>
          <w:sz w:val="24"/>
        </w:rPr>
      </w:pPr>
      <w:r>
        <w:rPr>
          <w:rFonts w:hint="eastAsia" w:ascii="宋体" w:hAnsi="宋体" w:eastAsia="宋体" w:cs="宋体"/>
          <w:sz w:val="24"/>
        </w:rPr>
        <w:t>招标编号：TC220L0AH</w:t>
      </w:r>
    </w:p>
    <w:p>
      <w:pPr>
        <w:numPr>
          <w:ilvl w:val="0"/>
          <w:numId w:val="2"/>
        </w:numPr>
        <w:spacing w:line="360" w:lineRule="auto"/>
        <w:ind w:left="1080" w:leftChars="257" w:hanging="540"/>
        <w:rPr>
          <w:rFonts w:hint="eastAsia" w:ascii="宋体" w:hAnsi="宋体" w:eastAsia="宋体" w:cs="宋体"/>
          <w:sz w:val="24"/>
        </w:rPr>
      </w:pPr>
      <w:r>
        <w:rPr>
          <w:rFonts w:hint="eastAsia" w:ascii="宋体" w:hAnsi="宋体" w:eastAsia="宋体" w:cs="宋体"/>
          <w:sz w:val="24"/>
        </w:rPr>
        <w:t>项目信息：</w:t>
      </w:r>
    </w:p>
    <w:p>
      <w:pPr>
        <w:spacing w:line="360" w:lineRule="auto"/>
        <w:ind w:left="540" w:leftChars="257"/>
        <w:rPr>
          <w:rFonts w:hint="eastAsia" w:ascii="宋体" w:hAnsi="宋体" w:eastAsia="宋体" w:cs="宋体"/>
          <w:sz w:val="24"/>
        </w:rPr>
      </w:pPr>
      <w:r>
        <w:rPr>
          <w:rFonts w:hint="eastAsia" w:ascii="宋体" w:hAnsi="宋体" w:eastAsia="宋体" w:cs="宋体"/>
          <w:sz w:val="24"/>
        </w:rPr>
        <w:t>2.1项目名称：(上海2022年度)风云三号03批气象卫星工程建设项目</w:t>
      </w:r>
    </w:p>
    <w:p>
      <w:pPr>
        <w:spacing w:line="360" w:lineRule="auto"/>
        <w:ind w:left="540" w:leftChars="257"/>
        <w:rPr>
          <w:rFonts w:hint="eastAsia" w:ascii="宋体" w:hAnsi="宋体" w:eastAsia="宋体" w:cs="宋体"/>
          <w:sz w:val="24"/>
        </w:rPr>
      </w:pPr>
      <w:r>
        <w:rPr>
          <w:rFonts w:hint="eastAsia" w:ascii="宋体" w:hAnsi="宋体" w:eastAsia="宋体" w:cs="宋体"/>
          <w:sz w:val="24"/>
        </w:rPr>
        <w:t>2.1项目内容：</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6130"/>
        <w:gridCol w:w="1107"/>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026"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6130"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项目内容</w:t>
            </w:r>
          </w:p>
        </w:tc>
        <w:tc>
          <w:tcPr>
            <w:tcW w:w="1107"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数量</w:t>
            </w:r>
          </w:p>
        </w:tc>
        <w:tc>
          <w:tcPr>
            <w:tcW w:w="1025"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26"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01</w:t>
            </w:r>
          </w:p>
        </w:tc>
        <w:tc>
          <w:tcPr>
            <w:tcW w:w="6130"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基于遥感数据的清单订正及模式同化分系统</w:t>
            </w:r>
          </w:p>
        </w:tc>
        <w:tc>
          <w:tcPr>
            <w:tcW w:w="1107"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025"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02</w:t>
            </w:r>
          </w:p>
        </w:tc>
        <w:tc>
          <w:tcPr>
            <w:tcW w:w="6130"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重点区域多源卫星资料协同分析分系统</w:t>
            </w:r>
          </w:p>
        </w:tc>
        <w:tc>
          <w:tcPr>
            <w:tcW w:w="1107"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025"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26"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03</w:t>
            </w:r>
          </w:p>
        </w:tc>
        <w:tc>
          <w:tcPr>
            <w:tcW w:w="6130"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基于云技术的统一门户分系统</w:t>
            </w:r>
          </w:p>
        </w:tc>
        <w:tc>
          <w:tcPr>
            <w:tcW w:w="1107"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025"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26"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04</w:t>
            </w:r>
          </w:p>
        </w:tc>
        <w:tc>
          <w:tcPr>
            <w:tcW w:w="6130"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长三角城市群生态承载力评估分系统</w:t>
            </w:r>
          </w:p>
        </w:tc>
        <w:tc>
          <w:tcPr>
            <w:tcW w:w="1107"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025"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26"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05</w:t>
            </w:r>
          </w:p>
        </w:tc>
        <w:tc>
          <w:tcPr>
            <w:tcW w:w="6130"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海岛动态监测评价分系统</w:t>
            </w:r>
          </w:p>
        </w:tc>
        <w:tc>
          <w:tcPr>
            <w:tcW w:w="1107"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025"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个</w:t>
            </w:r>
          </w:p>
        </w:tc>
      </w:tr>
    </w:tbl>
    <w:p>
      <w:pPr>
        <w:spacing w:line="360" w:lineRule="auto"/>
        <w:ind w:left="540" w:leftChars="257"/>
        <w:rPr>
          <w:rFonts w:hint="eastAsia" w:ascii="宋体" w:hAnsi="宋体" w:eastAsia="宋体" w:cs="宋体"/>
          <w:sz w:val="24"/>
        </w:rPr>
      </w:pPr>
      <w:r>
        <w:rPr>
          <w:rFonts w:hint="eastAsia" w:ascii="宋体" w:hAnsi="宋体" w:eastAsia="宋体" w:cs="宋体"/>
          <w:sz w:val="24"/>
        </w:rPr>
        <w:t>2.2项目需求：</w:t>
      </w:r>
    </w:p>
    <w:p>
      <w:pPr>
        <w:pStyle w:val="38"/>
        <w:numPr>
          <w:ilvl w:val="0"/>
          <w:numId w:val="3"/>
        </w:numPr>
        <w:spacing w:line="360" w:lineRule="auto"/>
        <w:ind w:firstLineChars="0"/>
        <w:rPr>
          <w:rFonts w:hint="eastAsia" w:ascii="宋体" w:hAnsi="宋体" w:eastAsia="宋体" w:cs="宋体"/>
        </w:rPr>
      </w:pPr>
      <w:r>
        <w:rPr>
          <w:rFonts w:hint="eastAsia" w:ascii="宋体" w:hAnsi="宋体" w:eastAsia="宋体" w:cs="宋体"/>
        </w:rPr>
        <w:t>项目建设背景和概况</w:t>
      </w:r>
    </w:p>
    <w:p>
      <w:pPr>
        <w:spacing w:line="360" w:lineRule="auto"/>
        <w:ind w:left="540" w:leftChars="257" w:firstLine="480" w:firstLineChars="200"/>
        <w:rPr>
          <w:rFonts w:hint="eastAsia" w:ascii="宋体" w:hAnsi="宋体" w:eastAsia="宋体" w:cs="宋体"/>
          <w:sz w:val="24"/>
        </w:rPr>
      </w:pPr>
      <w:r>
        <w:rPr>
          <w:rFonts w:hint="eastAsia" w:ascii="宋体" w:hAnsi="宋体" w:eastAsia="宋体" w:cs="宋体"/>
          <w:sz w:val="24"/>
        </w:rPr>
        <w:t>中国气象局《“十三五”生态文明建设气象保障规划》目标之一是依托多源气象卫星遥感数据，实现典型生态区域的科学监测和评估，开展重点区域城市及城市群生态气象遥感监测分析。同时要求主导完善城市生态功能区气象监测评价指标体系建设，研发基于遥感的气象保障技术与模型，根据城市定位的发展方向和服务需求，围绕城市生态服务功能增强和生态环境质量改善，开展有特色的气象保障服务。</w:t>
      </w:r>
    </w:p>
    <w:p>
      <w:pPr>
        <w:spacing w:line="360" w:lineRule="auto"/>
        <w:ind w:left="540" w:leftChars="257" w:firstLine="480" w:firstLineChars="200"/>
        <w:rPr>
          <w:rFonts w:hint="eastAsia" w:ascii="宋体" w:hAnsi="宋体" w:eastAsia="宋体" w:cs="宋体"/>
          <w:sz w:val="24"/>
        </w:rPr>
      </w:pPr>
      <w:r>
        <w:rPr>
          <w:rFonts w:hint="eastAsia" w:ascii="宋体" w:hAnsi="宋体" w:eastAsia="宋体" w:cs="宋体"/>
          <w:sz w:val="24"/>
        </w:rPr>
        <w:t>目前我国大部分城市颗粒物浓度高于国家环境空气质量标准，颗粒物增加导致的大气污染是我国部分城市所面临的重要环境问题，而雾霾天气则是这种大气污染的季节性极端表现。受污染排放和不利气象条件共同影响，中国区域性大气污染事件发生频率明显增加，尤其以长三角、京津冀、珠三角、陕西等地区较为突出。长三角、京津冀、珠三角属于经济快速发展区域，该区域内污染的排放量相对高于其他地区，在不利气象条件下，大气污染会快速形成；而陕西地区的污染，不仅受污染排放和不利气象条件的影响，与该区域的地形也有很大关系。</w:t>
      </w:r>
    </w:p>
    <w:p>
      <w:pPr>
        <w:spacing w:line="360" w:lineRule="auto"/>
        <w:ind w:left="540" w:leftChars="257" w:firstLine="518" w:firstLineChars="216"/>
        <w:rPr>
          <w:rFonts w:hint="eastAsia" w:ascii="宋体" w:hAnsi="宋体" w:eastAsia="宋体" w:cs="宋体"/>
          <w:sz w:val="24"/>
        </w:rPr>
      </w:pPr>
      <w:r>
        <w:rPr>
          <w:rFonts w:hint="eastAsia" w:ascii="宋体" w:hAnsi="宋体" w:eastAsia="宋体" w:cs="宋体"/>
          <w:sz w:val="24"/>
          <w:lang w:val="zh-CN"/>
        </w:rPr>
        <w:t>围绕上述需求，本项目需开展如下工作1）遥感卫星观测的对流层NO2柱浓度资料实现其在环境遥感产品对业务预报模式中排放源清单的订正功能建设，提高排放源清单的准确性。结合长三角环境气象预报预警业务实际，建立气象卫星观测资料同化提高数值模式预报精度。2）综合应用来自风云三号卫星、以及国外其他卫星的二氧化硫和二氧化氮的定量产品，通过交叉检验分析各产品的差异及一致性，客观评价不同卫星资料及产品在大气污染物监测中的可靠性，在此基础上通过多卫星协同分析方法实现上述大气污染物融合监测技术研究。3）基于云技术提供数据产品服务导航、查询、批量下载，浏览和个性化服务，通过多样化展现形式，实现数据可视化功能。4）通过遥感和GIS技术对长三角生态足迹、生态承载力、生态盈亏进行计算反演，据此确定区域的生态容载量和压力。生态承载力评估结果可为政府的生态文明建设绩效考核等提供决策支持。5）基于风云三号03批气象卫星中分辨率成像光谱仪等多传感器多通道数据及反演产品，同时结合海陆模板等基础地理信息、中高分辨率卫星资料等，通过自动识别定位、空间格局监测、生态质量评价与变迁分析，生成典型海岛面积、生态质量的风云卫星监测产品，服务于海岛生态保护与开发管理。</w:t>
      </w:r>
    </w:p>
    <w:bookmarkEnd w:id="10"/>
    <w:p>
      <w:pPr>
        <w:numPr>
          <w:ilvl w:val="0"/>
          <w:numId w:val="2"/>
        </w:numPr>
        <w:spacing w:line="360" w:lineRule="auto"/>
        <w:ind w:left="1080" w:leftChars="257" w:hanging="540"/>
        <w:rPr>
          <w:rFonts w:hint="eastAsia" w:ascii="宋体" w:hAnsi="宋体" w:eastAsia="宋体" w:cs="宋体"/>
          <w:b/>
          <w:sz w:val="24"/>
        </w:rPr>
      </w:pPr>
      <w:r>
        <w:rPr>
          <w:rFonts w:hint="eastAsia" w:ascii="宋体" w:hAnsi="宋体" w:eastAsia="宋体" w:cs="宋体"/>
          <w:sz w:val="24"/>
        </w:rPr>
        <w:t>投标供应商资格要求：</w:t>
      </w:r>
    </w:p>
    <w:p>
      <w:pPr>
        <w:spacing w:line="360" w:lineRule="auto"/>
        <w:ind w:left="540" w:leftChars="257" w:firstLine="518" w:firstLineChars="216"/>
        <w:rPr>
          <w:rFonts w:hint="eastAsia" w:ascii="宋体" w:hAnsi="宋体" w:eastAsia="宋体" w:cs="宋体"/>
          <w:sz w:val="24"/>
          <w:lang w:val="zh-CN"/>
        </w:rPr>
      </w:pPr>
      <w:r>
        <w:rPr>
          <w:rFonts w:hint="eastAsia" w:ascii="宋体" w:hAnsi="宋体" w:eastAsia="宋体" w:cs="宋体"/>
          <w:sz w:val="24"/>
        </w:rPr>
        <w:t>3.1</w:t>
      </w:r>
      <w:r>
        <w:rPr>
          <w:rFonts w:hint="eastAsia" w:ascii="宋体" w:hAnsi="宋体" w:eastAsia="宋体" w:cs="宋体"/>
          <w:sz w:val="24"/>
          <w:lang w:val="zh-CN"/>
        </w:rPr>
        <w:t>投标人须具备《中华人民共和国政府采购法》第二十二条关于供应商条件的规定：</w:t>
      </w:r>
    </w:p>
    <w:p>
      <w:pPr>
        <w:numPr>
          <w:ilvl w:val="0"/>
          <w:numId w:val="4"/>
        </w:numPr>
        <w:spacing w:line="360" w:lineRule="auto"/>
        <w:ind w:left="540" w:leftChars="257" w:firstLine="518" w:firstLineChars="216"/>
        <w:rPr>
          <w:rFonts w:hint="eastAsia" w:ascii="宋体" w:hAnsi="宋体" w:eastAsia="宋体" w:cs="宋体"/>
          <w:sz w:val="24"/>
          <w:lang w:val="zh-CN"/>
        </w:rPr>
      </w:pPr>
      <w:r>
        <w:rPr>
          <w:rFonts w:hint="eastAsia" w:ascii="宋体" w:hAnsi="宋体" w:eastAsia="宋体" w:cs="宋体"/>
          <w:sz w:val="24"/>
          <w:lang w:val="zh-CN"/>
        </w:rPr>
        <w:t>具有独立承担民事责任的能力；</w:t>
      </w:r>
    </w:p>
    <w:p>
      <w:pPr>
        <w:numPr>
          <w:ilvl w:val="0"/>
          <w:numId w:val="4"/>
        </w:numPr>
        <w:spacing w:line="360" w:lineRule="auto"/>
        <w:ind w:left="540" w:leftChars="257" w:firstLine="518" w:firstLineChars="216"/>
        <w:rPr>
          <w:rFonts w:hint="eastAsia" w:ascii="宋体" w:hAnsi="宋体" w:eastAsia="宋体" w:cs="宋体"/>
          <w:sz w:val="24"/>
          <w:lang w:val="zh-CN"/>
        </w:rPr>
      </w:pPr>
      <w:r>
        <w:rPr>
          <w:rFonts w:hint="eastAsia" w:ascii="宋体" w:hAnsi="宋体" w:eastAsia="宋体" w:cs="宋体"/>
          <w:sz w:val="24"/>
          <w:lang w:val="zh-CN"/>
        </w:rPr>
        <w:t>具有良好的商业信誉和健全的财务会计制度；</w:t>
      </w:r>
    </w:p>
    <w:p>
      <w:pPr>
        <w:numPr>
          <w:ilvl w:val="0"/>
          <w:numId w:val="4"/>
        </w:numPr>
        <w:spacing w:line="360" w:lineRule="auto"/>
        <w:ind w:left="540" w:leftChars="257" w:firstLine="518" w:firstLineChars="216"/>
        <w:rPr>
          <w:rFonts w:hint="eastAsia" w:ascii="宋体" w:hAnsi="宋体" w:eastAsia="宋体" w:cs="宋体"/>
          <w:sz w:val="24"/>
          <w:lang w:val="zh-CN"/>
        </w:rPr>
      </w:pPr>
      <w:r>
        <w:rPr>
          <w:rFonts w:hint="eastAsia" w:ascii="宋体" w:hAnsi="宋体" w:eastAsia="宋体" w:cs="宋体"/>
          <w:sz w:val="24"/>
          <w:lang w:val="zh-CN"/>
        </w:rPr>
        <w:t>具有履行合同所必需的设备和专业技术能力；</w:t>
      </w:r>
    </w:p>
    <w:p>
      <w:pPr>
        <w:numPr>
          <w:ilvl w:val="0"/>
          <w:numId w:val="4"/>
        </w:numPr>
        <w:spacing w:line="360" w:lineRule="auto"/>
        <w:ind w:left="540" w:leftChars="257" w:firstLine="518" w:firstLineChars="216"/>
        <w:rPr>
          <w:rFonts w:hint="eastAsia" w:ascii="宋体" w:hAnsi="宋体" w:eastAsia="宋体" w:cs="宋体"/>
          <w:sz w:val="24"/>
          <w:lang w:val="zh-CN"/>
        </w:rPr>
      </w:pPr>
      <w:r>
        <w:rPr>
          <w:rFonts w:hint="eastAsia" w:ascii="宋体" w:hAnsi="宋体" w:eastAsia="宋体" w:cs="宋体"/>
          <w:sz w:val="24"/>
          <w:lang w:val="zh-CN"/>
        </w:rPr>
        <w:t>有依法缴纳税收和社会保障资金的良好记录；</w:t>
      </w:r>
    </w:p>
    <w:p>
      <w:pPr>
        <w:numPr>
          <w:ilvl w:val="0"/>
          <w:numId w:val="4"/>
        </w:numPr>
        <w:spacing w:line="360" w:lineRule="auto"/>
        <w:ind w:left="540" w:leftChars="257" w:firstLine="518" w:firstLineChars="216"/>
        <w:rPr>
          <w:rFonts w:hint="eastAsia" w:ascii="宋体" w:hAnsi="宋体" w:eastAsia="宋体" w:cs="宋体"/>
          <w:sz w:val="24"/>
          <w:lang w:val="zh-CN"/>
        </w:rPr>
      </w:pPr>
      <w:r>
        <w:rPr>
          <w:rFonts w:hint="eastAsia" w:ascii="宋体" w:hAnsi="宋体" w:eastAsia="宋体" w:cs="宋体"/>
          <w:sz w:val="24"/>
          <w:lang w:val="zh-CN"/>
        </w:rPr>
        <w:t>参加政府采购活动前三年内，在经营活动中没有重大违法记录；</w:t>
      </w:r>
    </w:p>
    <w:p>
      <w:pPr>
        <w:numPr>
          <w:ilvl w:val="0"/>
          <w:numId w:val="4"/>
        </w:numPr>
        <w:spacing w:line="360" w:lineRule="auto"/>
        <w:ind w:left="540" w:leftChars="257" w:firstLine="518" w:firstLineChars="216"/>
        <w:rPr>
          <w:rFonts w:hint="eastAsia" w:ascii="宋体" w:hAnsi="宋体" w:eastAsia="宋体" w:cs="宋体"/>
          <w:sz w:val="24"/>
          <w:lang w:val="zh-CN"/>
        </w:rPr>
      </w:pPr>
      <w:r>
        <w:rPr>
          <w:rFonts w:hint="eastAsia" w:ascii="宋体" w:hAnsi="宋体" w:eastAsia="宋体" w:cs="宋体"/>
          <w:sz w:val="24"/>
          <w:lang w:val="zh-CN"/>
        </w:rPr>
        <w:t>法律、行政法规规定的其他条件；</w:t>
      </w:r>
    </w:p>
    <w:p>
      <w:pPr>
        <w:spacing w:line="360" w:lineRule="auto"/>
        <w:ind w:left="540" w:leftChars="257" w:firstLine="518" w:firstLineChars="216"/>
        <w:rPr>
          <w:rFonts w:hint="eastAsia" w:ascii="宋体" w:hAnsi="宋体" w:eastAsia="宋体" w:cs="宋体"/>
          <w:sz w:val="24"/>
          <w:lang w:val="zh-CN"/>
        </w:rPr>
      </w:pPr>
      <w:r>
        <w:rPr>
          <w:rFonts w:hint="eastAsia" w:ascii="宋体" w:hAnsi="宋体" w:eastAsia="宋体" w:cs="宋体"/>
          <w:sz w:val="24"/>
        </w:rPr>
        <w:t>3.</w:t>
      </w:r>
      <w:r>
        <w:rPr>
          <w:rFonts w:hint="eastAsia" w:ascii="宋体" w:hAnsi="宋体" w:eastAsia="宋体" w:cs="宋体"/>
          <w:sz w:val="24"/>
          <w:lang w:val="zh-CN"/>
        </w:rPr>
        <w:t>2本招标项目不接受联合体投标。</w:t>
      </w:r>
    </w:p>
    <w:p>
      <w:pPr>
        <w:spacing w:line="360" w:lineRule="auto"/>
        <w:ind w:left="1080" w:leftChars="257" w:hanging="540"/>
        <w:rPr>
          <w:rFonts w:hint="eastAsia" w:ascii="宋体" w:hAnsi="宋体" w:eastAsia="宋体" w:cs="宋体"/>
          <w:sz w:val="24"/>
        </w:rPr>
      </w:pPr>
      <w:r>
        <w:rPr>
          <w:rFonts w:hint="eastAsia" w:ascii="宋体" w:hAnsi="宋体" w:eastAsia="宋体" w:cs="宋体"/>
          <w:sz w:val="24"/>
        </w:rPr>
        <w:t>4.招标文件售价：</w:t>
      </w:r>
    </w:p>
    <w:p>
      <w:pPr>
        <w:spacing w:line="360" w:lineRule="auto"/>
        <w:ind w:left="718" w:leftChars="256" w:hanging="180"/>
        <w:rPr>
          <w:rFonts w:hint="eastAsia" w:ascii="宋体" w:hAnsi="宋体" w:eastAsia="宋体" w:cs="宋体"/>
          <w:sz w:val="24"/>
        </w:rPr>
      </w:pPr>
      <w:r>
        <w:rPr>
          <w:rFonts w:hint="eastAsia" w:ascii="宋体" w:hAnsi="宋体" w:eastAsia="宋体" w:cs="宋体"/>
          <w:sz w:val="24"/>
        </w:rPr>
        <w:t xml:space="preserve">   每套人民币</w:t>
      </w:r>
      <w:r>
        <w:rPr>
          <w:rFonts w:hint="eastAsia" w:ascii="宋体" w:hAnsi="宋体" w:eastAsia="宋体" w:cs="宋体"/>
          <w:sz w:val="24"/>
          <w:u w:val="single"/>
        </w:rPr>
        <w:t>200</w:t>
      </w:r>
      <w:r>
        <w:rPr>
          <w:rFonts w:hint="eastAsia" w:ascii="宋体" w:hAnsi="宋体" w:eastAsia="宋体" w:cs="宋体"/>
          <w:sz w:val="24"/>
        </w:rPr>
        <w:t>元；若电汇邮购，每份加收人民币</w:t>
      </w:r>
      <w:r>
        <w:rPr>
          <w:rFonts w:hint="eastAsia" w:ascii="宋体" w:hAnsi="宋体" w:eastAsia="宋体" w:cs="宋体"/>
          <w:sz w:val="24"/>
          <w:u w:val="single"/>
        </w:rPr>
        <w:t>50</w:t>
      </w:r>
      <w:r>
        <w:rPr>
          <w:rFonts w:hint="eastAsia" w:ascii="宋体" w:hAnsi="宋体" w:eastAsia="宋体" w:cs="宋体"/>
          <w:sz w:val="24"/>
        </w:rPr>
        <w:t>元。招标文件售后不退。</w:t>
      </w:r>
    </w:p>
    <w:p>
      <w:pPr>
        <w:spacing w:line="360" w:lineRule="auto"/>
        <w:ind w:left="1080" w:leftChars="257" w:hanging="540"/>
        <w:rPr>
          <w:rFonts w:hint="eastAsia" w:ascii="宋体" w:hAnsi="宋体" w:eastAsia="宋体" w:cs="宋体"/>
          <w:sz w:val="24"/>
        </w:rPr>
      </w:pPr>
      <w:r>
        <w:rPr>
          <w:rFonts w:hint="eastAsia" w:ascii="宋体" w:hAnsi="宋体" w:eastAsia="宋体" w:cs="宋体"/>
          <w:sz w:val="24"/>
        </w:rPr>
        <w:t>5.购买招标文件时间和地点：</w:t>
      </w:r>
    </w:p>
    <w:p>
      <w:pPr>
        <w:spacing w:line="360" w:lineRule="auto"/>
        <w:ind w:left="718" w:leftChars="85" w:hanging="540"/>
        <w:rPr>
          <w:rFonts w:hint="eastAsia" w:ascii="宋体" w:hAnsi="宋体" w:eastAsia="宋体" w:cs="宋体"/>
          <w:sz w:val="24"/>
        </w:rPr>
      </w:pPr>
      <w:r>
        <w:rPr>
          <w:rFonts w:hint="eastAsia" w:ascii="宋体" w:hAnsi="宋体" w:eastAsia="宋体" w:cs="宋体"/>
          <w:sz w:val="24"/>
        </w:rPr>
        <w:t xml:space="preserve">     时间：</w:t>
      </w:r>
      <w:r>
        <w:rPr>
          <w:rFonts w:hint="eastAsia" w:ascii="宋体" w:hAnsi="宋体" w:eastAsia="宋体" w:cs="宋体"/>
          <w:sz w:val="24"/>
          <w:lang w:val="en-US" w:eastAsia="zh-CN"/>
        </w:rPr>
        <w:t>2022</w:t>
      </w:r>
      <w:r>
        <w:rPr>
          <w:rFonts w:hint="eastAsia" w:ascii="宋体" w:hAnsi="宋体" w:eastAsia="宋体" w:cs="宋体"/>
          <w:sz w:val="24"/>
        </w:rPr>
        <w:t>年</w:t>
      </w:r>
      <w:r>
        <w:rPr>
          <w:rFonts w:hint="eastAsia" w:ascii="宋体" w:hAnsi="宋体" w:eastAsia="宋体" w:cs="宋体"/>
          <w:sz w:val="24"/>
          <w:lang w:val="en-US" w:eastAsia="zh-CN"/>
        </w:rPr>
        <w:t>8</w:t>
      </w:r>
      <w:r>
        <w:rPr>
          <w:rFonts w:hint="eastAsia" w:ascii="宋体" w:hAnsi="宋体" w:eastAsia="宋体" w:cs="宋体"/>
          <w:sz w:val="24"/>
        </w:rPr>
        <w:t>月</w:t>
      </w:r>
      <w:r>
        <w:rPr>
          <w:rFonts w:hint="eastAsia" w:ascii="宋体" w:hAnsi="宋体" w:eastAsia="宋体" w:cs="宋体"/>
          <w:sz w:val="24"/>
          <w:lang w:val="en-US" w:eastAsia="zh-CN"/>
        </w:rPr>
        <w:t>3</w:t>
      </w:r>
      <w:r>
        <w:rPr>
          <w:rFonts w:hint="eastAsia" w:ascii="宋体" w:hAnsi="宋体" w:eastAsia="宋体" w:cs="宋体"/>
          <w:sz w:val="24"/>
        </w:rPr>
        <w:t>日至</w:t>
      </w:r>
      <w:r>
        <w:rPr>
          <w:rFonts w:hint="eastAsia" w:ascii="宋体" w:hAnsi="宋体" w:eastAsia="宋体" w:cs="宋体"/>
          <w:sz w:val="24"/>
          <w:lang w:val="en-US" w:eastAsia="zh-CN"/>
        </w:rPr>
        <w:t>2022</w:t>
      </w:r>
      <w:r>
        <w:rPr>
          <w:rFonts w:hint="eastAsia" w:ascii="宋体" w:hAnsi="宋体" w:eastAsia="宋体" w:cs="宋体"/>
          <w:sz w:val="24"/>
        </w:rPr>
        <w:t>年</w:t>
      </w:r>
      <w:r>
        <w:rPr>
          <w:rFonts w:hint="eastAsia" w:ascii="宋体" w:hAnsi="宋体" w:eastAsia="宋体" w:cs="宋体"/>
          <w:sz w:val="24"/>
          <w:lang w:val="en-US" w:eastAsia="zh-CN"/>
        </w:rPr>
        <w:t>8</w:t>
      </w:r>
      <w:r>
        <w:rPr>
          <w:rFonts w:hint="eastAsia" w:ascii="宋体" w:hAnsi="宋体" w:eastAsia="宋体" w:cs="宋体"/>
          <w:sz w:val="24"/>
        </w:rPr>
        <w:t>月</w:t>
      </w:r>
      <w:r>
        <w:rPr>
          <w:rFonts w:hint="eastAsia" w:ascii="宋体" w:hAnsi="宋体" w:eastAsia="宋体" w:cs="宋体"/>
          <w:sz w:val="24"/>
          <w:lang w:val="en-US" w:eastAsia="zh-CN"/>
        </w:rPr>
        <w:t>10日(节假日除外)，每天上午9:00至11:30，下午13:30至17:00（北京时间）。</w:t>
      </w:r>
    </w:p>
    <w:p>
      <w:pPr>
        <w:spacing w:line="360" w:lineRule="auto"/>
        <w:ind w:left="1079" w:leftChars="371" w:hanging="300" w:hangingChars="125"/>
        <w:rPr>
          <w:rFonts w:hint="eastAsia" w:ascii="宋体" w:hAnsi="宋体" w:eastAsia="宋体" w:cs="宋体"/>
          <w:sz w:val="24"/>
        </w:rPr>
      </w:pPr>
      <w:r>
        <w:rPr>
          <w:rFonts w:hint="eastAsia" w:ascii="宋体" w:hAnsi="宋体" w:eastAsia="宋体" w:cs="宋体"/>
          <w:sz w:val="24"/>
        </w:rPr>
        <w:t>地点：</w:t>
      </w:r>
      <w:r>
        <w:rPr>
          <w:rFonts w:hint="eastAsia" w:ascii="宋体" w:hAnsi="宋体" w:eastAsia="宋体" w:cs="宋体"/>
          <w:sz w:val="24"/>
          <w:u w:val="single"/>
        </w:rPr>
        <w:t>中招国际招标有限公司905B室</w:t>
      </w:r>
    </w:p>
    <w:p>
      <w:pPr>
        <w:spacing w:line="360" w:lineRule="auto"/>
        <w:ind w:left="718" w:leftChars="256" w:hanging="180"/>
        <w:rPr>
          <w:rFonts w:hint="eastAsia" w:ascii="宋体" w:hAnsi="宋体" w:eastAsia="宋体" w:cs="宋体"/>
          <w:sz w:val="24"/>
        </w:rPr>
      </w:pPr>
      <w:r>
        <w:rPr>
          <w:rFonts w:hint="eastAsia" w:ascii="宋体" w:hAnsi="宋体" w:eastAsia="宋体" w:cs="宋体"/>
          <w:sz w:val="24"/>
        </w:rPr>
        <w:t>6.投标截止时间：</w:t>
      </w:r>
      <w:r>
        <w:rPr>
          <w:rFonts w:hint="eastAsia" w:ascii="宋体" w:hAnsi="宋体" w:eastAsia="宋体" w:cs="宋体"/>
          <w:sz w:val="24"/>
          <w:lang w:val="en-US" w:eastAsia="zh-CN"/>
        </w:rPr>
        <w:t>2022</w:t>
      </w:r>
      <w:r>
        <w:rPr>
          <w:rFonts w:hint="eastAsia" w:ascii="宋体" w:hAnsi="宋体" w:eastAsia="宋体" w:cs="宋体"/>
          <w:sz w:val="24"/>
        </w:rPr>
        <w:t>年</w:t>
      </w:r>
      <w:r>
        <w:rPr>
          <w:rFonts w:hint="eastAsia" w:ascii="宋体" w:hAnsi="宋体" w:eastAsia="宋体" w:cs="宋体"/>
          <w:sz w:val="24"/>
          <w:lang w:val="en-US" w:eastAsia="zh-CN"/>
        </w:rPr>
        <w:t>8</w:t>
      </w:r>
      <w:r>
        <w:rPr>
          <w:rFonts w:hint="eastAsia" w:ascii="宋体" w:hAnsi="宋体" w:eastAsia="宋体" w:cs="宋体"/>
          <w:sz w:val="24"/>
        </w:rPr>
        <w:t>月</w:t>
      </w:r>
      <w:r>
        <w:rPr>
          <w:rFonts w:hint="eastAsia" w:ascii="宋体" w:hAnsi="宋体" w:cs="宋体"/>
          <w:sz w:val="24"/>
          <w:lang w:val="en-US" w:eastAsia="zh-CN"/>
        </w:rPr>
        <w:t>24</w:t>
      </w:r>
      <w:r>
        <w:rPr>
          <w:rFonts w:hint="eastAsia" w:ascii="宋体" w:hAnsi="宋体" w:eastAsia="宋体" w:cs="宋体"/>
          <w:sz w:val="24"/>
        </w:rPr>
        <w:t>日</w:t>
      </w:r>
      <w:r>
        <w:rPr>
          <w:rFonts w:hint="eastAsia" w:ascii="宋体" w:hAnsi="宋体" w:eastAsia="宋体" w:cs="宋体"/>
          <w:sz w:val="24"/>
          <w:lang w:val="en-US" w:eastAsia="zh-CN"/>
        </w:rPr>
        <w:t xml:space="preserve"> 上午9:30</w:t>
      </w:r>
      <w:r>
        <w:rPr>
          <w:rFonts w:hint="eastAsia" w:ascii="宋体" w:hAnsi="宋体" w:eastAsia="宋体" w:cs="宋体"/>
          <w:sz w:val="24"/>
        </w:rPr>
        <w:t>（北京时间），逾期送达或未按招标文件要求密封的投标文件恕不接收。</w:t>
      </w:r>
    </w:p>
    <w:p>
      <w:pPr>
        <w:spacing w:line="360" w:lineRule="auto"/>
        <w:ind w:left="840" w:leftChars="257" w:hanging="300"/>
        <w:rPr>
          <w:rFonts w:hint="eastAsia" w:ascii="宋体" w:hAnsi="宋体" w:eastAsia="宋体" w:cs="宋体"/>
          <w:sz w:val="24"/>
        </w:rPr>
      </w:pPr>
      <w:r>
        <w:rPr>
          <w:rFonts w:hint="eastAsia" w:ascii="宋体" w:hAnsi="宋体" w:eastAsia="宋体" w:cs="宋体"/>
          <w:sz w:val="24"/>
        </w:rPr>
        <w:t>7.开标时间：</w:t>
      </w:r>
      <w:r>
        <w:rPr>
          <w:rFonts w:hint="eastAsia" w:ascii="宋体" w:hAnsi="宋体" w:eastAsia="宋体" w:cs="宋体"/>
          <w:sz w:val="24"/>
          <w:lang w:val="en-US" w:eastAsia="zh-CN"/>
        </w:rPr>
        <w:t>2022</w:t>
      </w:r>
      <w:r>
        <w:rPr>
          <w:rFonts w:hint="eastAsia" w:ascii="宋体" w:hAnsi="宋体" w:eastAsia="宋体" w:cs="宋体"/>
          <w:sz w:val="24"/>
        </w:rPr>
        <w:t>年</w:t>
      </w:r>
      <w:r>
        <w:rPr>
          <w:rFonts w:hint="eastAsia" w:ascii="宋体" w:hAnsi="宋体" w:eastAsia="宋体" w:cs="宋体"/>
          <w:sz w:val="24"/>
          <w:lang w:val="en-US" w:eastAsia="zh-CN"/>
        </w:rPr>
        <w:t>8</w:t>
      </w:r>
      <w:r>
        <w:rPr>
          <w:rFonts w:hint="eastAsia" w:ascii="宋体" w:hAnsi="宋体" w:eastAsia="宋体" w:cs="宋体"/>
          <w:sz w:val="24"/>
        </w:rPr>
        <w:t>月</w:t>
      </w:r>
      <w:r>
        <w:rPr>
          <w:rFonts w:hint="eastAsia" w:ascii="宋体" w:hAnsi="宋体" w:cs="宋体"/>
          <w:sz w:val="24"/>
          <w:lang w:val="en-US" w:eastAsia="zh-CN"/>
        </w:rPr>
        <w:t>24</w:t>
      </w:r>
      <w:r>
        <w:rPr>
          <w:rFonts w:hint="eastAsia" w:ascii="宋体" w:hAnsi="宋体" w:eastAsia="宋体" w:cs="宋体"/>
          <w:sz w:val="24"/>
        </w:rPr>
        <w:t xml:space="preserve">日 </w:t>
      </w:r>
      <w:r>
        <w:rPr>
          <w:rFonts w:hint="eastAsia" w:ascii="宋体" w:hAnsi="宋体" w:eastAsia="宋体" w:cs="宋体"/>
          <w:sz w:val="24"/>
          <w:lang w:val="en-US" w:eastAsia="zh-CN"/>
        </w:rPr>
        <w:t>上午9:30</w:t>
      </w:r>
      <w:r>
        <w:rPr>
          <w:rFonts w:hint="eastAsia" w:ascii="宋体" w:hAnsi="宋体" w:eastAsia="宋体" w:cs="宋体"/>
          <w:sz w:val="24"/>
        </w:rPr>
        <w:t xml:space="preserve"> （北京时间）。</w:t>
      </w:r>
    </w:p>
    <w:p>
      <w:pPr>
        <w:spacing w:line="360" w:lineRule="auto"/>
        <w:ind w:left="540" w:leftChars="257"/>
        <w:rPr>
          <w:rFonts w:hint="eastAsia" w:ascii="宋体" w:hAnsi="宋体" w:eastAsia="宋体" w:cs="宋体"/>
          <w:sz w:val="24"/>
          <w:lang w:val="en-US" w:eastAsia="zh-CN"/>
        </w:rPr>
      </w:pPr>
      <w:r>
        <w:rPr>
          <w:rFonts w:hint="eastAsia" w:ascii="宋体" w:hAnsi="宋体" w:eastAsia="宋体" w:cs="宋体"/>
          <w:sz w:val="24"/>
        </w:rPr>
        <w:t>8.投标、开标地点：上海市生态气象和卫星遥感中心</w:t>
      </w:r>
      <w:r>
        <w:rPr>
          <w:rFonts w:hint="eastAsia" w:ascii="宋体" w:hAnsi="宋体" w:eastAsia="宋体" w:cs="宋体"/>
          <w:sz w:val="24"/>
          <w:lang w:val="en-US" w:eastAsia="zh-CN"/>
        </w:rPr>
        <w:t>会议室</w:t>
      </w:r>
    </w:p>
    <w:p>
      <w:pPr>
        <w:spacing w:line="360" w:lineRule="auto"/>
        <w:ind w:left="718" w:leftChars="256" w:hanging="180"/>
        <w:rPr>
          <w:rFonts w:hint="eastAsia" w:ascii="宋体" w:hAnsi="宋体" w:eastAsia="宋体" w:cs="宋体"/>
          <w:sz w:val="24"/>
        </w:rPr>
      </w:pPr>
      <w:r>
        <w:rPr>
          <w:rFonts w:hint="eastAsia" w:ascii="宋体" w:hAnsi="宋体" w:eastAsia="宋体" w:cs="宋体"/>
          <w:sz w:val="24"/>
        </w:rPr>
        <w:t>9.凡对本次招标提出询问，请按照招标文件的规定方式与中招国际招标有限公司联系。</w:t>
      </w:r>
    </w:p>
    <w:p>
      <w:pPr>
        <w:spacing w:line="360" w:lineRule="auto"/>
        <w:ind w:left="1080" w:leftChars="257" w:hanging="540"/>
        <w:rPr>
          <w:rFonts w:hint="eastAsia"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 xml:space="preserve">　　 </w:t>
      </w:r>
    </w:p>
    <w:p>
      <w:pPr>
        <w:spacing w:line="360" w:lineRule="auto"/>
        <w:ind w:firstLine="720" w:firstLineChars="300"/>
        <w:rPr>
          <w:rFonts w:hint="eastAsia" w:ascii="宋体" w:hAnsi="宋体" w:eastAsia="宋体" w:cs="宋体"/>
          <w:sz w:val="24"/>
        </w:rPr>
      </w:pPr>
      <w:r>
        <w:rPr>
          <w:rFonts w:hint="eastAsia" w:ascii="宋体" w:hAnsi="宋体" w:eastAsia="宋体" w:cs="宋体"/>
          <w:sz w:val="24"/>
        </w:rPr>
        <w:t>地　　址：</w:t>
      </w:r>
      <w:r>
        <w:rPr>
          <w:rFonts w:hint="eastAsia" w:ascii="宋体" w:hAnsi="宋体" w:eastAsia="宋体" w:cs="宋体"/>
          <w:sz w:val="24"/>
          <w:u w:val="single"/>
        </w:rPr>
        <w:t>北京市海淀区学院南路62号中关村资本大厦905B室</w:t>
      </w:r>
    </w:p>
    <w:p>
      <w:pPr>
        <w:spacing w:line="360" w:lineRule="auto"/>
        <w:ind w:firstLine="720" w:firstLineChars="300"/>
        <w:rPr>
          <w:rFonts w:hint="eastAsia" w:ascii="宋体" w:hAnsi="宋体" w:eastAsia="宋体" w:cs="宋体"/>
          <w:sz w:val="24"/>
          <w:u w:val="single"/>
        </w:rPr>
      </w:pPr>
      <w:r>
        <w:rPr>
          <w:rFonts w:hint="eastAsia" w:ascii="宋体" w:hAnsi="宋体" w:eastAsia="宋体" w:cs="宋体"/>
          <w:sz w:val="24"/>
        </w:rPr>
        <w:t>邮　　编：</w:t>
      </w:r>
      <w:r>
        <w:rPr>
          <w:rFonts w:hint="eastAsia" w:ascii="宋体" w:hAnsi="宋体" w:eastAsia="宋体" w:cs="宋体"/>
          <w:sz w:val="24"/>
          <w:u w:val="single"/>
        </w:rPr>
        <w:t>100081</w:t>
      </w:r>
    </w:p>
    <w:p>
      <w:pPr>
        <w:spacing w:line="360" w:lineRule="auto"/>
        <w:ind w:firstLine="720" w:firstLineChars="300"/>
        <w:rPr>
          <w:rFonts w:hint="eastAsia" w:ascii="宋体" w:hAnsi="宋体" w:eastAsia="宋体" w:cs="宋体"/>
          <w:sz w:val="24"/>
          <w:u w:val="single"/>
        </w:rPr>
      </w:pPr>
      <w:r>
        <w:rPr>
          <w:rFonts w:hint="eastAsia" w:ascii="宋体" w:hAnsi="宋体" w:eastAsia="宋体" w:cs="宋体"/>
          <w:sz w:val="24"/>
        </w:rPr>
        <w:t>电　　话：010-61954047、010-62108106</w:t>
      </w:r>
    </w:p>
    <w:p>
      <w:pPr>
        <w:spacing w:line="360" w:lineRule="auto"/>
        <w:ind w:firstLine="720" w:firstLineChars="300"/>
        <w:rPr>
          <w:rFonts w:hint="eastAsia" w:ascii="宋体" w:hAnsi="宋体" w:eastAsia="宋体" w:cs="宋体"/>
          <w:sz w:val="24"/>
        </w:rPr>
      </w:pPr>
      <w:r>
        <w:rPr>
          <w:rFonts w:hint="eastAsia" w:ascii="宋体" w:hAnsi="宋体" w:eastAsia="宋体" w:cs="宋体"/>
          <w:sz w:val="24"/>
        </w:rPr>
        <w:t>传　　真：</w:t>
      </w:r>
      <w:r>
        <w:rPr>
          <w:rFonts w:hint="eastAsia" w:ascii="宋体" w:hAnsi="宋体" w:eastAsia="宋体" w:cs="宋体"/>
          <w:sz w:val="24"/>
          <w:u w:val="single"/>
        </w:rPr>
        <w:t>010-62108024</w:t>
      </w:r>
    </w:p>
    <w:p>
      <w:pPr>
        <w:spacing w:line="360" w:lineRule="auto"/>
        <w:ind w:firstLine="720" w:firstLineChars="300"/>
        <w:rPr>
          <w:rFonts w:hint="eastAsia" w:ascii="宋体" w:hAnsi="宋体" w:eastAsia="宋体" w:cs="宋体"/>
          <w:sz w:val="24"/>
          <w:u w:val="single"/>
        </w:rPr>
      </w:pPr>
      <w:r>
        <w:rPr>
          <w:rFonts w:hint="eastAsia" w:ascii="宋体" w:hAnsi="宋体" w:eastAsia="宋体" w:cs="宋体"/>
          <w:sz w:val="24"/>
        </w:rPr>
        <w:t>电子信箱：</w:t>
      </w:r>
      <w:r>
        <w:rPr>
          <w:rFonts w:hint="eastAsia" w:ascii="宋体" w:hAnsi="宋体" w:eastAsia="宋体" w:cs="宋体"/>
          <w:sz w:val="24"/>
          <w:u w:val="single"/>
        </w:rPr>
        <w:t>yinwenxing@cntcitc.com.cn</w:t>
      </w:r>
    </w:p>
    <w:p>
      <w:pPr>
        <w:pStyle w:val="12"/>
        <w:spacing w:line="360" w:lineRule="auto"/>
        <w:ind w:firstLine="720" w:firstLineChars="300"/>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single"/>
        </w:rPr>
        <w:t>尹温馨、张建</w:t>
      </w:r>
    </w:p>
    <w:p>
      <w:pPr>
        <w:spacing w:line="360" w:lineRule="auto"/>
        <w:ind w:firstLine="720" w:firstLineChars="300"/>
        <w:rPr>
          <w:rFonts w:hint="eastAsia" w:ascii="宋体" w:hAnsi="宋体" w:eastAsia="宋体" w:cs="宋体"/>
          <w:sz w:val="24"/>
        </w:rPr>
      </w:pPr>
      <w:r>
        <w:rPr>
          <w:rFonts w:hint="eastAsia" w:ascii="宋体" w:hAnsi="宋体" w:eastAsia="宋体" w:cs="宋体"/>
          <w:sz w:val="24"/>
        </w:rPr>
        <w:t>开 户 名：</w:t>
      </w:r>
      <w:r>
        <w:rPr>
          <w:rFonts w:hint="eastAsia" w:ascii="宋体" w:hAnsi="宋体" w:eastAsia="宋体" w:cs="宋体"/>
          <w:sz w:val="24"/>
          <w:u w:val="single"/>
        </w:rPr>
        <w:t>中招国际招标有限公司</w:t>
      </w:r>
    </w:p>
    <w:p>
      <w:pPr>
        <w:spacing w:line="360" w:lineRule="auto"/>
        <w:ind w:firstLine="720" w:firstLineChars="300"/>
        <w:rPr>
          <w:rFonts w:hint="eastAsia" w:ascii="宋体" w:hAnsi="宋体" w:eastAsia="宋体" w:cs="宋体"/>
          <w:sz w:val="24"/>
        </w:rPr>
      </w:pPr>
      <w:r>
        <w:rPr>
          <w:rFonts w:hint="eastAsia" w:ascii="宋体" w:hAnsi="宋体" w:eastAsia="宋体" w:cs="宋体"/>
          <w:sz w:val="24"/>
        </w:rPr>
        <w:t>开户银行：</w:t>
      </w:r>
      <w:r>
        <w:rPr>
          <w:rFonts w:hint="eastAsia" w:ascii="宋体" w:hAnsi="宋体" w:eastAsia="宋体" w:cs="宋体"/>
          <w:sz w:val="24"/>
          <w:u w:val="single"/>
        </w:rPr>
        <w:t>中国工商银行北京海淀支行营业部</w:t>
      </w:r>
    </w:p>
    <w:p>
      <w:pPr>
        <w:spacing w:line="360" w:lineRule="auto"/>
        <w:ind w:firstLine="720" w:firstLineChars="300"/>
        <w:jc w:val="left"/>
        <w:rPr>
          <w:rFonts w:hint="eastAsia" w:ascii="宋体" w:hAnsi="宋体" w:eastAsia="宋体" w:cs="宋体"/>
          <w:sz w:val="24"/>
          <w:u w:val="single"/>
        </w:rPr>
      </w:pPr>
      <w:r>
        <w:rPr>
          <w:rFonts w:hint="eastAsia" w:ascii="宋体" w:hAnsi="宋体" w:eastAsia="宋体" w:cs="宋体"/>
          <w:sz w:val="24"/>
        </w:rPr>
        <w:t>账    号：</w:t>
      </w:r>
      <w:r>
        <w:rPr>
          <w:rFonts w:hint="eastAsia" w:ascii="宋体" w:hAnsi="宋体" w:eastAsia="宋体" w:cs="宋体"/>
          <w:sz w:val="24"/>
          <w:u w:val="single"/>
        </w:rPr>
        <w:t>0200049619200362296</w:t>
      </w:r>
    </w:p>
    <w:p>
      <w:pPr>
        <w:spacing w:line="360" w:lineRule="auto"/>
        <w:ind w:left="1080" w:leftChars="257" w:hanging="540"/>
        <w:jc w:val="left"/>
        <w:rPr>
          <w:rFonts w:hint="eastAsia" w:ascii="宋体" w:hAnsi="宋体" w:eastAsia="宋体" w:cs="宋体"/>
          <w:sz w:val="24"/>
          <w:u w:val="single"/>
        </w:rPr>
      </w:pPr>
    </w:p>
    <w:p>
      <w:pPr>
        <w:spacing w:line="360" w:lineRule="auto"/>
        <w:ind w:left="1079" w:leftChars="371" w:hanging="300" w:hangingChars="125"/>
        <w:jc w:val="left"/>
        <w:rPr>
          <w:rFonts w:hint="eastAsia" w:ascii="宋体" w:hAnsi="宋体" w:eastAsia="宋体" w:cs="宋体"/>
          <w:sz w:val="24"/>
          <w:u w:val="single"/>
        </w:rPr>
      </w:pPr>
      <w:r>
        <w:rPr>
          <w:rFonts w:hint="eastAsia" w:ascii="宋体" w:hAnsi="宋体" w:eastAsia="宋体" w:cs="宋体"/>
          <w:sz w:val="24"/>
        </w:rPr>
        <w:t>采 购 人：</w:t>
      </w:r>
      <w:r>
        <w:rPr>
          <w:rFonts w:hint="eastAsia" w:ascii="宋体" w:hAnsi="宋体" w:eastAsia="宋体" w:cs="宋体"/>
          <w:sz w:val="24"/>
          <w:u w:val="single"/>
        </w:rPr>
        <w:t>上海市生态气象和卫星遥感中心</w:t>
      </w:r>
    </w:p>
    <w:p>
      <w:pPr>
        <w:spacing w:line="360" w:lineRule="auto"/>
        <w:ind w:left="1079" w:leftChars="371" w:hanging="300" w:hangingChars="125"/>
        <w:jc w:val="left"/>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single"/>
        </w:rPr>
        <w:t>上海市徐汇区蒲西路166号</w:t>
      </w:r>
    </w:p>
    <w:p>
      <w:pPr>
        <w:spacing w:line="360" w:lineRule="auto"/>
        <w:ind w:left="1079" w:leftChars="371" w:hanging="300" w:hangingChars="125"/>
        <w:jc w:val="left"/>
        <w:rPr>
          <w:rFonts w:hint="eastAsia" w:ascii="宋体" w:hAnsi="宋体" w:eastAsia="宋体" w:cs="宋体"/>
          <w:sz w:val="24"/>
          <w:u w:val="single"/>
        </w:rPr>
      </w:pPr>
      <w:r>
        <w:rPr>
          <w:rFonts w:hint="eastAsia" w:ascii="宋体" w:hAnsi="宋体" w:eastAsia="宋体" w:cs="宋体"/>
          <w:sz w:val="24"/>
        </w:rPr>
        <w:t>联系方式：</w:t>
      </w:r>
      <w:r>
        <w:rPr>
          <w:rFonts w:hint="eastAsia" w:ascii="宋体" w:hAnsi="宋体" w:eastAsia="宋体" w:cs="宋体"/>
          <w:sz w:val="24"/>
          <w:u w:val="single"/>
        </w:rPr>
        <w:t>021-54896033</w:t>
      </w:r>
    </w:p>
    <w:p>
      <w:pPr>
        <w:spacing w:line="360" w:lineRule="auto"/>
        <w:ind w:left="1079" w:leftChars="371" w:hanging="300" w:hangingChars="125"/>
        <w:jc w:val="left"/>
        <w:rPr>
          <w:rFonts w:hint="eastAsia" w:ascii="宋体" w:hAnsi="宋体" w:eastAsia="宋体" w:cs="宋体"/>
          <w:sz w:val="24"/>
          <w:u w:val="single"/>
        </w:rPr>
      </w:pPr>
      <w:r>
        <w:rPr>
          <w:rFonts w:hint="eastAsia" w:ascii="宋体" w:hAnsi="宋体" w:eastAsia="宋体" w:cs="宋体"/>
          <w:sz w:val="24"/>
        </w:rPr>
        <w:t>联 系 人：</w:t>
      </w:r>
      <w:r>
        <w:rPr>
          <w:rFonts w:hint="eastAsia" w:ascii="宋体" w:hAnsi="宋体" w:eastAsia="宋体" w:cs="宋体"/>
          <w:sz w:val="24"/>
          <w:u w:val="single"/>
        </w:rPr>
        <w:t>郭巍</w:t>
      </w:r>
    </w:p>
    <w:p>
      <w:pPr>
        <w:pStyle w:val="2"/>
        <w:numPr>
          <w:ilvl w:val="0"/>
          <w:numId w:val="1"/>
        </w:numPr>
        <w:spacing w:before="0" w:after="0" w:line="240" w:lineRule="atLeast"/>
        <w:rPr>
          <w:rFonts w:hint="eastAsia" w:ascii="宋体" w:hAnsi="宋体" w:eastAsia="宋体" w:cs="宋体"/>
          <w:b w:val="0"/>
          <w:szCs w:val="32"/>
        </w:rPr>
      </w:pPr>
      <w:r>
        <w:rPr>
          <w:rFonts w:hint="eastAsia" w:ascii="宋体" w:hAnsi="宋体" w:eastAsia="宋体" w:cs="宋体"/>
          <w:sz w:val="44"/>
          <w:szCs w:val="44"/>
        </w:rPr>
        <w:br w:type="page"/>
      </w:r>
      <w:bookmarkStart w:id="11" w:name="_Toc507399903"/>
      <w:bookmarkStart w:id="12" w:name="_Toc216582823"/>
      <w:bookmarkStart w:id="13" w:name="_Toc512937850"/>
      <w:r>
        <w:rPr>
          <w:rFonts w:hint="eastAsia" w:ascii="宋体" w:hAnsi="宋体" w:eastAsia="宋体" w:cs="宋体"/>
        </w:rPr>
        <w:t>投标人须知资料表</w:t>
      </w:r>
      <w:bookmarkEnd w:id="11"/>
      <w:bookmarkEnd w:id="12"/>
    </w:p>
    <w:bookmarkEnd w:id="13"/>
    <w:p>
      <w:pPr>
        <w:spacing w:line="240" w:lineRule="atLeast"/>
        <w:ind w:left="1080" w:leftChars="257" w:hanging="540"/>
        <w:rPr>
          <w:rFonts w:hint="eastAsia" w:ascii="宋体" w:hAnsi="宋体" w:eastAsia="宋体" w:cs="宋体"/>
          <w:sz w:val="24"/>
        </w:rPr>
      </w:pPr>
    </w:p>
    <w:p>
      <w:pPr>
        <w:spacing w:line="240" w:lineRule="atLeast"/>
        <w:ind w:firstLine="360" w:firstLineChars="150"/>
        <w:rPr>
          <w:rFonts w:hint="eastAsia" w:ascii="宋体" w:hAnsi="宋体" w:eastAsia="宋体" w:cs="宋体"/>
          <w:sz w:val="24"/>
        </w:rPr>
      </w:pPr>
      <w:r>
        <w:rPr>
          <w:rFonts w:hint="eastAsia" w:ascii="宋体" w:hAnsi="宋体" w:eastAsia="宋体" w:cs="宋体"/>
          <w:sz w:val="24"/>
        </w:rPr>
        <w:t>本表是关于要采购货物的具体资料，是对投标人须知的具体补充和修改，如有矛盾，应以本资料表为准。</w:t>
      </w:r>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68"/>
        <w:gridCol w:w="75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vAlign w:val="center"/>
          </w:tcPr>
          <w:p>
            <w:pPr>
              <w:spacing w:line="360" w:lineRule="auto"/>
              <w:ind w:left="1080" w:leftChars="257" w:hanging="540"/>
              <w:rPr>
                <w:rFonts w:hint="eastAsia" w:ascii="宋体" w:hAnsi="宋体" w:eastAsia="宋体" w:cs="宋体"/>
                <w:sz w:val="24"/>
              </w:rPr>
            </w:pPr>
            <w:r>
              <w:rPr>
                <w:rFonts w:hint="eastAsia" w:ascii="宋体" w:hAnsi="宋体" w:eastAsia="宋体" w:cs="宋体"/>
                <w:sz w:val="24"/>
              </w:rPr>
              <w:t>条款号</w:t>
            </w:r>
          </w:p>
        </w:tc>
        <w:tc>
          <w:tcPr>
            <w:tcW w:w="7560" w:type="dxa"/>
            <w:vAlign w:val="center"/>
          </w:tcPr>
          <w:p>
            <w:pPr>
              <w:spacing w:line="360" w:lineRule="auto"/>
              <w:ind w:left="1080" w:leftChars="257" w:hanging="540"/>
              <w:rPr>
                <w:rFonts w:hint="eastAsia" w:ascii="宋体" w:hAnsi="宋体" w:eastAsia="宋体" w:cs="宋体"/>
                <w:b/>
                <w:sz w:val="24"/>
              </w:rPr>
            </w:pPr>
            <w:r>
              <w:rPr>
                <w:rFonts w:hint="eastAsia" w:ascii="宋体" w:hAnsi="宋体" w:eastAsia="宋体" w:cs="宋体"/>
                <w:b/>
                <w:sz w:val="24"/>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805" w:hRule="atLeast"/>
        </w:trPr>
        <w:tc>
          <w:tcPr>
            <w:tcW w:w="1468" w:type="dxa"/>
            <w:vAlign w:val="center"/>
          </w:tcPr>
          <w:p>
            <w:pPr>
              <w:spacing w:line="360" w:lineRule="auto"/>
              <w:ind w:left="1080" w:leftChars="257" w:hanging="540"/>
              <w:rPr>
                <w:rFonts w:hint="eastAsia" w:ascii="宋体" w:hAnsi="宋体" w:eastAsia="宋体" w:cs="宋体"/>
                <w:sz w:val="24"/>
              </w:rPr>
            </w:pPr>
            <w:r>
              <w:rPr>
                <w:rFonts w:hint="eastAsia" w:ascii="宋体" w:hAnsi="宋体" w:eastAsia="宋体" w:cs="宋体"/>
                <w:sz w:val="24"/>
              </w:rPr>
              <w:t>1.1</w:t>
            </w:r>
          </w:p>
        </w:tc>
        <w:tc>
          <w:tcPr>
            <w:tcW w:w="7560" w:type="dxa"/>
            <w:vAlign w:val="center"/>
          </w:tcPr>
          <w:p>
            <w:pPr>
              <w:spacing w:line="360" w:lineRule="auto"/>
              <w:rPr>
                <w:rFonts w:hint="eastAsia" w:ascii="宋体" w:hAnsi="宋体" w:eastAsia="宋体" w:cs="宋体"/>
                <w:sz w:val="24"/>
                <w:u w:val="single"/>
              </w:rPr>
            </w:pPr>
            <w:r>
              <w:rPr>
                <w:rFonts w:hint="eastAsia" w:ascii="宋体" w:hAnsi="宋体" w:eastAsia="宋体" w:cs="宋体"/>
                <w:sz w:val="24"/>
              </w:rPr>
              <w:t>采购人：</w:t>
            </w:r>
            <w:r>
              <w:rPr>
                <w:rFonts w:hint="eastAsia" w:ascii="宋体" w:hAnsi="宋体" w:eastAsia="宋体" w:cs="宋体"/>
                <w:sz w:val="24"/>
                <w:u w:val="single"/>
              </w:rPr>
              <w:t>上海市生态气象和卫星遥感中心</w:t>
            </w:r>
          </w:p>
          <w:p>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single"/>
              </w:rPr>
              <w:t>上海市徐汇区蒲西路166号</w:t>
            </w:r>
          </w:p>
          <w:p>
            <w:pPr>
              <w:spacing w:line="360" w:lineRule="auto"/>
              <w:rPr>
                <w:rFonts w:hint="eastAsia" w:ascii="宋体" w:hAnsi="宋体" w:eastAsia="宋体" w:cs="宋体"/>
                <w:sz w:val="24"/>
              </w:rPr>
            </w:pPr>
            <w:r>
              <w:rPr>
                <w:rFonts w:hint="eastAsia" w:ascii="宋体" w:hAnsi="宋体" w:eastAsia="宋体" w:cs="宋体"/>
                <w:sz w:val="24"/>
              </w:rPr>
              <w:t>电  话：</w:t>
            </w:r>
            <w:r>
              <w:rPr>
                <w:rFonts w:hint="eastAsia" w:ascii="宋体" w:hAnsi="宋体" w:eastAsia="宋体" w:cs="宋体"/>
                <w:sz w:val="24"/>
                <w:u w:val="single"/>
              </w:rPr>
              <w:t>18918206229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vAlign w:val="center"/>
          </w:tcPr>
          <w:p>
            <w:pPr>
              <w:spacing w:line="360" w:lineRule="auto"/>
              <w:ind w:left="1080" w:leftChars="257" w:hanging="540"/>
              <w:rPr>
                <w:rFonts w:hint="eastAsia" w:ascii="宋体" w:hAnsi="宋体" w:eastAsia="宋体" w:cs="宋体"/>
                <w:sz w:val="24"/>
              </w:rPr>
            </w:pPr>
            <w:r>
              <w:rPr>
                <w:rFonts w:hint="eastAsia" w:ascii="宋体" w:hAnsi="宋体" w:eastAsia="宋体" w:cs="宋体"/>
                <w:sz w:val="24"/>
              </w:rPr>
              <w:t>1.2</w:t>
            </w:r>
          </w:p>
        </w:tc>
        <w:tc>
          <w:tcPr>
            <w:tcW w:w="7560" w:type="dxa"/>
            <w:vAlign w:val="center"/>
          </w:tcPr>
          <w:p>
            <w:pPr>
              <w:spacing w:line="360" w:lineRule="auto"/>
              <w:rPr>
                <w:rFonts w:hint="eastAsia" w:ascii="宋体" w:hAnsi="宋体" w:eastAsia="宋体" w:cs="宋体"/>
                <w:sz w:val="24"/>
                <w:u w:val="single"/>
              </w:rPr>
            </w:pPr>
            <w:r>
              <w:rPr>
                <w:rFonts w:hint="eastAsia" w:ascii="宋体" w:hAnsi="宋体" w:eastAsia="宋体" w:cs="宋体"/>
                <w:sz w:val="24"/>
              </w:rPr>
              <w:t>采购代理机构：</w:t>
            </w:r>
            <w:r>
              <w:rPr>
                <w:rFonts w:hint="eastAsia" w:ascii="宋体" w:hAnsi="宋体" w:eastAsia="宋体" w:cs="宋体"/>
                <w:sz w:val="24"/>
                <w:u w:val="single"/>
              </w:rPr>
              <w:t>中招国际招标有限公司</w:t>
            </w:r>
          </w:p>
          <w:p>
            <w:pPr>
              <w:spacing w:line="360" w:lineRule="auto"/>
              <w:rPr>
                <w:rFonts w:hint="eastAsia" w:ascii="宋体" w:hAnsi="宋体" w:eastAsia="宋体" w:cs="宋体"/>
                <w:sz w:val="24"/>
                <w:u w:val="single"/>
              </w:rPr>
            </w:pPr>
            <w:r>
              <w:rPr>
                <w:rFonts w:hint="eastAsia" w:ascii="宋体" w:hAnsi="宋体" w:eastAsia="宋体" w:cs="宋体"/>
                <w:sz w:val="24"/>
              </w:rPr>
              <w:t>地址：</w:t>
            </w:r>
            <w:r>
              <w:rPr>
                <w:rFonts w:hint="eastAsia" w:ascii="宋体" w:hAnsi="宋体" w:eastAsia="宋体" w:cs="宋体"/>
                <w:sz w:val="24"/>
                <w:u w:val="single"/>
              </w:rPr>
              <w:t>北京市海淀区学院南路62号中关村资本大厦905B室</w:t>
            </w:r>
          </w:p>
          <w:p>
            <w:pPr>
              <w:spacing w:line="360" w:lineRule="auto"/>
              <w:rPr>
                <w:rFonts w:hint="eastAsia" w:ascii="宋体" w:hAnsi="宋体" w:eastAsia="宋体" w:cs="宋体"/>
                <w:sz w:val="24"/>
                <w:u w:val="single"/>
              </w:rPr>
            </w:pPr>
            <w:r>
              <w:rPr>
                <w:rFonts w:hint="eastAsia" w:ascii="宋体" w:hAnsi="宋体" w:eastAsia="宋体" w:cs="宋体"/>
                <w:sz w:val="24"/>
              </w:rPr>
              <w:t>业务联系人：</w:t>
            </w:r>
            <w:r>
              <w:rPr>
                <w:rFonts w:hint="eastAsia" w:ascii="宋体" w:hAnsi="宋体" w:eastAsia="宋体" w:cs="宋体"/>
                <w:sz w:val="24"/>
                <w:u w:val="single"/>
              </w:rPr>
              <w:t>尹温馨、张建</w:t>
            </w:r>
            <w:r>
              <w:rPr>
                <w:rFonts w:hint="eastAsia" w:ascii="宋体" w:hAnsi="宋体" w:eastAsia="宋体" w:cs="宋体"/>
                <w:sz w:val="24"/>
              </w:rPr>
              <w:t xml:space="preserve"> 电话：</w:t>
            </w:r>
            <w:r>
              <w:rPr>
                <w:rFonts w:hint="eastAsia" w:ascii="宋体" w:hAnsi="宋体" w:eastAsia="宋体" w:cs="宋体"/>
                <w:sz w:val="24"/>
                <w:u w:val="single"/>
              </w:rPr>
              <w:t>010-61954047、010-62108106</w:t>
            </w:r>
            <w:r>
              <w:rPr>
                <w:rFonts w:hint="eastAsia" w:ascii="宋体" w:hAnsi="宋体" w:eastAsia="宋体" w:cs="宋体"/>
                <w:sz w:val="24"/>
              </w:rPr>
              <w:t xml:space="preserve"> 传真：</w:t>
            </w:r>
            <w:r>
              <w:rPr>
                <w:rFonts w:hint="eastAsia" w:ascii="宋体" w:hAnsi="宋体" w:eastAsia="宋体" w:cs="宋体"/>
                <w:sz w:val="24"/>
                <w:u w:val="single"/>
              </w:rPr>
              <w:t>010-62108024</w:t>
            </w:r>
          </w:p>
          <w:p>
            <w:pPr>
              <w:spacing w:line="360" w:lineRule="auto"/>
              <w:rPr>
                <w:rFonts w:hint="eastAsia" w:ascii="宋体" w:hAnsi="宋体" w:eastAsia="宋体" w:cs="宋体"/>
                <w:sz w:val="24"/>
              </w:rPr>
            </w:pPr>
            <w:r>
              <w:rPr>
                <w:rFonts w:hint="eastAsia" w:ascii="宋体" w:hAnsi="宋体" w:eastAsia="宋体" w:cs="宋体"/>
                <w:sz w:val="24"/>
              </w:rPr>
              <w:t>反腐倡廉监督电话：</w:t>
            </w:r>
            <w:r>
              <w:rPr>
                <w:rFonts w:hint="eastAsia" w:ascii="宋体" w:hAnsi="宋体" w:eastAsia="宋体" w:cs="宋体"/>
                <w:sz w:val="24"/>
                <w:u w:val="single"/>
              </w:rPr>
              <w:t>010-62108213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vAlign w:val="center"/>
          </w:tcPr>
          <w:p>
            <w:pPr>
              <w:spacing w:line="360" w:lineRule="auto"/>
              <w:ind w:left="1080" w:leftChars="257" w:hanging="540"/>
              <w:rPr>
                <w:rFonts w:hint="eastAsia" w:ascii="宋体" w:hAnsi="宋体" w:eastAsia="宋体" w:cs="宋体"/>
                <w:sz w:val="24"/>
              </w:rPr>
            </w:pPr>
            <w:r>
              <w:rPr>
                <w:rFonts w:hint="eastAsia" w:ascii="宋体" w:hAnsi="宋体" w:eastAsia="宋体" w:cs="宋体"/>
                <w:sz w:val="24"/>
              </w:rPr>
              <w:t>1.3.4</w:t>
            </w:r>
          </w:p>
        </w:tc>
        <w:tc>
          <w:tcPr>
            <w:tcW w:w="7560" w:type="dxa"/>
            <w:vAlign w:val="center"/>
          </w:tcPr>
          <w:p>
            <w:pPr>
              <w:spacing w:line="360" w:lineRule="auto"/>
              <w:rPr>
                <w:rFonts w:hint="eastAsia" w:ascii="宋体" w:hAnsi="宋体" w:eastAsia="宋体" w:cs="宋体"/>
                <w:sz w:val="24"/>
              </w:rPr>
            </w:pPr>
            <w:r>
              <w:rPr>
                <w:rFonts w:hint="eastAsia" w:ascii="宋体" w:hAnsi="宋体" w:eastAsia="宋体" w:cs="宋体"/>
                <w:sz w:val="24"/>
              </w:rPr>
              <w:t>合格投标人的其他资格要求：无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06" w:hRule="atLeast"/>
        </w:trPr>
        <w:tc>
          <w:tcPr>
            <w:tcW w:w="1468" w:type="dxa"/>
            <w:vAlign w:val="center"/>
          </w:tcPr>
          <w:p>
            <w:pPr>
              <w:spacing w:line="360" w:lineRule="auto"/>
              <w:ind w:left="1080" w:leftChars="257" w:hanging="540"/>
              <w:rPr>
                <w:rFonts w:hint="eastAsia" w:ascii="宋体" w:hAnsi="宋体" w:eastAsia="宋体" w:cs="宋体"/>
                <w:sz w:val="24"/>
              </w:rPr>
            </w:pPr>
            <w:r>
              <w:rPr>
                <w:rFonts w:hint="eastAsia" w:ascii="宋体" w:hAnsi="宋体" w:eastAsia="宋体" w:cs="宋体"/>
                <w:sz w:val="24"/>
              </w:rPr>
              <w:t xml:space="preserve">1.3.5   </w:t>
            </w:r>
          </w:p>
        </w:tc>
        <w:tc>
          <w:tcPr>
            <w:tcW w:w="7560" w:type="dxa"/>
            <w:vAlign w:val="center"/>
          </w:tcPr>
          <w:p>
            <w:pPr>
              <w:spacing w:line="360" w:lineRule="auto"/>
              <w:rPr>
                <w:rFonts w:hint="eastAsia" w:ascii="宋体" w:hAnsi="宋体" w:eastAsia="宋体" w:cs="宋体"/>
                <w:sz w:val="24"/>
              </w:rPr>
            </w:pPr>
            <w:r>
              <w:rPr>
                <w:rFonts w:hint="eastAsia" w:ascii="宋体" w:hAnsi="宋体" w:eastAsia="宋体" w:cs="宋体"/>
                <w:sz w:val="24"/>
              </w:rPr>
              <w:t>是否允许采购进口产品：</w:t>
            </w:r>
            <w:r>
              <w:rPr>
                <w:rFonts w:hint="eastAsia" w:ascii="宋体" w:hAnsi="宋体" w:eastAsia="宋体" w:cs="宋体"/>
                <w:sz w:val="24"/>
                <w:u w:val="single"/>
              </w:rPr>
              <w:t xml:space="preserve">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vAlign w:val="center"/>
          </w:tcPr>
          <w:p>
            <w:pPr>
              <w:spacing w:line="360" w:lineRule="auto"/>
              <w:ind w:left="1080" w:leftChars="257" w:hanging="540"/>
              <w:rPr>
                <w:rFonts w:hint="eastAsia" w:ascii="宋体" w:hAnsi="宋体" w:eastAsia="宋体" w:cs="宋体"/>
                <w:sz w:val="24"/>
              </w:rPr>
            </w:pPr>
            <w:r>
              <w:rPr>
                <w:rFonts w:hint="eastAsia" w:ascii="宋体" w:hAnsi="宋体" w:eastAsia="宋体" w:cs="宋体"/>
                <w:sz w:val="24"/>
              </w:rPr>
              <w:t>1.3.6</w:t>
            </w:r>
          </w:p>
        </w:tc>
        <w:tc>
          <w:tcPr>
            <w:tcW w:w="7560" w:type="dxa"/>
            <w:vAlign w:val="center"/>
          </w:tcPr>
          <w:p>
            <w:pPr>
              <w:spacing w:line="360" w:lineRule="auto"/>
              <w:rPr>
                <w:rFonts w:hint="eastAsia" w:ascii="宋体" w:hAnsi="宋体" w:eastAsia="宋体" w:cs="宋体"/>
                <w:sz w:val="24"/>
              </w:rPr>
            </w:pPr>
            <w:r>
              <w:rPr>
                <w:rFonts w:hint="eastAsia" w:ascii="宋体" w:hAnsi="宋体" w:eastAsia="宋体" w:cs="宋体"/>
                <w:sz w:val="24"/>
              </w:rPr>
              <w:t>是否为专门面向中小企业采购：</w:t>
            </w:r>
            <w:r>
              <w:rPr>
                <w:rFonts w:hint="eastAsia" w:ascii="宋体" w:hAnsi="宋体" w:eastAsia="宋体" w:cs="宋体"/>
                <w:sz w:val="24"/>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vAlign w:val="center"/>
          </w:tcPr>
          <w:p>
            <w:pPr>
              <w:spacing w:line="360" w:lineRule="auto"/>
              <w:ind w:left="1080" w:leftChars="257" w:hanging="540"/>
              <w:rPr>
                <w:rFonts w:hint="eastAsia" w:ascii="宋体" w:hAnsi="宋体" w:eastAsia="宋体" w:cs="宋体"/>
                <w:sz w:val="24"/>
              </w:rPr>
            </w:pPr>
            <w:r>
              <w:rPr>
                <w:rFonts w:hint="eastAsia" w:ascii="宋体" w:hAnsi="宋体" w:eastAsia="宋体" w:cs="宋体"/>
                <w:sz w:val="24"/>
              </w:rPr>
              <w:t>1.4</w:t>
            </w:r>
          </w:p>
        </w:tc>
        <w:tc>
          <w:tcPr>
            <w:tcW w:w="7560" w:type="dxa"/>
            <w:vAlign w:val="center"/>
          </w:tcPr>
          <w:p>
            <w:pPr>
              <w:spacing w:line="360" w:lineRule="auto"/>
              <w:rPr>
                <w:rFonts w:hint="eastAsia" w:ascii="宋体" w:hAnsi="宋体" w:eastAsia="宋体" w:cs="宋体"/>
                <w:sz w:val="24"/>
              </w:rPr>
            </w:pPr>
            <w:r>
              <w:rPr>
                <w:rFonts w:hint="eastAsia" w:ascii="宋体" w:hAnsi="宋体" w:eastAsia="宋体" w:cs="宋体"/>
                <w:sz w:val="24"/>
              </w:rPr>
              <w:t>是否允许联合体投标：</w:t>
            </w:r>
            <w:r>
              <w:rPr>
                <w:rFonts w:hint="eastAsia" w:ascii="宋体" w:hAnsi="宋体" w:eastAsia="宋体" w:cs="宋体"/>
                <w:sz w:val="24"/>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68" w:type="dxa"/>
            <w:vAlign w:val="center"/>
          </w:tcPr>
          <w:p>
            <w:pPr>
              <w:spacing w:line="360" w:lineRule="auto"/>
              <w:ind w:left="1080" w:leftChars="257" w:hanging="540"/>
              <w:rPr>
                <w:rFonts w:hint="eastAsia" w:ascii="宋体" w:hAnsi="宋体" w:eastAsia="宋体" w:cs="宋体"/>
                <w:sz w:val="24"/>
              </w:rPr>
            </w:pPr>
            <w:r>
              <w:rPr>
                <w:rFonts w:hint="eastAsia" w:ascii="宋体" w:hAnsi="宋体" w:eastAsia="宋体" w:cs="宋体"/>
                <w:sz w:val="24"/>
              </w:rPr>
              <w:t>1.4.8</w:t>
            </w:r>
          </w:p>
        </w:tc>
        <w:tc>
          <w:tcPr>
            <w:tcW w:w="7560" w:type="dxa"/>
            <w:vAlign w:val="center"/>
          </w:tcPr>
          <w:p>
            <w:pPr>
              <w:spacing w:line="360" w:lineRule="auto"/>
              <w:rPr>
                <w:rFonts w:hint="eastAsia" w:ascii="宋体" w:hAnsi="宋体" w:eastAsia="宋体" w:cs="宋体"/>
                <w:sz w:val="24"/>
              </w:rPr>
            </w:pPr>
            <w:r>
              <w:rPr>
                <w:rFonts w:hint="eastAsia" w:ascii="宋体" w:hAnsi="宋体" w:eastAsia="宋体" w:cs="宋体"/>
                <w:sz w:val="24"/>
              </w:rPr>
              <w:t>联合体的其他资格要求：不适用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68" w:type="dxa"/>
            <w:vAlign w:val="center"/>
          </w:tcPr>
          <w:p>
            <w:pPr>
              <w:spacing w:line="360" w:lineRule="auto"/>
              <w:ind w:left="1080" w:leftChars="257" w:hanging="540"/>
              <w:rPr>
                <w:rFonts w:hint="eastAsia" w:ascii="宋体" w:hAnsi="宋体" w:eastAsia="宋体" w:cs="宋体"/>
                <w:sz w:val="24"/>
              </w:rPr>
            </w:pPr>
            <w:r>
              <w:rPr>
                <w:rFonts w:hint="eastAsia" w:ascii="宋体" w:hAnsi="宋体" w:eastAsia="宋体" w:cs="宋体"/>
                <w:sz w:val="24"/>
              </w:rPr>
              <w:t>2.2</w:t>
            </w:r>
          </w:p>
        </w:tc>
        <w:tc>
          <w:tcPr>
            <w:tcW w:w="7560" w:type="dxa"/>
            <w:vAlign w:val="center"/>
          </w:tcPr>
          <w:p>
            <w:pPr>
              <w:spacing w:line="360" w:lineRule="auto"/>
              <w:rPr>
                <w:rFonts w:hint="eastAsia" w:ascii="宋体" w:hAnsi="宋体" w:eastAsia="宋体" w:cs="宋体"/>
                <w:sz w:val="24"/>
              </w:rPr>
            </w:pPr>
            <w:r>
              <w:rPr>
                <w:rFonts w:hint="eastAsia" w:ascii="宋体" w:hAnsi="宋体" w:eastAsia="宋体" w:cs="宋体"/>
                <w:sz w:val="24"/>
              </w:rPr>
              <w:t>项目预算金额：</w:t>
            </w:r>
            <w:r>
              <w:rPr>
                <w:rFonts w:hint="eastAsia" w:ascii="宋体" w:hAnsi="宋体" w:eastAsia="宋体" w:cs="宋体"/>
                <w:sz w:val="24"/>
                <w:u w:val="single"/>
              </w:rPr>
              <w:t xml:space="preserve"> 142.00 </w:t>
            </w:r>
            <w:r>
              <w:rPr>
                <w:rFonts w:hint="eastAsia" w:ascii="宋体" w:hAnsi="宋体" w:eastAsia="宋体" w:cs="宋体"/>
                <w:sz w:val="24"/>
              </w:rPr>
              <w:t>万元；本包最高限价：</w:t>
            </w:r>
            <w:r>
              <w:rPr>
                <w:rFonts w:hint="eastAsia" w:ascii="宋体" w:hAnsi="宋体" w:eastAsia="宋体" w:cs="宋体"/>
                <w:sz w:val="24"/>
                <w:u w:val="single"/>
              </w:rPr>
              <w:t xml:space="preserve">  142.00  </w:t>
            </w:r>
            <w:r>
              <w:rPr>
                <w:rFonts w:hint="eastAsia" w:ascii="宋体" w:hAnsi="宋体" w:eastAsia="宋体" w:cs="宋体"/>
                <w:sz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1468" w:type="dxa"/>
            <w:vAlign w:val="center"/>
          </w:tcPr>
          <w:p>
            <w:pPr>
              <w:spacing w:line="360" w:lineRule="auto"/>
              <w:ind w:left="1080" w:leftChars="257" w:hanging="540"/>
              <w:rPr>
                <w:rFonts w:hint="eastAsia" w:ascii="宋体" w:hAnsi="宋体" w:eastAsia="宋体" w:cs="宋体"/>
                <w:sz w:val="24"/>
              </w:rPr>
            </w:pPr>
            <w:r>
              <w:rPr>
                <w:rFonts w:hint="eastAsia" w:ascii="宋体" w:hAnsi="宋体" w:eastAsia="宋体" w:cs="宋体"/>
                <w:sz w:val="24"/>
              </w:rPr>
              <w:t>8.1</w:t>
            </w:r>
          </w:p>
        </w:tc>
        <w:tc>
          <w:tcPr>
            <w:tcW w:w="7560" w:type="dxa"/>
            <w:vAlign w:val="center"/>
          </w:tcPr>
          <w:p>
            <w:pPr>
              <w:spacing w:line="360" w:lineRule="auto"/>
              <w:rPr>
                <w:rFonts w:hint="eastAsia" w:ascii="宋体" w:hAnsi="宋体" w:eastAsia="宋体" w:cs="宋体"/>
                <w:sz w:val="24"/>
              </w:rPr>
            </w:pPr>
            <w:r>
              <w:rPr>
                <w:rFonts w:hint="eastAsia" w:ascii="宋体" w:hAnsi="宋体" w:eastAsia="宋体" w:cs="宋体"/>
                <w:sz w:val="24"/>
              </w:rPr>
              <w:t>如投标商对多个包进行投标，可以中标</w:t>
            </w:r>
            <w:r>
              <w:rPr>
                <w:rFonts w:hint="eastAsia" w:ascii="宋体" w:hAnsi="宋体" w:eastAsia="宋体" w:cs="宋体"/>
                <w:sz w:val="24"/>
                <w:u w:val="single"/>
              </w:rPr>
              <w:t xml:space="preserve">多个 </w:t>
            </w:r>
            <w:r>
              <w:rPr>
                <w:rFonts w:hint="eastAsia" w:ascii="宋体" w:hAnsi="宋体" w:eastAsia="宋体" w:cs="宋体"/>
                <w:sz w:val="24"/>
              </w:rPr>
              <w:t>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0" w:hRule="atLeast"/>
        </w:trPr>
        <w:tc>
          <w:tcPr>
            <w:tcW w:w="1468" w:type="dxa"/>
            <w:vAlign w:val="center"/>
          </w:tcPr>
          <w:p>
            <w:pPr>
              <w:spacing w:line="360" w:lineRule="auto"/>
              <w:ind w:left="1080" w:leftChars="257" w:hanging="540"/>
              <w:rPr>
                <w:rFonts w:hint="eastAsia" w:ascii="宋体" w:hAnsi="宋体" w:eastAsia="宋体" w:cs="宋体"/>
                <w:sz w:val="24"/>
              </w:rPr>
            </w:pPr>
            <w:r>
              <w:rPr>
                <w:rFonts w:hint="eastAsia" w:ascii="宋体" w:hAnsi="宋体" w:eastAsia="宋体" w:cs="宋体"/>
                <w:sz w:val="24"/>
              </w:rPr>
              <w:t>9.1</w:t>
            </w:r>
          </w:p>
        </w:tc>
        <w:tc>
          <w:tcPr>
            <w:tcW w:w="7560" w:type="dxa"/>
            <w:vAlign w:val="center"/>
          </w:tcPr>
          <w:p>
            <w:pPr>
              <w:adjustRightInd w:val="0"/>
              <w:snapToGrid w:val="0"/>
              <w:spacing w:line="460" w:lineRule="exact"/>
              <w:rPr>
                <w:rFonts w:hint="eastAsia" w:ascii="宋体" w:hAnsi="宋体" w:eastAsia="宋体" w:cs="宋体"/>
                <w:sz w:val="24"/>
              </w:rPr>
            </w:pPr>
            <w:r>
              <w:rPr>
                <w:rFonts w:hint="eastAsia" w:ascii="宋体" w:hAnsi="宋体" w:eastAsia="宋体" w:cs="宋体"/>
                <w:sz w:val="24"/>
              </w:rPr>
              <w:t>第一部分  开标一览表及资格证明文件</w:t>
            </w:r>
          </w:p>
          <w:p>
            <w:pPr>
              <w:tabs>
                <w:tab w:val="left" w:pos="900"/>
                <w:tab w:val="left" w:pos="5580"/>
              </w:tabs>
              <w:spacing w:line="240" w:lineRule="atLeast"/>
              <w:ind w:left="900" w:hanging="900" w:hangingChars="375"/>
              <w:rPr>
                <w:rFonts w:hint="eastAsia" w:ascii="宋体" w:hAnsi="宋体" w:eastAsia="宋体" w:cs="宋体"/>
                <w:sz w:val="24"/>
              </w:rPr>
            </w:pPr>
            <w:r>
              <w:rPr>
                <w:rFonts w:hint="eastAsia" w:ascii="宋体" w:hAnsi="宋体" w:eastAsia="宋体" w:cs="宋体"/>
                <w:sz w:val="24"/>
              </w:rPr>
              <w:t>1、开标一览表（见投标文件格式一);</w:t>
            </w:r>
          </w:p>
          <w:p>
            <w:pPr>
              <w:tabs>
                <w:tab w:val="left" w:pos="5580"/>
              </w:tabs>
              <w:spacing w:line="240" w:lineRule="atLeast"/>
              <w:rPr>
                <w:rFonts w:hint="eastAsia" w:ascii="宋体" w:hAnsi="宋体" w:eastAsia="宋体" w:cs="宋体"/>
                <w:sz w:val="24"/>
              </w:rPr>
            </w:pPr>
            <w:r>
              <w:rPr>
                <w:rFonts w:hint="eastAsia" w:ascii="宋体" w:hAnsi="宋体" w:eastAsia="宋体" w:cs="宋体"/>
                <w:sz w:val="24"/>
              </w:rPr>
              <w:t>2、法人或者非法人组织的营业执照等证明文件复印件（须加盖本单位公章）或自然人的身份证明复印件;</w:t>
            </w:r>
          </w:p>
          <w:p>
            <w:pPr>
              <w:tabs>
                <w:tab w:val="left" w:pos="5580"/>
              </w:tabs>
              <w:spacing w:line="240" w:lineRule="atLeast"/>
              <w:rPr>
                <w:rFonts w:hint="eastAsia" w:ascii="宋体" w:hAnsi="宋体" w:eastAsia="宋体" w:cs="宋体"/>
                <w:sz w:val="24"/>
              </w:rPr>
            </w:pPr>
            <w:r>
              <w:rPr>
                <w:rFonts w:hint="eastAsia" w:ascii="宋体" w:hAnsi="宋体" w:eastAsia="宋体" w:cs="宋体"/>
                <w:sz w:val="24"/>
              </w:rPr>
              <w:t>3、法定代表人授权书（见投标文件格式二，自然人投标的无需提供）;</w:t>
            </w:r>
          </w:p>
          <w:p>
            <w:pPr>
              <w:tabs>
                <w:tab w:val="left" w:pos="5580"/>
              </w:tabs>
              <w:spacing w:line="240" w:lineRule="atLeast"/>
              <w:rPr>
                <w:rFonts w:hint="eastAsia" w:ascii="宋体" w:hAnsi="宋体" w:eastAsia="宋体" w:cs="宋体"/>
                <w:sz w:val="24"/>
              </w:rPr>
            </w:pPr>
            <w:r>
              <w:rPr>
                <w:rFonts w:hint="eastAsia" w:ascii="宋体" w:hAnsi="宋体" w:eastAsia="宋体" w:cs="宋体"/>
                <w:sz w:val="24"/>
              </w:rPr>
              <w:t>4、投标人具有良好的商业信誉和健全的财务会计制度的证明文件；（</w:t>
            </w:r>
            <w:r>
              <w:rPr>
                <w:rFonts w:hint="eastAsia" w:ascii="宋体" w:hAnsi="宋体" w:eastAsia="宋体" w:cs="宋体"/>
                <w:b/>
                <w:bCs/>
                <w:sz w:val="24"/>
              </w:rPr>
              <w:t>会计师事务所出具的上一年度财务审计报告或银行出具的说明投标人商业信誉或结算情况等事项的证明文件原件</w:t>
            </w:r>
            <w:r>
              <w:rPr>
                <w:rFonts w:hint="eastAsia" w:ascii="宋体" w:hAnsi="宋体" w:eastAsia="宋体" w:cs="宋体"/>
                <w:sz w:val="24"/>
              </w:rPr>
              <w:t>）</w:t>
            </w:r>
          </w:p>
          <w:p>
            <w:pPr>
              <w:tabs>
                <w:tab w:val="left" w:pos="5580"/>
              </w:tabs>
              <w:spacing w:line="240" w:lineRule="atLeast"/>
              <w:rPr>
                <w:rFonts w:hint="eastAsia" w:ascii="宋体" w:hAnsi="宋体" w:eastAsia="宋体" w:cs="宋体"/>
                <w:sz w:val="24"/>
              </w:rPr>
            </w:pPr>
            <w:r>
              <w:rPr>
                <w:rFonts w:hint="eastAsia" w:ascii="宋体" w:hAnsi="宋体" w:eastAsia="宋体" w:cs="宋体"/>
                <w:sz w:val="24"/>
              </w:rPr>
              <w:t xml:space="preserve">5、投标保证金缴纳凭证复印件或投标担保函; </w:t>
            </w:r>
          </w:p>
          <w:p>
            <w:pPr>
              <w:pStyle w:val="12"/>
              <w:spacing w:line="240" w:lineRule="atLeast"/>
              <w:rPr>
                <w:rFonts w:hint="eastAsia" w:ascii="宋体" w:hAnsi="宋体" w:eastAsia="宋体" w:cs="宋体"/>
                <w:sz w:val="24"/>
              </w:rPr>
            </w:pPr>
            <w:r>
              <w:rPr>
                <w:rFonts w:hint="eastAsia" w:ascii="宋体" w:hAnsi="宋体" w:eastAsia="宋体" w:cs="宋体"/>
                <w:sz w:val="24"/>
              </w:rPr>
              <w:t>6、</w:t>
            </w:r>
            <w:r>
              <w:rPr>
                <w:rFonts w:hint="eastAsia" w:ascii="宋体" w:hAnsi="宋体" w:eastAsia="宋体" w:cs="宋体"/>
                <w:b/>
                <w:sz w:val="24"/>
              </w:rPr>
              <w:t>提供投标人的最近3个月任意1个月纳税和社保记录（复印件，加盖投标人公章）</w:t>
            </w:r>
            <w:r>
              <w:rPr>
                <w:rFonts w:hint="eastAsia" w:ascii="宋体" w:hAnsi="宋体" w:eastAsia="宋体" w:cs="宋体"/>
                <w:sz w:val="24"/>
              </w:rPr>
              <w:t>;</w:t>
            </w:r>
          </w:p>
          <w:p>
            <w:pPr>
              <w:tabs>
                <w:tab w:val="left" w:pos="5580"/>
              </w:tabs>
              <w:spacing w:line="240" w:lineRule="atLeast"/>
              <w:rPr>
                <w:rFonts w:hint="eastAsia" w:ascii="宋体" w:hAnsi="宋体" w:eastAsia="宋体" w:cs="宋体"/>
                <w:sz w:val="24"/>
              </w:rPr>
            </w:pPr>
            <w:r>
              <w:rPr>
                <w:rFonts w:hint="eastAsia" w:ascii="宋体" w:hAnsi="宋体" w:eastAsia="宋体" w:cs="宋体"/>
                <w:sz w:val="24"/>
              </w:rPr>
              <w:t>7、</w:t>
            </w:r>
            <w:r>
              <w:rPr>
                <w:rFonts w:hint="eastAsia" w:ascii="宋体" w:hAnsi="宋体" w:eastAsia="宋体" w:cs="宋体"/>
                <w:color w:val="000000"/>
                <w:kern w:val="0"/>
                <w:sz w:val="24"/>
              </w:rPr>
              <w:t>参加政府采购活动前3年内在经营活动中没有重大违法记录的书面声明;</w:t>
            </w:r>
          </w:p>
          <w:p>
            <w:pPr>
              <w:tabs>
                <w:tab w:val="left" w:pos="5580"/>
              </w:tabs>
              <w:spacing w:line="240" w:lineRule="atLeast"/>
              <w:rPr>
                <w:rFonts w:hint="eastAsia" w:ascii="宋体" w:hAnsi="宋体" w:eastAsia="宋体" w:cs="宋体"/>
                <w:color w:val="000000"/>
                <w:kern w:val="0"/>
                <w:sz w:val="24"/>
              </w:rPr>
            </w:pPr>
            <w:r>
              <w:rPr>
                <w:rFonts w:hint="eastAsia" w:ascii="宋体" w:hAnsi="宋体" w:eastAsia="宋体" w:cs="宋体"/>
                <w:sz w:val="24"/>
              </w:rPr>
              <w:t>8、</w:t>
            </w:r>
            <w:r>
              <w:rPr>
                <w:rFonts w:hint="eastAsia" w:ascii="宋体" w:hAnsi="宋体" w:eastAsia="宋体" w:cs="宋体"/>
                <w:sz w:val="24"/>
                <w:u w:val="single"/>
              </w:rPr>
              <w:t>投标人须知资料表</w:t>
            </w:r>
            <w:r>
              <w:rPr>
                <w:rFonts w:hint="eastAsia" w:ascii="宋体" w:hAnsi="宋体" w:eastAsia="宋体" w:cs="宋体"/>
                <w:sz w:val="24"/>
              </w:rPr>
              <w:t>要求的其他资格证明文件;</w:t>
            </w:r>
          </w:p>
          <w:p>
            <w:pPr>
              <w:tabs>
                <w:tab w:val="left" w:pos="5580"/>
              </w:tabs>
              <w:spacing w:line="240" w:lineRule="atLeast"/>
              <w:rPr>
                <w:rFonts w:hint="eastAsia" w:ascii="宋体" w:hAnsi="宋体" w:eastAsia="宋体" w:cs="宋体"/>
                <w:sz w:val="24"/>
              </w:rPr>
            </w:pPr>
            <w:r>
              <w:rPr>
                <w:rFonts w:hint="eastAsia" w:ascii="宋体" w:hAnsi="宋体" w:eastAsia="宋体" w:cs="宋体"/>
                <w:sz w:val="24"/>
              </w:rPr>
              <w:t>9、如投标人所投产品为进口产品提供以下资格证明文件，是否作为资格要求，见</w:t>
            </w:r>
            <w:r>
              <w:rPr>
                <w:rFonts w:hint="eastAsia" w:ascii="宋体" w:hAnsi="宋体" w:eastAsia="宋体" w:cs="宋体"/>
                <w:sz w:val="24"/>
                <w:u w:val="single"/>
              </w:rPr>
              <w:t>投标人须知资料表</w:t>
            </w:r>
            <w:r>
              <w:rPr>
                <w:rFonts w:hint="eastAsia" w:ascii="宋体" w:hAnsi="宋体" w:eastAsia="宋体" w:cs="宋体"/>
                <w:sz w:val="24"/>
              </w:rPr>
              <w:t>要求；</w:t>
            </w:r>
          </w:p>
          <w:p>
            <w:pPr>
              <w:tabs>
                <w:tab w:val="left" w:pos="5580"/>
              </w:tabs>
              <w:spacing w:line="240" w:lineRule="atLeast"/>
              <w:rPr>
                <w:rFonts w:hint="eastAsia" w:ascii="宋体" w:hAnsi="宋体" w:eastAsia="宋体" w:cs="宋体"/>
                <w:sz w:val="24"/>
              </w:rPr>
            </w:pPr>
            <w:r>
              <w:rPr>
                <w:rFonts w:hint="eastAsia" w:ascii="宋体" w:hAnsi="宋体" w:eastAsia="宋体" w:cs="宋体"/>
                <w:sz w:val="24"/>
              </w:rPr>
              <w:t>9-1、制造厂家的授权书（投标文件格式四）</w:t>
            </w:r>
          </w:p>
          <w:p>
            <w:pPr>
              <w:tabs>
                <w:tab w:val="left" w:pos="900"/>
                <w:tab w:val="left" w:pos="5580"/>
              </w:tabs>
              <w:spacing w:line="240" w:lineRule="atLeast"/>
              <w:rPr>
                <w:rFonts w:hint="eastAsia" w:ascii="宋体" w:hAnsi="宋体" w:eastAsia="宋体" w:cs="宋体"/>
                <w:sz w:val="24"/>
              </w:rPr>
            </w:pPr>
            <w:r>
              <w:rPr>
                <w:rFonts w:hint="eastAsia" w:ascii="宋体" w:hAnsi="宋体" w:eastAsia="宋体" w:cs="宋体"/>
                <w:sz w:val="24"/>
              </w:rPr>
              <w:t>9-2、经销商（作为代理）的资格声明（投标文件格式五）</w:t>
            </w:r>
          </w:p>
          <w:p>
            <w:pPr>
              <w:adjustRightInd w:val="0"/>
              <w:snapToGrid w:val="0"/>
              <w:spacing w:line="460" w:lineRule="exact"/>
              <w:rPr>
                <w:rFonts w:hint="eastAsia" w:ascii="宋体" w:hAnsi="宋体" w:eastAsia="宋体" w:cs="宋体"/>
                <w:b/>
                <w:sz w:val="24"/>
              </w:rPr>
            </w:pPr>
            <w:r>
              <w:rPr>
                <w:rFonts w:hint="eastAsia" w:ascii="宋体" w:hAnsi="宋体" w:eastAsia="宋体" w:cs="宋体"/>
                <w:b/>
                <w:sz w:val="24"/>
              </w:rPr>
              <w:t>在法规范围内不需提供的，应做书面说明和证明文件。</w:t>
            </w:r>
          </w:p>
          <w:p>
            <w:pPr>
              <w:adjustRightInd w:val="0"/>
              <w:snapToGrid w:val="0"/>
              <w:spacing w:line="460" w:lineRule="exact"/>
              <w:rPr>
                <w:rFonts w:hint="eastAsia" w:ascii="宋体" w:hAnsi="宋体" w:eastAsia="宋体" w:cs="宋体"/>
                <w:sz w:val="24"/>
              </w:rPr>
            </w:pPr>
            <w:r>
              <w:rPr>
                <w:rFonts w:hint="eastAsia" w:ascii="宋体" w:hAnsi="宋体" w:eastAsia="宋体" w:cs="宋体"/>
                <w:sz w:val="24"/>
              </w:rPr>
              <w:t>第二部分  商务及技术文件</w:t>
            </w:r>
          </w:p>
          <w:p>
            <w:pPr>
              <w:spacing w:line="360" w:lineRule="auto"/>
              <w:rPr>
                <w:rFonts w:hint="eastAsia" w:ascii="宋体" w:hAnsi="宋体" w:eastAsia="宋体" w:cs="宋体"/>
                <w:sz w:val="24"/>
              </w:rPr>
            </w:pPr>
            <w:r>
              <w:rPr>
                <w:rFonts w:hint="eastAsia" w:ascii="宋体" w:hAnsi="宋体" w:eastAsia="宋体" w:cs="宋体"/>
                <w:sz w:val="24"/>
              </w:rPr>
              <w:t>1、根据本项目评分因素中相关打分项提供必要的文件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9" w:hRule="atLeast"/>
        </w:trPr>
        <w:tc>
          <w:tcPr>
            <w:tcW w:w="1468" w:type="dxa"/>
            <w:vAlign w:val="center"/>
          </w:tcPr>
          <w:p>
            <w:pPr>
              <w:spacing w:line="360" w:lineRule="auto"/>
              <w:ind w:left="1080" w:leftChars="257" w:hanging="540"/>
              <w:rPr>
                <w:rFonts w:hint="eastAsia" w:ascii="宋体" w:hAnsi="宋体" w:eastAsia="宋体" w:cs="宋体"/>
                <w:sz w:val="24"/>
              </w:rPr>
            </w:pPr>
            <w:r>
              <w:rPr>
                <w:rFonts w:hint="eastAsia" w:ascii="宋体" w:hAnsi="宋体" w:eastAsia="宋体" w:cs="宋体"/>
                <w:sz w:val="24"/>
              </w:rPr>
              <w:t>9.1</w:t>
            </w:r>
          </w:p>
        </w:tc>
        <w:tc>
          <w:tcPr>
            <w:tcW w:w="7560" w:type="dxa"/>
            <w:vAlign w:val="center"/>
          </w:tcPr>
          <w:p>
            <w:pPr>
              <w:spacing w:line="360" w:lineRule="auto"/>
              <w:rPr>
                <w:rFonts w:hint="eastAsia" w:ascii="宋体" w:hAnsi="宋体" w:eastAsia="宋体" w:cs="宋体"/>
                <w:sz w:val="24"/>
              </w:rPr>
            </w:pPr>
            <w:r>
              <w:rPr>
                <w:rFonts w:hint="eastAsia" w:ascii="宋体" w:hAnsi="宋体" w:eastAsia="宋体" w:cs="宋体"/>
                <w:sz w:val="24"/>
              </w:rPr>
              <w:t>进口产品制造商授权等是否作为资格要求：</w:t>
            </w:r>
            <w:r>
              <w:rPr>
                <w:rFonts w:hint="eastAsia" w:ascii="宋体" w:hAnsi="宋体" w:eastAsia="宋体" w:cs="宋体"/>
                <w:sz w:val="24"/>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vAlign w:val="center"/>
          </w:tcPr>
          <w:p>
            <w:pPr>
              <w:spacing w:line="360" w:lineRule="auto"/>
              <w:ind w:left="1080" w:leftChars="257" w:hanging="540"/>
              <w:rPr>
                <w:rFonts w:hint="eastAsia" w:ascii="宋体" w:hAnsi="宋体" w:eastAsia="宋体" w:cs="宋体"/>
                <w:sz w:val="24"/>
              </w:rPr>
            </w:pPr>
            <w:r>
              <w:rPr>
                <w:rFonts w:hint="eastAsia" w:ascii="宋体" w:hAnsi="宋体" w:eastAsia="宋体" w:cs="宋体"/>
                <w:sz w:val="24"/>
              </w:rPr>
              <w:t>12</w:t>
            </w:r>
          </w:p>
        </w:tc>
        <w:tc>
          <w:tcPr>
            <w:tcW w:w="7560" w:type="dxa"/>
            <w:vAlign w:val="center"/>
          </w:tcPr>
          <w:p>
            <w:pPr>
              <w:spacing w:line="360" w:lineRule="auto"/>
              <w:rPr>
                <w:rFonts w:hint="eastAsia" w:ascii="宋体" w:hAnsi="宋体" w:eastAsia="宋体" w:cs="宋体"/>
                <w:sz w:val="24"/>
              </w:rPr>
            </w:pPr>
            <w:r>
              <w:rPr>
                <w:rFonts w:hint="eastAsia" w:ascii="宋体" w:hAnsi="宋体" w:eastAsia="宋体" w:cs="宋体"/>
                <w:sz w:val="24"/>
              </w:rPr>
              <w:t>1.保证金形式：</w:t>
            </w:r>
            <w:r>
              <w:rPr>
                <w:rFonts w:hint="eastAsia" w:ascii="宋体" w:hAnsi="宋体" w:eastAsia="宋体" w:cs="宋体"/>
                <w:sz w:val="24"/>
              </w:rPr>
              <w:sym w:font="Wingdings 2" w:char="00A3"/>
            </w:r>
            <w:r>
              <w:rPr>
                <w:rFonts w:hint="eastAsia" w:ascii="宋体" w:hAnsi="宋体" w:eastAsia="宋体" w:cs="宋体"/>
                <w:sz w:val="24"/>
              </w:rPr>
              <w:t xml:space="preserve">信用担保  </w:t>
            </w:r>
            <w:r>
              <w:rPr>
                <w:rFonts w:hint="eastAsia" w:ascii="宋体" w:hAnsi="宋体" w:eastAsia="宋体" w:cs="宋体"/>
                <w:sz w:val="24"/>
              </w:rPr>
              <w:sym w:font="Wingdings 2" w:char="0052"/>
            </w:r>
            <w:r>
              <w:rPr>
                <w:rFonts w:hint="eastAsia" w:ascii="宋体" w:hAnsi="宋体" w:eastAsia="宋体" w:cs="宋体"/>
                <w:sz w:val="24"/>
              </w:rPr>
              <w:t xml:space="preserve">电汇  </w:t>
            </w:r>
            <w:r>
              <w:rPr>
                <w:rFonts w:hint="eastAsia" w:ascii="宋体" w:hAnsi="宋体" w:eastAsia="宋体" w:cs="宋体"/>
                <w:sz w:val="24"/>
              </w:rPr>
              <w:sym w:font="Wingdings 2" w:char="0052"/>
            </w:r>
            <w:r>
              <w:rPr>
                <w:rFonts w:hint="eastAsia" w:ascii="宋体" w:hAnsi="宋体" w:eastAsia="宋体" w:cs="宋体"/>
                <w:sz w:val="24"/>
              </w:rPr>
              <w:t>支票</w:t>
            </w:r>
          </w:p>
          <w:p>
            <w:pPr>
              <w:spacing w:line="360" w:lineRule="auto"/>
              <w:rPr>
                <w:rFonts w:hint="eastAsia" w:ascii="宋体" w:hAnsi="宋体" w:eastAsia="宋体" w:cs="宋体"/>
                <w:sz w:val="24"/>
              </w:rPr>
            </w:pPr>
            <w:r>
              <w:rPr>
                <w:rFonts w:hint="eastAsia" w:ascii="宋体" w:hAnsi="宋体" w:eastAsia="宋体" w:cs="宋体"/>
                <w:sz w:val="24"/>
              </w:rPr>
              <w:t>2.保证金数额：</w:t>
            </w:r>
            <w:r>
              <w:rPr>
                <w:rFonts w:hint="eastAsia" w:ascii="宋体" w:hAnsi="宋体" w:eastAsia="宋体" w:cs="宋体"/>
                <w:sz w:val="24"/>
                <w:lang w:val="en-US" w:eastAsia="zh-CN"/>
              </w:rPr>
              <w:t>2</w:t>
            </w:r>
            <w:r>
              <w:rPr>
                <w:rFonts w:hint="eastAsia" w:ascii="宋体" w:hAnsi="宋体" w:eastAsia="宋体" w:cs="宋体"/>
                <w:sz w:val="24"/>
              </w:rPr>
              <w:t>万元</w:t>
            </w:r>
          </w:p>
          <w:p>
            <w:pPr>
              <w:spacing w:line="360" w:lineRule="auto"/>
              <w:rPr>
                <w:rFonts w:hint="eastAsia" w:ascii="宋体" w:hAnsi="宋体" w:eastAsia="宋体" w:cs="宋体"/>
                <w:sz w:val="24"/>
              </w:rPr>
            </w:pPr>
            <w:r>
              <w:rPr>
                <w:rFonts w:hint="eastAsia" w:ascii="宋体" w:hAnsi="宋体" w:eastAsia="宋体" w:cs="宋体"/>
                <w:sz w:val="24"/>
              </w:rPr>
              <w:t>3.投标保证金缴纳账户信息：</w:t>
            </w:r>
          </w:p>
          <w:p>
            <w:pPr>
              <w:spacing w:line="360" w:lineRule="auto"/>
              <w:rPr>
                <w:rFonts w:hint="eastAsia" w:ascii="宋体" w:hAnsi="宋体" w:eastAsia="宋体" w:cs="宋体"/>
                <w:sz w:val="24"/>
              </w:rPr>
            </w:pPr>
            <w:r>
              <w:rPr>
                <w:rFonts w:hint="eastAsia" w:ascii="宋体" w:hAnsi="宋体" w:eastAsia="宋体" w:cs="宋体"/>
                <w:sz w:val="24"/>
              </w:rPr>
              <w:t>户名：中招国际招标有限公司</w:t>
            </w:r>
          </w:p>
          <w:p>
            <w:pPr>
              <w:spacing w:line="360" w:lineRule="auto"/>
              <w:rPr>
                <w:rFonts w:hint="eastAsia" w:ascii="宋体" w:hAnsi="宋体" w:eastAsia="宋体" w:cs="宋体"/>
                <w:sz w:val="24"/>
              </w:rPr>
            </w:pPr>
            <w:r>
              <w:rPr>
                <w:rFonts w:hint="eastAsia" w:ascii="宋体" w:hAnsi="宋体" w:eastAsia="宋体" w:cs="宋体"/>
                <w:sz w:val="24"/>
              </w:rPr>
              <w:t>账号：0200049619200362296</w:t>
            </w:r>
          </w:p>
          <w:p>
            <w:pPr>
              <w:spacing w:line="360" w:lineRule="auto"/>
              <w:rPr>
                <w:rFonts w:hint="eastAsia" w:ascii="宋体" w:hAnsi="宋体" w:eastAsia="宋体" w:cs="宋体"/>
                <w:sz w:val="24"/>
              </w:rPr>
            </w:pPr>
            <w:r>
              <w:rPr>
                <w:rFonts w:hint="eastAsia" w:ascii="宋体" w:hAnsi="宋体" w:eastAsia="宋体" w:cs="宋体"/>
                <w:sz w:val="24"/>
              </w:rPr>
              <w:t>开户银行：中国工商银行北京海淀支行营业部</w:t>
            </w:r>
          </w:p>
          <w:p>
            <w:pPr>
              <w:spacing w:line="360" w:lineRule="auto"/>
              <w:rPr>
                <w:rFonts w:hint="eastAsia" w:ascii="宋体" w:hAnsi="宋体" w:eastAsia="宋体" w:cs="宋体"/>
                <w:sz w:val="24"/>
              </w:rPr>
            </w:pPr>
            <w:r>
              <w:rPr>
                <w:rFonts w:hint="eastAsia" w:ascii="宋体" w:hAnsi="宋体" w:eastAsia="宋体" w:cs="宋体"/>
                <w:sz w:val="24"/>
              </w:rPr>
              <w:t>4.投标保证金必须由供应商基本户汇出。</w:t>
            </w:r>
          </w:p>
          <w:p>
            <w:pPr>
              <w:spacing w:line="360" w:lineRule="auto"/>
              <w:rPr>
                <w:rFonts w:hint="eastAsia" w:ascii="宋体" w:hAnsi="宋体" w:eastAsia="宋体" w:cs="宋体"/>
                <w:sz w:val="24"/>
              </w:rPr>
            </w:pPr>
            <w:r>
              <w:rPr>
                <w:rFonts w:hint="eastAsia" w:ascii="宋体" w:hAnsi="宋体" w:eastAsia="宋体" w:cs="宋体"/>
                <w:sz w:val="24"/>
              </w:rPr>
              <w:t>5.投标保证金除在投标文件中按要求提供外，另提供一份随基本账户证明文件单独封装在一个信封内，封皮上注明：投标保证金、招标项目名称、供应商名称，在封装处加盖供应商公章或由法定代表人（或被授权代表）签字。</w:t>
            </w:r>
          </w:p>
          <w:p>
            <w:pPr>
              <w:spacing w:line="360" w:lineRule="auto"/>
              <w:rPr>
                <w:rFonts w:hint="eastAsia" w:ascii="宋体" w:hAnsi="宋体" w:eastAsia="宋体" w:cs="宋体"/>
                <w:i/>
                <w:color w:val="FF6600"/>
                <w:sz w:val="24"/>
              </w:rPr>
            </w:pPr>
            <w:r>
              <w:rPr>
                <w:rFonts w:hint="eastAsia" w:ascii="宋体" w:hAnsi="宋体" w:eastAsia="宋体" w:cs="宋体"/>
                <w:sz w:val="24"/>
              </w:rPr>
              <w:t>6.增值税专用发票开票信息需一并封装在投标保证金信封内。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1468" w:type="dxa"/>
            <w:vAlign w:val="center"/>
          </w:tcPr>
          <w:p>
            <w:pPr>
              <w:spacing w:line="360" w:lineRule="auto"/>
              <w:ind w:left="1080" w:leftChars="257" w:hanging="540"/>
              <w:rPr>
                <w:rFonts w:hint="eastAsia" w:ascii="宋体" w:hAnsi="宋体" w:eastAsia="宋体" w:cs="宋体"/>
                <w:sz w:val="24"/>
              </w:rPr>
            </w:pPr>
            <w:r>
              <w:rPr>
                <w:rFonts w:hint="eastAsia" w:ascii="宋体" w:hAnsi="宋体" w:eastAsia="宋体" w:cs="宋体"/>
                <w:sz w:val="24"/>
              </w:rPr>
              <w:t>13.1</w:t>
            </w:r>
          </w:p>
        </w:tc>
        <w:tc>
          <w:tcPr>
            <w:tcW w:w="7560" w:type="dxa"/>
            <w:vAlign w:val="center"/>
          </w:tcPr>
          <w:p>
            <w:pPr>
              <w:spacing w:line="360" w:lineRule="auto"/>
              <w:rPr>
                <w:rFonts w:hint="eastAsia" w:ascii="宋体" w:hAnsi="宋体" w:eastAsia="宋体" w:cs="宋体"/>
                <w:sz w:val="24"/>
                <w:u w:val="single"/>
              </w:rPr>
            </w:pPr>
            <w:r>
              <w:rPr>
                <w:rFonts w:hint="eastAsia" w:ascii="宋体" w:hAnsi="宋体" w:eastAsia="宋体" w:cs="宋体"/>
                <w:sz w:val="24"/>
              </w:rPr>
              <w:t>投标有效期：</w:t>
            </w:r>
            <w:r>
              <w:rPr>
                <w:rFonts w:hint="eastAsia" w:ascii="宋体" w:hAnsi="宋体" w:eastAsia="宋体" w:cs="宋体"/>
                <w:sz w:val="24"/>
                <w:u w:val="single"/>
              </w:rPr>
              <w:t>　90　</w:t>
            </w:r>
            <w:r>
              <w:rPr>
                <w:rFonts w:hint="eastAsia" w:ascii="宋体" w:hAnsi="宋体" w:eastAsia="宋体" w:cs="宋体"/>
                <w:sz w:val="24"/>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468" w:type="dxa"/>
            <w:vAlign w:val="center"/>
          </w:tcPr>
          <w:p>
            <w:pPr>
              <w:spacing w:line="360" w:lineRule="auto"/>
              <w:ind w:left="1080" w:leftChars="257" w:hanging="540"/>
              <w:rPr>
                <w:rFonts w:hint="eastAsia" w:ascii="宋体" w:hAnsi="宋体" w:eastAsia="宋体" w:cs="宋体"/>
                <w:sz w:val="24"/>
              </w:rPr>
            </w:pPr>
            <w:r>
              <w:rPr>
                <w:rFonts w:hint="eastAsia" w:ascii="宋体" w:hAnsi="宋体" w:eastAsia="宋体" w:cs="宋体"/>
                <w:sz w:val="24"/>
              </w:rPr>
              <w:t>14.1</w:t>
            </w:r>
          </w:p>
        </w:tc>
        <w:tc>
          <w:tcPr>
            <w:tcW w:w="7560" w:type="dxa"/>
            <w:vAlign w:val="center"/>
          </w:tcPr>
          <w:p>
            <w:pPr>
              <w:spacing w:line="360" w:lineRule="auto"/>
              <w:rPr>
                <w:rFonts w:hint="eastAsia" w:ascii="宋体" w:hAnsi="宋体" w:eastAsia="宋体" w:cs="宋体"/>
                <w:sz w:val="24"/>
              </w:rPr>
            </w:pPr>
            <w:r>
              <w:rPr>
                <w:rFonts w:hint="eastAsia" w:ascii="宋体" w:hAnsi="宋体" w:eastAsia="宋体" w:cs="宋体"/>
                <w:sz w:val="24"/>
              </w:rPr>
              <w:t>第一部分投标文件：正本：</w:t>
            </w:r>
            <w:r>
              <w:rPr>
                <w:rFonts w:hint="eastAsia" w:ascii="宋体" w:hAnsi="宋体" w:eastAsia="宋体" w:cs="宋体"/>
                <w:sz w:val="24"/>
                <w:u w:val="single"/>
              </w:rPr>
              <w:t xml:space="preserve">　1 </w:t>
            </w:r>
            <w:r>
              <w:rPr>
                <w:rFonts w:hint="eastAsia" w:ascii="宋体" w:hAnsi="宋体" w:eastAsia="宋体" w:cs="宋体"/>
                <w:sz w:val="24"/>
              </w:rPr>
              <w:t>份、副本：</w:t>
            </w:r>
            <w:r>
              <w:rPr>
                <w:rFonts w:hint="eastAsia" w:ascii="宋体" w:hAnsi="宋体" w:eastAsia="宋体" w:cs="宋体"/>
                <w:sz w:val="24"/>
                <w:u w:val="single"/>
              </w:rPr>
              <w:t xml:space="preserve"> 4 </w:t>
            </w:r>
            <w:r>
              <w:rPr>
                <w:rFonts w:hint="eastAsia" w:ascii="宋体" w:hAnsi="宋体" w:eastAsia="宋体" w:cs="宋体"/>
                <w:sz w:val="24"/>
              </w:rPr>
              <w:t>份；</w:t>
            </w:r>
          </w:p>
          <w:p>
            <w:pPr>
              <w:spacing w:line="360" w:lineRule="auto"/>
              <w:rPr>
                <w:rFonts w:hint="eastAsia" w:ascii="宋体" w:hAnsi="宋体" w:eastAsia="宋体" w:cs="宋体"/>
                <w:sz w:val="24"/>
              </w:rPr>
            </w:pPr>
            <w:r>
              <w:rPr>
                <w:rFonts w:hint="eastAsia" w:ascii="宋体" w:hAnsi="宋体" w:eastAsia="宋体" w:cs="宋体"/>
                <w:sz w:val="24"/>
              </w:rPr>
              <w:t>第二部分投标文件：正本：</w:t>
            </w:r>
            <w:r>
              <w:rPr>
                <w:rFonts w:hint="eastAsia" w:ascii="宋体" w:hAnsi="宋体" w:eastAsia="宋体" w:cs="宋体"/>
                <w:sz w:val="24"/>
                <w:u w:val="single"/>
              </w:rPr>
              <w:t xml:space="preserve">　1 </w:t>
            </w:r>
            <w:r>
              <w:rPr>
                <w:rFonts w:hint="eastAsia" w:ascii="宋体" w:hAnsi="宋体" w:eastAsia="宋体" w:cs="宋体"/>
                <w:sz w:val="24"/>
              </w:rPr>
              <w:t>份、副本：</w:t>
            </w:r>
            <w:r>
              <w:rPr>
                <w:rFonts w:hint="eastAsia" w:ascii="宋体" w:hAnsi="宋体" w:eastAsia="宋体" w:cs="宋体"/>
                <w:sz w:val="24"/>
                <w:u w:val="single"/>
              </w:rPr>
              <w:t xml:space="preserve"> 4 </w:t>
            </w:r>
            <w:r>
              <w:rPr>
                <w:rFonts w:hint="eastAsia" w:ascii="宋体" w:hAnsi="宋体" w:eastAsia="宋体" w:cs="宋体"/>
                <w:sz w:val="24"/>
              </w:rPr>
              <w:t>份；</w:t>
            </w:r>
          </w:p>
          <w:p>
            <w:pPr>
              <w:spacing w:line="360" w:lineRule="auto"/>
              <w:rPr>
                <w:rFonts w:hint="eastAsia" w:ascii="宋体" w:hAnsi="宋体" w:eastAsia="宋体" w:cs="宋体"/>
                <w:sz w:val="24"/>
                <w:u w:val="single"/>
              </w:rPr>
            </w:pPr>
            <w:r>
              <w:rPr>
                <w:rFonts w:hint="eastAsia" w:ascii="宋体" w:hAnsi="宋体" w:eastAsia="宋体" w:cs="宋体"/>
                <w:sz w:val="24"/>
              </w:rPr>
              <w:t>除上述文件外，还须密封递交投标文件电子文档</w:t>
            </w:r>
            <w:r>
              <w:rPr>
                <w:rFonts w:hint="eastAsia" w:ascii="宋体" w:hAnsi="宋体" w:eastAsia="宋体" w:cs="宋体"/>
                <w:sz w:val="24"/>
                <w:u w:val="single"/>
              </w:rPr>
              <w:t xml:space="preserve">  1  </w:t>
            </w:r>
            <w:r>
              <w:rPr>
                <w:rFonts w:hint="eastAsia" w:ascii="宋体" w:hAnsi="宋体" w:eastAsia="宋体" w:cs="宋体"/>
                <w:sz w:val="24"/>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1468" w:type="dxa"/>
            <w:vAlign w:val="center"/>
          </w:tcPr>
          <w:p>
            <w:pPr>
              <w:spacing w:line="360" w:lineRule="auto"/>
              <w:ind w:left="1080" w:leftChars="257" w:hanging="540"/>
              <w:rPr>
                <w:rFonts w:hint="eastAsia" w:ascii="宋体" w:hAnsi="宋体" w:eastAsia="宋体" w:cs="宋体"/>
                <w:sz w:val="24"/>
              </w:rPr>
            </w:pPr>
            <w:r>
              <w:rPr>
                <w:rFonts w:hint="eastAsia" w:ascii="宋体" w:hAnsi="宋体" w:eastAsia="宋体" w:cs="宋体"/>
                <w:sz w:val="24"/>
              </w:rPr>
              <w:t>15.3</w:t>
            </w:r>
          </w:p>
        </w:tc>
        <w:tc>
          <w:tcPr>
            <w:tcW w:w="7560" w:type="dxa"/>
            <w:vAlign w:val="center"/>
          </w:tcPr>
          <w:p>
            <w:pPr>
              <w:spacing w:line="360" w:lineRule="auto"/>
              <w:rPr>
                <w:rFonts w:hint="eastAsia" w:ascii="宋体" w:hAnsi="宋体" w:eastAsia="宋体" w:cs="宋体"/>
                <w:sz w:val="24"/>
              </w:rPr>
            </w:pPr>
            <w:r>
              <w:rPr>
                <w:rFonts w:hint="eastAsia" w:ascii="宋体" w:hAnsi="宋体" w:eastAsia="宋体" w:cs="宋体"/>
                <w:sz w:val="24"/>
              </w:rPr>
              <w:t>投标截止时间：</w:t>
            </w:r>
            <w:r>
              <w:rPr>
                <w:rFonts w:hint="eastAsia" w:ascii="宋体" w:hAnsi="宋体" w:eastAsia="宋体" w:cs="宋体"/>
                <w:sz w:val="24"/>
                <w:u w:val="single"/>
                <w:lang w:val="en-US" w:eastAsia="zh-CN"/>
              </w:rPr>
              <w:t>2022</w:t>
            </w:r>
            <w:r>
              <w:rPr>
                <w:rFonts w:hint="eastAsia" w:ascii="宋体" w:hAnsi="宋体" w:eastAsia="宋体" w:cs="宋体"/>
                <w:sz w:val="24"/>
                <w:u w:val="single"/>
              </w:rPr>
              <w:t>年</w:t>
            </w:r>
            <w:r>
              <w:rPr>
                <w:rFonts w:hint="eastAsia" w:ascii="宋体" w:hAnsi="宋体" w:eastAsia="宋体" w:cs="宋体"/>
                <w:sz w:val="24"/>
                <w:u w:val="single"/>
                <w:lang w:val="en-US" w:eastAsia="zh-CN"/>
              </w:rPr>
              <w:t>8</w:t>
            </w:r>
            <w:r>
              <w:rPr>
                <w:rFonts w:hint="eastAsia" w:ascii="宋体" w:hAnsi="宋体" w:eastAsia="宋体" w:cs="宋体"/>
                <w:sz w:val="24"/>
                <w:u w:val="single"/>
              </w:rPr>
              <w:t>月</w:t>
            </w:r>
            <w:r>
              <w:rPr>
                <w:rFonts w:hint="eastAsia" w:ascii="宋体" w:hAnsi="宋体" w:eastAsia="宋体" w:cs="宋体"/>
                <w:sz w:val="24"/>
                <w:u w:val="single"/>
                <w:lang w:val="en-US" w:eastAsia="zh-CN"/>
              </w:rPr>
              <w:t>2</w:t>
            </w:r>
            <w:r>
              <w:rPr>
                <w:rFonts w:hint="eastAsia" w:ascii="宋体" w:hAnsi="宋体" w:cs="宋体"/>
                <w:sz w:val="24"/>
                <w:u w:val="single"/>
                <w:lang w:val="en-US" w:eastAsia="zh-CN"/>
              </w:rPr>
              <w:t>4</w:t>
            </w:r>
            <w:r>
              <w:rPr>
                <w:rFonts w:hint="eastAsia" w:ascii="宋体" w:hAnsi="宋体" w:eastAsia="宋体" w:cs="宋体"/>
                <w:sz w:val="24"/>
                <w:u w:val="single"/>
              </w:rPr>
              <w:t>日</w:t>
            </w:r>
            <w:r>
              <w:rPr>
                <w:rFonts w:hint="eastAsia" w:ascii="宋体" w:hAnsi="宋体" w:eastAsia="宋体" w:cs="宋体"/>
                <w:sz w:val="24"/>
                <w:u w:val="single"/>
                <w:lang w:val="en-US" w:eastAsia="zh-CN"/>
              </w:rPr>
              <w:t xml:space="preserve"> 上午9:30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8" w:hRule="atLeast"/>
        </w:trPr>
        <w:tc>
          <w:tcPr>
            <w:tcW w:w="1468" w:type="dxa"/>
            <w:vAlign w:val="center"/>
          </w:tcPr>
          <w:p>
            <w:pPr>
              <w:spacing w:line="360" w:lineRule="auto"/>
              <w:ind w:left="1080" w:leftChars="257" w:hanging="540"/>
              <w:rPr>
                <w:rFonts w:hint="eastAsia" w:ascii="宋体" w:hAnsi="宋体" w:eastAsia="宋体" w:cs="宋体"/>
                <w:sz w:val="24"/>
              </w:rPr>
            </w:pPr>
            <w:r>
              <w:rPr>
                <w:rFonts w:hint="eastAsia" w:ascii="宋体" w:hAnsi="宋体" w:eastAsia="宋体" w:cs="宋体"/>
                <w:sz w:val="24"/>
              </w:rPr>
              <w:t>18.1</w:t>
            </w:r>
          </w:p>
        </w:tc>
        <w:tc>
          <w:tcPr>
            <w:tcW w:w="7560" w:type="dxa"/>
            <w:vAlign w:val="center"/>
          </w:tcPr>
          <w:p>
            <w:pPr>
              <w:spacing w:line="360" w:lineRule="auto"/>
              <w:rPr>
                <w:rFonts w:hint="eastAsia" w:ascii="宋体" w:hAnsi="宋体" w:eastAsia="宋体" w:cs="宋体"/>
                <w:sz w:val="24"/>
                <w:u w:val="single"/>
              </w:rPr>
            </w:pPr>
            <w:r>
              <w:rPr>
                <w:rFonts w:hint="eastAsia" w:ascii="宋体" w:hAnsi="宋体" w:eastAsia="宋体" w:cs="宋体"/>
                <w:sz w:val="24"/>
              </w:rPr>
              <w:t>开标时间：</w:t>
            </w:r>
            <w:r>
              <w:rPr>
                <w:rFonts w:hint="eastAsia" w:ascii="宋体" w:hAnsi="宋体" w:eastAsia="宋体" w:cs="宋体"/>
                <w:sz w:val="24"/>
                <w:u w:val="single"/>
                <w:lang w:val="en-US" w:eastAsia="zh-CN"/>
              </w:rPr>
              <w:t>2022</w:t>
            </w:r>
            <w:r>
              <w:rPr>
                <w:rFonts w:hint="eastAsia" w:ascii="宋体" w:hAnsi="宋体" w:eastAsia="宋体" w:cs="宋体"/>
                <w:sz w:val="24"/>
                <w:u w:val="single"/>
              </w:rPr>
              <w:t>年</w:t>
            </w:r>
            <w:r>
              <w:rPr>
                <w:rFonts w:hint="eastAsia" w:ascii="宋体" w:hAnsi="宋体" w:eastAsia="宋体" w:cs="宋体"/>
                <w:sz w:val="24"/>
                <w:u w:val="single"/>
                <w:lang w:val="en-US" w:eastAsia="zh-CN"/>
              </w:rPr>
              <w:t>8</w:t>
            </w:r>
            <w:r>
              <w:rPr>
                <w:rFonts w:hint="eastAsia" w:ascii="宋体" w:hAnsi="宋体" w:eastAsia="宋体" w:cs="宋体"/>
                <w:sz w:val="24"/>
                <w:u w:val="single"/>
              </w:rPr>
              <w:t>月</w:t>
            </w:r>
            <w:r>
              <w:rPr>
                <w:rFonts w:hint="eastAsia" w:ascii="宋体" w:hAnsi="宋体" w:eastAsia="宋体" w:cs="宋体"/>
                <w:sz w:val="24"/>
                <w:u w:val="single"/>
                <w:lang w:val="en-US" w:eastAsia="zh-CN"/>
              </w:rPr>
              <w:t>2</w:t>
            </w:r>
            <w:r>
              <w:rPr>
                <w:rFonts w:hint="eastAsia" w:ascii="宋体" w:hAnsi="宋体" w:cs="宋体"/>
                <w:sz w:val="24"/>
                <w:u w:val="single"/>
                <w:lang w:val="en-US" w:eastAsia="zh-CN"/>
              </w:rPr>
              <w:t>4</w:t>
            </w:r>
            <w:r>
              <w:rPr>
                <w:rFonts w:hint="eastAsia" w:ascii="宋体" w:hAnsi="宋体" w:eastAsia="宋体" w:cs="宋体"/>
                <w:sz w:val="24"/>
                <w:u w:val="single"/>
              </w:rPr>
              <w:t>日</w:t>
            </w:r>
            <w:r>
              <w:rPr>
                <w:rFonts w:hint="eastAsia" w:ascii="宋体" w:hAnsi="宋体" w:eastAsia="宋体" w:cs="宋体"/>
                <w:sz w:val="24"/>
                <w:u w:val="single"/>
                <w:lang w:val="en-US" w:eastAsia="zh-CN"/>
              </w:rPr>
              <w:t xml:space="preserve"> 上午9:30</w:t>
            </w:r>
          </w:p>
          <w:p>
            <w:pPr>
              <w:spacing w:line="360" w:lineRule="auto"/>
              <w:rPr>
                <w:rFonts w:hint="eastAsia" w:ascii="宋体" w:hAnsi="宋体" w:eastAsia="宋体" w:cs="宋体"/>
                <w:sz w:val="24"/>
              </w:rPr>
            </w:pPr>
            <w:r>
              <w:rPr>
                <w:rFonts w:hint="eastAsia" w:ascii="宋体" w:hAnsi="宋体" w:eastAsia="宋体" w:cs="宋体"/>
                <w:sz w:val="24"/>
              </w:rPr>
              <w:t>开标地点：</w:t>
            </w:r>
            <w:r>
              <w:rPr>
                <w:rFonts w:hint="eastAsia" w:ascii="宋体" w:hAnsi="宋体" w:eastAsia="宋体" w:cs="宋体"/>
                <w:sz w:val="24"/>
                <w:u w:val="single"/>
              </w:rPr>
              <w:t>　上海市生态气象和卫星遥感中心会议室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468" w:type="dxa"/>
            <w:vAlign w:val="center"/>
          </w:tcPr>
          <w:p>
            <w:pPr>
              <w:spacing w:line="360" w:lineRule="auto"/>
              <w:ind w:left="1080" w:leftChars="257" w:hanging="540"/>
              <w:rPr>
                <w:rFonts w:hint="eastAsia" w:ascii="宋体" w:hAnsi="宋体" w:eastAsia="宋体" w:cs="宋体"/>
                <w:sz w:val="24"/>
              </w:rPr>
            </w:pPr>
            <w:r>
              <w:rPr>
                <w:rFonts w:hint="eastAsia" w:ascii="宋体" w:hAnsi="宋体" w:eastAsia="宋体" w:cs="宋体"/>
                <w:sz w:val="24"/>
              </w:rPr>
              <w:t>20.4</w:t>
            </w:r>
          </w:p>
        </w:tc>
        <w:tc>
          <w:tcPr>
            <w:tcW w:w="7560" w:type="dxa"/>
            <w:vAlign w:val="center"/>
          </w:tcPr>
          <w:p>
            <w:pPr>
              <w:spacing w:line="360" w:lineRule="auto"/>
              <w:rPr>
                <w:rFonts w:hint="eastAsia" w:ascii="宋体" w:hAnsi="宋体" w:eastAsia="宋体" w:cs="宋体"/>
                <w:sz w:val="24"/>
              </w:rPr>
            </w:pPr>
            <w:r>
              <w:rPr>
                <w:rFonts w:hint="eastAsia" w:ascii="宋体" w:hAnsi="宋体" w:eastAsia="宋体" w:cs="宋体"/>
                <w:sz w:val="24"/>
              </w:rPr>
              <w:t>核心产品：</w:t>
            </w:r>
            <w:r>
              <w:rPr>
                <w:rFonts w:hint="eastAsia" w:ascii="宋体" w:hAnsi="宋体" w:eastAsia="宋体" w:cs="宋体"/>
                <w:sz w:val="24"/>
                <w:u w:val="single"/>
              </w:rPr>
              <w:t xml:space="preserve">基于遥感数据的清单订正及模式同化分系统、多重点区域多源卫星资料协同分析分系统、基于云技术的统一门户系统、长三角城市群生态承载力评估分系统、海岛动态监测评价分系统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468" w:type="dxa"/>
            <w:vAlign w:val="center"/>
          </w:tcPr>
          <w:p>
            <w:pPr>
              <w:spacing w:line="360" w:lineRule="auto"/>
              <w:ind w:left="1080" w:leftChars="257" w:hanging="540"/>
              <w:rPr>
                <w:rFonts w:hint="eastAsia" w:ascii="宋体" w:hAnsi="宋体" w:eastAsia="宋体" w:cs="宋体"/>
                <w:sz w:val="24"/>
              </w:rPr>
            </w:pPr>
            <w:r>
              <w:rPr>
                <w:rFonts w:hint="eastAsia" w:ascii="宋体" w:hAnsi="宋体" w:eastAsia="宋体" w:cs="宋体"/>
                <w:sz w:val="24"/>
              </w:rPr>
              <w:t>23.2</w:t>
            </w:r>
          </w:p>
        </w:tc>
        <w:tc>
          <w:tcPr>
            <w:tcW w:w="7560" w:type="dxa"/>
            <w:vAlign w:val="center"/>
          </w:tcPr>
          <w:p>
            <w:pPr>
              <w:spacing w:line="360" w:lineRule="auto"/>
              <w:rPr>
                <w:rFonts w:hint="eastAsia" w:ascii="宋体" w:hAnsi="宋体" w:eastAsia="宋体" w:cs="宋体"/>
                <w:i/>
                <w:sz w:val="24"/>
              </w:rPr>
            </w:pPr>
            <w:r>
              <w:rPr>
                <w:rFonts w:hint="eastAsia" w:ascii="宋体" w:hAnsi="宋体" w:eastAsia="宋体" w:cs="宋体"/>
                <w:sz w:val="24"/>
              </w:rPr>
              <w:t>评标方法：适用</w:t>
            </w:r>
            <w:r>
              <w:rPr>
                <w:rFonts w:hint="eastAsia" w:ascii="宋体" w:hAnsi="宋体" w:eastAsia="宋体" w:cs="宋体"/>
                <w:sz w:val="24"/>
                <w:u w:val="single"/>
              </w:rPr>
              <w:t xml:space="preserve">　综合评分法 </w:t>
            </w:r>
            <w:r>
              <w:rPr>
                <w:rFonts w:hint="eastAsia" w:ascii="宋体" w:hAnsi="宋体" w:eastAsia="宋体" w:cs="宋体"/>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468" w:type="dxa"/>
            <w:vAlign w:val="center"/>
          </w:tcPr>
          <w:p>
            <w:pPr>
              <w:spacing w:line="360" w:lineRule="auto"/>
              <w:ind w:left="1080" w:leftChars="257" w:hanging="540"/>
              <w:rPr>
                <w:rFonts w:hint="eastAsia" w:ascii="宋体" w:hAnsi="宋体" w:eastAsia="宋体" w:cs="宋体"/>
                <w:sz w:val="24"/>
              </w:rPr>
            </w:pPr>
            <w:r>
              <w:rPr>
                <w:rFonts w:hint="eastAsia" w:ascii="宋体" w:hAnsi="宋体" w:eastAsia="宋体" w:cs="宋体"/>
                <w:sz w:val="24"/>
              </w:rPr>
              <w:t>27</w:t>
            </w:r>
          </w:p>
        </w:tc>
        <w:tc>
          <w:tcPr>
            <w:tcW w:w="7560" w:type="dxa"/>
            <w:vAlign w:val="center"/>
          </w:tcPr>
          <w:p>
            <w:pPr>
              <w:spacing w:line="360" w:lineRule="auto"/>
              <w:rPr>
                <w:rFonts w:hint="eastAsia" w:ascii="宋体" w:hAnsi="宋体" w:eastAsia="宋体" w:cs="宋体"/>
                <w:sz w:val="24"/>
              </w:rPr>
            </w:pPr>
            <w:r>
              <w:rPr>
                <w:rFonts w:hint="eastAsia" w:ascii="宋体" w:hAnsi="宋体" w:eastAsia="宋体" w:cs="宋体"/>
                <w:sz w:val="24"/>
              </w:rPr>
              <w:t>推荐中标候选供应商的数量：</w:t>
            </w:r>
            <w:r>
              <w:rPr>
                <w:rFonts w:hint="eastAsia" w:ascii="宋体" w:hAnsi="宋体" w:eastAsia="宋体" w:cs="宋体"/>
                <w:sz w:val="24"/>
                <w:u w:val="single"/>
              </w:rPr>
              <w:t>　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468" w:type="dxa"/>
            <w:vAlign w:val="center"/>
          </w:tcPr>
          <w:p>
            <w:pPr>
              <w:spacing w:line="360" w:lineRule="auto"/>
              <w:ind w:left="1080" w:leftChars="257" w:hanging="540"/>
              <w:rPr>
                <w:rFonts w:hint="eastAsia" w:ascii="宋体" w:hAnsi="宋体" w:eastAsia="宋体" w:cs="宋体"/>
                <w:sz w:val="24"/>
              </w:rPr>
            </w:pPr>
            <w:r>
              <w:rPr>
                <w:rFonts w:hint="eastAsia" w:ascii="宋体" w:hAnsi="宋体" w:eastAsia="宋体" w:cs="宋体"/>
                <w:sz w:val="24"/>
              </w:rPr>
              <w:t>27</w:t>
            </w:r>
          </w:p>
        </w:tc>
        <w:tc>
          <w:tcPr>
            <w:tcW w:w="7560" w:type="dxa"/>
            <w:vAlign w:val="center"/>
          </w:tcPr>
          <w:p>
            <w:pPr>
              <w:spacing w:line="360" w:lineRule="auto"/>
              <w:rPr>
                <w:rFonts w:hint="eastAsia" w:ascii="宋体" w:hAnsi="宋体" w:eastAsia="宋体" w:cs="宋体"/>
                <w:sz w:val="24"/>
              </w:rPr>
            </w:pPr>
            <w:r>
              <w:rPr>
                <w:rFonts w:hint="eastAsia" w:ascii="宋体" w:hAnsi="宋体" w:eastAsia="宋体" w:cs="宋体"/>
                <w:sz w:val="24"/>
              </w:rPr>
              <w:t>招标人是否委托评标委员会直接确定中标人：</w:t>
            </w:r>
            <w:r>
              <w:rPr>
                <w:rFonts w:hint="eastAsia" w:ascii="宋体" w:hAnsi="宋体" w:eastAsia="宋体" w:cs="宋体"/>
                <w:sz w:val="24"/>
                <w:u w:val="single"/>
              </w:rPr>
              <w:t>否</w:t>
            </w:r>
            <w:r>
              <w:rPr>
                <w:rFonts w:hint="eastAsia" w:ascii="宋体" w:hAnsi="宋体" w:eastAsia="宋体" w:cs="宋体"/>
                <w:sz w:val="24"/>
              </w:rPr>
              <w:t xml:space="preserve"> （是、否）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vAlign w:val="center"/>
          </w:tcPr>
          <w:p>
            <w:pPr>
              <w:spacing w:line="360" w:lineRule="auto"/>
              <w:ind w:left="1080" w:leftChars="257" w:hanging="540"/>
              <w:rPr>
                <w:rFonts w:hint="eastAsia" w:ascii="宋体" w:hAnsi="宋体" w:eastAsia="宋体" w:cs="宋体"/>
                <w:sz w:val="24"/>
              </w:rPr>
            </w:pPr>
            <w:r>
              <w:rPr>
                <w:rFonts w:hint="eastAsia" w:ascii="宋体" w:hAnsi="宋体" w:eastAsia="宋体" w:cs="宋体"/>
                <w:sz w:val="24"/>
              </w:rPr>
              <w:t>31.1</w:t>
            </w:r>
          </w:p>
        </w:tc>
        <w:tc>
          <w:tcPr>
            <w:tcW w:w="7560" w:type="dxa"/>
            <w:vAlign w:val="center"/>
          </w:tcPr>
          <w:p>
            <w:pPr>
              <w:spacing w:line="360" w:lineRule="auto"/>
              <w:rPr>
                <w:rFonts w:hint="eastAsia" w:ascii="宋体" w:hAnsi="宋体" w:eastAsia="宋体" w:cs="宋体"/>
                <w:sz w:val="24"/>
              </w:rPr>
            </w:pPr>
            <w:r>
              <w:rPr>
                <w:rFonts w:hint="eastAsia" w:ascii="宋体" w:hAnsi="宋体" w:eastAsia="宋体" w:cs="宋体"/>
                <w:sz w:val="24"/>
              </w:rPr>
              <w:t xml:space="preserve">提交履约保证金的时间：签订合同后 </w:t>
            </w:r>
            <w:r>
              <w:rPr>
                <w:rFonts w:hint="eastAsia" w:ascii="宋体" w:hAnsi="宋体" w:eastAsia="宋体" w:cs="宋体"/>
                <w:sz w:val="24"/>
                <w:u w:val="single"/>
              </w:rPr>
              <w:t xml:space="preserve"> 10 </w:t>
            </w:r>
            <w:r>
              <w:rPr>
                <w:rFonts w:hint="eastAsia" w:ascii="宋体" w:hAnsi="宋体" w:eastAsia="宋体" w:cs="宋体"/>
                <w:sz w:val="24"/>
              </w:rPr>
              <w:t>日历日</w:t>
            </w:r>
          </w:p>
          <w:p>
            <w:pPr>
              <w:spacing w:line="360" w:lineRule="auto"/>
              <w:rPr>
                <w:rFonts w:hint="eastAsia" w:ascii="宋体" w:hAnsi="宋体" w:eastAsia="宋体" w:cs="宋体"/>
                <w:i/>
                <w:color w:val="FF6600"/>
                <w:sz w:val="24"/>
              </w:rPr>
            </w:pPr>
            <w:r>
              <w:rPr>
                <w:rFonts w:hint="eastAsia" w:ascii="宋体" w:hAnsi="宋体" w:eastAsia="宋体" w:cs="宋体"/>
                <w:sz w:val="24"/>
              </w:rPr>
              <w:t>履约保证金金额：合同总价的</w:t>
            </w:r>
            <w:r>
              <w:rPr>
                <w:rFonts w:hint="eastAsia" w:ascii="宋体" w:hAnsi="宋体" w:eastAsia="宋体" w:cs="宋体"/>
                <w:sz w:val="24"/>
                <w:u w:val="single"/>
              </w:rPr>
              <w:t>　5%　　</w:t>
            </w:r>
          </w:p>
          <w:p>
            <w:pPr>
              <w:spacing w:line="360" w:lineRule="auto"/>
              <w:rPr>
                <w:rFonts w:hint="eastAsia" w:ascii="宋体" w:hAnsi="宋体" w:eastAsia="宋体" w:cs="宋体"/>
                <w:sz w:val="24"/>
                <w:u w:val="single"/>
              </w:rPr>
            </w:pPr>
            <w:r>
              <w:rPr>
                <w:rFonts w:hint="eastAsia" w:ascii="宋体" w:hAnsi="宋体" w:eastAsia="宋体" w:cs="宋体"/>
                <w:sz w:val="24"/>
              </w:rPr>
              <w:t>履约保证金形式：</w:t>
            </w:r>
            <w:r>
              <w:rPr>
                <w:rFonts w:hint="eastAsia" w:ascii="宋体" w:hAnsi="宋体" w:eastAsia="宋体" w:cs="宋体"/>
                <w:sz w:val="24"/>
                <w:u w:val="single"/>
              </w:rPr>
              <w:t xml:space="preserve">   支票或保函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vAlign w:val="center"/>
          </w:tcPr>
          <w:p>
            <w:pPr>
              <w:spacing w:line="360" w:lineRule="auto"/>
              <w:ind w:left="1080" w:leftChars="257" w:hanging="540"/>
              <w:rPr>
                <w:rFonts w:hint="eastAsia" w:ascii="宋体" w:hAnsi="宋体" w:eastAsia="宋体" w:cs="宋体"/>
                <w:sz w:val="24"/>
              </w:rPr>
            </w:pPr>
            <w:r>
              <w:rPr>
                <w:rFonts w:hint="eastAsia" w:ascii="宋体" w:hAnsi="宋体" w:eastAsia="宋体" w:cs="宋体"/>
                <w:sz w:val="24"/>
              </w:rPr>
              <w:t>32</w:t>
            </w:r>
          </w:p>
        </w:tc>
        <w:tc>
          <w:tcPr>
            <w:tcW w:w="7560" w:type="dxa"/>
            <w:vAlign w:val="center"/>
          </w:tcPr>
          <w:p>
            <w:pPr>
              <w:spacing w:line="360" w:lineRule="auto"/>
              <w:rPr>
                <w:rFonts w:hint="eastAsia" w:ascii="宋体" w:hAnsi="宋体" w:eastAsia="宋体" w:cs="宋体"/>
                <w:sz w:val="24"/>
              </w:rPr>
            </w:pPr>
            <w:r>
              <w:rPr>
                <w:rFonts w:hint="eastAsia" w:ascii="宋体" w:hAnsi="宋体" w:eastAsia="宋体" w:cs="宋体"/>
                <w:sz w:val="24"/>
              </w:rPr>
              <w:t>中标服务费：</w:t>
            </w:r>
            <w:r>
              <w:rPr>
                <w:rFonts w:hint="eastAsia" w:ascii="宋体" w:hAnsi="宋体" w:eastAsia="宋体" w:cs="宋体"/>
                <w:sz w:val="24"/>
              </w:rPr>
              <w:sym w:font="Wingdings 2" w:char="0052"/>
            </w:r>
            <w:r>
              <w:rPr>
                <w:rFonts w:hint="eastAsia" w:ascii="宋体" w:hAnsi="宋体" w:eastAsia="宋体" w:cs="宋体"/>
                <w:sz w:val="24"/>
              </w:rPr>
              <w:t>参照原国家计委计价格【2002】1980号文和国家发改委发改办价格【2003】857号文的标准收取。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20" w:hRule="atLeast"/>
        </w:trPr>
        <w:tc>
          <w:tcPr>
            <w:tcW w:w="1468" w:type="dxa"/>
            <w:vAlign w:val="center"/>
          </w:tcPr>
          <w:p>
            <w:pPr>
              <w:spacing w:line="360" w:lineRule="auto"/>
              <w:ind w:left="1080" w:leftChars="257" w:hanging="540"/>
              <w:rPr>
                <w:rFonts w:hint="eastAsia" w:ascii="宋体" w:hAnsi="宋体" w:eastAsia="宋体" w:cs="宋体"/>
                <w:sz w:val="24"/>
              </w:rPr>
            </w:pPr>
            <w:r>
              <w:rPr>
                <w:rFonts w:hint="eastAsia" w:ascii="宋体" w:hAnsi="宋体" w:eastAsia="宋体" w:cs="宋体"/>
                <w:sz w:val="24"/>
              </w:rPr>
              <w:t>33.4</w:t>
            </w:r>
          </w:p>
        </w:tc>
        <w:tc>
          <w:tcPr>
            <w:tcW w:w="7560" w:type="dxa"/>
            <w:vAlign w:val="center"/>
          </w:tcPr>
          <w:p>
            <w:pPr>
              <w:adjustRightInd w:val="0"/>
              <w:snapToGrid w:val="0"/>
              <w:spacing w:line="360" w:lineRule="auto"/>
              <w:rPr>
                <w:rFonts w:hint="eastAsia" w:ascii="宋体" w:hAnsi="宋体" w:eastAsia="宋体" w:cs="宋体"/>
                <w:sz w:val="24"/>
              </w:rPr>
            </w:pPr>
            <w:r>
              <w:rPr>
                <w:rFonts w:hint="eastAsia" w:ascii="宋体" w:hAnsi="宋体" w:eastAsia="宋体" w:cs="宋体"/>
                <w:sz w:val="24"/>
              </w:rPr>
              <w:t>政府采购信用担保机构：</w:t>
            </w:r>
          </w:p>
          <w:p>
            <w:pPr>
              <w:adjustRightInd w:val="0"/>
              <w:snapToGrid w:val="0"/>
              <w:spacing w:line="360" w:lineRule="auto"/>
              <w:rPr>
                <w:rFonts w:hint="eastAsia" w:ascii="宋体" w:hAnsi="宋体" w:eastAsia="宋体" w:cs="宋体"/>
                <w:sz w:val="24"/>
              </w:rPr>
            </w:pPr>
            <w:r>
              <w:rPr>
                <w:rFonts w:hint="eastAsia" w:ascii="宋体" w:hAnsi="宋体" w:eastAsia="宋体" w:cs="宋体"/>
                <w:sz w:val="24"/>
              </w:rPr>
              <w:t>所有政府采购项目的信用担保专业的担保公司</w:t>
            </w:r>
          </w:p>
          <w:p>
            <w:pPr>
              <w:adjustRightInd w:val="0"/>
              <w:snapToGrid w:val="0"/>
              <w:spacing w:line="360" w:lineRule="auto"/>
              <w:rPr>
                <w:rFonts w:hint="eastAsia" w:ascii="宋体" w:hAnsi="宋体" w:eastAsia="宋体" w:cs="宋体"/>
                <w:sz w:val="24"/>
              </w:rPr>
            </w:pPr>
            <w:r>
              <w:rPr>
                <w:rFonts w:hint="eastAsia" w:ascii="宋体" w:hAnsi="宋体" w:eastAsia="宋体" w:cs="宋体"/>
                <w:sz w:val="24"/>
              </w:rPr>
              <w:t>中国投融资担保股份有限公司</w:t>
            </w:r>
          </w:p>
          <w:p>
            <w:pPr>
              <w:adjustRightInd w:val="0"/>
              <w:snapToGrid w:val="0"/>
              <w:spacing w:line="360" w:lineRule="auto"/>
              <w:rPr>
                <w:rFonts w:hint="eastAsia" w:ascii="宋体" w:hAnsi="宋体" w:eastAsia="宋体" w:cs="宋体"/>
                <w:sz w:val="24"/>
              </w:rPr>
            </w:pPr>
            <w:r>
              <w:rPr>
                <w:rFonts w:hint="eastAsia" w:ascii="宋体" w:hAnsi="宋体" w:eastAsia="宋体" w:cs="宋体"/>
                <w:sz w:val="24"/>
              </w:rPr>
              <w:t>地址:北京市海淀区西三环北路100号光耀东方写字楼9层</w:t>
            </w:r>
          </w:p>
          <w:p>
            <w:pPr>
              <w:adjustRightInd w:val="0"/>
              <w:snapToGrid w:val="0"/>
              <w:spacing w:line="360" w:lineRule="auto"/>
              <w:rPr>
                <w:rFonts w:hint="eastAsia" w:ascii="宋体" w:hAnsi="宋体" w:eastAsia="宋体" w:cs="宋体"/>
                <w:sz w:val="24"/>
              </w:rPr>
            </w:pPr>
            <w:r>
              <w:rPr>
                <w:rFonts w:hint="eastAsia" w:ascii="宋体" w:hAnsi="宋体" w:eastAsia="宋体" w:cs="宋体"/>
                <w:sz w:val="24"/>
              </w:rPr>
              <w:t>联系电话：010-88822888      传真：010-68437040</w:t>
            </w:r>
          </w:p>
          <w:p>
            <w:pPr>
              <w:spacing w:line="360" w:lineRule="auto"/>
              <w:ind w:left="374" w:hanging="374" w:hangingChars="156"/>
              <w:rPr>
                <w:rFonts w:hint="eastAsia" w:ascii="宋体" w:hAnsi="宋体" w:eastAsia="宋体" w:cs="宋体"/>
                <w:sz w:val="24"/>
              </w:rPr>
            </w:pPr>
            <w:r>
              <w:rPr>
                <w:rFonts w:hint="eastAsia" w:ascii="宋体" w:hAnsi="宋体" w:eastAsia="宋体" w:cs="宋体"/>
                <w:sz w:val="24"/>
              </w:rPr>
              <w:t>电子邮箱：ztbxf@guaranty.com.cn。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 w:hRule="atLeast"/>
        </w:trPr>
        <w:tc>
          <w:tcPr>
            <w:tcW w:w="9028" w:type="dxa"/>
            <w:gridSpan w:val="2"/>
            <w:tcBorders>
              <w:top w:val="single" w:color="auto" w:sz="12" w:space="0"/>
              <w:left w:val="single" w:color="auto" w:sz="12" w:space="0"/>
              <w:bottom w:val="single" w:color="auto" w:sz="12" w:space="0"/>
              <w:right w:val="single" w:color="auto" w:sz="12" w:space="0"/>
            </w:tcBorders>
            <w:vAlign w:val="center"/>
          </w:tcPr>
          <w:p>
            <w:pPr>
              <w:spacing w:line="360" w:lineRule="auto"/>
              <w:ind w:left="1080" w:leftChars="257" w:hanging="540"/>
              <w:rPr>
                <w:rFonts w:hint="eastAsia" w:ascii="宋体" w:hAnsi="宋体" w:eastAsia="宋体" w:cs="宋体"/>
                <w:sz w:val="24"/>
              </w:rPr>
            </w:pPr>
            <w:r>
              <w:rPr>
                <w:rFonts w:hint="eastAsia" w:ascii="宋体" w:hAnsi="宋体" w:eastAsia="宋体" w:cs="宋体"/>
                <w:sz w:val="24"/>
              </w:rPr>
              <w:t>适用于本投标人须知的额外增加的变动：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9028" w:type="dxa"/>
            <w:gridSpan w:val="2"/>
            <w:vAlign w:val="center"/>
          </w:tcPr>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投标人提供的其他文件还应包括（但不限于）：</w:t>
            </w:r>
          </w:p>
          <w:p>
            <w:pPr>
              <w:numPr>
                <w:ilvl w:val="0"/>
                <w:numId w:val="5"/>
              </w:numPr>
              <w:spacing w:line="360" w:lineRule="auto"/>
              <w:ind w:firstLine="480" w:firstLineChars="200"/>
              <w:rPr>
                <w:rFonts w:hint="eastAsia" w:ascii="宋体" w:hAnsi="宋体" w:eastAsia="宋体" w:cs="宋体"/>
                <w:sz w:val="24"/>
              </w:rPr>
            </w:pPr>
            <w:r>
              <w:rPr>
                <w:rFonts w:hint="eastAsia" w:ascii="宋体" w:hAnsi="宋体" w:eastAsia="宋体" w:cs="宋体"/>
                <w:sz w:val="24"/>
              </w:rPr>
              <w:t>技术方案；</w:t>
            </w:r>
          </w:p>
          <w:p>
            <w:pPr>
              <w:numPr>
                <w:ilvl w:val="0"/>
                <w:numId w:val="5"/>
              </w:numPr>
              <w:spacing w:line="360" w:lineRule="auto"/>
              <w:ind w:firstLine="480" w:firstLineChars="200"/>
              <w:rPr>
                <w:rFonts w:hint="eastAsia" w:ascii="宋体" w:hAnsi="宋体" w:eastAsia="宋体" w:cs="宋体"/>
                <w:sz w:val="24"/>
              </w:rPr>
            </w:pPr>
            <w:r>
              <w:rPr>
                <w:rFonts w:hint="eastAsia" w:ascii="宋体" w:hAnsi="宋体" w:eastAsia="宋体" w:cs="宋体"/>
                <w:sz w:val="24"/>
              </w:rPr>
              <w:t>对服务保证和承诺；</w:t>
            </w:r>
          </w:p>
          <w:p>
            <w:pPr>
              <w:numPr>
                <w:ilvl w:val="0"/>
                <w:numId w:val="5"/>
              </w:numPr>
              <w:spacing w:line="360" w:lineRule="auto"/>
              <w:ind w:firstLine="480" w:firstLineChars="200"/>
              <w:rPr>
                <w:rFonts w:hint="eastAsia" w:ascii="宋体" w:hAnsi="宋体" w:eastAsia="宋体" w:cs="宋体"/>
                <w:sz w:val="24"/>
              </w:rPr>
            </w:pPr>
            <w:r>
              <w:rPr>
                <w:rFonts w:hint="eastAsia" w:ascii="宋体" w:hAnsi="宋体" w:eastAsia="宋体" w:cs="宋体"/>
                <w:sz w:val="24"/>
              </w:rPr>
              <w:t>投标人认为其他需要说明的问题。</w:t>
            </w:r>
          </w:p>
        </w:tc>
      </w:tr>
    </w:tbl>
    <w:p>
      <w:pPr>
        <w:spacing w:line="240" w:lineRule="atLeast"/>
        <w:ind w:left="1080" w:leftChars="257" w:hanging="540"/>
        <w:rPr>
          <w:rFonts w:hint="eastAsia" w:ascii="宋体" w:hAnsi="宋体" w:eastAsia="宋体" w:cs="宋体"/>
          <w:sz w:val="24"/>
        </w:rPr>
        <w:sectPr>
          <w:headerReference r:id="rId3" w:type="default"/>
          <w:footerReference r:id="rId5" w:type="default"/>
          <w:headerReference r:id="rId4" w:type="even"/>
          <w:footerReference r:id="rId6" w:type="even"/>
          <w:pgSz w:w="11906" w:h="16838"/>
          <w:pgMar w:top="1440" w:right="1417" w:bottom="1440" w:left="1417" w:header="851" w:footer="992" w:gutter="0"/>
          <w:cols w:space="720" w:num="1"/>
          <w:docGrid w:linePitch="312" w:charSpace="0"/>
        </w:sectPr>
      </w:pPr>
    </w:p>
    <w:p>
      <w:pPr>
        <w:widowControl/>
        <w:jc w:val="center"/>
        <w:rPr>
          <w:rFonts w:hint="eastAsia" w:ascii="宋体" w:hAnsi="宋体" w:eastAsia="宋体" w:cs="宋体"/>
          <w:b/>
          <w:color w:val="000000"/>
          <w:kern w:val="0"/>
          <w:sz w:val="32"/>
          <w:szCs w:val="32"/>
        </w:rPr>
      </w:pPr>
      <w:bookmarkStart w:id="14" w:name="_Toc218935351"/>
      <w:bookmarkStart w:id="15" w:name="_Toc216513787"/>
      <w:bookmarkStart w:id="16" w:name="_Toc219175635"/>
      <w:bookmarkStart w:id="17" w:name="_Toc216582811"/>
      <w:r>
        <w:rPr>
          <w:rFonts w:hint="eastAsia" w:ascii="宋体" w:hAnsi="宋体" w:eastAsia="宋体" w:cs="宋体"/>
          <w:b/>
          <w:color w:val="000000"/>
          <w:kern w:val="0"/>
          <w:sz w:val="32"/>
          <w:szCs w:val="32"/>
        </w:rPr>
        <w:t>资格审查表</w:t>
      </w:r>
    </w:p>
    <w:p>
      <w:pPr>
        <w:rPr>
          <w:rFonts w:hint="eastAsia" w:ascii="宋体" w:hAnsi="宋体" w:eastAsia="宋体" w:cs="宋体"/>
        </w:rPr>
      </w:pPr>
    </w:p>
    <w:tbl>
      <w:tblPr>
        <w:tblStyle w:val="18"/>
        <w:tblW w:w="0" w:type="auto"/>
        <w:tblInd w:w="-176" w:type="dxa"/>
        <w:tblLayout w:type="fixed"/>
        <w:tblCellMar>
          <w:top w:w="0" w:type="dxa"/>
          <w:left w:w="108" w:type="dxa"/>
          <w:bottom w:w="0" w:type="dxa"/>
          <w:right w:w="108" w:type="dxa"/>
        </w:tblCellMar>
      </w:tblPr>
      <w:tblGrid>
        <w:gridCol w:w="3119"/>
        <w:gridCol w:w="1607"/>
        <w:gridCol w:w="1550"/>
        <w:gridCol w:w="1237"/>
        <w:gridCol w:w="1938"/>
        <w:gridCol w:w="1275"/>
        <w:gridCol w:w="1375"/>
        <w:gridCol w:w="1300"/>
        <w:gridCol w:w="1452"/>
      </w:tblGrid>
      <w:tr>
        <w:tblPrEx>
          <w:tblCellMar>
            <w:top w:w="0" w:type="dxa"/>
            <w:left w:w="108" w:type="dxa"/>
            <w:bottom w:w="0" w:type="dxa"/>
            <w:right w:w="108" w:type="dxa"/>
          </w:tblCellMar>
        </w:tblPrEx>
        <w:trPr>
          <w:trHeight w:val="563" w:hRule="atLeast"/>
        </w:trPr>
        <w:tc>
          <w:tcPr>
            <w:tcW w:w="311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投标人名称</w:t>
            </w:r>
          </w:p>
        </w:tc>
        <w:tc>
          <w:tcPr>
            <w:tcW w:w="10282" w:type="dxa"/>
            <w:gridSpan w:val="7"/>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审查项目</w:t>
            </w:r>
          </w:p>
        </w:tc>
        <w:tc>
          <w:tcPr>
            <w:tcW w:w="145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结论</w:t>
            </w:r>
          </w:p>
        </w:tc>
      </w:tr>
      <w:tr>
        <w:tblPrEx>
          <w:tblCellMar>
            <w:top w:w="0" w:type="dxa"/>
            <w:left w:w="108" w:type="dxa"/>
            <w:bottom w:w="0" w:type="dxa"/>
            <w:right w:w="108" w:type="dxa"/>
          </w:tblCellMar>
        </w:tblPrEx>
        <w:trPr>
          <w:trHeight w:val="1811" w:hRule="atLeast"/>
        </w:trPr>
        <w:tc>
          <w:tcPr>
            <w:tcW w:w="31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160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在中华人民共和国境内注册</w:t>
            </w:r>
          </w:p>
        </w:tc>
        <w:tc>
          <w:tcPr>
            <w:tcW w:w="155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营业执照等证明</w:t>
            </w:r>
          </w:p>
        </w:tc>
        <w:tc>
          <w:tcPr>
            <w:tcW w:w="123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法人授权书</w:t>
            </w:r>
          </w:p>
        </w:tc>
        <w:tc>
          <w:tcPr>
            <w:tcW w:w="193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具有良好的商业信誉和健全的财务会计制度的证明文件</w:t>
            </w:r>
          </w:p>
        </w:tc>
        <w:tc>
          <w:tcPr>
            <w:tcW w:w="127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纳税和社保记录</w:t>
            </w:r>
          </w:p>
        </w:tc>
        <w:tc>
          <w:tcPr>
            <w:tcW w:w="137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无重大违法记录声明</w:t>
            </w:r>
          </w:p>
        </w:tc>
        <w:tc>
          <w:tcPr>
            <w:tcW w:w="13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信用记录</w:t>
            </w:r>
          </w:p>
        </w:tc>
        <w:tc>
          <w:tcPr>
            <w:tcW w:w="145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i/>
                <w:iCs/>
                <w:color w:val="FF0000"/>
                <w:kern w:val="0"/>
                <w:sz w:val="22"/>
                <w:szCs w:val="22"/>
              </w:rPr>
            </w:pPr>
          </w:p>
        </w:tc>
      </w:tr>
      <w:tr>
        <w:tblPrEx>
          <w:tblCellMar>
            <w:top w:w="0" w:type="dxa"/>
            <w:left w:w="108" w:type="dxa"/>
            <w:bottom w:w="0" w:type="dxa"/>
            <w:right w:w="108" w:type="dxa"/>
          </w:tblCellMar>
        </w:tblPrEx>
        <w:trPr>
          <w:trHeight w:val="806" w:hRule="atLeast"/>
        </w:trPr>
        <w:tc>
          <w:tcPr>
            <w:tcW w:w="3119"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07"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5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37"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938"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75"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75"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0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52"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704" w:hRule="atLeast"/>
        </w:trPr>
        <w:tc>
          <w:tcPr>
            <w:tcW w:w="3119"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szCs w:val="22"/>
              </w:rPr>
            </w:pPr>
          </w:p>
        </w:tc>
        <w:tc>
          <w:tcPr>
            <w:tcW w:w="1607"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szCs w:val="22"/>
              </w:rPr>
            </w:pPr>
          </w:p>
        </w:tc>
        <w:tc>
          <w:tcPr>
            <w:tcW w:w="155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szCs w:val="22"/>
              </w:rPr>
            </w:pPr>
          </w:p>
        </w:tc>
        <w:tc>
          <w:tcPr>
            <w:tcW w:w="1237"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szCs w:val="22"/>
              </w:rPr>
            </w:pPr>
          </w:p>
        </w:tc>
        <w:tc>
          <w:tcPr>
            <w:tcW w:w="1938"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szCs w:val="22"/>
              </w:rPr>
            </w:pPr>
          </w:p>
        </w:tc>
        <w:tc>
          <w:tcPr>
            <w:tcW w:w="1275"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szCs w:val="22"/>
              </w:rPr>
            </w:pPr>
          </w:p>
        </w:tc>
        <w:tc>
          <w:tcPr>
            <w:tcW w:w="1375"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szCs w:val="22"/>
              </w:rPr>
            </w:pPr>
          </w:p>
        </w:tc>
        <w:tc>
          <w:tcPr>
            <w:tcW w:w="130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szCs w:val="22"/>
              </w:rPr>
            </w:pPr>
          </w:p>
        </w:tc>
        <w:tc>
          <w:tcPr>
            <w:tcW w:w="1452"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szCs w:val="22"/>
              </w:rPr>
            </w:pPr>
          </w:p>
        </w:tc>
      </w:tr>
      <w:tr>
        <w:tblPrEx>
          <w:tblCellMar>
            <w:top w:w="0" w:type="dxa"/>
            <w:left w:w="108" w:type="dxa"/>
            <w:bottom w:w="0" w:type="dxa"/>
            <w:right w:w="108" w:type="dxa"/>
          </w:tblCellMar>
        </w:tblPrEx>
        <w:trPr>
          <w:trHeight w:val="687" w:hRule="atLeast"/>
        </w:trPr>
        <w:tc>
          <w:tcPr>
            <w:tcW w:w="3119"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07"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5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37"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938"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75"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75"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0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52"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836" w:hRule="atLeast"/>
        </w:trPr>
        <w:tc>
          <w:tcPr>
            <w:tcW w:w="3119"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07"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5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37"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938"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75"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75"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0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52"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850" w:hRule="atLeast"/>
        </w:trPr>
        <w:tc>
          <w:tcPr>
            <w:tcW w:w="3119"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07"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5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37"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938"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75"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75"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0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52"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bl>
    <w:p>
      <w:pPr>
        <w:pStyle w:val="2"/>
        <w:numPr>
          <w:ilvl w:val="0"/>
          <w:numId w:val="1"/>
        </w:numPr>
        <w:spacing w:before="0" w:after="0" w:line="240" w:lineRule="atLeast"/>
        <w:rPr>
          <w:rFonts w:hint="eastAsia" w:ascii="宋体" w:hAnsi="宋体" w:eastAsia="宋体" w:cs="宋体"/>
        </w:rPr>
        <w:sectPr>
          <w:pgSz w:w="16838" w:h="11906" w:orient="landscape"/>
          <w:pgMar w:top="1797" w:right="1440" w:bottom="1797" w:left="1440" w:header="851" w:footer="992" w:gutter="0"/>
          <w:cols w:space="720" w:num="1"/>
          <w:docGrid w:linePitch="312" w:charSpace="0"/>
        </w:sectPr>
      </w:pPr>
    </w:p>
    <w:p>
      <w:pPr>
        <w:pStyle w:val="2"/>
        <w:numPr>
          <w:ilvl w:val="0"/>
          <w:numId w:val="1"/>
        </w:numPr>
        <w:spacing w:before="0" w:after="0" w:line="240" w:lineRule="atLeast"/>
        <w:rPr>
          <w:rFonts w:hint="eastAsia" w:ascii="宋体" w:hAnsi="宋体" w:eastAsia="宋体" w:cs="宋体"/>
        </w:rPr>
      </w:pPr>
      <w:bookmarkStart w:id="18" w:name="_Toc507399904"/>
      <w:r>
        <w:rPr>
          <w:rFonts w:hint="eastAsia" w:ascii="宋体" w:hAnsi="宋体" w:eastAsia="宋体" w:cs="宋体"/>
        </w:rPr>
        <w:t>政府采购合同格式</w:t>
      </w:r>
      <w:bookmarkEnd w:id="14"/>
      <w:bookmarkEnd w:id="15"/>
      <w:bookmarkEnd w:id="16"/>
      <w:bookmarkEnd w:id="17"/>
      <w:bookmarkEnd w:id="18"/>
      <w:bookmarkStart w:id="19" w:name="_Hlt487972895"/>
      <w:bookmarkEnd w:id="19"/>
      <w:bookmarkStart w:id="20" w:name="_Toc216513788"/>
      <w:bookmarkStart w:id="21" w:name="_Toc487900382"/>
    </w:p>
    <w:bookmarkEnd w:id="20"/>
    <w:bookmarkEnd w:id="21"/>
    <w:p>
      <w:pPr>
        <w:spacing w:line="240" w:lineRule="atLeast"/>
        <w:ind w:left="1080" w:leftChars="257" w:hanging="540"/>
        <w:jc w:val="center"/>
        <w:rPr>
          <w:rFonts w:hint="eastAsia" w:ascii="宋体" w:hAnsi="宋体" w:eastAsia="宋体" w:cs="宋体"/>
          <w:b/>
          <w:kern w:val="44"/>
          <w:sz w:val="32"/>
          <w:szCs w:val="20"/>
        </w:rPr>
      </w:pPr>
      <w:r>
        <w:rPr>
          <w:rFonts w:hint="eastAsia" w:ascii="宋体" w:hAnsi="宋体" w:eastAsia="宋体" w:cs="宋体"/>
          <w:b/>
          <w:kern w:val="44"/>
          <w:sz w:val="32"/>
          <w:szCs w:val="20"/>
        </w:rPr>
        <w:t>（货物类）</w:t>
      </w:r>
    </w:p>
    <w:p>
      <w:pPr>
        <w:pStyle w:val="4"/>
        <w:spacing w:line="240" w:lineRule="atLeast"/>
        <w:ind w:left="1080" w:leftChars="257" w:hanging="540"/>
        <w:rPr>
          <w:rFonts w:hint="eastAsia" w:ascii="宋体" w:hAnsi="宋体" w:eastAsia="宋体" w:cs="宋体"/>
          <w:sz w:val="28"/>
        </w:rPr>
      </w:pPr>
    </w:p>
    <w:p>
      <w:pPr>
        <w:pStyle w:val="4"/>
        <w:spacing w:line="240" w:lineRule="atLeast"/>
        <w:ind w:left="1080" w:leftChars="257" w:hanging="540"/>
        <w:rPr>
          <w:rFonts w:hint="eastAsia" w:ascii="宋体" w:hAnsi="宋体" w:eastAsia="宋体" w:cs="宋体"/>
        </w:rPr>
      </w:pPr>
    </w:p>
    <w:p>
      <w:pPr>
        <w:spacing w:line="240" w:lineRule="atLeast"/>
        <w:ind w:left="1080" w:leftChars="257" w:hanging="540"/>
        <w:rPr>
          <w:rFonts w:hint="eastAsia" w:ascii="宋体" w:hAnsi="宋体" w:eastAsia="宋体" w:cs="宋体"/>
          <w:sz w:val="24"/>
        </w:rPr>
      </w:pPr>
      <w:bookmarkStart w:id="22" w:name="_Toc216513789"/>
      <w:r>
        <w:rPr>
          <w:rFonts w:hint="eastAsia" w:ascii="宋体" w:hAnsi="宋体" w:eastAsia="宋体" w:cs="宋体"/>
          <w:sz w:val="24"/>
        </w:rPr>
        <w:t>合同编号：</w:t>
      </w:r>
      <w:bookmarkEnd w:id="22"/>
    </w:p>
    <w:p>
      <w:pPr>
        <w:pStyle w:val="4"/>
        <w:spacing w:line="240" w:lineRule="atLeast"/>
        <w:ind w:left="1080" w:leftChars="257" w:hanging="540"/>
        <w:rPr>
          <w:rFonts w:hint="eastAsia" w:ascii="宋体" w:hAnsi="宋体" w:eastAsia="宋体" w:cs="宋体"/>
        </w:rPr>
      </w:pPr>
    </w:p>
    <w:p>
      <w:pPr>
        <w:spacing w:line="240" w:lineRule="atLeast"/>
        <w:ind w:left="1080" w:leftChars="257" w:hanging="540"/>
        <w:rPr>
          <w:rFonts w:hint="eastAsia" w:ascii="宋体" w:hAnsi="宋体" w:eastAsia="宋体" w:cs="宋体"/>
          <w:sz w:val="24"/>
        </w:rPr>
      </w:pPr>
    </w:p>
    <w:p>
      <w:pPr>
        <w:spacing w:line="240" w:lineRule="atLeast"/>
        <w:ind w:left="1080" w:leftChars="257" w:hanging="540"/>
        <w:rPr>
          <w:rFonts w:hint="eastAsia" w:ascii="宋体" w:hAnsi="宋体" w:eastAsia="宋体" w:cs="宋体"/>
          <w:sz w:val="24"/>
        </w:rPr>
      </w:pPr>
      <w:r>
        <w:rPr>
          <w:rFonts w:hint="eastAsia" w:ascii="宋体" w:hAnsi="宋体" w:eastAsia="宋体" w:cs="宋体"/>
          <w:sz w:val="24"/>
        </w:rPr>
        <w:t>项目名称：</w:t>
      </w:r>
    </w:p>
    <w:p>
      <w:pPr>
        <w:spacing w:line="240" w:lineRule="atLeast"/>
        <w:ind w:left="1080" w:leftChars="257" w:hanging="540"/>
        <w:rPr>
          <w:rFonts w:hint="eastAsia" w:ascii="宋体" w:hAnsi="宋体" w:eastAsia="宋体" w:cs="宋体"/>
          <w:sz w:val="24"/>
        </w:rPr>
      </w:pPr>
    </w:p>
    <w:p>
      <w:pPr>
        <w:spacing w:line="240" w:lineRule="atLeast"/>
        <w:ind w:left="1080" w:leftChars="257" w:hanging="540"/>
        <w:rPr>
          <w:rFonts w:hint="eastAsia" w:ascii="宋体" w:hAnsi="宋体" w:eastAsia="宋体" w:cs="宋体"/>
          <w:sz w:val="24"/>
          <w:u w:val="single"/>
        </w:rPr>
      </w:pPr>
      <w:r>
        <w:rPr>
          <w:rFonts w:hint="eastAsia" w:ascii="宋体" w:hAnsi="宋体" w:eastAsia="宋体" w:cs="宋体"/>
          <w:sz w:val="24"/>
        </w:rPr>
        <w:t>货物名称：</w:t>
      </w:r>
    </w:p>
    <w:p>
      <w:pPr>
        <w:spacing w:line="240" w:lineRule="atLeast"/>
        <w:ind w:left="1080" w:leftChars="257" w:hanging="540"/>
        <w:rPr>
          <w:rFonts w:hint="eastAsia" w:ascii="宋体" w:hAnsi="宋体" w:eastAsia="宋体" w:cs="宋体"/>
          <w:sz w:val="24"/>
        </w:rPr>
      </w:pPr>
    </w:p>
    <w:p>
      <w:pPr>
        <w:spacing w:line="240" w:lineRule="atLeast"/>
        <w:ind w:left="1080" w:leftChars="257" w:hanging="540"/>
        <w:rPr>
          <w:rFonts w:hint="eastAsia" w:ascii="宋体" w:hAnsi="宋体" w:eastAsia="宋体" w:cs="宋体"/>
          <w:sz w:val="24"/>
        </w:rPr>
      </w:pPr>
    </w:p>
    <w:p>
      <w:pPr>
        <w:pStyle w:val="16"/>
        <w:spacing w:line="240" w:lineRule="atLeast"/>
        <w:ind w:left="1080" w:leftChars="257" w:hanging="540"/>
        <w:rPr>
          <w:rFonts w:hint="eastAsia" w:ascii="宋体" w:hAnsi="宋体" w:eastAsia="宋体" w:cs="宋体"/>
          <w:sz w:val="24"/>
        </w:rPr>
      </w:pPr>
    </w:p>
    <w:p>
      <w:pPr>
        <w:pStyle w:val="16"/>
        <w:spacing w:line="240" w:lineRule="atLeast"/>
        <w:ind w:left="1080" w:leftChars="257" w:hanging="540"/>
        <w:rPr>
          <w:rFonts w:hint="eastAsia" w:ascii="宋体" w:hAnsi="宋体" w:eastAsia="宋体" w:cs="宋体"/>
          <w:sz w:val="24"/>
        </w:rPr>
      </w:pPr>
    </w:p>
    <w:p>
      <w:pPr>
        <w:spacing w:line="240" w:lineRule="atLeast"/>
        <w:ind w:left="1080" w:leftChars="257" w:hanging="540"/>
        <w:rPr>
          <w:rFonts w:hint="eastAsia" w:ascii="宋体" w:hAnsi="宋体" w:eastAsia="宋体" w:cs="宋体"/>
          <w:sz w:val="24"/>
        </w:rPr>
      </w:pPr>
      <w:r>
        <w:rPr>
          <w:rFonts w:hint="eastAsia" w:ascii="宋体" w:hAnsi="宋体" w:eastAsia="宋体" w:cs="宋体"/>
          <w:sz w:val="24"/>
        </w:rPr>
        <w:t>买　　方：</w:t>
      </w:r>
    </w:p>
    <w:p>
      <w:pPr>
        <w:spacing w:line="240" w:lineRule="atLeast"/>
        <w:ind w:left="1080" w:leftChars="257" w:hanging="540"/>
        <w:rPr>
          <w:rFonts w:hint="eastAsia" w:ascii="宋体" w:hAnsi="宋体" w:eastAsia="宋体" w:cs="宋体"/>
          <w:sz w:val="24"/>
        </w:rPr>
      </w:pPr>
    </w:p>
    <w:p>
      <w:pPr>
        <w:spacing w:line="240" w:lineRule="atLeast"/>
        <w:ind w:left="1080" w:leftChars="257" w:hanging="540"/>
        <w:rPr>
          <w:rFonts w:hint="eastAsia" w:ascii="宋体" w:hAnsi="宋体" w:eastAsia="宋体" w:cs="宋体"/>
          <w:sz w:val="24"/>
          <w:u w:val="single"/>
        </w:rPr>
      </w:pPr>
      <w:r>
        <w:rPr>
          <w:rFonts w:hint="eastAsia" w:ascii="宋体" w:hAnsi="宋体" w:eastAsia="宋体" w:cs="宋体"/>
          <w:sz w:val="24"/>
        </w:rPr>
        <w:t>卖　　方：</w:t>
      </w:r>
    </w:p>
    <w:p>
      <w:pPr>
        <w:spacing w:line="240" w:lineRule="atLeast"/>
        <w:ind w:left="1080" w:leftChars="257" w:hanging="540"/>
        <w:rPr>
          <w:rFonts w:hint="eastAsia" w:ascii="宋体" w:hAnsi="宋体" w:eastAsia="宋体" w:cs="宋体"/>
          <w:sz w:val="24"/>
        </w:rPr>
      </w:pPr>
    </w:p>
    <w:p>
      <w:pPr>
        <w:spacing w:line="240" w:lineRule="atLeast"/>
        <w:ind w:left="1080" w:leftChars="257" w:hanging="540"/>
        <w:jc w:val="center"/>
        <w:rPr>
          <w:rFonts w:hint="eastAsia" w:ascii="宋体" w:hAnsi="宋体" w:eastAsia="宋体" w:cs="宋体"/>
          <w:sz w:val="24"/>
        </w:rPr>
      </w:pPr>
    </w:p>
    <w:p>
      <w:pPr>
        <w:spacing w:line="240" w:lineRule="atLeast"/>
        <w:ind w:left="1080" w:leftChars="257" w:hanging="540"/>
        <w:rPr>
          <w:rFonts w:hint="eastAsia" w:ascii="宋体" w:hAnsi="宋体" w:eastAsia="宋体" w:cs="宋体"/>
          <w:sz w:val="24"/>
          <w:u w:val="single"/>
        </w:rPr>
      </w:pPr>
      <w:r>
        <w:rPr>
          <w:rFonts w:hint="eastAsia" w:ascii="宋体" w:hAnsi="宋体" w:eastAsia="宋体" w:cs="宋体"/>
          <w:sz w:val="24"/>
        </w:rPr>
        <w:t>签署日期：</w:t>
      </w:r>
      <w:r>
        <w:rPr>
          <w:rFonts w:hint="eastAsia" w:ascii="宋体" w:hAnsi="宋体" w:eastAsia="宋体" w:cs="宋体"/>
          <w:sz w:val="24"/>
          <w:u w:val="single"/>
        </w:rPr>
        <w:t>　　　　　　　　　　　　　　　　　　　</w:t>
      </w:r>
    </w:p>
    <w:p>
      <w:pPr>
        <w:spacing w:line="240" w:lineRule="atLeast"/>
        <w:ind w:left="1080" w:leftChars="257" w:hanging="540"/>
        <w:rPr>
          <w:rFonts w:hint="eastAsia" w:ascii="宋体" w:hAnsi="宋体" w:eastAsia="宋体" w:cs="宋体"/>
          <w:sz w:val="24"/>
          <w:u w:val="single"/>
        </w:rPr>
      </w:pPr>
      <w:r>
        <w:rPr>
          <w:rFonts w:hint="eastAsia" w:ascii="宋体" w:hAnsi="宋体" w:eastAsia="宋体" w:cs="宋体"/>
          <w:sz w:val="24"/>
          <w:u w:val="single"/>
        </w:rPr>
        <w:br w:type="page"/>
      </w:r>
    </w:p>
    <w:p>
      <w:pPr>
        <w:spacing w:line="240" w:lineRule="atLeast"/>
        <w:ind w:left="1080" w:leftChars="257" w:hanging="540"/>
        <w:jc w:val="center"/>
        <w:rPr>
          <w:rFonts w:hint="eastAsia" w:ascii="宋体" w:hAnsi="宋体" w:eastAsia="宋体" w:cs="宋体"/>
          <w:b/>
          <w:sz w:val="24"/>
        </w:rPr>
      </w:pPr>
      <w:bookmarkStart w:id="23" w:name="_Toc220229431"/>
      <w:bookmarkStart w:id="24" w:name="_Toc219175636"/>
      <w:bookmarkStart w:id="25" w:name="_Toc218935352"/>
      <w:bookmarkStart w:id="26" w:name="_Toc220229326"/>
      <w:r>
        <w:rPr>
          <w:rFonts w:hint="eastAsia" w:ascii="宋体" w:hAnsi="宋体" w:eastAsia="宋体" w:cs="宋体"/>
          <w:b/>
          <w:sz w:val="24"/>
        </w:rPr>
        <w:t>合　　　同　　　书</w:t>
      </w:r>
      <w:bookmarkEnd w:id="23"/>
      <w:bookmarkEnd w:id="24"/>
      <w:bookmarkEnd w:id="25"/>
      <w:bookmarkEnd w:id="26"/>
    </w:p>
    <w:p>
      <w:pPr>
        <w:spacing w:line="240" w:lineRule="atLeast"/>
        <w:ind w:left="1080" w:leftChars="257" w:hanging="540"/>
        <w:rPr>
          <w:rFonts w:hint="eastAsia" w:ascii="宋体" w:hAnsi="宋体" w:eastAsia="宋体" w:cs="宋体"/>
          <w:sz w:val="24"/>
        </w:rPr>
      </w:pPr>
    </w:p>
    <w:p>
      <w:pPr>
        <w:spacing w:line="240" w:lineRule="atLeast"/>
        <w:ind w:firstLine="480" w:firstLineChars="200"/>
        <w:rPr>
          <w:rFonts w:hint="eastAsia" w:ascii="宋体" w:hAnsi="宋体" w:eastAsia="宋体" w:cs="宋体"/>
          <w:sz w:val="24"/>
        </w:rPr>
      </w:pPr>
      <w:r>
        <w:rPr>
          <w:rFonts w:hint="eastAsia" w:ascii="宋体" w:hAnsi="宋体" w:eastAsia="宋体" w:cs="宋体"/>
          <w:sz w:val="24"/>
        </w:rPr>
        <w:t>买方</w:t>
      </w:r>
      <w:r>
        <w:rPr>
          <w:rFonts w:hint="eastAsia" w:ascii="宋体" w:hAnsi="宋体" w:eastAsia="宋体" w:cs="宋体"/>
          <w:sz w:val="24"/>
          <w:u w:val="single"/>
        </w:rPr>
        <w:t>（名称）</w:t>
      </w:r>
      <w:r>
        <w:rPr>
          <w:rFonts w:hint="eastAsia" w:ascii="宋体" w:hAnsi="宋体" w:eastAsia="宋体" w:cs="宋体"/>
          <w:sz w:val="24"/>
        </w:rPr>
        <w:t>的</w:t>
      </w:r>
      <w:r>
        <w:rPr>
          <w:rFonts w:hint="eastAsia" w:ascii="宋体" w:hAnsi="宋体" w:eastAsia="宋体" w:cs="宋体"/>
          <w:sz w:val="24"/>
          <w:u w:val="single"/>
        </w:rPr>
        <w:t xml:space="preserve">  (项目名称)   </w:t>
      </w:r>
      <w:r>
        <w:rPr>
          <w:rFonts w:hint="eastAsia" w:ascii="宋体" w:hAnsi="宋体" w:eastAsia="宋体" w:cs="宋体"/>
          <w:sz w:val="24"/>
        </w:rPr>
        <w:t>中所需</w:t>
      </w:r>
      <w:r>
        <w:rPr>
          <w:rFonts w:hint="eastAsia" w:ascii="宋体" w:hAnsi="宋体" w:eastAsia="宋体" w:cs="宋体"/>
          <w:sz w:val="24"/>
          <w:u w:val="single"/>
        </w:rPr>
        <w:t>(货物名称)</w:t>
      </w:r>
      <w:r>
        <w:rPr>
          <w:rFonts w:hint="eastAsia" w:ascii="宋体" w:hAnsi="宋体" w:eastAsia="宋体" w:cs="宋体"/>
          <w:sz w:val="24"/>
        </w:rPr>
        <w:t>经中招国际招标有限公司以</w:t>
      </w:r>
      <w:r>
        <w:rPr>
          <w:rFonts w:hint="eastAsia" w:ascii="宋体" w:hAnsi="宋体" w:eastAsia="宋体" w:cs="宋体"/>
          <w:sz w:val="24"/>
          <w:u w:val="single"/>
        </w:rPr>
        <w:t>（招标编号）</w:t>
      </w:r>
      <w:r>
        <w:rPr>
          <w:rFonts w:hint="eastAsia" w:ascii="宋体" w:hAnsi="宋体" w:eastAsia="宋体" w:cs="宋体"/>
          <w:sz w:val="24"/>
        </w:rPr>
        <w:t>招标文件在国内公开招标。经评定，卖方为中标供应商。买、卖双方同意按照下面的条款和条件，签署本合同。</w:t>
      </w:r>
    </w:p>
    <w:p>
      <w:pPr>
        <w:spacing w:line="240" w:lineRule="atLeast"/>
        <w:ind w:left="1080" w:leftChars="257" w:hanging="540"/>
        <w:rPr>
          <w:rFonts w:hint="eastAsia" w:ascii="宋体" w:hAnsi="宋体" w:eastAsia="宋体" w:cs="宋体"/>
          <w:b/>
          <w:sz w:val="24"/>
        </w:rPr>
      </w:pPr>
      <w:r>
        <w:rPr>
          <w:rFonts w:hint="eastAsia" w:ascii="宋体" w:hAnsi="宋体" w:eastAsia="宋体" w:cs="宋体"/>
          <w:b/>
          <w:sz w:val="24"/>
        </w:rPr>
        <w:t>1、合同文件</w:t>
      </w:r>
    </w:p>
    <w:p>
      <w:pPr>
        <w:spacing w:line="240" w:lineRule="atLeast"/>
        <w:ind w:firstLine="540" w:firstLineChars="225"/>
        <w:rPr>
          <w:rFonts w:hint="eastAsia" w:ascii="宋体" w:hAnsi="宋体" w:eastAsia="宋体" w:cs="宋体"/>
          <w:sz w:val="24"/>
        </w:rPr>
      </w:pPr>
      <w:r>
        <w:rPr>
          <w:rFonts w:hint="eastAsia" w:ascii="宋体" w:hAnsi="宋体" w:eastAsia="宋体" w:cs="宋体"/>
          <w:sz w:val="24"/>
        </w:rPr>
        <w:t>下列文件构成本合同的组成部分，应该认为是一个整体，彼此相互解释，相互补充。为便于解释，组成合同的多个文件的优先支配地位的次序如下：</w:t>
      </w:r>
    </w:p>
    <w:p>
      <w:pPr>
        <w:spacing w:line="240" w:lineRule="atLeast"/>
        <w:ind w:left="1080" w:leftChars="257" w:hanging="540"/>
        <w:rPr>
          <w:rFonts w:hint="eastAsia" w:ascii="宋体" w:hAnsi="宋体" w:eastAsia="宋体" w:cs="宋体"/>
          <w:sz w:val="24"/>
        </w:rPr>
      </w:pPr>
      <w:r>
        <w:rPr>
          <w:rFonts w:hint="eastAsia" w:ascii="宋体" w:hAnsi="宋体" w:eastAsia="宋体" w:cs="宋体"/>
          <w:sz w:val="24"/>
        </w:rPr>
        <w:t>a.</w:t>
      </w:r>
      <w:r>
        <w:rPr>
          <w:rFonts w:hint="eastAsia" w:ascii="宋体" w:hAnsi="宋体" w:eastAsia="宋体" w:cs="宋体"/>
          <w:sz w:val="24"/>
        </w:rPr>
        <w:tab/>
      </w:r>
      <w:r>
        <w:rPr>
          <w:rFonts w:hint="eastAsia" w:ascii="宋体" w:hAnsi="宋体" w:eastAsia="宋体" w:cs="宋体"/>
          <w:sz w:val="24"/>
        </w:rPr>
        <w:t>本合同书　</w:t>
      </w:r>
    </w:p>
    <w:p>
      <w:pPr>
        <w:spacing w:line="240" w:lineRule="atLeast"/>
        <w:ind w:left="1080" w:leftChars="257" w:hanging="540"/>
        <w:rPr>
          <w:rFonts w:hint="eastAsia" w:ascii="宋体" w:hAnsi="宋体" w:eastAsia="宋体" w:cs="宋体"/>
          <w:sz w:val="24"/>
        </w:rPr>
      </w:pPr>
      <w:r>
        <w:rPr>
          <w:rFonts w:hint="eastAsia" w:ascii="宋体" w:hAnsi="宋体" w:eastAsia="宋体" w:cs="宋体"/>
          <w:sz w:val="24"/>
        </w:rPr>
        <w:t>b.</w:t>
      </w:r>
      <w:r>
        <w:rPr>
          <w:rFonts w:hint="eastAsia" w:ascii="宋体" w:hAnsi="宋体" w:eastAsia="宋体" w:cs="宋体"/>
          <w:sz w:val="24"/>
        </w:rPr>
        <w:tab/>
      </w:r>
      <w:r>
        <w:rPr>
          <w:rFonts w:hint="eastAsia" w:ascii="宋体" w:hAnsi="宋体" w:eastAsia="宋体" w:cs="宋体"/>
          <w:sz w:val="24"/>
        </w:rPr>
        <w:t>中标通知书</w:t>
      </w:r>
    </w:p>
    <w:p>
      <w:pPr>
        <w:spacing w:line="240" w:lineRule="atLeast"/>
        <w:ind w:left="1080" w:leftChars="257" w:hanging="540"/>
        <w:rPr>
          <w:rFonts w:hint="eastAsia" w:ascii="宋体" w:hAnsi="宋体" w:eastAsia="宋体" w:cs="宋体"/>
          <w:sz w:val="24"/>
        </w:rPr>
      </w:pPr>
      <w:r>
        <w:rPr>
          <w:rFonts w:hint="eastAsia" w:ascii="宋体" w:hAnsi="宋体" w:eastAsia="宋体" w:cs="宋体"/>
          <w:sz w:val="24"/>
        </w:rPr>
        <w:t>c.</w:t>
      </w:r>
      <w:r>
        <w:rPr>
          <w:rFonts w:hint="eastAsia" w:ascii="宋体" w:hAnsi="宋体" w:eastAsia="宋体" w:cs="宋体"/>
          <w:sz w:val="24"/>
        </w:rPr>
        <w:tab/>
      </w:r>
      <w:r>
        <w:rPr>
          <w:rFonts w:hint="eastAsia" w:ascii="宋体" w:hAnsi="宋体" w:eastAsia="宋体" w:cs="宋体"/>
          <w:sz w:val="24"/>
        </w:rPr>
        <w:t>合同专用条款</w:t>
      </w:r>
    </w:p>
    <w:p>
      <w:pPr>
        <w:spacing w:line="240" w:lineRule="atLeast"/>
        <w:ind w:left="1080" w:leftChars="257" w:hanging="540"/>
        <w:rPr>
          <w:rFonts w:hint="eastAsia" w:ascii="宋体" w:hAnsi="宋体" w:eastAsia="宋体" w:cs="宋体"/>
          <w:sz w:val="24"/>
        </w:rPr>
      </w:pPr>
      <w:r>
        <w:rPr>
          <w:rFonts w:hint="eastAsia" w:ascii="宋体" w:hAnsi="宋体" w:eastAsia="宋体" w:cs="宋体"/>
          <w:sz w:val="24"/>
        </w:rPr>
        <w:t>d.  合同通用条款</w:t>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p>
    <w:p>
      <w:pPr>
        <w:spacing w:line="240" w:lineRule="atLeast"/>
        <w:ind w:left="1080" w:leftChars="257" w:hanging="540"/>
        <w:rPr>
          <w:rFonts w:hint="eastAsia" w:ascii="宋体" w:hAnsi="宋体" w:eastAsia="宋体" w:cs="宋体"/>
          <w:sz w:val="24"/>
        </w:rPr>
      </w:pPr>
      <w:r>
        <w:rPr>
          <w:rFonts w:hint="eastAsia" w:ascii="宋体" w:hAnsi="宋体" w:eastAsia="宋体" w:cs="宋体"/>
          <w:sz w:val="24"/>
        </w:rPr>
        <w:t>e.</w:t>
      </w:r>
      <w:r>
        <w:rPr>
          <w:rFonts w:hint="eastAsia" w:ascii="宋体" w:hAnsi="宋体" w:eastAsia="宋体" w:cs="宋体"/>
          <w:sz w:val="24"/>
        </w:rPr>
        <w:tab/>
      </w:r>
      <w:r>
        <w:rPr>
          <w:rFonts w:hint="eastAsia" w:ascii="宋体" w:hAnsi="宋体" w:eastAsia="宋体" w:cs="宋体"/>
          <w:sz w:val="24"/>
        </w:rPr>
        <w:t>投标文件</w:t>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(含澄清文件)</w:t>
      </w:r>
    </w:p>
    <w:p>
      <w:pPr>
        <w:spacing w:line="240" w:lineRule="atLeast"/>
        <w:ind w:left="1080" w:leftChars="257" w:hanging="540"/>
        <w:rPr>
          <w:rFonts w:hint="eastAsia" w:ascii="宋体" w:hAnsi="宋体" w:eastAsia="宋体" w:cs="宋体"/>
          <w:sz w:val="24"/>
        </w:rPr>
      </w:pPr>
      <w:r>
        <w:rPr>
          <w:rFonts w:hint="eastAsia" w:ascii="宋体" w:hAnsi="宋体" w:eastAsia="宋体" w:cs="宋体"/>
          <w:sz w:val="24"/>
        </w:rPr>
        <w:t>f.</w:t>
      </w:r>
      <w:r>
        <w:rPr>
          <w:rFonts w:hint="eastAsia" w:ascii="宋体" w:hAnsi="宋体" w:eastAsia="宋体" w:cs="宋体"/>
          <w:sz w:val="24"/>
        </w:rPr>
        <w:tab/>
      </w:r>
      <w:r>
        <w:rPr>
          <w:rFonts w:hint="eastAsia" w:ascii="宋体" w:hAnsi="宋体" w:eastAsia="宋体" w:cs="宋体"/>
          <w:sz w:val="24"/>
        </w:rPr>
        <w:t>招标文件</w:t>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(含招标文件补充通知)</w:t>
      </w:r>
    </w:p>
    <w:p>
      <w:pPr>
        <w:spacing w:line="240" w:lineRule="atLeast"/>
        <w:ind w:left="1080" w:leftChars="257" w:hanging="540"/>
        <w:rPr>
          <w:rFonts w:hint="eastAsia" w:ascii="宋体" w:hAnsi="宋体" w:eastAsia="宋体" w:cs="宋体"/>
          <w:sz w:val="24"/>
        </w:rPr>
      </w:pPr>
    </w:p>
    <w:p>
      <w:pPr>
        <w:spacing w:line="240" w:lineRule="atLeast"/>
        <w:ind w:left="1080" w:leftChars="257" w:hanging="540"/>
        <w:rPr>
          <w:rFonts w:hint="eastAsia" w:ascii="宋体" w:hAnsi="宋体" w:eastAsia="宋体" w:cs="宋体"/>
          <w:b/>
          <w:sz w:val="24"/>
        </w:rPr>
      </w:pPr>
      <w:r>
        <w:rPr>
          <w:rFonts w:hint="eastAsia" w:ascii="宋体" w:hAnsi="宋体" w:eastAsia="宋体" w:cs="宋体"/>
          <w:b/>
          <w:sz w:val="24"/>
        </w:rPr>
        <w:t>2、货物和数量</w:t>
      </w:r>
    </w:p>
    <w:p>
      <w:pPr>
        <w:spacing w:line="240" w:lineRule="atLeast"/>
        <w:ind w:left="1080" w:leftChars="257" w:hanging="540"/>
        <w:rPr>
          <w:rFonts w:hint="eastAsia" w:ascii="宋体" w:hAnsi="宋体" w:eastAsia="宋体" w:cs="宋体"/>
          <w:sz w:val="24"/>
        </w:rPr>
      </w:pPr>
      <w:r>
        <w:rPr>
          <w:rFonts w:hint="eastAsia" w:ascii="宋体" w:hAnsi="宋体" w:eastAsia="宋体" w:cs="宋体"/>
          <w:sz w:val="24"/>
        </w:rPr>
        <w:t>本合同货物：</w:t>
      </w:r>
      <w:r>
        <w:rPr>
          <w:rFonts w:hint="eastAsia" w:ascii="宋体" w:hAnsi="宋体" w:eastAsia="宋体" w:cs="宋体"/>
          <w:sz w:val="24"/>
          <w:u w:val="single"/>
        </w:rPr>
        <w:t>　　　　　　　　　　　　</w:t>
      </w:r>
    </w:p>
    <w:p>
      <w:pPr>
        <w:spacing w:line="240" w:lineRule="atLeast"/>
        <w:ind w:left="1080" w:leftChars="257" w:hanging="540"/>
        <w:rPr>
          <w:rFonts w:hint="eastAsia" w:ascii="宋体" w:hAnsi="宋体" w:eastAsia="宋体" w:cs="宋体"/>
          <w:sz w:val="24"/>
        </w:rPr>
      </w:pPr>
      <w:r>
        <w:rPr>
          <w:rFonts w:hint="eastAsia" w:ascii="宋体" w:hAnsi="宋体" w:eastAsia="宋体" w:cs="宋体"/>
          <w:sz w:val="24"/>
        </w:rPr>
        <w:t>数量：</w:t>
      </w:r>
      <w:r>
        <w:rPr>
          <w:rFonts w:hint="eastAsia" w:ascii="宋体" w:hAnsi="宋体" w:eastAsia="宋体" w:cs="宋体"/>
          <w:sz w:val="24"/>
          <w:u w:val="single"/>
        </w:rPr>
        <w:t>　　　　　　　　　　　　　　　</w:t>
      </w:r>
    </w:p>
    <w:p>
      <w:pPr>
        <w:spacing w:line="240" w:lineRule="atLeast"/>
        <w:ind w:left="1080" w:leftChars="257" w:hanging="540"/>
        <w:rPr>
          <w:rFonts w:hint="eastAsia" w:ascii="宋体" w:hAnsi="宋体" w:eastAsia="宋体" w:cs="宋体"/>
          <w:b/>
          <w:sz w:val="24"/>
        </w:rPr>
      </w:pPr>
      <w:r>
        <w:rPr>
          <w:rFonts w:hint="eastAsia" w:ascii="宋体" w:hAnsi="宋体" w:eastAsia="宋体" w:cs="宋体"/>
          <w:b/>
          <w:sz w:val="24"/>
        </w:rPr>
        <w:t>3、合同总价</w:t>
      </w:r>
    </w:p>
    <w:p>
      <w:pPr>
        <w:spacing w:line="240" w:lineRule="atLeast"/>
        <w:ind w:left="1080" w:leftChars="257" w:hanging="540"/>
        <w:rPr>
          <w:rFonts w:hint="eastAsia" w:ascii="宋体" w:hAnsi="宋体" w:eastAsia="宋体" w:cs="宋体"/>
          <w:sz w:val="24"/>
        </w:rPr>
      </w:pPr>
      <w:r>
        <w:rPr>
          <w:rFonts w:hint="eastAsia" w:ascii="宋体" w:hAnsi="宋体" w:eastAsia="宋体" w:cs="宋体"/>
          <w:sz w:val="24"/>
        </w:rPr>
        <w:t>本合同总价为</w:t>
      </w:r>
      <w:r>
        <w:rPr>
          <w:rFonts w:hint="eastAsia" w:ascii="宋体" w:hAnsi="宋体" w:eastAsia="宋体" w:cs="宋体"/>
          <w:sz w:val="24"/>
          <w:u w:val="single"/>
        </w:rPr>
        <w:t>　　</w:t>
      </w:r>
      <w:r>
        <w:rPr>
          <w:rFonts w:hint="eastAsia" w:ascii="宋体" w:hAnsi="宋体" w:eastAsia="宋体" w:cs="宋体"/>
          <w:sz w:val="24"/>
        </w:rPr>
        <w:t>元人民币。</w:t>
      </w:r>
    </w:p>
    <w:p>
      <w:pPr>
        <w:spacing w:line="240" w:lineRule="atLeast"/>
        <w:ind w:left="1080" w:leftChars="257" w:hanging="540"/>
        <w:rPr>
          <w:rFonts w:hint="eastAsia" w:ascii="宋体" w:hAnsi="宋体" w:eastAsia="宋体" w:cs="宋体"/>
          <w:sz w:val="24"/>
          <w:u w:val="single"/>
        </w:rPr>
      </w:pPr>
      <w:r>
        <w:rPr>
          <w:rFonts w:hint="eastAsia" w:ascii="宋体" w:hAnsi="宋体" w:eastAsia="宋体" w:cs="宋体"/>
          <w:sz w:val="24"/>
        </w:rPr>
        <w:t>分项价格：</w:t>
      </w:r>
      <w:r>
        <w:rPr>
          <w:rFonts w:hint="eastAsia" w:ascii="宋体" w:hAnsi="宋体" w:eastAsia="宋体" w:cs="宋体"/>
          <w:sz w:val="24"/>
          <w:u w:val="single"/>
        </w:rPr>
        <w:t>　　　　　　　　　　　　</w:t>
      </w:r>
    </w:p>
    <w:p>
      <w:pPr>
        <w:spacing w:line="240" w:lineRule="atLeast"/>
        <w:ind w:left="1080" w:leftChars="257" w:hanging="540"/>
        <w:rPr>
          <w:rFonts w:hint="eastAsia" w:ascii="宋体" w:hAnsi="宋体" w:eastAsia="宋体" w:cs="宋体"/>
          <w:b/>
          <w:sz w:val="24"/>
        </w:rPr>
      </w:pPr>
      <w:r>
        <w:rPr>
          <w:rFonts w:hint="eastAsia" w:ascii="宋体" w:hAnsi="宋体" w:eastAsia="宋体" w:cs="宋体"/>
          <w:b/>
          <w:sz w:val="24"/>
        </w:rPr>
        <w:t>4、付款方式</w:t>
      </w:r>
    </w:p>
    <w:p>
      <w:pPr>
        <w:spacing w:line="240" w:lineRule="atLeast"/>
        <w:ind w:left="1080" w:leftChars="257" w:hanging="540"/>
        <w:rPr>
          <w:rFonts w:hint="eastAsia" w:ascii="宋体" w:hAnsi="宋体" w:eastAsia="宋体" w:cs="宋体"/>
          <w:sz w:val="24"/>
        </w:rPr>
      </w:pPr>
      <w:r>
        <w:rPr>
          <w:rFonts w:hint="eastAsia" w:ascii="宋体" w:hAnsi="宋体" w:eastAsia="宋体" w:cs="宋体"/>
          <w:sz w:val="24"/>
        </w:rPr>
        <w:t>本合同的付款方式为：</w:t>
      </w:r>
      <w:r>
        <w:rPr>
          <w:rFonts w:hint="eastAsia" w:ascii="宋体" w:hAnsi="宋体" w:eastAsia="宋体" w:cs="宋体"/>
          <w:sz w:val="24"/>
          <w:u w:val="single"/>
        </w:rPr>
        <w:t>　　　　　　　　　　　　　　　</w:t>
      </w:r>
    </w:p>
    <w:p>
      <w:pPr>
        <w:spacing w:line="240" w:lineRule="atLeast"/>
        <w:ind w:left="1080" w:leftChars="257" w:hanging="540"/>
        <w:rPr>
          <w:rFonts w:hint="eastAsia" w:ascii="宋体" w:hAnsi="宋体" w:eastAsia="宋体" w:cs="宋体"/>
          <w:b/>
          <w:sz w:val="24"/>
        </w:rPr>
      </w:pPr>
      <w:r>
        <w:rPr>
          <w:rFonts w:hint="eastAsia" w:ascii="宋体" w:hAnsi="宋体" w:eastAsia="宋体" w:cs="宋体"/>
          <w:b/>
          <w:sz w:val="24"/>
        </w:rPr>
        <w:t>5、本合同货物的交货时间及交货地点</w:t>
      </w:r>
    </w:p>
    <w:p>
      <w:pPr>
        <w:spacing w:line="240" w:lineRule="atLeast"/>
        <w:ind w:left="1080" w:leftChars="257" w:hanging="540"/>
        <w:rPr>
          <w:rFonts w:hint="eastAsia" w:ascii="宋体" w:hAnsi="宋体" w:eastAsia="宋体" w:cs="宋体"/>
          <w:sz w:val="24"/>
        </w:rPr>
      </w:pPr>
      <w:r>
        <w:rPr>
          <w:rFonts w:hint="eastAsia" w:ascii="宋体" w:hAnsi="宋体" w:eastAsia="宋体" w:cs="宋体"/>
          <w:sz w:val="24"/>
        </w:rPr>
        <w:t>交货时间：</w:t>
      </w:r>
      <w:r>
        <w:rPr>
          <w:rFonts w:hint="eastAsia" w:ascii="宋体" w:hAnsi="宋体" w:eastAsia="宋体" w:cs="宋体"/>
          <w:sz w:val="24"/>
          <w:u w:val="single"/>
        </w:rPr>
        <w:t>　　　　　　　　　　　　　　　　</w:t>
      </w:r>
    </w:p>
    <w:p>
      <w:pPr>
        <w:spacing w:line="240" w:lineRule="atLeast"/>
        <w:ind w:left="1080" w:leftChars="257" w:hanging="540"/>
        <w:rPr>
          <w:rFonts w:hint="eastAsia" w:ascii="宋体" w:hAnsi="宋体" w:eastAsia="宋体" w:cs="宋体"/>
          <w:sz w:val="24"/>
        </w:rPr>
      </w:pPr>
      <w:r>
        <w:rPr>
          <w:rFonts w:hint="eastAsia" w:ascii="宋体" w:hAnsi="宋体" w:eastAsia="宋体" w:cs="宋体"/>
          <w:sz w:val="24"/>
        </w:rPr>
        <w:t>交货地点：</w:t>
      </w:r>
      <w:r>
        <w:rPr>
          <w:rFonts w:hint="eastAsia" w:ascii="宋体" w:hAnsi="宋体" w:eastAsia="宋体" w:cs="宋体"/>
          <w:sz w:val="24"/>
          <w:u w:val="single"/>
        </w:rPr>
        <w:t>　　　　　　　　　　　　　　　　</w:t>
      </w:r>
    </w:p>
    <w:p>
      <w:pPr>
        <w:spacing w:line="240" w:lineRule="atLeast"/>
        <w:ind w:left="1080" w:leftChars="257" w:hanging="540"/>
        <w:rPr>
          <w:rFonts w:hint="eastAsia" w:ascii="宋体" w:hAnsi="宋体" w:eastAsia="宋体" w:cs="宋体"/>
          <w:b/>
          <w:sz w:val="24"/>
        </w:rPr>
      </w:pPr>
      <w:r>
        <w:rPr>
          <w:rFonts w:hint="eastAsia" w:ascii="宋体" w:hAnsi="宋体" w:eastAsia="宋体" w:cs="宋体"/>
          <w:b/>
          <w:sz w:val="24"/>
        </w:rPr>
        <w:t>6、合同的生效</w:t>
      </w:r>
    </w:p>
    <w:p>
      <w:pPr>
        <w:spacing w:line="240" w:lineRule="atLeast"/>
        <w:ind w:firstLine="540"/>
        <w:rPr>
          <w:rFonts w:hint="eastAsia" w:ascii="宋体" w:hAnsi="宋体" w:eastAsia="宋体" w:cs="宋体"/>
          <w:sz w:val="24"/>
        </w:rPr>
      </w:pPr>
      <w:r>
        <w:rPr>
          <w:rFonts w:hint="eastAsia" w:ascii="宋体" w:hAnsi="宋体" w:eastAsia="宋体" w:cs="宋体"/>
          <w:sz w:val="24"/>
        </w:rPr>
        <w:t>本合同经双方全权代表签署、加盖单位印章并由卖方递交履约保证金后生效。</w:t>
      </w:r>
    </w:p>
    <w:p>
      <w:pPr>
        <w:spacing w:line="240" w:lineRule="atLeast"/>
        <w:ind w:left="1080" w:leftChars="257" w:hanging="540"/>
        <w:rPr>
          <w:rFonts w:hint="eastAsia" w:ascii="宋体" w:hAnsi="宋体" w:eastAsia="宋体" w:cs="宋体"/>
          <w:sz w:val="24"/>
        </w:rPr>
      </w:pPr>
    </w:p>
    <w:p>
      <w:pPr>
        <w:spacing w:line="240" w:lineRule="atLeast"/>
        <w:ind w:left="975" w:leftChars="207" w:hanging="540"/>
        <w:rPr>
          <w:rFonts w:hint="eastAsia" w:ascii="宋体" w:hAnsi="宋体" w:eastAsia="宋体" w:cs="宋体"/>
          <w:sz w:val="24"/>
          <w:u w:val="single"/>
        </w:rPr>
      </w:pPr>
      <w:r>
        <w:rPr>
          <w:rFonts w:hint="eastAsia" w:ascii="宋体" w:hAnsi="宋体" w:eastAsia="宋体" w:cs="宋体"/>
          <w:sz w:val="24"/>
        </w:rPr>
        <w:t>　买  　方：     卖　  方：</w:t>
      </w:r>
    </w:p>
    <w:p>
      <w:pPr>
        <w:spacing w:line="240" w:lineRule="atLeast"/>
        <w:ind w:left="1079" w:leftChars="314" w:hanging="420" w:hangingChars="175"/>
        <w:rPr>
          <w:rFonts w:hint="eastAsia" w:ascii="宋体" w:hAnsi="宋体" w:eastAsia="宋体" w:cs="宋体"/>
          <w:sz w:val="24"/>
        </w:rPr>
      </w:pPr>
      <w:r>
        <w:rPr>
          <w:rFonts w:hint="eastAsia" w:ascii="宋体" w:hAnsi="宋体" w:eastAsia="宋体" w:cs="宋体"/>
          <w:sz w:val="24"/>
        </w:rPr>
        <w:t>名　  称：(印章)</w:t>
      </w:r>
      <w:r>
        <w:rPr>
          <w:rFonts w:hint="eastAsia" w:ascii="宋体" w:hAnsi="宋体" w:eastAsia="宋体" w:cs="宋体"/>
          <w:sz w:val="24"/>
          <w:u w:val="single"/>
        </w:rPr>
        <w:t>　　　  　</w:t>
      </w:r>
      <w:r>
        <w:rPr>
          <w:rFonts w:hint="eastAsia" w:ascii="宋体" w:hAnsi="宋体" w:eastAsia="宋体" w:cs="宋体"/>
          <w:sz w:val="24"/>
        </w:rPr>
        <w:t>　     名　  称：(印章)</w:t>
      </w:r>
    </w:p>
    <w:p>
      <w:pPr>
        <w:spacing w:line="240" w:lineRule="atLeast"/>
        <w:ind w:left="1079" w:leftChars="314" w:hanging="420" w:hangingChars="175"/>
        <w:rPr>
          <w:rFonts w:hint="eastAsia" w:ascii="宋体" w:hAnsi="宋体" w:eastAsia="宋体" w:cs="宋体"/>
          <w:sz w:val="24"/>
          <w:u w:val="single"/>
        </w:rPr>
      </w:pPr>
      <w:r>
        <w:rPr>
          <w:rFonts w:hint="eastAsia" w:ascii="宋体" w:hAnsi="宋体" w:eastAsia="宋体" w:cs="宋体"/>
          <w:sz w:val="24"/>
        </w:rPr>
        <w:t>日    期：</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rPr>
        <w:t>　　   日    期：</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p>
    <w:p>
      <w:pPr>
        <w:spacing w:line="240" w:lineRule="atLeast"/>
        <w:ind w:firstLine="240" w:firstLineChars="100"/>
        <w:rPr>
          <w:rFonts w:hint="eastAsia" w:ascii="宋体" w:hAnsi="宋体" w:eastAsia="宋体" w:cs="宋体"/>
          <w:sz w:val="24"/>
          <w:u w:val="single"/>
        </w:rPr>
      </w:pPr>
      <w:r>
        <w:rPr>
          <w:rFonts w:hint="eastAsia" w:ascii="宋体" w:hAnsi="宋体" w:eastAsia="宋体" w:cs="宋体"/>
          <w:sz w:val="24"/>
        </w:rPr>
        <w:t>　　授权代表(签字)：</w:t>
      </w:r>
      <w:r>
        <w:rPr>
          <w:rFonts w:hint="eastAsia" w:ascii="宋体" w:hAnsi="宋体" w:eastAsia="宋体" w:cs="宋体"/>
          <w:sz w:val="24"/>
        </w:rPr>
        <w:tab/>
      </w:r>
      <w:r>
        <w:rPr>
          <w:rFonts w:hint="eastAsia" w:ascii="宋体" w:hAnsi="宋体" w:eastAsia="宋体" w:cs="宋体"/>
          <w:sz w:val="24"/>
        </w:rPr>
        <w:t xml:space="preserve">   授权代表(签字)：</w:t>
      </w:r>
    </w:p>
    <w:p>
      <w:pPr>
        <w:spacing w:line="240" w:lineRule="atLeast"/>
        <w:ind w:left="622" w:leftChars="96" w:hanging="420" w:hangingChars="175"/>
        <w:rPr>
          <w:rFonts w:hint="eastAsia" w:ascii="宋体" w:hAnsi="宋体" w:eastAsia="宋体" w:cs="宋体"/>
          <w:sz w:val="24"/>
          <w:u w:val="single"/>
        </w:rPr>
      </w:pPr>
      <w:r>
        <w:rPr>
          <w:rFonts w:hint="eastAsia" w:ascii="宋体" w:hAnsi="宋体" w:eastAsia="宋体" w:cs="宋体"/>
          <w:sz w:val="24"/>
        </w:rPr>
        <w:t>　　地　　址：</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地　　址：</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p>
    <w:p>
      <w:pPr>
        <w:spacing w:line="240" w:lineRule="atLeast"/>
        <w:ind w:left="661" w:leftChars="115" w:hanging="420" w:hangingChars="175"/>
        <w:rPr>
          <w:rFonts w:hint="eastAsia" w:ascii="宋体" w:hAnsi="宋体" w:eastAsia="宋体" w:cs="宋体"/>
          <w:sz w:val="24"/>
          <w:u w:val="single"/>
        </w:rPr>
      </w:pPr>
      <w:r>
        <w:rPr>
          <w:rFonts w:hint="eastAsia" w:ascii="宋体" w:hAnsi="宋体" w:eastAsia="宋体" w:cs="宋体"/>
          <w:sz w:val="24"/>
        </w:rPr>
        <w:t>　　邮政编码：</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邮政编码：</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p>
    <w:p>
      <w:pPr>
        <w:spacing w:line="240" w:lineRule="atLeast"/>
        <w:ind w:left="683" w:leftChars="125" w:hanging="420" w:hangingChars="175"/>
        <w:rPr>
          <w:rFonts w:hint="eastAsia" w:ascii="宋体" w:hAnsi="宋体" w:eastAsia="宋体" w:cs="宋体"/>
          <w:sz w:val="24"/>
          <w:u w:val="single"/>
        </w:rPr>
      </w:pPr>
      <w:r>
        <w:rPr>
          <w:rFonts w:hint="eastAsia" w:ascii="宋体" w:hAnsi="宋体" w:eastAsia="宋体" w:cs="宋体"/>
          <w:sz w:val="24"/>
        </w:rPr>
        <w:t>　  电　　话：</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电　　话：</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p>
    <w:p>
      <w:pPr>
        <w:spacing w:line="240" w:lineRule="atLeast"/>
        <w:ind w:firstLine="720" w:firstLineChars="300"/>
        <w:rPr>
          <w:rFonts w:hint="eastAsia" w:ascii="宋体" w:hAnsi="宋体" w:eastAsia="宋体" w:cs="宋体"/>
          <w:sz w:val="24"/>
          <w:u w:val="single"/>
        </w:rPr>
      </w:pPr>
      <w:r>
        <w:rPr>
          <w:rFonts w:hint="eastAsia" w:ascii="宋体" w:hAnsi="宋体" w:eastAsia="宋体" w:cs="宋体"/>
          <w:sz w:val="24"/>
        </w:rPr>
        <w:t>开户银行：</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开户银行：</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p>
    <w:p>
      <w:pPr>
        <w:spacing w:line="240" w:lineRule="atLeast"/>
        <w:ind w:firstLine="720" w:firstLineChars="300"/>
        <w:rPr>
          <w:rFonts w:hint="eastAsia" w:ascii="宋体" w:hAnsi="宋体" w:eastAsia="宋体" w:cs="宋体"/>
          <w:sz w:val="24"/>
          <w:u w:val="single"/>
        </w:rPr>
      </w:pPr>
      <w:r>
        <w:rPr>
          <w:rFonts w:hint="eastAsia" w:ascii="宋体" w:hAnsi="宋体" w:eastAsia="宋体" w:cs="宋体"/>
          <w:sz w:val="24"/>
        </w:rPr>
        <w:t>帐　　号：</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帐　　号：</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p>
    <w:p>
      <w:pPr>
        <w:spacing w:line="240" w:lineRule="atLeast"/>
        <w:ind w:left="1080" w:leftChars="257" w:hanging="540"/>
        <w:rPr>
          <w:rFonts w:hint="eastAsia" w:ascii="宋体" w:hAnsi="宋体" w:eastAsia="宋体" w:cs="宋体"/>
          <w:sz w:val="24"/>
          <w:u w:val="single"/>
        </w:rPr>
      </w:pPr>
      <w:r>
        <w:rPr>
          <w:rFonts w:hint="eastAsia" w:ascii="宋体" w:hAnsi="宋体" w:eastAsia="宋体" w:cs="宋体"/>
          <w:sz w:val="24"/>
          <w:u w:val="single"/>
        </w:rPr>
        <w:br w:type="page"/>
      </w:r>
    </w:p>
    <w:p>
      <w:pPr>
        <w:pStyle w:val="2"/>
        <w:numPr>
          <w:ilvl w:val="0"/>
          <w:numId w:val="1"/>
        </w:numPr>
        <w:spacing w:before="0" w:after="0" w:line="240" w:lineRule="atLeast"/>
        <w:rPr>
          <w:rFonts w:hint="eastAsia" w:ascii="宋体" w:hAnsi="宋体" w:eastAsia="宋体" w:cs="宋体"/>
        </w:rPr>
      </w:pPr>
      <w:bookmarkStart w:id="27" w:name="_Toc507399905"/>
      <w:bookmarkStart w:id="28" w:name="_Toc219175637"/>
      <w:bookmarkStart w:id="29" w:name="_Toc218935353"/>
      <w:r>
        <w:rPr>
          <w:rFonts w:hint="eastAsia" w:ascii="宋体" w:hAnsi="宋体" w:eastAsia="宋体" w:cs="宋体"/>
        </w:rPr>
        <w:t>合同专用条款</w:t>
      </w:r>
      <w:bookmarkEnd w:id="27"/>
      <w:bookmarkEnd w:id="28"/>
      <w:bookmarkEnd w:id="29"/>
    </w:p>
    <w:p>
      <w:pPr>
        <w:rPr>
          <w:rFonts w:hint="eastAsia" w:ascii="宋体" w:hAnsi="宋体" w:eastAsia="宋体" w:cs="宋体"/>
        </w:rPr>
      </w:pPr>
    </w:p>
    <w:p>
      <w:pPr>
        <w:spacing w:line="240" w:lineRule="atLeast"/>
        <w:ind w:left="-540" w:leftChars="-257" w:firstLine="660" w:firstLineChars="275"/>
        <w:rPr>
          <w:rFonts w:hint="eastAsia" w:ascii="宋体" w:hAnsi="宋体" w:eastAsia="宋体" w:cs="宋体"/>
          <w:sz w:val="24"/>
        </w:rPr>
      </w:pPr>
      <w:r>
        <w:rPr>
          <w:rFonts w:hint="eastAsia" w:ascii="宋体" w:hAnsi="宋体" w:eastAsia="宋体" w:cs="宋体"/>
          <w:sz w:val="24"/>
        </w:rPr>
        <w:t>合同专用条款是合同一般条款的补充和修改。如果两者之间有抵触，应以特殊条款为准。合同特殊条款的序号将与合同一般条款序号相对应。</w:t>
      </w:r>
    </w:p>
    <w:p>
      <w:pPr>
        <w:spacing w:line="240" w:lineRule="atLeast"/>
        <w:ind w:left="181"/>
        <w:rPr>
          <w:rFonts w:hint="eastAsia" w:ascii="宋体" w:hAnsi="宋体" w:eastAsia="宋体" w:cs="宋体"/>
          <w:sz w:val="24"/>
        </w:rPr>
      </w:pPr>
      <w:r>
        <w:rPr>
          <w:rFonts w:hint="eastAsia" w:ascii="宋体" w:hAnsi="宋体" w:eastAsia="宋体" w:cs="宋体"/>
          <w:sz w:val="24"/>
        </w:rPr>
        <w:t>1、定义</w:t>
      </w:r>
    </w:p>
    <w:p>
      <w:pPr>
        <w:spacing w:line="240" w:lineRule="atLeast"/>
        <w:ind w:left="1081" w:leftChars="86" w:hanging="900"/>
        <w:rPr>
          <w:rFonts w:hint="eastAsia" w:ascii="宋体" w:hAnsi="宋体" w:eastAsia="宋体" w:cs="宋体"/>
          <w:sz w:val="24"/>
        </w:rPr>
      </w:pPr>
      <w:r>
        <w:rPr>
          <w:rFonts w:hint="eastAsia" w:ascii="宋体" w:hAnsi="宋体" w:eastAsia="宋体" w:cs="宋体"/>
          <w:sz w:val="24"/>
        </w:rPr>
        <w:t>1.5 买方：本合同买方系指：</w:t>
      </w:r>
      <w:r>
        <w:rPr>
          <w:rFonts w:hint="eastAsia" w:ascii="宋体" w:hAnsi="宋体" w:eastAsia="宋体" w:cs="宋体"/>
          <w:sz w:val="24"/>
          <w:u w:val="single"/>
        </w:rPr>
        <w:t>　　　　　　　　　　　　　　　　　　　　　</w:t>
      </w:r>
      <w:r>
        <w:rPr>
          <w:rFonts w:hint="eastAsia" w:ascii="宋体" w:hAnsi="宋体" w:eastAsia="宋体" w:cs="宋体"/>
          <w:sz w:val="24"/>
        </w:rPr>
        <w:t>。</w:t>
      </w:r>
    </w:p>
    <w:p>
      <w:pPr>
        <w:spacing w:line="240" w:lineRule="atLeast"/>
        <w:ind w:left="1081" w:leftChars="86" w:hanging="900"/>
        <w:rPr>
          <w:rFonts w:hint="eastAsia" w:ascii="宋体" w:hAnsi="宋体" w:eastAsia="宋体" w:cs="宋体"/>
          <w:sz w:val="24"/>
        </w:rPr>
      </w:pPr>
      <w:r>
        <w:rPr>
          <w:rFonts w:hint="eastAsia" w:ascii="宋体" w:hAnsi="宋体" w:eastAsia="宋体" w:cs="宋体"/>
          <w:sz w:val="24"/>
        </w:rPr>
        <w:t>1.6 卖方：本合同买方系指：</w:t>
      </w:r>
      <w:r>
        <w:rPr>
          <w:rFonts w:hint="eastAsia" w:ascii="宋体" w:hAnsi="宋体" w:eastAsia="宋体" w:cs="宋体"/>
          <w:sz w:val="24"/>
          <w:u w:val="single"/>
        </w:rPr>
        <w:t>　　　　　　　　　　　　　　　　　　　　　</w:t>
      </w:r>
      <w:r>
        <w:rPr>
          <w:rFonts w:hint="eastAsia" w:ascii="宋体" w:hAnsi="宋体" w:eastAsia="宋体" w:cs="宋体"/>
          <w:sz w:val="24"/>
        </w:rPr>
        <w:t>。</w:t>
      </w:r>
    </w:p>
    <w:p>
      <w:pPr>
        <w:spacing w:line="240" w:lineRule="atLeast"/>
        <w:ind w:left="1081" w:leftChars="86" w:hanging="900"/>
        <w:rPr>
          <w:rFonts w:hint="eastAsia" w:ascii="宋体" w:hAnsi="宋体" w:eastAsia="宋体" w:cs="宋体"/>
          <w:sz w:val="24"/>
        </w:rPr>
      </w:pPr>
      <w:r>
        <w:rPr>
          <w:rFonts w:hint="eastAsia" w:ascii="宋体" w:hAnsi="宋体" w:eastAsia="宋体" w:cs="宋体"/>
          <w:sz w:val="24"/>
        </w:rPr>
        <w:t>1.7 现场：本合同项下的货物安装和运行地点位于：</w:t>
      </w:r>
      <w:r>
        <w:rPr>
          <w:rFonts w:hint="eastAsia" w:ascii="宋体" w:hAnsi="宋体" w:eastAsia="宋体" w:cs="宋体"/>
          <w:sz w:val="24"/>
          <w:u w:val="single"/>
        </w:rPr>
        <w:t>　　　　　　　　　　　</w:t>
      </w:r>
      <w:r>
        <w:rPr>
          <w:rFonts w:hint="eastAsia" w:ascii="宋体" w:hAnsi="宋体" w:eastAsia="宋体" w:cs="宋体"/>
          <w:sz w:val="24"/>
        </w:rPr>
        <w:t>。</w:t>
      </w:r>
    </w:p>
    <w:p>
      <w:pPr>
        <w:spacing w:line="240" w:lineRule="atLeast"/>
        <w:ind w:left="1081" w:leftChars="86" w:hanging="900"/>
        <w:rPr>
          <w:rFonts w:hint="eastAsia" w:ascii="宋体" w:hAnsi="宋体" w:eastAsia="宋体" w:cs="宋体"/>
          <w:sz w:val="24"/>
        </w:rPr>
      </w:pPr>
      <w:r>
        <w:rPr>
          <w:rFonts w:hint="eastAsia" w:ascii="宋体" w:hAnsi="宋体" w:eastAsia="宋体" w:cs="宋体"/>
          <w:sz w:val="24"/>
        </w:rPr>
        <w:t>6、交货方式</w:t>
      </w:r>
    </w:p>
    <w:p>
      <w:pPr>
        <w:spacing w:line="240" w:lineRule="atLeast"/>
        <w:ind w:firstLine="240" w:firstLineChars="100"/>
        <w:rPr>
          <w:rFonts w:hint="eastAsia" w:ascii="宋体" w:hAnsi="宋体" w:eastAsia="宋体" w:cs="宋体"/>
          <w:sz w:val="24"/>
        </w:rPr>
      </w:pPr>
      <w:r>
        <w:rPr>
          <w:rFonts w:hint="eastAsia" w:ascii="宋体" w:hAnsi="宋体" w:eastAsia="宋体" w:cs="宋体"/>
          <w:sz w:val="24"/>
        </w:rPr>
        <w:t>6.1　本合同项下的货物交货方式为：</w:t>
      </w:r>
      <w:r>
        <w:rPr>
          <w:rFonts w:hint="eastAsia" w:ascii="宋体" w:hAnsi="宋体" w:eastAsia="宋体" w:cs="宋体"/>
          <w:sz w:val="24"/>
          <w:u w:val="single"/>
        </w:rPr>
        <w:t>　　　　　　　　　　　　　　　</w:t>
      </w:r>
      <w:r>
        <w:rPr>
          <w:rFonts w:hint="eastAsia" w:ascii="宋体" w:hAnsi="宋体" w:eastAsia="宋体" w:cs="宋体"/>
          <w:sz w:val="24"/>
        </w:rPr>
        <w:t>。</w:t>
      </w:r>
    </w:p>
    <w:p>
      <w:pPr>
        <w:spacing w:line="240" w:lineRule="atLeast"/>
        <w:ind w:left="178" w:leftChars="85"/>
        <w:rPr>
          <w:rFonts w:hint="eastAsia" w:ascii="宋体" w:hAnsi="宋体" w:eastAsia="宋体" w:cs="宋体"/>
          <w:sz w:val="24"/>
        </w:rPr>
      </w:pPr>
      <w:r>
        <w:rPr>
          <w:rFonts w:hint="eastAsia" w:ascii="宋体" w:hAnsi="宋体" w:eastAsia="宋体" w:cs="宋体"/>
          <w:sz w:val="24"/>
        </w:rPr>
        <w:t>6.2  卖方应在货物发出天前以电报或传真形式将合同号、货物名称、数量、包装箱件数、总毛重、总体积(立方米)和备妥交货日期通知买方。</w:t>
      </w:r>
    </w:p>
    <w:p>
      <w:pPr>
        <w:spacing w:line="240" w:lineRule="atLeast"/>
        <w:ind w:left="1081" w:leftChars="86" w:hanging="900"/>
        <w:rPr>
          <w:rFonts w:hint="eastAsia" w:ascii="宋体" w:hAnsi="宋体" w:eastAsia="宋体" w:cs="宋体"/>
          <w:sz w:val="24"/>
        </w:rPr>
      </w:pPr>
      <w:r>
        <w:rPr>
          <w:rFonts w:hint="eastAsia" w:ascii="宋体" w:hAnsi="宋体" w:eastAsia="宋体" w:cs="宋体"/>
          <w:sz w:val="24"/>
        </w:rPr>
        <w:t>8、付款条件：</w:t>
      </w:r>
      <w:r>
        <w:rPr>
          <w:rFonts w:hint="eastAsia" w:ascii="宋体" w:hAnsi="宋体" w:eastAsia="宋体" w:cs="宋体"/>
          <w:sz w:val="24"/>
          <w:u w:val="single"/>
        </w:rPr>
        <w:t xml:space="preserve">            　　　　　　　　　　                     </w:t>
      </w:r>
      <w:r>
        <w:rPr>
          <w:rFonts w:hint="eastAsia" w:ascii="宋体" w:hAnsi="宋体" w:eastAsia="宋体" w:cs="宋体"/>
          <w:sz w:val="24"/>
        </w:rPr>
        <w:t>。</w:t>
      </w:r>
    </w:p>
    <w:p>
      <w:pPr>
        <w:spacing w:line="240" w:lineRule="atLeast"/>
        <w:ind w:left="1081" w:leftChars="86" w:hanging="900"/>
        <w:rPr>
          <w:rFonts w:hint="eastAsia" w:ascii="宋体" w:hAnsi="宋体" w:eastAsia="宋体" w:cs="宋体"/>
          <w:sz w:val="24"/>
        </w:rPr>
      </w:pPr>
      <w:r>
        <w:rPr>
          <w:rFonts w:hint="eastAsia" w:ascii="宋体" w:hAnsi="宋体" w:eastAsia="宋体" w:cs="宋体"/>
          <w:sz w:val="24"/>
        </w:rPr>
        <w:t>9、技术资料</w:t>
      </w:r>
    </w:p>
    <w:p>
      <w:pPr>
        <w:spacing w:line="240" w:lineRule="atLeast"/>
        <w:ind w:left="180" w:leftChars="57" w:hanging="60" w:hangingChars="25"/>
        <w:rPr>
          <w:rFonts w:hint="eastAsia" w:ascii="宋体" w:hAnsi="宋体" w:eastAsia="宋体" w:cs="宋体"/>
          <w:sz w:val="24"/>
        </w:rPr>
      </w:pPr>
      <w:r>
        <w:rPr>
          <w:rFonts w:hint="eastAsia" w:ascii="宋体" w:hAnsi="宋体" w:eastAsia="宋体" w:cs="宋体"/>
          <w:sz w:val="24"/>
        </w:rPr>
        <w:t>9.1合同生效后天之内，卖方应将每台设备和仪器的中文技术资料一套，如目录索引、图纸、操作手册、使用指南、维修指南和／或服务手册和示意图寄给买方。</w:t>
      </w:r>
    </w:p>
    <w:p>
      <w:pPr>
        <w:spacing w:line="240" w:lineRule="atLeast"/>
        <w:ind w:left="178" w:leftChars="85"/>
        <w:rPr>
          <w:rFonts w:hint="eastAsia" w:ascii="宋体" w:hAnsi="宋体" w:eastAsia="宋体" w:cs="宋体"/>
          <w:sz w:val="24"/>
        </w:rPr>
      </w:pPr>
      <w:r>
        <w:rPr>
          <w:rFonts w:hint="eastAsia" w:ascii="宋体" w:hAnsi="宋体" w:eastAsia="宋体" w:cs="宋体"/>
          <w:sz w:val="24"/>
        </w:rPr>
        <w:t>9.3  如果买方确认卖方提供的技术资料不完整或在运输过程中丢失，卖方将在收到买方通知后天内将这些资料免费寄给买方。</w:t>
      </w:r>
    </w:p>
    <w:p>
      <w:pPr>
        <w:spacing w:line="240" w:lineRule="atLeast"/>
        <w:ind w:firstLine="240" w:firstLineChars="100"/>
        <w:rPr>
          <w:rFonts w:hint="eastAsia" w:ascii="宋体" w:hAnsi="宋体" w:eastAsia="宋体" w:cs="宋体"/>
          <w:sz w:val="24"/>
        </w:rPr>
      </w:pPr>
      <w:r>
        <w:rPr>
          <w:rFonts w:hint="eastAsia" w:ascii="宋体" w:hAnsi="宋体" w:eastAsia="宋体" w:cs="宋体"/>
          <w:sz w:val="24"/>
        </w:rPr>
        <w:t>10、质量保证：</w:t>
      </w:r>
    </w:p>
    <w:p>
      <w:pPr>
        <w:spacing w:line="240" w:lineRule="atLeast"/>
        <w:ind w:firstLine="240" w:firstLineChars="100"/>
        <w:rPr>
          <w:rFonts w:hint="eastAsia" w:ascii="宋体" w:hAnsi="宋体" w:eastAsia="宋体" w:cs="宋体"/>
          <w:sz w:val="24"/>
        </w:rPr>
      </w:pPr>
      <w:r>
        <w:rPr>
          <w:rFonts w:hint="eastAsia" w:ascii="宋体" w:hAnsi="宋体" w:eastAsia="宋体" w:cs="宋体"/>
          <w:sz w:val="24"/>
        </w:rPr>
        <w:t>10.3 卖方在收到通知后天内应免费维修或更换有缺陷的货物或部件。</w:t>
      </w:r>
    </w:p>
    <w:p>
      <w:pPr>
        <w:spacing w:line="240" w:lineRule="atLeast"/>
        <w:ind w:left="239" w:leftChars="114"/>
        <w:rPr>
          <w:rFonts w:hint="eastAsia" w:ascii="宋体" w:hAnsi="宋体" w:eastAsia="宋体" w:cs="宋体"/>
          <w:sz w:val="24"/>
        </w:rPr>
      </w:pPr>
      <w:r>
        <w:rPr>
          <w:rFonts w:hint="eastAsia" w:ascii="宋体" w:hAnsi="宋体" w:eastAsia="宋体" w:cs="宋体"/>
          <w:sz w:val="24"/>
        </w:rPr>
        <w:t>10.4 如果卖方在收到通知后天内没有弥补缺陷，买方可采取必要的补救措施，但风险和费用将由卖方承担。</w:t>
      </w:r>
    </w:p>
    <w:p>
      <w:pPr>
        <w:spacing w:line="240" w:lineRule="atLeast"/>
        <w:ind w:firstLine="240" w:firstLineChars="100"/>
        <w:rPr>
          <w:rFonts w:hint="eastAsia" w:ascii="宋体" w:hAnsi="宋体" w:eastAsia="宋体" w:cs="宋体"/>
          <w:sz w:val="24"/>
        </w:rPr>
      </w:pPr>
      <w:r>
        <w:rPr>
          <w:rFonts w:hint="eastAsia" w:ascii="宋体" w:hAnsi="宋体" w:eastAsia="宋体" w:cs="宋体"/>
          <w:sz w:val="24"/>
        </w:rPr>
        <w:t>10.5 合同项下货物的质量保证期为自货物通过最终验收起个月。</w:t>
      </w:r>
    </w:p>
    <w:p>
      <w:pPr>
        <w:spacing w:line="240" w:lineRule="atLeast"/>
        <w:ind w:firstLine="240" w:firstLineChars="100"/>
        <w:rPr>
          <w:rFonts w:hint="eastAsia" w:ascii="宋体" w:hAnsi="宋体" w:eastAsia="宋体" w:cs="宋体"/>
          <w:sz w:val="24"/>
        </w:rPr>
      </w:pPr>
      <w:r>
        <w:rPr>
          <w:rFonts w:hint="eastAsia" w:ascii="宋体" w:hAnsi="宋体" w:eastAsia="宋体" w:cs="宋体"/>
          <w:sz w:val="24"/>
        </w:rPr>
        <w:t>11、检验和验收：</w:t>
      </w:r>
    </w:p>
    <w:p>
      <w:pPr>
        <w:spacing w:line="240" w:lineRule="atLeast"/>
        <w:ind w:left="178" w:leftChars="85" w:firstLine="60" w:firstLineChars="25"/>
        <w:rPr>
          <w:rFonts w:hint="eastAsia" w:ascii="宋体" w:hAnsi="宋体" w:eastAsia="宋体" w:cs="宋体"/>
          <w:sz w:val="24"/>
        </w:rPr>
      </w:pPr>
      <w:r>
        <w:rPr>
          <w:rFonts w:hint="eastAsia" w:ascii="宋体" w:hAnsi="宋体" w:eastAsia="宋体" w:cs="宋体"/>
          <w:sz w:val="24"/>
        </w:rPr>
        <w:t>11.2 货物运抵现场后，买方应在天内组织验收.</w:t>
      </w:r>
    </w:p>
    <w:p>
      <w:pPr>
        <w:spacing w:line="240" w:lineRule="atLeast"/>
        <w:ind w:left="178" w:leftChars="85" w:firstLine="60" w:firstLineChars="25"/>
        <w:rPr>
          <w:rFonts w:hint="eastAsia" w:ascii="宋体" w:hAnsi="宋体" w:eastAsia="宋体" w:cs="宋体"/>
          <w:sz w:val="24"/>
        </w:rPr>
      </w:pPr>
      <w:r>
        <w:rPr>
          <w:rFonts w:hint="eastAsia" w:ascii="宋体" w:hAnsi="宋体" w:eastAsia="宋体" w:cs="宋体"/>
          <w:sz w:val="24"/>
        </w:rPr>
        <w:t>验收时间</w:t>
      </w:r>
      <w:r>
        <w:rPr>
          <w:rFonts w:hint="eastAsia" w:ascii="宋体" w:hAnsi="宋体" w:eastAsia="宋体" w:cs="宋体"/>
          <w:sz w:val="24"/>
          <w:u w:val="single"/>
        </w:rPr>
        <w:t xml:space="preserve">：        </w:t>
      </w:r>
      <w:r>
        <w:rPr>
          <w:rFonts w:hint="eastAsia" w:ascii="宋体" w:hAnsi="宋体" w:eastAsia="宋体" w:cs="宋体"/>
          <w:sz w:val="24"/>
        </w:rPr>
        <w:t>，</w:t>
      </w:r>
    </w:p>
    <w:p>
      <w:pPr>
        <w:spacing w:line="240" w:lineRule="atLeast"/>
        <w:ind w:left="178" w:leftChars="85" w:firstLine="60" w:firstLineChars="25"/>
        <w:rPr>
          <w:rFonts w:hint="eastAsia" w:ascii="宋体" w:hAnsi="宋体" w:eastAsia="宋体" w:cs="宋体"/>
          <w:sz w:val="24"/>
        </w:rPr>
      </w:pPr>
      <w:r>
        <w:rPr>
          <w:rFonts w:hint="eastAsia" w:ascii="宋体" w:hAnsi="宋体" w:eastAsia="宋体" w:cs="宋体"/>
          <w:sz w:val="24"/>
        </w:rPr>
        <w:t>验收地点</w:t>
      </w:r>
      <w:r>
        <w:rPr>
          <w:rFonts w:hint="eastAsia" w:ascii="宋体" w:hAnsi="宋体" w:eastAsia="宋体" w:cs="宋体"/>
          <w:sz w:val="24"/>
          <w:u w:val="single"/>
        </w:rPr>
        <w:t xml:space="preserve">：            </w:t>
      </w:r>
      <w:r>
        <w:rPr>
          <w:rFonts w:hint="eastAsia" w:ascii="宋体" w:hAnsi="宋体" w:eastAsia="宋体" w:cs="宋体"/>
          <w:sz w:val="24"/>
        </w:rPr>
        <w:t>，</w:t>
      </w:r>
    </w:p>
    <w:p>
      <w:pPr>
        <w:spacing w:line="240" w:lineRule="atLeast"/>
        <w:ind w:left="178" w:leftChars="85" w:firstLine="60" w:firstLineChars="25"/>
        <w:rPr>
          <w:rFonts w:hint="eastAsia" w:ascii="宋体" w:hAnsi="宋体" w:eastAsia="宋体" w:cs="宋体"/>
          <w:sz w:val="24"/>
        </w:rPr>
      </w:pPr>
      <w:r>
        <w:rPr>
          <w:rFonts w:hint="eastAsia" w:ascii="宋体" w:hAnsi="宋体" w:eastAsia="宋体" w:cs="宋体"/>
          <w:sz w:val="24"/>
        </w:rPr>
        <w:t>验收程序</w:t>
      </w:r>
      <w:r>
        <w:rPr>
          <w:rFonts w:hint="eastAsia" w:ascii="宋体" w:hAnsi="宋体" w:eastAsia="宋体" w:cs="宋体"/>
          <w:sz w:val="24"/>
          <w:u w:val="single"/>
        </w:rPr>
        <w:t xml:space="preserve">：                              </w:t>
      </w:r>
      <w:r>
        <w:rPr>
          <w:rFonts w:hint="eastAsia" w:ascii="宋体" w:hAnsi="宋体" w:eastAsia="宋体" w:cs="宋体"/>
          <w:sz w:val="24"/>
        </w:rPr>
        <w:t>，</w:t>
      </w:r>
    </w:p>
    <w:p>
      <w:pPr>
        <w:spacing w:line="240" w:lineRule="atLeast"/>
        <w:ind w:left="178" w:leftChars="85" w:firstLine="60" w:firstLineChars="25"/>
        <w:rPr>
          <w:rFonts w:hint="eastAsia" w:ascii="宋体" w:hAnsi="宋体" w:eastAsia="宋体" w:cs="宋体"/>
          <w:sz w:val="24"/>
        </w:rPr>
      </w:pPr>
      <w:r>
        <w:rPr>
          <w:rFonts w:hint="eastAsia" w:ascii="宋体" w:hAnsi="宋体" w:eastAsia="宋体" w:cs="宋体"/>
          <w:sz w:val="24"/>
        </w:rPr>
        <w:t>验收小组组成</w:t>
      </w:r>
      <w:r>
        <w:rPr>
          <w:rFonts w:hint="eastAsia" w:ascii="宋体" w:hAnsi="宋体" w:eastAsia="宋体" w:cs="宋体"/>
          <w:sz w:val="24"/>
          <w:u w:val="single"/>
        </w:rPr>
        <w:t xml:space="preserve">：                     </w:t>
      </w:r>
      <w:r>
        <w:rPr>
          <w:rFonts w:hint="eastAsia" w:ascii="宋体" w:hAnsi="宋体" w:eastAsia="宋体" w:cs="宋体"/>
          <w:sz w:val="24"/>
        </w:rPr>
        <w:t>。</w:t>
      </w:r>
    </w:p>
    <w:p>
      <w:pPr>
        <w:spacing w:line="240" w:lineRule="atLeast"/>
        <w:ind w:left="178" w:leftChars="85" w:firstLine="60" w:firstLineChars="25"/>
        <w:rPr>
          <w:rFonts w:hint="eastAsia" w:ascii="宋体" w:hAnsi="宋体" w:eastAsia="宋体" w:cs="宋体"/>
          <w:sz w:val="24"/>
        </w:rPr>
      </w:pPr>
      <w:r>
        <w:rPr>
          <w:rFonts w:hint="eastAsia" w:ascii="宋体" w:hAnsi="宋体" w:eastAsia="宋体" w:cs="宋体"/>
          <w:sz w:val="24"/>
        </w:rPr>
        <w:t>验收小组制作验收备忘书，签署验收意见 。</w:t>
      </w:r>
    </w:p>
    <w:p>
      <w:pPr>
        <w:spacing w:line="240" w:lineRule="atLeast"/>
        <w:ind w:firstLine="240" w:firstLineChars="100"/>
        <w:rPr>
          <w:rFonts w:hint="eastAsia" w:ascii="宋体" w:hAnsi="宋体" w:eastAsia="宋体" w:cs="宋体"/>
          <w:sz w:val="24"/>
        </w:rPr>
      </w:pPr>
      <w:r>
        <w:rPr>
          <w:rFonts w:hint="eastAsia" w:ascii="宋体" w:hAnsi="宋体" w:eastAsia="宋体" w:cs="宋体"/>
          <w:sz w:val="24"/>
        </w:rPr>
        <w:t>12、索赔：</w:t>
      </w:r>
    </w:p>
    <w:p>
      <w:pPr>
        <w:spacing w:line="240" w:lineRule="atLeast"/>
        <w:ind w:firstLine="240" w:firstLineChars="100"/>
        <w:rPr>
          <w:rFonts w:hint="eastAsia" w:ascii="宋体" w:hAnsi="宋体" w:eastAsia="宋体" w:cs="宋体"/>
          <w:sz w:val="24"/>
        </w:rPr>
      </w:pPr>
      <w:r>
        <w:rPr>
          <w:rFonts w:hint="eastAsia" w:ascii="宋体" w:hAnsi="宋体" w:eastAsia="宋体" w:cs="宋体"/>
          <w:sz w:val="24"/>
        </w:rPr>
        <w:t>12.3</w:t>
      </w:r>
      <w:r>
        <w:rPr>
          <w:rFonts w:hint="eastAsia" w:ascii="宋体" w:hAnsi="宋体" w:eastAsia="宋体" w:cs="宋体"/>
          <w:sz w:val="24"/>
        </w:rPr>
        <w:tab/>
      </w:r>
      <w:r>
        <w:rPr>
          <w:rFonts w:hint="eastAsia" w:ascii="宋体" w:hAnsi="宋体" w:eastAsia="宋体" w:cs="宋体"/>
          <w:sz w:val="24"/>
        </w:rPr>
        <w:t>索赔通知期限：天。</w:t>
      </w:r>
    </w:p>
    <w:p>
      <w:pPr>
        <w:spacing w:line="240" w:lineRule="atLeast"/>
        <w:ind w:firstLine="240" w:firstLineChars="100"/>
        <w:rPr>
          <w:rFonts w:hint="eastAsia" w:ascii="宋体" w:hAnsi="宋体" w:eastAsia="宋体" w:cs="宋体"/>
          <w:sz w:val="24"/>
        </w:rPr>
      </w:pPr>
      <w:r>
        <w:rPr>
          <w:rFonts w:hint="eastAsia" w:ascii="宋体" w:hAnsi="宋体" w:eastAsia="宋体" w:cs="宋体"/>
          <w:sz w:val="24"/>
        </w:rPr>
        <w:t>15、不可抗力：</w:t>
      </w:r>
    </w:p>
    <w:p>
      <w:pPr>
        <w:spacing w:line="240" w:lineRule="atLeast"/>
        <w:ind w:left="269" w:leftChars="128"/>
        <w:rPr>
          <w:rFonts w:hint="eastAsia" w:ascii="宋体" w:hAnsi="宋体" w:eastAsia="宋体" w:cs="宋体"/>
          <w:sz w:val="24"/>
        </w:rPr>
      </w:pPr>
      <w:r>
        <w:rPr>
          <w:rFonts w:hint="eastAsia" w:ascii="宋体" w:hAnsi="宋体" w:eastAsia="宋体" w:cs="宋体"/>
          <w:sz w:val="24"/>
        </w:rPr>
        <w:t>15.2受事故影响的一方应在不可抗力的事故发生后尽快书面形式通知另一方，并在事故发生后天内，将有关部门出具的证明文件送达另一方。</w:t>
      </w:r>
    </w:p>
    <w:p>
      <w:pPr>
        <w:spacing w:line="240" w:lineRule="atLeast"/>
        <w:ind w:left="269" w:leftChars="128"/>
        <w:rPr>
          <w:rFonts w:hint="eastAsia" w:ascii="宋体" w:hAnsi="宋体" w:eastAsia="宋体" w:cs="宋体"/>
          <w:sz w:val="24"/>
        </w:rPr>
      </w:pPr>
      <w:r>
        <w:rPr>
          <w:rFonts w:hint="eastAsia" w:ascii="宋体" w:hAnsi="宋体" w:eastAsia="宋体" w:cs="宋体"/>
          <w:sz w:val="24"/>
        </w:rPr>
        <w:t>15.3</w:t>
      </w:r>
      <w:r>
        <w:rPr>
          <w:rFonts w:hint="eastAsia" w:ascii="宋体" w:hAnsi="宋体" w:eastAsia="宋体" w:cs="宋体"/>
          <w:sz w:val="24"/>
        </w:rPr>
        <w:tab/>
      </w:r>
      <w:r>
        <w:rPr>
          <w:rFonts w:hint="eastAsia" w:ascii="宋体" w:hAnsi="宋体" w:eastAsia="宋体" w:cs="宋体"/>
          <w:sz w:val="24"/>
        </w:rPr>
        <w:t>不可抗力使合同的某些内容有变更必要的，双方应通过协商在天内达成进一步履行合同的协议，因不可抗力致使合同不能履行的，合同终止。</w:t>
      </w:r>
    </w:p>
    <w:p>
      <w:pPr>
        <w:spacing w:line="240" w:lineRule="atLeast"/>
        <w:ind w:left="810" w:leftChars="100" w:hanging="600" w:hangingChars="250"/>
        <w:rPr>
          <w:rFonts w:hint="eastAsia" w:ascii="宋体" w:hAnsi="宋体" w:eastAsia="宋体" w:cs="宋体"/>
          <w:sz w:val="24"/>
        </w:rPr>
      </w:pPr>
      <w:r>
        <w:rPr>
          <w:rFonts w:hint="eastAsia" w:ascii="宋体" w:hAnsi="宋体" w:eastAsia="宋体" w:cs="宋体"/>
          <w:sz w:val="24"/>
        </w:rPr>
        <w:t>17.1因合同履行中发生的争议，合同当事人双方可通过协商解决。协商不成的，应以以下第种方式解决：</w:t>
      </w:r>
    </w:p>
    <w:p>
      <w:pPr>
        <w:spacing w:line="240" w:lineRule="atLeast"/>
        <w:ind w:left="810" w:leftChars="100" w:hanging="600" w:hangingChars="250"/>
        <w:rPr>
          <w:rFonts w:hint="eastAsia" w:ascii="宋体" w:hAnsi="宋体" w:eastAsia="宋体" w:cs="宋体"/>
          <w:sz w:val="24"/>
        </w:rPr>
      </w:pPr>
      <w:r>
        <w:rPr>
          <w:rFonts w:hint="eastAsia" w:ascii="宋体" w:hAnsi="宋体" w:eastAsia="宋体" w:cs="宋体"/>
          <w:sz w:val="24"/>
        </w:rPr>
        <w:t>（1）提请北京仲裁委员会仲裁；</w:t>
      </w:r>
    </w:p>
    <w:p>
      <w:pPr>
        <w:spacing w:line="240" w:lineRule="atLeast"/>
        <w:ind w:left="735" w:leftChars="350" w:firstLine="120" w:firstLineChars="50"/>
        <w:rPr>
          <w:rFonts w:hint="eastAsia" w:ascii="宋体" w:hAnsi="宋体" w:eastAsia="宋体" w:cs="宋体"/>
          <w:sz w:val="24"/>
        </w:rPr>
      </w:pPr>
      <w:r>
        <w:rPr>
          <w:rFonts w:hint="eastAsia" w:ascii="宋体" w:hAnsi="宋体" w:eastAsia="宋体" w:cs="宋体"/>
          <w:sz w:val="24"/>
        </w:rPr>
        <w:t>（2）向人民法院提起诉讼。</w:t>
      </w:r>
    </w:p>
    <w:p>
      <w:pPr>
        <w:spacing w:line="240" w:lineRule="atLeast"/>
        <w:ind w:firstLine="240" w:firstLineChars="100"/>
        <w:rPr>
          <w:rFonts w:hint="eastAsia" w:ascii="宋体" w:hAnsi="宋体" w:eastAsia="宋体" w:cs="宋体"/>
          <w:sz w:val="24"/>
        </w:rPr>
      </w:pPr>
      <w:r>
        <w:rPr>
          <w:rFonts w:hint="eastAsia" w:ascii="宋体" w:hAnsi="宋体" w:eastAsia="宋体" w:cs="宋体"/>
          <w:sz w:val="24"/>
        </w:rPr>
        <w:t>25、履约保证金：</w:t>
      </w:r>
    </w:p>
    <w:p>
      <w:pPr>
        <w:spacing w:line="240" w:lineRule="atLeast"/>
        <w:ind w:firstLine="240" w:firstLineChars="100"/>
        <w:rPr>
          <w:rFonts w:hint="eastAsia" w:ascii="宋体" w:hAnsi="宋体" w:eastAsia="宋体" w:cs="宋体"/>
          <w:sz w:val="24"/>
        </w:rPr>
      </w:pPr>
      <w:r>
        <w:rPr>
          <w:rFonts w:hint="eastAsia" w:ascii="宋体" w:hAnsi="宋体" w:eastAsia="宋体" w:cs="宋体"/>
          <w:sz w:val="24"/>
        </w:rPr>
        <w:t>25.1提交履约保证金的时间：签订合同后天</w:t>
      </w:r>
    </w:p>
    <w:p>
      <w:pPr>
        <w:spacing w:line="240" w:lineRule="atLeast"/>
        <w:ind w:left="1079" w:leftChars="371" w:hanging="300" w:hangingChars="125"/>
        <w:rPr>
          <w:rFonts w:hint="eastAsia" w:ascii="宋体" w:hAnsi="宋体" w:eastAsia="宋体" w:cs="宋体"/>
          <w:i/>
          <w:sz w:val="24"/>
          <w:bdr w:val="single" w:color="auto" w:sz="4" w:space="0"/>
        </w:rPr>
      </w:pPr>
      <w:r>
        <w:rPr>
          <w:rFonts w:hint="eastAsia" w:ascii="宋体" w:hAnsi="宋体" w:eastAsia="宋体" w:cs="宋体"/>
          <w:sz w:val="24"/>
        </w:rPr>
        <w:t>履约保证金金额：合同总价的</w:t>
      </w:r>
      <w:r>
        <w:rPr>
          <w:rFonts w:hint="eastAsia" w:ascii="宋体" w:hAnsi="宋体" w:eastAsia="宋体" w:cs="宋体"/>
          <w:sz w:val="24"/>
          <w:u w:val="single"/>
        </w:rPr>
        <w:t>　　　　　</w:t>
      </w:r>
    </w:p>
    <w:p>
      <w:pPr>
        <w:spacing w:line="240" w:lineRule="atLeast"/>
        <w:ind w:left="1079" w:leftChars="371" w:hanging="300" w:hangingChars="125"/>
        <w:rPr>
          <w:rFonts w:hint="eastAsia" w:ascii="宋体" w:hAnsi="宋体" w:eastAsia="宋体" w:cs="宋体"/>
          <w:sz w:val="24"/>
        </w:rPr>
      </w:pPr>
      <w:r>
        <w:rPr>
          <w:rFonts w:hint="eastAsia" w:ascii="宋体" w:hAnsi="宋体" w:eastAsia="宋体" w:cs="宋体"/>
          <w:sz w:val="24"/>
        </w:rPr>
        <w:t>履约保证金形式：</w:t>
      </w:r>
    </w:p>
    <w:p>
      <w:pPr>
        <w:spacing w:line="240" w:lineRule="atLeast"/>
        <w:ind w:firstLine="240" w:firstLineChars="100"/>
        <w:rPr>
          <w:rFonts w:hint="eastAsia" w:ascii="宋体" w:hAnsi="宋体" w:eastAsia="宋体" w:cs="宋体"/>
          <w:sz w:val="24"/>
        </w:rPr>
      </w:pPr>
      <w:r>
        <w:rPr>
          <w:rFonts w:hint="eastAsia" w:ascii="宋体" w:hAnsi="宋体" w:eastAsia="宋体" w:cs="宋体"/>
          <w:sz w:val="24"/>
        </w:rPr>
        <w:t>26、合同生效和其它</w:t>
      </w:r>
    </w:p>
    <w:p>
      <w:pPr>
        <w:spacing w:line="240" w:lineRule="atLeast"/>
        <w:ind w:firstLine="240" w:firstLineChars="100"/>
        <w:rPr>
          <w:rFonts w:hint="eastAsia" w:ascii="宋体" w:hAnsi="宋体" w:eastAsia="宋体" w:cs="宋体"/>
          <w:sz w:val="24"/>
        </w:rPr>
      </w:pPr>
      <w:r>
        <w:rPr>
          <w:rFonts w:hint="eastAsia" w:ascii="宋体" w:hAnsi="宋体" w:eastAsia="宋体" w:cs="宋体"/>
          <w:sz w:val="24"/>
        </w:rPr>
        <w:t>26.2  本合同一式</w:t>
      </w:r>
      <w:r>
        <w:rPr>
          <w:rFonts w:hint="eastAsia" w:ascii="宋体" w:hAnsi="宋体" w:eastAsia="宋体" w:cs="宋体"/>
          <w:sz w:val="24"/>
          <w:u w:val="single"/>
        </w:rPr>
        <w:t>　　</w:t>
      </w:r>
      <w:r>
        <w:rPr>
          <w:rFonts w:hint="eastAsia" w:ascii="宋体" w:hAnsi="宋体" w:eastAsia="宋体" w:cs="宋体"/>
          <w:sz w:val="24"/>
        </w:rPr>
        <w:t>份，具有同等法律效力。买方和卖方各执</w:t>
      </w:r>
      <w:r>
        <w:rPr>
          <w:rFonts w:hint="eastAsia" w:ascii="宋体" w:hAnsi="宋体" w:eastAsia="宋体" w:cs="宋体"/>
          <w:sz w:val="24"/>
          <w:u w:val="single"/>
        </w:rPr>
        <w:t>　　</w:t>
      </w:r>
      <w:r>
        <w:rPr>
          <w:rFonts w:hint="eastAsia" w:ascii="宋体" w:hAnsi="宋体" w:eastAsia="宋体" w:cs="宋体"/>
          <w:sz w:val="24"/>
        </w:rPr>
        <w:t>份。</w:t>
      </w:r>
    </w:p>
    <w:p>
      <w:pPr>
        <w:spacing w:line="240" w:lineRule="atLeast"/>
        <w:ind w:left="1080" w:leftChars="257" w:hanging="540"/>
        <w:rPr>
          <w:rFonts w:hint="eastAsia" w:ascii="宋体" w:hAnsi="宋体" w:eastAsia="宋体" w:cs="宋体"/>
          <w:sz w:val="24"/>
        </w:rPr>
      </w:pPr>
    </w:p>
    <w:p>
      <w:pPr>
        <w:spacing w:line="240" w:lineRule="atLeast"/>
        <w:ind w:left="1080" w:leftChars="257" w:hanging="540"/>
        <w:rPr>
          <w:rFonts w:hint="eastAsia" w:ascii="宋体" w:hAnsi="宋体" w:eastAsia="宋体" w:cs="宋体"/>
          <w:sz w:val="24"/>
        </w:rPr>
      </w:pPr>
      <w:r>
        <w:rPr>
          <w:rFonts w:hint="eastAsia" w:ascii="宋体" w:hAnsi="宋体" w:eastAsia="宋体" w:cs="宋体"/>
          <w:sz w:val="24"/>
        </w:rPr>
        <w:br w:type="page"/>
      </w:r>
    </w:p>
    <w:p>
      <w:pPr>
        <w:pStyle w:val="2"/>
        <w:numPr>
          <w:ilvl w:val="0"/>
          <w:numId w:val="1"/>
        </w:numPr>
        <w:spacing w:before="0" w:after="0" w:line="240" w:lineRule="atLeast"/>
        <w:rPr>
          <w:rFonts w:hint="eastAsia" w:ascii="宋体" w:hAnsi="宋体" w:eastAsia="宋体" w:cs="宋体"/>
        </w:rPr>
      </w:pPr>
      <w:bookmarkStart w:id="30" w:name="_Toc218935354"/>
      <w:bookmarkStart w:id="31" w:name="_Toc219175638"/>
      <w:bookmarkStart w:id="32" w:name="_Toc216582825"/>
      <w:bookmarkStart w:id="33" w:name="_Toc507399906"/>
      <w:bookmarkStart w:id="34" w:name="_Toc512937852"/>
      <w:bookmarkStart w:id="45" w:name="_GoBack"/>
      <w:r>
        <w:rPr>
          <w:rFonts w:hint="eastAsia" w:ascii="宋体" w:hAnsi="宋体" w:eastAsia="宋体" w:cs="宋体"/>
        </w:rPr>
        <w:t>货物需求一览表及技术规格</w:t>
      </w:r>
      <w:bookmarkEnd w:id="30"/>
      <w:bookmarkEnd w:id="31"/>
      <w:bookmarkEnd w:id="32"/>
      <w:bookmarkEnd w:id="33"/>
    </w:p>
    <w:p>
      <w:pPr>
        <w:ind w:left="2570"/>
        <w:rPr>
          <w:rFonts w:hint="eastAsia" w:ascii="宋体" w:hAnsi="宋体" w:eastAsia="宋体" w:cs="宋体"/>
        </w:rPr>
      </w:pPr>
    </w:p>
    <w:bookmarkEnd w:id="34"/>
    <w:p>
      <w:pPr>
        <w:spacing w:line="360" w:lineRule="auto"/>
        <w:ind w:left="1080" w:leftChars="257" w:hanging="540"/>
        <w:jc w:val="center"/>
        <w:rPr>
          <w:rFonts w:hint="eastAsia" w:ascii="宋体" w:hAnsi="宋体" w:eastAsia="宋体" w:cs="宋体"/>
          <w:b/>
          <w:sz w:val="24"/>
        </w:rPr>
      </w:pPr>
      <w:bookmarkStart w:id="35" w:name="_Toc512937853"/>
      <w:bookmarkStart w:id="36" w:name="_Toc216513803"/>
      <w:r>
        <w:rPr>
          <w:rFonts w:hint="eastAsia" w:ascii="宋体" w:hAnsi="宋体" w:eastAsia="宋体" w:cs="宋体"/>
          <w:b/>
          <w:sz w:val="24"/>
        </w:rPr>
        <w:t>一 、货物需求一览表</w:t>
      </w:r>
      <w:bookmarkEnd w:id="35"/>
      <w:bookmarkEnd w:id="36"/>
    </w:p>
    <w:p>
      <w:pPr>
        <w:spacing w:line="360" w:lineRule="auto"/>
        <w:ind w:left="1080" w:leftChars="257" w:hanging="540"/>
        <w:jc w:val="center"/>
        <w:rPr>
          <w:rFonts w:hint="eastAsia" w:ascii="宋体" w:hAnsi="宋体" w:eastAsia="宋体" w:cs="宋体"/>
          <w:b/>
          <w:sz w:val="24"/>
        </w:rPr>
      </w:pPr>
    </w:p>
    <w:p>
      <w:pPr>
        <w:tabs>
          <w:tab w:val="left" w:pos="1470"/>
        </w:tabs>
        <w:spacing w:line="360" w:lineRule="auto"/>
        <w:jc w:val="left"/>
        <w:rPr>
          <w:rFonts w:hint="eastAsia" w:ascii="宋体" w:hAnsi="宋体" w:eastAsia="宋体" w:cs="宋体"/>
          <w:b/>
          <w:sz w:val="24"/>
        </w:rPr>
      </w:pPr>
      <w:r>
        <w:rPr>
          <w:rFonts w:hint="eastAsia" w:ascii="宋体" w:hAnsi="宋体" w:eastAsia="宋体" w:cs="宋体"/>
          <w:b/>
          <w:sz w:val="24"/>
        </w:rPr>
        <w:t xml:space="preserve">招标编号：               </w:t>
      </w:r>
    </w:p>
    <w:p>
      <w:pPr>
        <w:tabs>
          <w:tab w:val="left" w:pos="1470"/>
        </w:tabs>
        <w:jc w:val="left"/>
        <w:rPr>
          <w:rFonts w:hint="eastAsia" w:ascii="宋体" w:hAnsi="宋体" w:eastAsia="宋体" w:cs="宋体"/>
          <w:b/>
          <w:sz w:val="24"/>
        </w:rPr>
      </w:pPr>
      <w:r>
        <w:rPr>
          <w:rFonts w:hint="eastAsia" w:ascii="宋体" w:hAnsi="宋体" w:eastAsia="宋体" w:cs="宋体"/>
          <w:b/>
          <w:sz w:val="24"/>
        </w:rPr>
        <w:t xml:space="preserve">项目名称：(上海2022年度)风云三号03批气象卫星工程建设项目                        </w:t>
      </w:r>
    </w:p>
    <w:p>
      <w:pPr>
        <w:tabs>
          <w:tab w:val="left" w:pos="1470"/>
        </w:tabs>
        <w:jc w:val="left"/>
        <w:rPr>
          <w:rFonts w:hint="eastAsia" w:ascii="宋体" w:hAnsi="宋体" w:eastAsia="宋体" w:cs="宋体"/>
          <w:b/>
          <w:sz w:val="24"/>
        </w:rPr>
      </w:pPr>
      <w:r>
        <w:rPr>
          <w:rFonts w:hint="eastAsia" w:ascii="宋体" w:hAnsi="宋体" w:eastAsia="宋体" w:cs="宋体"/>
          <w:b/>
          <w:sz w:val="24"/>
        </w:rPr>
        <w:t>数量：个</w:t>
      </w:r>
    </w:p>
    <w:p>
      <w:pPr>
        <w:tabs>
          <w:tab w:val="left" w:pos="1470"/>
        </w:tabs>
        <w:spacing w:line="360" w:lineRule="auto"/>
        <w:ind w:left="1080" w:leftChars="257" w:hanging="540"/>
        <w:rPr>
          <w:rFonts w:hint="eastAsia" w:ascii="宋体" w:hAnsi="宋体" w:eastAsia="宋体" w:cs="宋体"/>
          <w:b/>
          <w:sz w:val="24"/>
        </w:rPr>
      </w:pPr>
    </w:p>
    <w:tbl>
      <w:tblPr>
        <w:tblStyle w:val="1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1839"/>
        <w:gridCol w:w="1067"/>
        <w:gridCol w:w="4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56" w:hRule="atLeast"/>
          <w:jc w:val="center"/>
        </w:trPr>
        <w:tc>
          <w:tcPr>
            <w:tcW w:w="628"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1839"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货物名称</w:t>
            </w:r>
          </w:p>
        </w:tc>
        <w:tc>
          <w:tcPr>
            <w:tcW w:w="1067"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数量</w:t>
            </w:r>
          </w:p>
        </w:tc>
        <w:tc>
          <w:tcPr>
            <w:tcW w:w="4474"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主要技术规格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15" w:hRule="atLeast"/>
          <w:jc w:val="center"/>
        </w:trPr>
        <w:tc>
          <w:tcPr>
            <w:tcW w:w="628" w:type="dxa"/>
            <w:tcBorders>
              <w:bottom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839" w:type="dxa"/>
            <w:tcBorders>
              <w:bottom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多源卫星资料融合分析分系统</w:t>
            </w:r>
          </w:p>
        </w:tc>
        <w:tc>
          <w:tcPr>
            <w:tcW w:w="1067" w:type="dxa"/>
            <w:tcBorders>
              <w:bottom w:val="single" w:color="auto" w:sz="4" w:space="0"/>
            </w:tcBorders>
            <w:vAlign w:val="center"/>
          </w:tcPr>
          <w:p>
            <w:pPr>
              <w:spacing w:line="360" w:lineRule="auto"/>
              <w:ind w:left="1080" w:leftChars="257" w:hanging="540"/>
              <w:rPr>
                <w:rFonts w:hint="eastAsia" w:ascii="宋体" w:hAnsi="宋体" w:eastAsia="宋体" w:cs="宋体"/>
                <w:sz w:val="24"/>
              </w:rPr>
            </w:pPr>
            <w:r>
              <w:rPr>
                <w:rFonts w:hint="eastAsia" w:ascii="宋体" w:hAnsi="宋体" w:eastAsia="宋体" w:cs="宋体"/>
                <w:sz w:val="24"/>
              </w:rPr>
              <w:t>1</w:t>
            </w:r>
          </w:p>
        </w:tc>
        <w:tc>
          <w:tcPr>
            <w:tcW w:w="4474" w:type="dxa"/>
            <w:tcBorders>
              <w:bottom w:val="single" w:color="auto" w:sz="4" w:space="0"/>
            </w:tcBorders>
            <w:vAlign w:val="center"/>
          </w:tcPr>
          <w:p>
            <w:pPr>
              <w:spacing w:line="360" w:lineRule="auto"/>
              <w:jc w:val="left"/>
              <w:rPr>
                <w:rFonts w:hint="eastAsia" w:ascii="宋体" w:hAnsi="宋体" w:eastAsia="宋体" w:cs="宋体"/>
                <w:sz w:val="24"/>
              </w:rPr>
            </w:pPr>
            <w:r>
              <w:rPr>
                <w:rFonts w:hint="eastAsia" w:ascii="宋体" w:hAnsi="宋体" w:eastAsia="宋体" w:cs="宋体"/>
                <w:sz w:val="24"/>
              </w:rPr>
              <w:t>收集卫星反演的NO2柱浓度数据，分析长三角地区对流层NO2柱浓度的时空变化特征，探索不同季节NO2柱浓度变化与地面NO2监测之间的关系，建立格点化的地面排放年变化因子和月变化因子，以此为依据修正近三年NOX排放清单，利用高分辨率WRF-CHEM模式对原始清单和修正清单进行模拟对比，检验对地面主要污染物的模拟效果，达到典型月份PM2.5的预报偏差降低5%以上，对NO2的预报偏差降低5%以上，对O3的预报偏差降低3-5%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15" w:hRule="atLeast"/>
          <w:jc w:val="center"/>
        </w:trPr>
        <w:tc>
          <w:tcPr>
            <w:tcW w:w="628" w:type="dxa"/>
            <w:tcBorders>
              <w:bottom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839" w:type="dxa"/>
            <w:tcBorders>
              <w:bottom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多源卫星资料产品综合制作分系统</w:t>
            </w:r>
          </w:p>
        </w:tc>
        <w:tc>
          <w:tcPr>
            <w:tcW w:w="1067" w:type="dxa"/>
            <w:tcBorders>
              <w:top w:val="single" w:color="auto" w:sz="4" w:space="0"/>
              <w:bottom w:val="single" w:color="auto" w:sz="4" w:space="0"/>
            </w:tcBorders>
            <w:vAlign w:val="center"/>
          </w:tcPr>
          <w:p>
            <w:pPr>
              <w:spacing w:line="360" w:lineRule="auto"/>
              <w:ind w:left="1080" w:leftChars="257" w:hanging="540"/>
              <w:rPr>
                <w:rFonts w:hint="eastAsia" w:ascii="宋体" w:hAnsi="宋体" w:eastAsia="宋体" w:cs="宋体"/>
                <w:sz w:val="24"/>
              </w:rPr>
            </w:pPr>
            <w:r>
              <w:rPr>
                <w:rFonts w:hint="eastAsia" w:ascii="宋体" w:hAnsi="宋体" w:eastAsia="宋体" w:cs="宋体"/>
                <w:sz w:val="24"/>
              </w:rPr>
              <w:t>1</w:t>
            </w:r>
          </w:p>
        </w:tc>
        <w:tc>
          <w:tcPr>
            <w:tcW w:w="4474" w:type="dxa"/>
            <w:tcBorders>
              <w:top w:val="single" w:color="auto" w:sz="4" w:space="0"/>
              <w:bottom w:val="single" w:color="auto" w:sz="4" w:space="0"/>
            </w:tcBorders>
            <w:vAlign w:val="center"/>
          </w:tcPr>
          <w:p>
            <w:pPr>
              <w:spacing w:line="360" w:lineRule="auto"/>
              <w:jc w:val="left"/>
              <w:rPr>
                <w:rFonts w:hint="eastAsia" w:ascii="宋体" w:hAnsi="宋体" w:eastAsia="宋体" w:cs="宋体"/>
                <w:sz w:val="24"/>
              </w:rPr>
            </w:pPr>
            <w:r>
              <w:rPr>
                <w:rFonts w:hint="eastAsia" w:ascii="宋体" w:hAnsi="宋体" w:eastAsia="宋体" w:cs="宋体"/>
                <w:sz w:val="24"/>
              </w:rPr>
              <w:t>在对FY3(03)大气污染物产品、国内外其他卫星同类产品进行预处理的基础上，结合区域大气污染实例，以长三角为例开展FY3(03)大气污染物产品与国外同类卫星反演成果精度交叉检验分析与评价，客观评价FY3(03)大气污染物产品的区域适用性及可靠性。完成FY3(03)与其他卫星反演的NO</w:t>
            </w:r>
            <w:r>
              <w:rPr>
                <w:rFonts w:hint="eastAsia" w:ascii="宋体" w:hAnsi="宋体" w:eastAsia="宋体" w:cs="宋体"/>
                <w:sz w:val="24"/>
                <w:vertAlign w:val="subscript"/>
              </w:rPr>
              <w:t>2</w:t>
            </w:r>
            <w:r>
              <w:rPr>
                <w:rFonts w:hint="eastAsia" w:ascii="宋体" w:hAnsi="宋体" w:eastAsia="宋体" w:cs="宋体"/>
                <w:sz w:val="24"/>
              </w:rPr>
              <w:t>、SO</w:t>
            </w:r>
            <w:r>
              <w:rPr>
                <w:rFonts w:hint="eastAsia" w:ascii="宋体" w:hAnsi="宋体" w:eastAsia="宋体" w:cs="宋体"/>
                <w:sz w:val="24"/>
                <w:vertAlign w:val="subscript"/>
              </w:rPr>
              <w:t>2</w:t>
            </w:r>
            <w:r>
              <w:rPr>
                <w:rFonts w:hint="eastAsia" w:ascii="宋体" w:hAnsi="宋体" w:eastAsia="宋体" w:cs="宋体"/>
                <w:sz w:val="24"/>
              </w:rPr>
              <w:t>之间的误差特征分布和特征转化关系，采用加权平均法、统计最优估计法进行NO</w:t>
            </w:r>
            <w:r>
              <w:rPr>
                <w:rFonts w:hint="eastAsia" w:ascii="宋体" w:hAnsi="宋体" w:eastAsia="宋体" w:cs="宋体"/>
                <w:sz w:val="24"/>
                <w:vertAlign w:val="subscript"/>
              </w:rPr>
              <w:t>2</w:t>
            </w:r>
            <w:r>
              <w:rPr>
                <w:rFonts w:hint="eastAsia" w:ascii="宋体" w:hAnsi="宋体" w:eastAsia="宋体" w:cs="宋体"/>
                <w:sz w:val="24"/>
              </w:rPr>
              <w:t>、SO</w:t>
            </w:r>
            <w:r>
              <w:rPr>
                <w:rFonts w:hint="eastAsia" w:ascii="宋体" w:hAnsi="宋体" w:eastAsia="宋体" w:cs="宋体"/>
                <w:sz w:val="24"/>
                <w:vertAlign w:val="subscript"/>
              </w:rPr>
              <w:t>2</w:t>
            </w:r>
            <w:r>
              <w:rPr>
                <w:rFonts w:hint="eastAsia" w:ascii="宋体" w:hAnsi="宋体" w:eastAsia="宋体" w:cs="宋体"/>
                <w:sz w:val="24"/>
              </w:rPr>
              <w:t>产品融合，生成具有较高时空分布和产品精度的NO</w:t>
            </w:r>
            <w:r>
              <w:rPr>
                <w:rFonts w:hint="eastAsia" w:ascii="宋体" w:hAnsi="宋体" w:eastAsia="宋体" w:cs="宋体"/>
                <w:sz w:val="24"/>
                <w:vertAlign w:val="subscript"/>
              </w:rPr>
              <w:t>2</w:t>
            </w:r>
            <w:r>
              <w:rPr>
                <w:rFonts w:hint="eastAsia" w:ascii="宋体" w:hAnsi="宋体" w:eastAsia="宋体" w:cs="宋体"/>
                <w:sz w:val="24"/>
              </w:rPr>
              <w:t>、SO</w:t>
            </w:r>
            <w:r>
              <w:rPr>
                <w:rFonts w:hint="eastAsia" w:ascii="宋体" w:hAnsi="宋体" w:eastAsia="宋体" w:cs="宋体"/>
                <w:sz w:val="24"/>
                <w:vertAlign w:val="subscript"/>
              </w:rPr>
              <w:t>2</w:t>
            </w:r>
            <w:r>
              <w:rPr>
                <w:rFonts w:hint="eastAsia" w:ascii="宋体" w:hAnsi="宋体" w:eastAsia="宋体" w:cs="宋体"/>
                <w:sz w:val="24"/>
              </w:rPr>
              <w:t>产品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15" w:hRule="atLeast"/>
          <w:jc w:val="center"/>
        </w:trPr>
        <w:tc>
          <w:tcPr>
            <w:tcW w:w="628"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3</w:t>
            </w:r>
          </w:p>
        </w:tc>
        <w:tc>
          <w:tcPr>
            <w:tcW w:w="1839"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基于云技术的综合产品分系统</w:t>
            </w:r>
          </w:p>
        </w:tc>
        <w:tc>
          <w:tcPr>
            <w:tcW w:w="1067" w:type="dxa"/>
            <w:tcBorders>
              <w:top w:val="single" w:color="auto" w:sz="4" w:space="0"/>
              <w:bottom w:val="single" w:color="auto" w:sz="4" w:space="0"/>
            </w:tcBorders>
            <w:vAlign w:val="center"/>
          </w:tcPr>
          <w:p>
            <w:pPr>
              <w:spacing w:line="360" w:lineRule="auto"/>
              <w:ind w:left="1080" w:leftChars="257" w:hanging="540"/>
              <w:rPr>
                <w:rFonts w:hint="eastAsia" w:ascii="宋体" w:hAnsi="宋体" w:eastAsia="宋体" w:cs="宋体"/>
                <w:sz w:val="24"/>
              </w:rPr>
            </w:pPr>
            <w:r>
              <w:rPr>
                <w:rFonts w:hint="eastAsia" w:ascii="宋体" w:hAnsi="宋体" w:eastAsia="宋体" w:cs="宋体"/>
                <w:sz w:val="24"/>
              </w:rPr>
              <w:t>1</w:t>
            </w:r>
          </w:p>
        </w:tc>
        <w:tc>
          <w:tcPr>
            <w:tcW w:w="4474" w:type="dxa"/>
            <w:tcBorders>
              <w:top w:val="single" w:color="auto" w:sz="4" w:space="0"/>
              <w:bottom w:val="single" w:color="auto" w:sz="4" w:space="0"/>
            </w:tcBorders>
            <w:vAlign w:val="center"/>
          </w:tcPr>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基于云计算和大数据挖掘等现代信息技术，基于云技术，提供数据产品服务导航、查询、批量下载，浏览和个性化服务，通过多样化展现形式，实现数据可视化功能。1）对系统硬件、软件的全方位状态监控，提供相关图表显示；2）支持对系统安全和网络安全的监控与防护，提供异常报警；支持系统审计结果、日志信息的管理、统计和成果输出；3）支持系统用户注册、管理、角色和权限分配等。</w:t>
            </w:r>
          </w:p>
          <w:p>
            <w:pPr>
              <w:spacing w:line="360" w:lineRule="auto"/>
              <w:jc w:val="left"/>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15" w:hRule="atLeast"/>
          <w:jc w:val="center"/>
        </w:trPr>
        <w:tc>
          <w:tcPr>
            <w:tcW w:w="628"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4</w:t>
            </w:r>
          </w:p>
        </w:tc>
        <w:tc>
          <w:tcPr>
            <w:tcW w:w="1839"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长三角城市群生态承载力评估分系统</w:t>
            </w:r>
          </w:p>
        </w:tc>
        <w:tc>
          <w:tcPr>
            <w:tcW w:w="1067" w:type="dxa"/>
            <w:tcBorders>
              <w:top w:val="single" w:color="auto" w:sz="4" w:space="0"/>
              <w:bottom w:val="single" w:color="auto" w:sz="4" w:space="0"/>
            </w:tcBorders>
            <w:vAlign w:val="center"/>
          </w:tcPr>
          <w:p>
            <w:pPr>
              <w:spacing w:line="360" w:lineRule="auto"/>
              <w:ind w:left="1080" w:leftChars="257" w:hanging="540"/>
              <w:rPr>
                <w:rFonts w:hint="eastAsia" w:ascii="宋体" w:hAnsi="宋体" w:eastAsia="宋体" w:cs="宋体"/>
                <w:sz w:val="24"/>
              </w:rPr>
            </w:pPr>
            <w:r>
              <w:rPr>
                <w:rFonts w:hint="eastAsia" w:ascii="宋体" w:hAnsi="宋体" w:eastAsia="宋体" w:cs="宋体"/>
                <w:sz w:val="24"/>
              </w:rPr>
              <w:t>1</w:t>
            </w:r>
          </w:p>
        </w:tc>
        <w:tc>
          <w:tcPr>
            <w:tcW w:w="4474" w:type="dxa"/>
            <w:tcBorders>
              <w:top w:val="single" w:color="auto" w:sz="4" w:space="0"/>
              <w:bottom w:val="single" w:color="auto" w:sz="4" w:space="0"/>
            </w:tcBorders>
            <w:vAlign w:val="center"/>
          </w:tcPr>
          <w:p>
            <w:pPr>
              <w:spacing w:line="360" w:lineRule="auto"/>
              <w:ind w:firstLine="480" w:firstLineChars="200"/>
              <w:rPr>
                <w:rFonts w:hint="eastAsia" w:ascii="宋体" w:hAnsi="宋体" w:eastAsia="宋体" w:cs="宋体"/>
                <w:sz w:val="24"/>
              </w:rPr>
            </w:pPr>
            <w:r>
              <w:rPr>
                <w:rFonts w:hint="eastAsia" w:ascii="宋体" w:hAnsi="宋体" w:eastAsia="宋体" w:cs="宋体"/>
                <w:sz w:val="24"/>
              </w:rPr>
              <w:t>面向长江三角洲一体化发展的国家战略，从城市生态分级承载力方面出发，建设长三角城市群生态承载力评估分系统，包括长三角城市区域多源数据预处理、长三角城市群生态承载力监测评估与专题图制作模块。具备长三角城市群生态承载力的实时状态和变化趋势评估相关FY-3多源遥感数据、社会经济数据和气象观测数据的支持和处理能力，计算生成长三角网格和市/区空间单元的生态足迹、生态承载力、生态盈亏，流程自动化制作分级空间分布产品及评估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15" w:hRule="atLeast"/>
          <w:jc w:val="center"/>
        </w:trPr>
        <w:tc>
          <w:tcPr>
            <w:tcW w:w="628" w:type="dxa"/>
            <w:tcBorders>
              <w:bottom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5</w:t>
            </w:r>
          </w:p>
        </w:tc>
        <w:tc>
          <w:tcPr>
            <w:tcW w:w="1839" w:type="dxa"/>
            <w:tcBorders>
              <w:bottom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海岛动态监测评价分系统</w:t>
            </w:r>
          </w:p>
        </w:tc>
        <w:tc>
          <w:tcPr>
            <w:tcW w:w="1067" w:type="dxa"/>
            <w:tcBorders>
              <w:top w:val="single" w:color="auto" w:sz="4" w:space="0"/>
              <w:bottom w:val="single" w:color="auto" w:sz="4" w:space="0"/>
            </w:tcBorders>
            <w:vAlign w:val="center"/>
          </w:tcPr>
          <w:p>
            <w:pPr>
              <w:spacing w:line="360" w:lineRule="auto"/>
              <w:ind w:left="1080" w:leftChars="257" w:hanging="540"/>
              <w:rPr>
                <w:rFonts w:hint="eastAsia" w:ascii="宋体" w:hAnsi="宋体" w:eastAsia="宋体" w:cs="宋体"/>
                <w:sz w:val="24"/>
              </w:rPr>
            </w:pPr>
            <w:r>
              <w:rPr>
                <w:rFonts w:hint="eastAsia" w:ascii="宋体" w:hAnsi="宋体" w:eastAsia="宋体" w:cs="宋体"/>
                <w:sz w:val="24"/>
              </w:rPr>
              <w:t>1</w:t>
            </w:r>
          </w:p>
        </w:tc>
        <w:tc>
          <w:tcPr>
            <w:tcW w:w="4474" w:type="dxa"/>
            <w:tcBorders>
              <w:top w:val="single" w:color="auto" w:sz="4" w:space="0"/>
              <w:bottom w:val="single" w:color="auto" w:sz="4" w:space="0"/>
            </w:tcBorders>
            <w:vAlign w:val="center"/>
          </w:tcPr>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基于风云三号03批气象卫星中分辨率成像光谱仪（MERSI）等多传感器多通道数据及反演产品，同时结合海陆模板等基础地理信息、中高分辨率卫星资料等，通过自动识别定位、空间格局监测、生态质量评价与变迁分析，生成典型海岛面积、生态质量的风云卫星监测产品，服务于海岛生态保护与开发管理</w:t>
            </w:r>
          </w:p>
        </w:tc>
      </w:tr>
    </w:tbl>
    <w:p>
      <w:pPr>
        <w:spacing w:line="360" w:lineRule="auto"/>
        <w:ind w:left="1080" w:leftChars="257" w:hanging="540"/>
        <w:jc w:val="center"/>
        <w:rPr>
          <w:rFonts w:hint="eastAsia" w:ascii="宋体" w:hAnsi="宋体" w:eastAsia="宋体" w:cs="宋体"/>
          <w:b/>
          <w:sz w:val="24"/>
        </w:rPr>
      </w:pPr>
      <w:r>
        <w:rPr>
          <w:rFonts w:hint="eastAsia" w:ascii="宋体" w:hAnsi="宋体" w:eastAsia="宋体" w:cs="宋体"/>
          <w:sz w:val="24"/>
        </w:rPr>
        <w:br w:type="page"/>
      </w:r>
      <w:r>
        <w:rPr>
          <w:rFonts w:hint="eastAsia" w:ascii="宋体" w:hAnsi="宋体" w:eastAsia="宋体" w:cs="宋体"/>
          <w:b/>
          <w:sz w:val="24"/>
        </w:rPr>
        <w:t>二、技术规格及要求</w:t>
      </w:r>
    </w:p>
    <w:p>
      <w:pPr>
        <w:spacing w:line="360" w:lineRule="auto"/>
        <w:ind w:left="1080" w:leftChars="257" w:hanging="540"/>
        <w:rPr>
          <w:rFonts w:hint="eastAsia" w:ascii="宋体" w:hAnsi="宋体" w:eastAsia="宋体" w:cs="宋体"/>
          <w:sz w:val="24"/>
        </w:rPr>
      </w:pPr>
    </w:p>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风云三号03批气象工程——重点区域多源卫星资料的大气环境分析系统</w:t>
      </w:r>
    </w:p>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招标需求</w:t>
      </w:r>
    </w:p>
    <w:p>
      <w:pPr>
        <w:snapToGrid w:val="0"/>
        <w:spacing w:line="360" w:lineRule="auto"/>
        <w:jc w:val="left"/>
        <w:rPr>
          <w:rFonts w:hint="eastAsia" w:ascii="宋体" w:hAnsi="宋体" w:eastAsia="宋体" w:cs="宋体"/>
          <w:sz w:val="24"/>
          <w:u w:val="single"/>
        </w:rPr>
      </w:pPr>
      <w:r>
        <w:rPr>
          <w:rFonts w:hint="eastAsia" w:ascii="宋体" w:hAnsi="宋体" w:eastAsia="宋体" w:cs="宋体"/>
          <w:b/>
          <w:sz w:val="24"/>
        </w:rPr>
        <w:t>项目名称：</w:t>
      </w:r>
      <w:r>
        <w:rPr>
          <w:rFonts w:hint="eastAsia" w:ascii="宋体" w:hAnsi="宋体" w:eastAsia="宋体" w:cs="宋体"/>
          <w:sz w:val="24"/>
          <w:u w:val="single"/>
        </w:rPr>
        <w:t>风云三号03批气象工程——重点区域多源卫星资料的大气环境分析系统</w:t>
      </w:r>
    </w:p>
    <w:p>
      <w:pPr>
        <w:snapToGrid w:val="0"/>
        <w:spacing w:line="360" w:lineRule="auto"/>
        <w:jc w:val="left"/>
        <w:rPr>
          <w:rFonts w:hint="eastAsia" w:ascii="宋体" w:hAnsi="宋体" w:eastAsia="宋体" w:cs="宋体"/>
          <w:b/>
          <w:sz w:val="24"/>
        </w:rPr>
      </w:pPr>
      <w:r>
        <w:rPr>
          <w:rFonts w:hint="eastAsia" w:ascii="宋体" w:hAnsi="宋体" w:eastAsia="宋体" w:cs="宋体"/>
          <w:b/>
          <w:sz w:val="24"/>
        </w:rPr>
        <w:t>项目内容：</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5634"/>
        <w:gridCol w:w="850"/>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24"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5634"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项目内容</w:t>
            </w:r>
          </w:p>
        </w:tc>
        <w:tc>
          <w:tcPr>
            <w:tcW w:w="85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数量</w:t>
            </w:r>
          </w:p>
        </w:tc>
        <w:tc>
          <w:tcPr>
            <w:tcW w:w="7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24"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01</w:t>
            </w:r>
          </w:p>
        </w:tc>
        <w:tc>
          <w:tcPr>
            <w:tcW w:w="5634"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基于遥感数据的清单订正及模式同化分系统</w:t>
            </w:r>
          </w:p>
        </w:tc>
        <w:tc>
          <w:tcPr>
            <w:tcW w:w="85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1</w:t>
            </w:r>
          </w:p>
        </w:tc>
        <w:tc>
          <w:tcPr>
            <w:tcW w:w="7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24"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02</w:t>
            </w:r>
          </w:p>
        </w:tc>
        <w:tc>
          <w:tcPr>
            <w:tcW w:w="5634"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重点区域多源卫星资料协同分析分系统</w:t>
            </w:r>
          </w:p>
        </w:tc>
        <w:tc>
          <w:tcPr>
            <w:tcW w:w="85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1</w:t>
            </w:r>
          </w:p>
        </w:tc>
        <w:tc>
          <w:tcPr>
            <w:tcW w:w="7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24"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03</w:t>
            </w:r>
          </w:p>
        </w:tc>
        <w:tc>
          <w:tcPr>
            <w:tcW w:w="5634"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基于云技术的统一门户分系统</w:t>
            </w:r>
          </w:p>
        </w:tc>
        <w:tc>
          <w:tcPr>
            <w:tcW w:w="85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1</w:t>
            </w:r>
          </w:p>
        </w:tc>
        <w:tc>
          <w:tcPr>
            <w:tcW w:w="7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24"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04</w:t>
            </w:r>
          </w:p>
        </w:tc>
        <w:tc>
          <w:tcPr>
            <w:tcW w:w="5634"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长三角城市群生态承载力评估分系统</w:t>
            </w:r>
          </w:p>
        </w:tc>
        <w:tc>
          <w:tcPr>
            <w:tcW w:w="85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1</w:t>
            </w:r>
          </w:p>
        </w:tc>
        <w:tc>
          <w:tcPr>
            <w:tcW w:w="7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24"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05</w:t>
            </w:r>
          </w:p>
        </w:tc>
        <w:tc>
          <w:tcPr>
            <w:tcW w:w="5634"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海岛动态监测评价分系统</w:t>
            </w:r>
          </w:p>
        </w:tc>
        <w:tc>
          <w:tcPr>
            <w:tcW w:w="85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1</w:t>
            </w:r>
          </w:p>
        </w:tc>
        <w:tc>
          <w:tcPr>
            <w:tcW w:w="7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个</w:t>
            </w:r>
          </w:p>
        </w:tc>
      </w:tr>
    </w:tbl>
    <w:p>
      <w:pPr>
        <w:snapToGrid w:val="0"/>
        <w:spacing w:line="360" w:lineRule="auto"/>
        <w:jc w:val="left"/>
        <w:rPr>
          <w:rFonts w:hint="eastAsia" w:ascii="宋体" w:hAnsi="宋体" w:eastAsia="宋体" w:cs="宋体"/>
          <w:b/>
          <w:sz w:val="24"/>
        </w:rPr>
      </w:pPr>
      <w:r>
        <w:rPr>
          <w:rFonts w:hint="eastAsia" w:ascii="宋体" w:hAnsi="宋体" w:eastAsia="宋体" w:cs="宋体"/>
          <w:b/>
          <w:sz w:val="24"/>
        </w:rPr>
        <w:t>项目需求：</w:t>
      </w:r>
    </w:p>
    <w:p>
      <w:pPr>
        <w:snapToGrid w:val="0"/>
        <w:spacing w:line="360" w:lineRule="auto"/>
        <w:outlineLvl w:val="2"/>
        <w:rPr>
          <w:rFonts w:hint="eastAsia" w:ascii="宋体" w:hAnsi="宋体" w:eastAsia="宋体" w:cs="宋体"/>
          <w:b/>
          <w:color w:val="000000"/>
          <w:sz w:val="24"/>
        </w:rPr>
      </w:pPr>
      <w:r>
        <w:rPr>
          <w:rFonts w:hint="eastAsia" w:ascii="宋体" w:hAnsi="宋体" w:eastAsia="宋体" w:cs="宋体"/>
          <w:b/>
          <w:color w:val="000000"/>
          <w:sz w:val="24"/>
        </w:rPr>
        <w:t>一、项目建设背景和概况</w:t>
      </w:r>
    </w:p>
    <w:p>
      <w:pPr>
        <w:snapToGrid w:val="0"/>
        <w:spacing w:line="360" w:lineRule="auto"/>
        <w:ind w:firstLine="480" w:firstLineChars="200"/>
        <w:rPr>
          <w:rFonts w:hint="eastAsia" w:ascii="宋体" w:hAnsi="宋体" w:eastAsia="宋体" w:cs="宋体"/>
          <w:kern w:val="0"/>
          <w:sz w:val="24"/>
          <w:szCs w:val="28"/>
        </w:rPr>
      </w:pPr>
      <w:bookmarkStart w:id="37" w:name="_Toc367610952"/>
      <w:bookmarkStart w:id="38" w:name="_Toc366563559"/>
      <w:r>
        <w:rPr>
          <w:rFonts w:hint="eastAsia" w:ascii="宋体" w:hAnsi="宋体" w:eastAsia="宋体" w:cs="宋体"/>
          <w:kern w:val="0"/>
          <w:sz w:val="24"/>
          <w:szCs w:val="28"/>
        </w:rPr>
        <w:t>中国气象局《“十三五”生态文明建设气象保障规划》目标之一是依托多源气象卫星遥感数据，实现典型生态区域的科学监测和评估，开展重点区域城市及城市群生态气象遥感监测分析。同时要求主导完善城市生态功能区气象监测评价指标体系建设，研发基于遥感的气象保障技术与模型，根据城市定位的发展方向和服务需求，围绕城市生态服务功能增强和生态环境质量改善，开展有特色的气象保障服务。</w:t>
      </w:r>
    </w:p>
    <w:p>
      <w:pPr>
        <w:snapToGrid w:val="0"/>
        <w:spacing w:line="360" w:lineRule="auto"/>
        <w:ind w:firstLine="480" w:firstLineChars="200"/>
        <w:rPr>
          <w:rFonts w:hint="eastAsia" w:ascii="宋体" w:hAnsi="宋体" w:eastAsia="宋体" w:cs="宋体"/>
          <w:kern w:val="0"/>
          <w:sz w:val="24"/>
          <w:szCs w:val="28"/>
        </w:rPr>
      </w:pPr>
      <w:r>
        <w:rPr>
          <w:rFonts w:hint="eastAsia" w:ascii="宋体" w:hAnsi="宋体" w:eastAsia="宋体" w:cs="宋体"/>
          <w:kern w:val="0"/>
          <w:sz w:val="24"/>
          <w:szCs w:val="28"/>
        </w:rPr>
        <w:t>目前我国大部分城市颗粒物浓度高于国家环境空气质量标准，颗粒物增加导致的大气污染是我国部分城市所面临的重要环境问题，而雾霾天气则是这种大气污染的季节性极端表现。受污染排放和不利气象条件共同影响，中国区域性大气污染事件发生频率明显增加，尤其以长三角、京津冀、珠三角、陕西等地区较为突出。长三角、京津冀、珠三角属于经济快速发展区域，该区域内污染的排放量相对高于其他地区，在不利气象条件下，大气污染会快速形成；而陕西地区的污染，不仅受污染排放和不利气象条件的影响，与该区域的地形也有很大关系。</w:t>
      </w:r>
    </w:p>
    <w:p>
      <w:pPr>
        <w:snapToGrid w:val="0"/>
        <w:spacing w:line="360" w:lineRule="auto"/>
        <w:ind w:firstLine="480" w:firstLineChars="200"/>
        <w:rPr>
          <w:rFonts w:hint="eastAsia" w:ascii="宋体" w:hAnsi="宋体" w:eastAsia="宋体" w:cs="宋体"/>
          <w:kern w:val="0"/>
          <w:sz w:val="24"/>
          <w:szCs w:val="28"/>
        </w:rPr>
      </w:pPr>
      <w:r>
        <w:rPr>
          <w:rFonts w:hint="eastAsia" w:ascii="宋体" w:hAnsi="宋体" w:eastAsia="宋体" w:cs="宋体"/>
          <w:kern w:val="0"/>
          <w:sz w:val="24"/>
          <w:szCs w:val="28"/>
        </w:rPr>
        <w:t>围绕上述需求，本项目需开展如下工作1）遥感卫星观测的对流层NO2柱浓度资料实现其在环境遥感产品对业务预报模式中排放源清单的订正功能建设，提高排放源清单的准确性。结合长三角环境气象预报预警业务实际，建立气象卫星观测资料同化提高数值模式预报精度。2）综合应用来自风云三号卫星、以及国外其他卫星的二氧化硫和二氧化氮的定量产品，通过交叉检验分析各产品的差异及一致性，客观评价不同卫星资料及产品在大气污染物监测中的可靠性，在此基础上通过多卫星协同分析方法实现上述大气污染物融合监测技术研究。3）基于云技术提供数据产品服务导航、查询、批量下载，浏览和个性化服务，通过多样化展现形式，实现数据可视化功能。4）通过遥感和GIS技术对长三角的生态足迹、生态承载力、生态盈亏多种参数进行计算反演，据此确定区域的生态容载量和压力。生态承载力评估结果可为政府的生态文明建设绩效考核等提供决策支持。5）基于风云三号03批气象卫星中分辨率成像光谱仪等多传感器多通道数据及反演产品，同时结合海陆模板等基础地理信息、中高分辨率卫星资料等，通过自动识别定位、空间格局监测、生态质量评价与变迁分析，生成典型海岛面积、生态质量的风云卫星监测产品，服务于海岛生态保护与开发管理。</w:t>
      </w:r>
    </w:p>
    <w:p>
      <w:pPr>
        <w:snapToGrid w:val="0"/>
        <w:spacing w:line="360" w:lineRule="auto"/>
        <w:outlineLvl w:val="2"/>
        <w:rPr>
          <w:rFonts w:hint="eastAsia" w:ascii="宋体" w:hAnsi="宋体" w:eastAsia="宋体" w:cs="宋体"/>
          <w:sz w:val="24"/>
          <w:lang w:val="zh-CN"/>
        </w:rPr>
      </w:pPr>
      <w:r>
        <w:rPr>
          <w:rFonts w:hint="eastAsia" w:ascii="宋体" w:hAnsi="宋体" w:eastAsia="宋体" w:cs="宋体"/>
          <w:b/>
          <w:color w:val="000000"/>
          <w:sz w:val="24"/>
        </w:rPr>
        <w:t>二、总体建设需求</w:t>
      </w:r>
    </w:p>
    <w:p>
      <w:pPr>
        <w:snapToGrid w:val="0"/>
        <w:spacing w:line="360" w:lineRule="auto"/>
        <w:ind w:firstLine="480" w:firstLineChars="200"/>
        <w:outlineLvl w:val="3"/>
        <w:rPr>
          <w:rFonts w:hint="eastAsia" w:ascii="宋体" w:hAnsi="宋体" w:eastAsia="宋体" w:cs="宋体"/>
          <w:color w:val="000000"/>
          <w:sz w:val="24"/>
        </w:rPr>
      </w:pPr>
      <w:r>
        <w:rPr>
          <w:rFonts w:hint="eastAsia" w:ascii="宋体" w:hAnsi="宋体" w:eastAsia="宋体" w:cs="宋体"/>
          <w:color w:val="000000"/>
          <w:sz w:val="24"/>
        </w:rPr>
        <w:t>1.总体规划</w:t>
      </w:r>
    </w:p>
    <w:p>
      <w:pPr>
        <w:snapToGrid w:val="0"/>
        <w:spacing w:line="360" w:lineRule="auto"/>
        <w:ind w:firstLine="480" w:firstLineChars="200"/>
        <w:rPr>
          <w:rFonts w:hint="eastAsia" w:ascii="宋体" w:hAnsi="宋体" w:eastAsia="宋体" w:cs="宋体"/>
          <w:kern w:val="0"/>
          <w:sz w:val="24"/>
          <w:szCs w:val="28"/>
        </w:rPr>
      </w:pPr>
      <w:r>
        <w:rPr>
          <w:rFonts w:hint="eastAsia" w:ascii="宋体" w:hAnsi="宋体" w:eastAsia="宋体" w:cs="宋体"/>
          <w:sz w:val="24"/>
        </w:rPr>
        <w:t>通过项目的建设，实现遥</w:t>
      </w:r>
      <w:r>
        <w:rPr>
          <w:rFonts w:hint="eastAsia" w:ascii="宋体" w:hAnsi="宋体" w:eastAsia="宋体" w:cs="宋体"/>
          <w:kern w:val="0"/>
          <w:sz w:val="24"/>
          <w:szCs w:val="28"/>
        </w:rPr>
        <w:t>感卫星观测的对流层NO2柱浓度资料对业务预报模式中排放源清单的订正功能建设，提高排放源清单的准确性，建立气象卫星观测资料同化提高数值模式预报精度；</w:t>
      </w:r>
      <w:r>
        <w:rPr>
          <w:rFonts w:hint="eastAsia" w:ascii="宋体" w:hAnsi="宋体" w:eastAsia="宋体" w:cs="宋体"/>
          <w:sz w:val="24"/>
        </w:rPr>
        <w:t>利用以风云三号为主的多源卫星产品并综合多种监测分析资料，实现长三角、京津冀、珠三角、汾渭平原四大重点区域的二氧化硫和二氧化氮等污染气体的定量遥感应用，生成实时或准实时的大气环境监测结果；</w:t>
      </w:r>
      <w:r>
        <w:rPr>
          <w:rFonts w:hint="eastAsia" w:ascii="宋体" w:hAnsi="宋体" w:eastAsia="宋体" w:cs="宋体"/>
          <w:kern w:val="0"/>
          <w:sz w:val="24"/>
          <w:szCs w:val="28"/>
        </w:rPr>
        <w:t>通过遥感和GIS技术对长三角生态足迹、生态承载力、生态盈亏多种参数进行计算反演，为政府的生态文明建设绩效考核等提供决策支持。通过自动识别定位、空间格局监测、生态质量评价与变迁分析，生成典型海岛面积、生态质量的风云卫星监测产品，服务于海岛生态保护与开发管理；最终</w:t>
      </w:r>
      <w:r>
        <w:rPr>
          <w:rFonts w:hint="eastAsia" w:ascii="宋体" w:hAnsi="宋体" w:eastAsia="宋体" w:cs="宋体"/>
          <w:color w:val="000000"/>
          <w:sz w:val="24"/>
        </w:rPr>
        <w:t>利用大数据云技术构建统一开放的数据共享平台，实现重点区域数据算法互通，并建立优秀应用推广机制，进一步提升重点区域卫星遥感综合应用能力。</w:t>
      </w:r>
    </w:p>
    <w:p>
      <w:pPr>
        <w:snapToGrid w:val="0"/>
        <w:spacing w:line="360" w:lineRule="auto"/>
        <w:ind w:firstLine="484" w:firstLineChars="202"/>
        <w:outlineLvl w:val="3"/>
        <w:rPr>
          <w:rFonts w:hint="eastAsia" w:ascii="宋体" w:hAnsi="宋体" w:eastAsia="宋体" w:cs="宋体"/>
          <w:color w:val="000000"/>
          <w:sz w:val="24"/>
        </w:rPr>
      </w:pPr>
      <w:r>
        <w:rPr>
          <w:rFonts w:hint="eastAsia" w:ascii="宋体" w:hAnsi="宋体" w:eastAsia="宋体" w:cs="宋体"/>
          <w:color w:val="000000"/>
          <w:sz w:val="24"/>
        </w:rPr>
        <w:t>2.总体要求</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本项目要求方案采用行业先进的成熟稳定的技术、软件，同时要求具有可扩展性和高可用性。</w:t>
      </w:r>
    </w:p>
    <w:p>
      <w:pPr>
        <w:snapToGrid w:val="0"/>
        <w:spacing w:line="360" w:lineRule="auto"/>
        <w:ind w:firstLine="480" w:firstLineChars="200"/>
        <w:jc w:val="left"/>
        <w:rPr>
          <w:rFonts w:hint="eastAsia" w:ascii="宋体" w:hAnsi="宋体" w:eastAsia="宋体" w:cs="宋体"/>
          <w:b/>
          <w:color w:val="000000"/>
          <w:sz w:val="24"/>
        </w:rPr>
      </w:pPr>
      <w:r>
        <w:rPr>
          <w:rFonts w:hint="eastAsia" w:ascii="宋体" w:hAnsi="宋体" w:eastAsia="宋体" w:cs="宋体"/>
          <w:color w:val="000000"/>
          <w:sz w:val="24"/>
        </w:rPr>
        <w:t>乙方必须按照国家、国际及行业的有关的标准、规范进行细化设计，原则上要求系统须按照采购人的要求进行定制开发，系统验收后的软件所有权归采购人所有。在服务期内乙方须定时进行系统维护和升级，</w:t>
      </w:r>
      <w:r>
        <w:rPr>
          <w:rFonts w:hint="eastAsia" w:ascii="宋体" w:hAnsi="宋体" w:eastAsia="宋体" w:cs="宋体"/>
          <w:b/>
          <w:color w:val="000000"/>
          <w:sz w:val="24"/>
        </w:rPr>
        <w:t>验收后需向采购人交付项目实施方案、项目实施计划、测试方案和测试报告、用户使用手册、系统部署方案、培训方案</w:t>
      </w:r>
      <w:r>
        <w:rPr>
          <w:rFonts w:hint="eastAsia" w:ascii="宋体" w:hAnsi="宋体" w:eastAsia="宋体" w:cs="宋体"/>
          <w:color w:val="000000"/>
          <w:sz w:val="24"/>
        </w:rPr>
        <w:t>。</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在建设过程中，乙方须充分与采购人沟通项目实施计划和详细需求，负责软件的施工安装，由此产生的一切费用均由乙方负责。在项目建设期和服务期内，做好恶劣天气以及其他不可预测环境下的防护措施，安排专人对软件所运行的环境定期巡检，由于巡检不到位而产生的软件故障和损失均由乙方承担责任。</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本项目所需的所有硬件均由甲方统一提供，不计入本项目报价，报价中仅包含软件费用。</w:t>
      </w:r>
    </w:p>
    <w:p>
      <w:pPr>
        <w:snapToGrid w:val="0"/>
        <w:spacing w:line="360" w:lineRule="auto"/>
        <w:outlineLvl w:val="2"/>
        <w:rPr>
          <w:rFonts w:hint="eastAsia" w:ascii="宋体" w:hAnsi="宋体" w:eastAsia="宋体" w:cs="宋体"/>
          <w:b/>
          <w:color w:val="000000"/>
          <w:sz w:val="24"/>
        </w:rPr>
      </w:pPr>
      <w:r>
        <w:rPr>
          <w:rFonts w:hint="eastAsia" w:ascii="宋体" w:hAnsi="宋体" w:eastAsia="宋体" w:cs="宋体"/>
          <w:b/>
          <w:color w:val="000000"/>
          <w:sz w:val="24"/>
        </w:rPr>
        <w:t>三.项目建设内容</w:t>
      </w:r>
    </w:p>
    <w:p>
      <w:pPr>
        <w:snapToGrid w:val="0"/>
        <w:spacing w:line="360" w:lineRule="auto"/>
        <w:outlineLvl w:val="3"/>
        <w:rPr>
          <w:rFonts w:hint="eastAsia" w:ascii="宋体" w:hAnsi="宋体" w:eastAsia="宋体" w:cs="宋体"/>
          <w:b/>
          <w:color w:val="000000"/>
          <w:sz w:val="24"/>
        </w:rPr>
      </w:pPr>
      <w:r>
        <w:rPr>
          <w:rFonts w:hint="eastAsia" w:ascii="宋体" w:hAnsi="宋体" w:eastAsia="宋体" w:cs="宋体"/>
          <w:b/>
          <w:color w:val="000000"/>
          <w:sz w:val="24"/>
        </w:rPr>
        <w:t>1系统功能</w:t>
      </w:r>
    </w:p>
    <w:p>
      <w:pPr>
        <w:pStyle w:val="38"/>
        <w:numPr>
          <w:ilvl w:val="0"/>
          <w:numId w:val="6"/>
        </w:numPr>
        <w:snapToGrid w:val="0"/>
        <w:spacing w:line="360" w:lineRule="auto"/>
        <w:ind w:firstLineChars="0"/>
        <w:rPr>
          <w:rFonts w:hint="eastAsia" w:ascii="宋体" w:hAnsi="宋体" w:eastAsia="宋体" w:cs="宋体"/>
          <w:b/>
          <w:color w:val="000000"/>
        </w:rPr>
      </w:pPr>
      <w:r>
        <w:rPr>
          <w:rFonts w:hint="eastAsia" w:ascii="宋体" w:hAnsi="宋体" w:eastAsia="宋体" w:cs="宋体"/>
          <w:b/>
          <w:color w:val="000000"/>
        </w:rPr>
        <w:t>基于遥感数据的清单订正及模式同化分系统</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基于卫星反演的NO2柱浓度数据，分析长三角地区对流层NO2柱浓度的时空变化特征，探索不同季节NO2柱浓度变化与地面NO2监测之间的关系，建立格点化的地面排放年变化因子和月变化因子，以此为依据修正近三年NOX排放清单，利用高分辨率WRF-CHEM模式对原始清单和修正清单进行模拟对比，检验对地面主要污染物的模拟效果，达到典型月份PM2.5的预报偏差降低5%以上，对NO2的预报偏差降低5%以上，对O3的预报偏差降低3-5%以上。</w:t>
      </w:r>
    </w:p>
    <w:p>
      <w:pPr>
        <w:widowControl/>
        <w:spacing w:line="360" w:lineRule="auto"/>
        <w:jc w:val="left"/>
        <w:rPr>
          <w:rFonts w:hint="eastAsia" w:ascii="宋体" w:hAnsi="宋体" w:eastAsia="宋体" w:cs="宋体"/>
          <w:sz w:val="24"/>
        </w:rPr>
      </w:pPr>
      <w:r>
        <w:rPr>
          <w:rFonts w:hint="eastAsia" w:ascii="宋体" w:hAnsi="宋体" w:eastAsia="宋体" w:cs="宋体"/>
          <w:sz w:val="24"/>
        </w:rPr>
        <w:t>（1）环境遥感产品整理模块</w:t>
      </w:r>
    </w:p>
    <w:p>
      <w:pPr>
        <w:pStyle w:val="38"/>
        <w:numPr>
          <w:ilvl w:val="0"/>
          <w:numId w:val="7"/>
        </w:numPr>
        <w:spacing w:line="360" w:lineRule="auto"/>
        <w:ind w:firstLineChars="0"/>
        <w:rPr>
          <w:rFonts w:hint="eastAsia" w:ascii="宋体" w:hAnsi="宋体" w:eastAsia="宋体" w:cs="宋体"/>
        </w:rPr>
      </w:pPr>
      <w:r>
        <w:rPr>
          <w:rFonts w:hint="eastAsia" w:ascii="宋体" w:hAnsi="宋体" w:eastAsia="宋体" w:cs="宋体"/>
        </w:rPr>
        <w:t>采集FY-3或其他卫星数据及产品资料，分析长三角地区对流层NO2柱浓度的时空变化特征，探索不同季节NO2柱浓度变化与地面NO2监测之间的关系；</w:t>
      </w:r>
    </w:p>
    <w:p>
      <w:pPr>
        <w:pStyle w:val="38"/>
        <w:numPr>
          <w:ilvl w:val="0"/>
          <w:numId w:val="7"/>
        </w:numPr>
        <w:spacing w:line="360" w:lineRule="auto"/>
        <w:ind w:firstLineChars="0"/>
        <w:rPr>
          <w:rFonts w:hint="eastAsia" w:ascii="宋体" w:hAnsi="宋体" w:eastAsia="宋体" w:cs="宋体"/>
        </w:rPr>
      </w:pPr>
      <w:r>
        <w:rPr>
          <w:rFonts w:hint="eastAsia" w:ascii="宋体" w:hAnsi="宋体" w:eastAsia="宋体" w:cs="宋体"/>
        </w:rPr>
        <w:t>制作数值模式预报输入数据。</w:t>
      </w:r>
    </w:p>
    <w:p>
      <w:pPr>
        <w:widowControl/>
        <w:spacing w:line="360" w:lineRule="auto"/>
        <w:jc w:val="left"/>
        <w:rPr>
          <w:rFonts w:hint="eastAsia" w:ascii="宋体" w:hAnsi="宋体" w:eastAsia="宋体" w:cs="宋体"/>
          <w:sz w:val="24"/>
        </w:rPr>
      </w:pPr>
      <w:r>
        <w:rPr>
          <w:rFonts w:hint="eastAsia" w:ascii="宋体" w:hAnsi="宋体" w:eastAsia="宋体" w:cs="宋体"/>
          <w:sz w:val="24"/>
        </w:rPr>
        <w:t>（2）排放源数据模式应用模块</w:t>
      </w:r>
    </w:p>
    <w:p>
      <w:pPr>
        <w:numPr>
          <w:ilvl w:val="0"/>
          <w:numId w:val="8"/>
        </w:numPr>
        <w:spacing w:line="360" w:lineRule="auto"/>
        <w:rPr>
          <w:rFonts w:hint="eastAsia" w:ascii="宋体" w:hAnsi="宋体" w:eastAsia="宋体" w:cs="宋体"/>
          <w:sz w:val="24"/>
          <w:lang w:val="zh-CN"/>
        </w:rPr>
      </w:pPr>
      <w:r>
        <w:rPr>
          <w:rFonts w:hint="eastAsia" w:ascii="宋体" w:hAnsi="宋体" w:eastAsia="宋体" w:cs="宋体"/>
          <w:sz w:val="24"/>
          <w:lang w:val="zh-CN"/>
        </w:rPr>
        <w:t>基于订正后的排放清单数据利用数值模式预报系统开展模式对比分析；</w:t>
      </w:r>
    </w:p>
    <w:p>
      <w:pPr>
        <w:numPr>
          <w:ilvl w:val="0"/>
          <w:numId w:val="8"/>
        </w:numPr>
        <w:spacing w:line="360" w:lineRule="auto"/>
        <w:ind w:left="0" w:firstLine="0"/>
        <w:rPr>
          <w:rFonts w:hint="eastAsia" w:ascii="宋体" w:hAnsi="宋体" w:eastAsia="宋体" w:cs="宋体"/>
          <w:sz w:val="24"/>
          <w:lang w:val="zh-CN"/>
        </w:rPr>
      </w:pPr>
      <w:r>
        <w:rPr>
          <w:rFonts w:hint="eastAsia" w:ascii="宋体" w:hAnsi="宋体" w:eastAsia="宋体" w:cs="宋体"/>
          <w:sz w:val="24"/>
          <w:lang w:val="zh-CN"/>
        </w:rPr>
        <w:t>基于订正后的排放清单数据利用数值模式预报系统开展模式评估。</w:t>
      </w:r>
    </w:p>
    <w:p>
      <w:pPr>
        <w:numPr>
          <w:ilvl w:val="255"/>
          <w:numId w:val="0"/>
        </w:numPr>
        <w:adjustRightInd w:val="0"/>
        <w:snapToGrid w:val="0"/>
        <w:spacing w:line="360" w:lineRule="auto"/>
        <w:rPr>
          <w:rFonts w:hint="eastAsia" w:ascii="宋体" w:hAnsi="宋体" w:eastAsia="宋体" w:cs="宋体"/>
        </w:rPr>
      </w:pPr>
      <w:r>
        <w:rPr>
          <w:rFonts w:hint="eastAsia" w:ascii="宋体" w:hAnsi="宋体" w:eastAsia="宋体" w:cs="宋体"/>
          <w:sz w:val="24"/>
          <w:lang w:val="zh-CN"/>
        </w:rPr>
        <w:t>（</w:t>
      </w:r>
      <w:r>
        <w:rPr>
          <w:rFonts w:hint="eastAsia" w:ascii="宋体" w:hAnsi="宋体" w:eastAsia="宋体" w:cs="宋体"/>
          <w:sz w:val="24"/>
        </w:rPr>
        <w:t>3</w:t>
      </w:r>
      <w:r>
        <w:rPr>
          <w:rFonts w:hint="eastAsia" w:ascii="宋体" w:hAnsi="宋体" w:eastAsia="宋体" w:cs="宋体"/>
          <w:sz w:val="24"/>
          <w:lang w:val="zh-CN"/>
        </w:rPr>
        <w:t>）</w:t>
      </w:r>
      <w:r>
        <w:rPr>
          <w:rFonts w:hint="eastAsia" w:ascii="宋体" w:hAnsi="宋体" w:eastAsia="宋体" w:cs="宋体"/>
          <w:sz w:val="24"/>
        </w:rPr>
        <w:t>FY-3反演地面产品同化模块</w:t>
      </w:r>
    </w:p>
    <w:p>
      <w:pPr>
        <w:pStyle w:val="38"/>
        <w:widowControl w:val="0"/>
        <w:numPr>
          <w:ilvl w:val="0"/>
          <w:numId w:val="9"/>
        </w:numPr>
        <w:adjustRightInd w:val="0"/>
        <w:snapToGrid w:val="0"/>
        <w:spacing w:line="360" w:lineRule="auto"/>
        <w:ind w:firstLineChars="0"/>
        <w:rPr>
          <w:rFonts w:hint="eastAsia" w:ascii="宋体" w:hAnsi="宋体" w:eastAsia="宋体" w:cs="宋体"/>
          <w:kern w:val="2"/>
        </w:rPr>
      </w:pPr>
      <w:r>
        <w:rPr>
          <w:rFonts w:hint="eastAsia" w:ascii="宋体" w:hAnsi="宋体" w:eastAsia="宋体" w:cs="宋体"/>
          <w:kern w:val="2"/>
        </w:rPr>
        <w:t>系统自动下载FY-3</w:t>
      </w:r>
      <w:r>
        <w:rPr>
          <w:rFonts w:hint="eastAsia" w:ascii="宋体" w:hAnsi="宋体" w:eastAsia="宋体" w:cs="宋体"/>
        </w:rPr>
        <w:t>或其他</w:t>
      </w:r>
      <w:r>
        <w:rPr>
          <w:rFonts w:hint="eastAsia" w:ascii="宋体" w:hAnsi="宋体" w:eastAsia="宋体" w:cs="宋体"/>
          <w:kern w:val="2"/>
        </w:rPr>
        <w:t>卫星相关遥感观测资料；</w:t>
      </w:r>
    </w:p>
    <w:p>
      <w:pPr>
        <w:pStyle w:val="38"/>
        <w:widowControl w:val="0"/>
        <w:numPr>
          <w:ilvl w:val="0"/>
          <w:numId w:val="9"/>
        </w:numPr>
        <w:adjustRightInd w:val="0"/>
        <w:snapToGrid w:val="0"/>
        <w:spacing w:line="360" w:lineRule="auto"/>
        <w:ind w:firstLineChars="0"/>
        <w:rPr>
          <w:rFonts w:hint="eastAsia" w:ascii="宋体" w:hAnsi="宋体" w:eastAsia="宋体" w:cs="宋体"/>
          <w:kern w:val="2"/>
        </w:rPr>
      </w:pPr>
      <w:r>
        <w:rPr>
          <w:rFonts w:hint="eastAsia" w:ascii="宋体" w:hAnsi="宋体" w:eastAsia="宋体" w:cs="宋体"/>
          <w:kern w:val="2"/>
        </w:rPr>
        <w:t>系统自动清理订正下载的遥感处理，为数据同化做预处理准备；</w:t>
      </w:r>
    </w:p>
    <w:p>
      <w:pPr>
        <w:pStyle w:val="38"/>
        <w:widowControl w:val="0"/>
        <w:numPr>
          <w:ilvl w:val="0"/>
          <w:numId w:val="9"/>
        </w:numPr>
        <w:adjustRightInd w:val="0"/>
        <w:snapToGrid w:val="0"/>
        <w:spacing w:line="360" w:lineRule="auto"/>
        <w:ind w:firstLineChars="0"/>
        <w:rPr>
          <w:rFonts w:hint="eastAsia" w:ascii="宋体" w:hAnsi="宋体" w:eastAsia="宋体" w:cs="宋体"/>
          <w:kern w:val="2"/>
        </w:rPr>
      </w:pPr>
      <w:r>
        <w:rPr>
          <w:rFonts w:hint="eastAsia" w:ascii="宋体" w:hAnsi="宋体" w:eastAsia="宋体" w:cs="宋体"/>
          <w:kern w:val="2"/>
        </w:rPr>
        <w:t>根据预处理好的格式结果输入到同化系统中，自动生成同化后的结果文件，处理成功的结果可以直接输入给数值模式。</w:t>
      </w:r>
    </w:p>
    <w:p>
      <w:pPr>
        <w:pStyle w:val="38"/>
        <w:widowControl w:val="0"/>
        <w:adjustRightInd w:val="0"/>
        <w:snapToGrid w:val="0"/>
        <w:spacing w:line="360" w:lineRule="auto"/>
        <w:ind w:firstLine="0" w:firstLineChars="0"/>
        <w:rPr>
          <w:rFonts w:hint="eastAsia" w:ascii="宋体" w:hAnsi="宋体" w:eastAsia="宋体" w:cs="宋体"/>
        </w:rPr>
      </w:pPr>
      <w:r>
        <w:rPr>
          <w:rFonts w:hint="eastAsia" w:ascii="宋体" w:hAnsi="宋体" w:eastAsia="宋体" w:cs="宋体"/>
        </w:rPr>
        <w:t>（4）FY-3卫星环境数据同化效果检验模块</w:t>
      </w:r>
    </w:p>
    <w:p>
      <w:pPr>
        <w:pStyle w:val="38"/>
        <w:widowControl w:val="0"/>
        <w:adjustRightInd w:val="0"/>
        <w:snapToGrid w:val="0"/>
        <w:spacing w:line="360" w:lineRule="auto"/>
        <w:ind w:firstLine="480"/>
        <w:rPr>
          <w:rFonts w:hint="eastAsia" w:ascii="宋体" w:hAnsi="宋体" w:eastAsia="宋体" w:cs="宋体"/>
        </w:rPr>
      </w:pPr>
      <w:r>
        <w:rPr>
          <w:rFonts w:hint="eastAsia" w:ascii="宋体" w:hAnsi="宋体" w:eastAsia="宋体" w:cs="宋体"/>
        </w:rPr>
        <w:t>将同化后的模式初始场信息输入现有数值模型，重新运行并输出相应的模式结果，对原有运行的模式结果数据和新的运行结果进行数据提取和展示。</w:t>
      </w:r>
    </w:p>
    <w:p>
      <w:pPr>
        <w:pStyle w:val="38"/>
        <w:widowControl w:val="0"/>
        <w:adjustRightInd w:val="0"/>
        <w:snapToGrid w:val="0"/>
        <w:spacing w:line="360" w:lineRule="auto"/>
        <w:ind w:firstLine="0" w:firstLineChars="0"/>
        <w:rPr>
          <w:rFonts w:hint="eastAsia" w:ascii="宋体" w:hAnsi="宋体" w:eastAsia="宋体" w:cs="宋体"/>
        </w:rPr>
      </w:pPr>
      <w:r>
        <w:rPr>
          <w:rFonts w:hint="eastAsia" w:ascii="宋体" w:hAnsi="宋体" w:eastAsia="宋体" w:cs="宋体"/>
        </w:rPr>
        <w:t>（5）排放源订正数据库模块</w:t>
      </w:r>
    </w:p>
    <w:p>
      <w:pPr>
        <w:pStyle w:val="38"/>
        <w:widowControl w:val="0"/>
        <w:adjustRightInd w:val="0"/>
        <w:snapToGrid w:val="0"/>
        <w:spacing w:line="360" w:lineRule="auto"/>
        <w:ind w:firstLine="480"/>
        <w:rPr>
          <w:rFonts w:hint="eastAsia" w:ascii="宋体" w:hAnsi="宋体" w:eastAsia="宋体" w:cs="宋体"/>
        </w:rPr>
      </w:pPr>
      <w:r>
        <w:rPr>
          <w:rFonts w:hint="eastAsia" w:ascii="宋体" w:hAnsi="宋体" w:eastAsia="宋体" w:cs="宋体"/>
        </w:rPr>
        <w:t>建立格点化的地面排放年变化因子和月变化因子，以此为依据修正近三年NOX排放清单。</w:t>
      </w:r>
    </w:p>
    <w:p>
      <w:pPr>
        <w:pStyle w:val="38"/>
        <w:widowControl w:val="0"/>
        <w:adjustRightInd w:val="0"/>
        <w:snapToGrid w:val="0"/>
        <w:spacing w:line="360" w:lineRule="auto"/>
        <w:ind w:firstLine="0" w:firstLineChars="0"/>
        <w:rPr>
          <w:rFonts w:hint="eastAsia" w:ascii="宋体" w:hAnsi="宋体" w:eastAsia="宋体" w:cs="宋体"/>
        </w:rPr>
      </w:pPr>
      <w:r>
        <w:rPr>
          <w:rFonts w:hint="eastAsia" w:ascii="宋体" w:hAnsi="宋体" w:eastAsia="宋体" w:cs="宋体"/>
          <w:kern w:val="2"/>
        </w:rPr>
        <w:t>（6）</w:t>
      </w:r>
      <w:r>
        <w:rPr>
          <w:rFonts w:hint="eastAsia" w:ascii="宋体" w:hAnsi="宋体" w:eastAsia="宋体" w:cs="宋体"/>
        </w:rPr>
        <w:t>基于FY-3环境产品的排放清单实测及验证模块</w:t>
      </w:r>
    </w:p>
    <w:p>
      <w:pPr>
        <w:pStyle w:val="38"/>
        <w:numPr>
          <w:ilvl w:val="255"/>
          <w:numId w:val="0"/>
        </w:numPr>
        <w:snapToGrid w:val="0"/>
        <w:spacing w:line="360" w:lineRule="auto"/>
        <w:ind w:firstLine="480" w:firstLineChars="200"/>
        <w:rPr>
          <w:rFonts w:hint="eastAsia" w:ascii="宋体" w:hAnsi="宋体" w:eastAsia="宋体" w:cs="宋体"/>
        </w:rPr>
      </w:pPr>
      <w:r>
        <w:rPr>
          <w:rFonts w:hint="eastAsia" w:ascii="宋体" w:hAnsi="宋体" w:eastAsia="宋体" w:cs="宋体"/>
        </w:rPr>
        <w:t>利用高分辨率WRF-CHEM模式对原始清单和修正清单进行模拟对比，检验对地面主要污染物的模拟效果。</w:t>
      </w:r>
    </w:p>
    <w:p>
      <w:pPr>
        <w:pStyle w:val="38"/>
        <w:widowControl w:val="0"/>
        <w:adjustRightInd w:val="0"/>
        <w:snapToGrid w:val="0"/>
        <w:spacing w:line="360" w:lineRule="auto"/>
        <w:ind w:firstLine="0" w:firstLineChars="0"/>
        <w:rPr>
          <w:rFonts w:hint="eastAsia" w:ascii="宋体" w:hAnsi="宋体" w:eastAsia="宋体" w:cs="宋体"/>
        </w:rPr>
      </w:pPr>
      <w:r>
        <w:rPr>
          <w:rFonts w:hint="eastAsia" w:ascii="宋体" w:hAnsi="宋体" w:eastAsia="宋体" w:cs="宋体"/>
        </w:rPr>
        <w:t>（7）FY-3长三角环境应用产品与服务一体化模块</w:t>
      </w:r>
    </w:p>
    <w:p>
      <w:pPr>
        <w:pStyle w:val="38"/>
        <w:widowControl w:val="0"/>
        <w:adjustRightInd w:val="0"/>
        <w:snapToGrid w:val="0"/>
        <w:spacing w:line="360" w:lineRule="auto"/>
        <w:ind w:firstLine="480"/>
        <w:rPr>
          <w:rFonts w:hint="eastAsia" w:ascii="宋体" w:hAnsi="宋体" w:eastAsia="宋体" w:cs="宋体"/>
        </w:rPr>
      </w:pPr>
      <w:r>
        <w:rPr>
          <w:rFonts w:hint="eastAsia" w:ascii="宋体" w:hAnsi="宋体" w:eastAsia="宋体" w:cs="宋体"/>
        </w:rPr>
        <w:t>对具有长三角特色的FY3或其他卫星产品进行多种形式的展示和对比分析，并提供各种FY3或其他卫星原始产品数据和深入加工产品的数据的服务模块，实现可视化界面展示。</w:t>
      </w:r>
    </w:p>
    <w:p>
      <w:pPr>
        <w:pStyle w:val="38"/>
        <w:numPr>
          <w:ilvl w:val="0"/>
          <w:numId w:val="6"/>
        </w:numPr>
        <w:snapToGrid w:val="0"/>
        <w:spacing w:line="360" w:lineRule="auto"/>
        <w:ind w:firstLineChars="0"/>
        <w:rPr>
          <w:rFonts w:hint="eastAsia" w:ascii="宋体" w:hAnsi="宋体" w:eastAsia="宋体" w:cs="宋体"/>
          <w:b/>
          <w:color w:val="000000"/>
        </w:rPr>
      </w:pPr>
      <w:r>
        <w:rPr>
          <w:rFonts w:hint="eastAsia" w:ascii="宋体" w:hAnsi="宋体" w:eastAsia="宋体" w:cs="宋体"/>
          <w:b/>
          <w:color w:val="000000"/>
        </w:rPr>
        <w:t>重点区域多源卫星资料协同分析分系统</w:t>
      </w:r>
    </w:p>
    <w:p>
      <w:pPr>
        <w:widowControl/>
        <w:spacing w:line="360" w:lineRule="auto"/>
        <w:jc w:val="left"/>
        <w:rPr>
          <w:rFonts w:hint="eastAsia" w:ascii="宋体" w:hAnsi="宋体" w:eastAsia="宋体" w:cs="宋体"/>
          <w:b/>
          <w:sz w:val="24"/>
        </w:rPr>
      </w:pPr>
      <w:r>
        <w:rPr>
          <w:rFonts w:hint="eastAsia" w:ascii="宋体" w:hAnsi="宋体" w:eastAsia="宋体" w:cs="宋体"/>
          <w:b/>
          <w:sz w:val="24"/>
        </w:rPr>
        <w:t>（1）二氧化氮融合模块</w:t>
      </w:r>
    </w:p>
    <w:p>
      <w:pPr>
        <w:pStyle w:val="38"/>
        <w:widowControl w:val="0"/>
        <w:numPr>
          <w:ilvl w:val="0"/>
          <w:numId w:val="10"/>
        </w:numPr>
        <w:adjustRightInd w:val="0"/>
        <w:snapToGrid w:val="0"/>
        <w:spacing w:line="360" w:lineRule="auto"/>
        <w:ind w:firstLineChars="0"/>
        <w:rPr>
          <w:rFonts w:hint="eastAsia" w:ascii="宋体" w:hAnsi="宋体" w:eastAsia="宋体" w:cs="宋体"/>
          <w:kern w:val="2"/>
        </w:rPr>
      </w:pPr>
      <w:r>
        <w:rPr>
          <w:rFonts w:hint="eastAsia" w:ascii="宋体" w:hAnsi="宋体" w:eastAsia="宋体" w:cs="宋体"/>
          <w:kern w:val="2"/>
        </w:rPr>
        <w:t>实现不少于两种卫星（TROPOMI、OMI、GEMS、GOME等）的二氧化氮浓度产品的自动下载和整理；</w:t>
      </w:r>
    </w:p>
    <w:p>
      <w:pPr>
        <w:pStyle w:val="38"/>
        <w:widowControl w:val="0"/>
        <w:numPr>
          <w:ilvl w:val="0"/>
          <w:numId w:val="10"/>
        </w:numPr>
        <w:adjustRightInd w:val="0"/>
        <w:snapToGrid w:val="0"/>
        <w:spacing w:line="360" w:lineRule="auto"/>
        <w:ind w:firstLineChars="0"/>
        <w:rPr>
          <w:rFonts w:hint="eastAsia" w:ascii="宋体" w:hAnsi="宋体" w:eastAsia="宋体" w:cs="宋体"/>
          <w:kern w:val="2"/>
        </w:rPr>
      </w:pPr>
      <w:r>
        <w:rPr>
          <w:rFonts w:hint="eastAsia" w:ascii="宋体" w:hAnsi="宋体" w:eastAsia="宋体" w:cs="宋体"/>
          <w:kern w:val="2"/>
        </w:rPr>
        <w:t>分析各卫星产品误差分布特征的基础上，研发基于多源卫星二氧化氮浓度产品的融合算法；</w:t>
      </w:r>
    </w:p>
    <w:p>
      <w:pPr>
        <w:pStyle w:val="38"/>
        <w:widowControl w:val="0"/>
        <w:numPr>
          <w:ilvl w:val="0"/>
          <w:numId w:val="10"/>
        </w:numPr>
        <w:adjustRightInd w:val="0"/>
        <w:snapToGrid w:val="0"/>
        <w:spacing w:line="360" w:lineRule="auto"/>
        <w:ind w:firstLineChars="0"/>
        <w:rPr>
          <w:rFonts w:hint="eastAsia" w:ascii="宋体" w:hAnsi="宋体" w:eastAsia="宋体" w:cs="宋体"/>
          <w:kern w:val="2"/>
        </w:rPr>
      </w:pPr>
      <w:r>
        <w:rPr>
          <w:rFonts w:hint="eastAsia" w:ascii="宋体" w:hAnsi="宋体" w:eastAsia="宋体" w:cs="宋体"/>
          <w:kern w:val="2"/>
        </w:rPr>
        <w:t>实现二氧化氮浓度产品融合产品（日、旬、月、季、年）的业务化制作和分发；</w:t>
      </w:r>
    </w:p>
    <w:p>
      <w:pPr>
        <w:widowControl/>
        <w:spacing w:line="360" w:lineRule="auto"/>
        <w:jc w:val="left"/>
        <w:rPr>
          <w:rFonts w:hint="eastAsia" w:ascii="宋体" w:hAnsi="宋体" w:eastAsia="宋体" w:cs="宋体"/>
          <w:b/>
          <w:sz w:val="24"/>
        </w:rPr>
      </w:pPr>
      <w:r>
        <w:rPr>
          <w:rFonts w:hint="eastAsia" w:ascii="宋体" w:hAnsi="宋体" w:eastAsia="宋体" w:cs="宋体"/>
          <w:b/>
          <w:sz w:val="24"/>
        </w:rPr>
        <w:t>（2）二氧化硫融合模块</w:t>
      </w:r>
    </w:p>
    <w:p>
      <w:pPr>
        <w:pStyle w:val="38"/>
        <w:widowControl w:val="0"/>
        <w:numPr>
          <w:ilvl w:val="0"/>
          <w:numId w:val="11"/>
        </w:numPr>
        <w:adjustRightInd w:val="0"/>
        <w:snapToGrid w:val="0"/>
        <w:spacing w:line="360" w:lineRule="auto"/>
        <w:ind w:firstLineChars="0"/>
        <w:rPr>
          <w:rFonts w:hint="eastAsia" w:ascii="宋体" w:hAnsi="宋体" w:eastAsia="宋体" w:cs="宋体"/>
          <w:kern w:val="2"/>
        </w:rPr>
      </w:pPr>
      <w:r>
        <w:rPr>
          <w:rFonts w:hint="eastAsia" w:ascii="宋体" w:hAnsi="宋体" w:eastAsia="宋体" w:cs="宋体"/>
          <w:kern w:val="2"/>
        </w:rPr>
        <w:t>实现不少于两种卫星（TOMS、GOME、NPP、TROPOMI、Metop、OMI等）的二氧化硫浓度产品的自动下载和整理；</w:t>
      </w:r>
    </w:p>
    <w:p>
      <w:pPr>
        <w:pStyle w:val="38"/>
        <w:widowControl w:val="0"/>
        <w:numPr>
          <w:ilvl w:val="0"/>
          <w:numId w:val="11"/>
        </w:numPr>
        <w:adjustRightInd w:val="0"/>
        <w:snapToGrid w:val="0"/>
        <w:spacing w:line="360" w:lineRule="auto"/>
        <w:ind w:firstLineChars="0"/>
        <w:rPr>
          <w:rFonts w:hint="eastAsia" w:ascii="宋体" w:hAnsi="宋体" w:eastAsia="宋体" w:cs="宋体"/>
          <w:kern w:val="2"/>
        </w:rPr>
      </w:pPr>
      <w:r>
        <w:rPr>
          <w:rFonts w:hint="eastAsia" w:ascii="宋体" w:hAnsi="宋体" w:eastAsia="宋体" w:cs="宋体"/>
          <w:kern w:val="2"/>
        </w:rPr>
        <w:t>分析各卫星产品误差分布特征的基础上，研发基于多源卫星二氧化硫浓度产品的融合算法；</w:t>
      </w:r>
    </w:p>
    <w:p>
      <w:pPr>
        <w:pStyle w:val="38"/>
        <w:widowControl w:val="0"/>
        <w:numPr>
          <w:ilvl w:val="0"/>
          <w:numId w:val="11"/>
        </w:numPr>
        <w:adjustRightInd w:val="0"/>
        <w:snapToGrid w:val="0"/>
        <w:spacing w:line="360" w:lineRule="auto"/>
        <w:ind w:firstLineChars="0"/>
        <w:rPr>
          <w:rFonts w:hint="eastAsia" w:ascii="宋体" w:hAnsi="宋体" w:eastAsia="宋体" w:cs="宋体"/>
          <w:kern w:val="2"/>
        </w:rPr>
      </w:pPr>
      <w:r>
        <w:rPr>
          <w:rFonts w:hint="eastAsia" w:ascii="宋体" w:hAnsi="宋体" w:eastAsia="宋体" w:cs="宋体"/>
          <w:kern w:val="2"/>
        </w:rPr>
        <w:t>实现二氧化硫浓度产品融合产品（日、旬、月、季、年）的业务化制作和分发；</w:t>
      </w:r>
    </w:p>
    <w:p>
      <w:pPr>
        <w:pStyle w:val="38"/>
        <w:numPr>
          <w:ilvl w:val="0"/>
          <w:numId w:val="6"/>
        </w:numPr>
        <w:snapToGrid w:val="0"/>
        <w:spacing w:line="360" w:lineRule="auto"/>
        <w:ind w:firstLineChars="0"/>
        <w:rPr>
          <w:rFonts w:hint="eastAsia" w:ascii="宋体" w:hAnsi="宋体" w:eastAsia="宋体" w:cs="宋体"/>
          <w:b/>
          <w:color w:val="000000"/>
        </w:rPr>
      </w:pPr>
      <w:r>
        <w:rPr>
          <w:rFonts w:hint="eastAsia" w:ascii="宋体" w:hAnsi="宋体" w:eastAsia="宋体" w:cs="宋体"/>
          <w:b/>
          <w:color w:val="000000"/>
        </w:rPr>
        <w:t>基于云技术的统一门户分系统</w:t>
      </w:r>
    </w:p>
    <w:p>
      <w:pPr>
        <w:widowControl/>
        <w:spacing w:line="360" w:lineRule="auto"/>
        <w:jc w:val="left"/>
        <w:rPr>
          <w:rFonts w:hint="eastAsia" w:ascii="宋体" w:hAnsi="宋体" w:eastAsia="宋体" w:cs="宋体"/>
          <w:b/>
          <w:sz w:val="24"/>
        </w:rPr>
      </w:pPr>
      <w:r>
        <w:rPr>
          <w:rFonts w:hint="eastAsia" w:ascii="宋体" w:hAnsi="宋体" w:eastAsia="宋体" w:cs="宋体"/>
          <w:b/>
          <w:sz w:val="24"/>
        </w:rPr>
        <w:t>（1）综合产品展示效果预显示模块</w:t>
      </w:r>
    </w:p>
    <w:p>
      <w:pPr>
        <w:pStyle w:val="38"/>
        <w:widowControl w:val="0"/>
        <w:numPr>
          <w:ilvl w:val="0"/>
          <w:numId w:val="12"/>
        </w:numPr>
        <w:adjustRightInd w:val="0"/>
        <w:snapToGrid w:val="0"/>
        <w:spacing w:line="360" w:lineRule="auto"/>
        <w:ind w:firstLineChars="0"/>
        <w:rPr>
          <w:rFonts w:hint="eastAsia" w:ascii="宋体" w:hAnsi="宋体" w:eastAsia="宋体" w:cs="宋体"/>
          <w:kern w:val="2"/>
        </w:rPr>
      </w:pPr>
      <w:r>
        <w:rPr>
          <w:rFonts w:hint="eastAsia" w:ascii="宋体" w:hAnsi="宋体" w:eastAsia="宋体" w:cs="宋体"/>
          <w:kern w:val="2"/>
        </w:rPr>
        <w:t>服务导航功能：展现开放的目录服务，包括数据服务和产品服务，用户可以通过模糊查询定位到具体的或某类服务上，同时可以进行服务订阅。系统可以根据用户订阅内容将最新服务实时推送给订阅的用户，便于用户第一时间得到最新的数据信息。</w:t>
      </w:r>
    </w:p>
    <w:p>
      <w:pPr>
        <w:pStyle w:val="38"/>
        <w:widowControl w:val="0"/>
        <w:numPr>
          <w:ilvl w:val="0"/>
          <w:numId w:val="12"/>
        </w:numPr>
        <w:adjustRightInd w:val="0"/>
        <w:snapToGrid w:val="0"/>
        <w:spacing w:line="360" w:lineRule="auto"/>
        <w:ind w:firstLineChars="0"/>
        <w:rPr>
          <w:rFonts w:hint="eastAsia" w:ascii="宋体" w:hAnsi="宋体" w:eastAsia="宋体" w:cs="宋体"/>
          <w:kern w:val="2"/>
        </w:rPr>
      </w:pPr>
      <w:r>
        <w:rPr>
          <w:rFonts w:hint="eastAsia" w:ascii="宋体" w:hAnsi="宋体" w:eastAsia="宋体" w:cs="宋体"/>
          <w:kern w:val="2"/>
        </w:rPr>
        <w:t>可视化功能：提供数据产品在线可视化服务功能，预报产品在线即可直接访问浏览和下载，通过多样化展现形式，实现数据可视化功能。</w:t>
      </w:r>
    </w:p>
    <w:p>
      <w:pPr>
        <w:pStyle w:val="38"/>
        <w:widowControl w:val="0"/>
        <w:numPr>
          <w:ilvl w:val="0"/>
          <w:numId w:val="12"/>
        </w:numPr>
        <w:adjustRightInd w:val="0"/>
        <w:snapToGrid w:val="0"/>
        <w:spacing w:line="360" w:lineRule="auto"/>
        <w:ind w:firstLineChars="0"/>
        <w:rPr>
          <w:rFonts w:hint="eastAsia" w:ascii="宋体" w:hAnsi="宋体" w:eastAsia="宋体" w:cs="宋体"/>
          <w:kern w:val="2"/>
        </w:rPr>
      </w:pPr>
      <w:r>
        <w:rPr>
          <w:rFonts w:hint="eastAsia" w:ascii="宋体" w:hAnsi="宋体" w:eastAsia="宋体" w:cs="宋体"/>
          <w:kern w:val="2"/>
        </w:rPr>
        <w:t>标注标绘功能：对可视化场景提供图形标绘、符号标绘和文字标绘服务，并提供各标绘元件的编辑功能，通过标绘细节调整按钮用户可以再次对其参数相关的按钮用鼠标拖曳的方式进行修改；</w:t>
      </w:r>
    </w:p>
    <w:p>
      <w:pPr>
        <w:pStyle w:val="38"/>
        <w:widowControl w:val="0"/>
        <w:numPr>
          <w:ilvl w:val="0"/>
          <w:numId w:val="12"/>
        </w:numPr>
        <w:adjustRightInd w:val="0"/>
        <w:snapToGrid w:val="0"/>
        <w:spacing w:line="360" w:lineRule="auto"/>
        <w:ind w:firstLineChars="0"/>
        <w:rPr>
          <w:rFonts w:hint="eastAsia" w:ascii="宋体" w:hAnsi="宋体" w:eastAsia="宋体" w:cs="宋体"/>
          <w:kern w:val="2"/>
        </w:rPr>
      </w:pPr>
      <w:r>
        <w:rPr>
          <w:rFonts w:hint="eastAsia" w:ascii="宋体" w:hAnsi="宋体" w:eastAsia="宋体" w:cs="宋体"/>
          <w:kern w:val="2"/>
        </w:rPr>
        <w:t>服务定制化功能：提供不同粒度的主题产品，用户可以根据系统的类型自由选择定制需要的服务。系统通过快速查询、处理生成定制化的产品或数据，供用户调阅或下载使用。同时用户可以对于产品进行评论和标注，系统将对评论的内容进行分析，利用分析的结果进行产品优化或新产品的开发。</w:t>
      </w:r>
    </w:p>
    <w:p>
      <w:pPr>
        <w:widowControl/>
        <w:spacing w:line="360" w:lineRule="auto"/>
        <w:jc w:val="left"/>
        <w:rPr>
          <w:rFonts w:hint="eastAsia" w:ascii="宋体" w:hAnsi="宋体" w:eastAsia="宋体" w:cs="宋体"/>
          <w:b/>
          <w:sz w:val="24"/>
        </w:rPr>
      </w:pPr>
      <w:r>
        <w:rPr>
          <w:rFonts w:hint="eastAsia" w:ascii="宋体" w:hAnsi="宋体" w:eastAsia="宋体" w:cs="宋体"/>
          <w:b/>
          <w:sz w:val="24"/>
        </w:rPr>
        <w:t>（2）综合产品内部管理模块</w:t>
      </w:r>
    </w:p>
    <w:p>
      <w:pPr>
        <w:pStyle w:val="38"/>
        <w:widowControl w:val="0"/>
        <w:numPr>
          <w:ilvl w:val="0"/>
          <w:numId w:val="13"/>
        </w:numPr>
        <w:adjustRightInd w:val="0"/>
        <w:snapToGrid w:val="0"/>
        <w:spacing w:line="360" w:lineRule="auto"/>
        <w:ind w:firstLineChars="0"/>
        <w:rPr>
          <w:rFonts w:hint="eastAsia" w:ascii="宋体" w:hAnsi="宋体" w:eastAsia="宋体" w:cs="宋体"/>
          <w:kern w:val="2"/>
        </w:rPr>
      </w:pPr>
      <w:r>
        <w:rPr>
          <w:rFonts w:hint="eastAsia" w:ascii="宋体" w:hAnsi="宋体" w:eastAsia="宋体" w:cs="宋体"/>
          <w:kern w:val="2"/>
        </w:rPr>
        <w:t>弹性计算资源的管理：提供对公共云弹性计算资源增加、删除和变更计算资源节点和虚拟系统，以满足计算需求，并提供相应的统计报表数。</w:t>
      </w:r>
    </w:p>
    <w:p>
      <w:pPr>
        <w:pStyle w:val="38"/>
        <w:widowControl w:val="0"/>
        <w:numPr>
          <w:ilvl w:val="0"/>
          <w:numId w:val="13"/>
        </w:numPr>
        <w:adjustRightInd w:val="0"/>
        <w:snapToGrid w:val="0"/>
        <w:spacing w:line="360" w:lineRule="auto"/>
        <w:ind w:firstLineChars="0"/>
        <w:rPr>
          <w:rFonts w:hint="eastAsia" w:ascii="宋体" w:hAnsi="宋体" w:eastAsia="宋体" w:cs="宋体"/>
          <w:kern w:val="2"/>
        </w:rPr>
      </w:pPr>
      <w:r>
        <w:rPr>
          <w:rFonts w:hint="eastAsia" w:ascii="宋体" w:hAnsi="宋体" w:eastAsia="宋体" w:cs="宋体"/>
          <w:kern w:val="2"/>
        </w:rPr>
        <w:t>存储资源的管理：按照数据使用热度，以及按照一定比例设置热数据、温数据和冷数据的管理策略，基于统一的数据访问接口，实现数据在三类存储服务中动态迁移，提高使用率和合理性。</w:t>
      </w:r>
    </w:p>
    <w:p>
      <w:pPr>
        <w:pStyle w:val="38"/>
        <w:widowControl w:val="0"/>
        <w:numPr>
          <w:ilvl w:val="0"/>
          <w:numId w:val="13"/>
        </w:numPr>
        <w:adjustRightInd w:val="0"/>
        <w:snapToGrid w:val="0"/>
        <w:spacing w:line="360" w:lineRule="auto"/>
        <w:ind w:firstLineChars="0"/>
        <w:rPr>
          <w:rFonts w:hint="eastAsia" w:ascii="宋体" w:hAnsi="宋体" w:eastAsia="宋体" w:cs="宋体"/>
          <w:kern w:val="2"/>
        </w:rPr>
      </w:pPr>
      <w:r>
        <w:rPr>
          <w:rFonts w:hint="eastAsia" w:ascii="宋体" w:hAnsi="宋体" w:eastAsia="宋体" w:cs="宋体"/>
          <w:kern w:val="2"/>
        </w:rPr>
        <w:t>网络资源的管理：建设平台所需的专用网络和附加网络资源的方式，提高网络的效率以及网络安全性。</w:t>
      </w:r>
    </w:p>
    <w:p>
      <w:pPr>
        <w:pStyle w:val="38"/>
        <w:widowControl w:val="0"/>
        <w:numPr>
          <w:ilvl w:val="0"/>
          <w:numId w:val="13"/>
        </w:numPr>
        <w:adjustRightInd w:val="0"/>
        <w:snapToGrid w:val="0"/>
        <w:spacing w:line="360" w:lineRule="auto"/>
        <w:ind w:firstLineChars="0"/>
        <w:rPr>
          <w:rFonts w:hint="eastAsia" w:ascii="宋体" w:hAnsi="宋体" w:eastAsia="宋体" w:cs="宋体"/>
          <w:kern w:val="2"/>
        </w:rPr>
      </w:pPr>
      <w:r>
        <w:rPr>
          <w:rFonts w:hint="eastAsia" w:ascii="宋体" w:hAnsi="宋体" w:eastAsia="宋体" w:cs="宋体"/>
          <w:kern w:val="2"/>
        </w:rPr>
        <w:t>数据资源的管理：通过云平台，针对数据可以实现在线管理、提供删除、修改、以及迁移等操作，以提供特殊需求提供管理入口，并对数据进行有效多维度统计。</w:t>
      </w:r>
    </w:p>
    <w:p>
      <w:pPr>
        <w:pStyle w:val="38"/>
        <w:widowControl w:val="0"/>
        <w:numPr>
          <w:ilvl w:val="0"/>
          <w:numId w:val="13"/>
        </w:numPr>
        <w:adjustRightInd w:val="0"/>
        <w:snapToGrid w:val="0"/>
        <w:spacing w:line="360" w:lineRule="auto"/>
        <w:ind w:firstLineChars="0"/>
        <w:rPr>
          <w:rFonts w:hint="eastAsia" w:ascii="宋体" w:hAnsi="宋体" w:eastAsia="宋体" w:cs="宋体"/>
          <w:kern w:val="2"/>
        </w:rPr>
      </w:pPr>
      <w:r>
        <w:rPr>
          <w:rFonts w:hint="eastAsia" w:ascii="宋体" w:hAnsi="宋体" w:eastAsia="宋体" w:cs="宋体"/>
          <w:kern w:val="2"/>
        </w:rPr>
        <w:t>平台用户和权限管理：云平台的整个服务的用户信息和权限信息的管理，提供用户注册、管理、删除等操作；云平台的权限管理，创建和修改特定的权限，并可以为每个用户赋制定权限，或者按照策略自动获取相应级别的权限。</w:t>
      </w:r>
    </w:p>
    <w:p>
      <w:pPr>
        <w:pStyle w:val="38"/>
        <w:widowControl w:val="0"/>
        <w:numPr>
          <w:ilvl w:val="0"/>
          <w:numId w:val="13"/>
        </w:numPr>
        <w:adjustRightInd w:val="0"/>
        <w:snapToGrid w:val="0"/>
        <w:spacing w:line="360" w:lineRule="auto"/>
        <w:ind w:firstLineChars="0"/>
        <w:rPr>
          <w:rFonts w:hint="eastAsia" w:ascii="宋体" w:hAnsi="宋体" w:eastAsia="宋体" w:cs="宋体"/>
          <w:kern w:val="2"/>
        </w:rPr>
      </w:pPr>
      <w:r>
        <w:rPr>
          <w:rFonts w:hint="eastAsia" w:ascii="宋体" w:hAnsi="宋体" w:eastAsia="宋体" w:cs="宋体"/>
          <w:kern w:val="2"/>
        </w:rPr>
        <w:t>综合统计功能：提供资源的使用率统计报表，例如计算资源（CPU、内存、网络、IO等），存储（容量、访问量），可实时监控整个云平台的运行状况，为资源调配提供参考。</w:t>
      </w:r>
    </w:p>
    <w:p>
      <w:pPr>
        <w:widowControl/>
        <w:spacing w:line="360" w:lineRule="auto"/>
        <w:jc w:val="left"/>
        <w:rPr>
          <w:rFonts w:hint="eastAsia" w:ascii="宋体" w:hAnsi="宋体" w:eastAsia="宋体" w:cs="宋体"/>
          <w:b/>
          <w:sz w:val="24"/>
        </w:rPr>
      </w:pPr>
      <w:r>
        <w:rPr>
          <w:rFonts w:hint="eastAsia" w:ascii="宋体" w:hAnsi="宋体" w:eastAsia="宋体" w:cs="宋体"/>
          <w:b/>
          <w:sz w:val="24"/>
        </w:rPr>
        <w:t>（3）综合产品内部监控模块</w:t>
      </w:r>
    </w:p>
    <w:p>
      <w:pPr>
        <w:pStyle w:val="38"/>
        <w:widowControl w:val="0"/>
        <w:numPr>
          <w:ilvl w:val="0"/>
          <w:numId w:val="14"/>
        </w:numPr>
        <w:adjustRightInd w:val="0"/>
        <w:snapToGrid w:val="0"/>
        <w:spacing w:line="360" w:lineRule="auto"/>
        <w:ind w:firstLineChars="0"/>
        <w:rPr>
          <w:rFonts w:hint="eastAsia" w:ascii="宋体" w:hAnsi="宋体" w:eastAsia="宋体" w:cs="宋体"/>
          <w:kern w:val="2"/>
        </w:rPr>
      </w:pPr>
      <w:r>
        <w:rPr>
          <w:rFonts w:hint="eastAsia" w:ascii="宋体" w:hAnsi="宋体" w:eastAsia="宋体" w:cs="宋体"/>
          <w:kern w:val="2"/>
        </w:rPr>
        <w:t>系统状态监控：计算资源利用率情况监控：通过该模块提供了及时统计数据的图形化显示，采用折线图等友好的界面，提供每个系统的使用量以及负载情况，为运维人员提供实时状态信息，以便更好的了解各个资源系统健康状况，为资源优化调整提供依据。</w:t>
      </w:r>
    </w:p>
    <w:p>
      <w:pPr>
        <w:pStyle w:val="38"/>
        <w:widowControl w:val="0"/>
        <w:numPr>
          <w:ilvl w:val="0"/>
          <w:numId w:val="14"/>
        </w:numPr>
        <w:adjustRightInd w:val="0"/>
        <w:snapToGrid w:val="0"/>
        <w:spacing w:line="360" w:lineRule="auto"/>
        <w:ind w:firstLineChars="0"/>
        <w:rPr>
          <w:rFonts w:hint="eastAsia" w:ascii="宋体" w:hAnsi="宋体" w:eastAsia="宋体" w:cs="宋体"/>
          <w:kern w:val="2"/>
        </w:rPr>
      </w:pPr>
      <w:r>
        <w:rPr>
          <w:rFonts w:hint="eastAsia" w:ascii="宋体" w:hAnsi="宋体" w:eastAsia="宋体" w:cs="宋体"/>
          <w:kern w:val="2"/>
        </w:rPr>
        <w:t>业务监控：针对实时业务进行完整性和及时性状态显示，通过业务系统的相应信息数据，实现对每个业务流程进行全数据链路跟踪监控，出现问题，即可按照预设方案流程执行，提高业务系统的稳定性。</w:t>
      </w:r>
    </w:p>
    <w:p>
      <w:pPr>
        <w:pStyle w:val="38"/>
        <w:widowControl w:val="0"/>
        <w:numPr>
          <w:ilvl w:val="0"/>
          <w:numId w:val="14"/>
        </w:numPr>
        <w:adjustRightInd w:val="0"/>
        <w:snapToGrid w:val="0"/>
        <w:spacing w:line="360" w:lineRule="auto"/>
        <w:ind w:firstLineChars="0"/>
        <w:rPr>
          <w:rFonts w:hint="eastAsia" w:ascii="宋体" w:hAnsi="宋体" w:eastAsia="宋体" w:cs="宋体"/>
          <w:kern w:val="2"/>
        </w:rPr>
      </w:pPr>
      <w:r>
        <w:rPr>
          <w:rFonts w:hint="eastAsia" w:ascii="宋体" w:hAnsi="宋体" w:eastAsia="宋体" w:cs="宋体"/>
          <w:kern w:val="2"/>
        </w:rPr>
        <w:t>服务状态：通过业务服务提供的访问数据信息，采用折现图、柱形图等多种形式，提供一个直观的数据服务状态，为提高用户体验提供依据。</w:t>
      </w:r>
    </w:p>
    <w:p>
      <w:pPr>
        <w:pStyle w:val="38"/>
        <w:numPr>
          <w:ilvl w:val="0"/>
          <w:numId w:val="6"/>
        </w:numPr>
        <w:snapToGrid w:val="0"/>
        <w:spacing w:line="360" w:lineRule="auto"/>
        <w:ind w:firstLineChars="0"/>
        <w:rPr>
          <w:rFonts w:hint="eastAsia" w:ascii="宋体" w:hAnsi="宋体" w:eastAsia="宋体" w:cs="宋体"/>
          <w:b/>
        </w:rPr>
      </w:pPr>
      <w:r>
        <w:rPr>
          <w:rFonts w:hint="eastAsia" w:ascii="宋体" w:hAnsi="宋体" w:eastAsia="宋体" w:cs="宋体"/>
          <w:b/>
        </w:rPr>
        <w:t>长三角城市群生态承载力评估分系统</w:t>
      </w:r>
    </w:p>
    <w:p>
      <w:pPr>
        <w:pStyle w:val="38"/>
        <w:numPr>
          <w:ilvl w:val="0"/>
          <w:numId w:val="15"/>
        </w:numPr>
        <w:spacing w:line="360" w:lineRule="auto"/>
        <w:ind w:firstLineChars="0"/>
        <w:rPr>
          <w:rFonts w:hint="eastAsia" w:ascii="宋体" w:hAnsi="宋体" w:eastAsia="宋体" w:cs="宋体"/>
          <w:b/>
        </w:rPr>
      </w:pPr>
      <w:r>
        <w:rPr>
          <w:rFonts w:hint="eastAsia" w:ascii="宋体" w:hAnsi="宋体" w:eastAsia="宋体" w:cs="宋体"/>
          <w:b/>
        </w:rPr>
        <w:t>数据一致化处理模块</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实现FY-3、MODIS土地覆盖分类、NDVI、NPP、LST产品（含对应日、旬、月、年）和FY-3影像的自动下载和归档整理。实现FY-3、MODIS产品和影像定时自动循环检测，判识过滤出过境长三角的数据进行后续反演计算、合成，针对NPP和LST进行缺失值重建、XGBoost空间细化等处理。对GlobalLand30、ESRI、ESA等多源土地覆盖数据产品、夜间灯光产品以及区域人口、生物资源和能源消费量，粮食、蔬菜单位面积产量等社会经济统计数据按年份进行收集和标准化归档。实现基于气象基础数据的生态气候要素因子库构建，对历史与实时可自动提取、统计与更新。实现上述数据及产品（含HDF、TIF、Shp、Txt）读取，进行格式转换、投影变换与空间插值，统一为一致的空间分辨率和投影方式（等经纬度）的专题数据。</w:t>
      </w:r>
    </w:p>
    <w:p>
      <w:pPr>
        <w:pStyle w:val="38"/>
        <w:numPr>
          <w:ilvl w:val="0"/>
          <w:numId w:val="15"/>
        </w:numPr>
        <w:spacing w:line="360" w:lineRule="auto"/>
        <w:ind w:firstLineChars="0"/>
        <w:rPr>
          <w:rFonts w:hint="eastAsia" w:ascii="宋体" w:hAnsi="宋体" w:eastAsia="宋体" w:cs="宋体"/>
          <w:b/>
        </w:rPr>
      </w:pPr>
      <w:r>
        <w:rPr>
          <w:rFonts w:hint="eastAsia" w:ascii="宋体" w:hAnsi="宋体" w:eastAsia="宋体" w:cs="宋体"/>
          <w:b/>
        </w:rPr>
        <w:t>长三角裁取模块</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收集制作长三角市县镇多级行政区划基础地理信息矢量数据，实现矢量对上述专题栅格数据的长三角区域裁剪，使长三角地域全覆盖提取并且各专题数据空间维数相同。</w:t>
      </w:r>
    </w:p>
    <w:p>
      <w:pPr>
        <w:pStyle w:val="38"/>
        <w:numPr>
          <w:ilvl w:val="0"/>
          <w:numId w:val="15"/>
        </w:numPr>
        <w:spacing w:line="360" w:lineRule="auto"/>
        <w:ind w:firstLineChars="0"/>
        <w:rPr>
          <w:rFonts w:hint="eastAsia" w:ascii="宋体" w:hAnsi="宋体" w:eastAsia="宋体" w:cs="宋体"/>
          <w:b/>
          <w:bCs/>
        </w:rPr>
      </w:pPr>
      <w:r>
        <w:rPr>
          <w:rFonts w:hint="eastAsia" w:ascii="宋体" w:hAnsi="宋体" w:eastAsia="宋体" w:cs="宋体"/>
          <w:b/>
          <w:bCs/>
        </w:rPr>
        <w:t>生态足迹计算模块</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基于数据一致化和长三角裁取生成的多源卫星数据产品以及统计资料，分析确定本地化均衡因子，实现通过状态空间、TOPSIS等数学模型的优选应用，计算人均生态足迹和空间单元生态足迹，标准化格式输出归档。</w:t>
      </w:r>
    </w:p>
    <w:p>
      <w:pPr>
        <w:pStyle w:val="38"/>
        <w:numPr>
          <w:ilvl w:val="0"/>
          <w:numId w:val="15"/>
        </w:numPr>
        <w:spacing w:line="360" w:lineRule="auto"/>
        <w:ind w:firstLineChars="0"/>
        <w:rPr>
          <w:rFonts w:hint="eastAsia" w:ascii="宋体" w:hAnsi="宋体" w:eastAsia="宋体" w:cs="宋体"/>
          <w:b/>
        </w:rPr>
      </w:pPr>
      <w:r>
        <w:rPr>
          <w:rFonts w:hint="eastAsia" w:ascii="宋体" w:hAnsi="宋体" w:eastAsia="宋体" w:cs="宋体"/>
          <w:b/>
        </w:rPr>
        <w:t>生态承载力计算模块</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基于数据一致化和长三角裁取生成的多源卫星数据产品以及统计资料，分析确定本地化均衡、产量因子，实现通过状态空间、TOPSIS等数学模型的优选应用，计算人均生态承载力和空间单元生态承载力，标准化格式输出归档。</w:t>
      </w:r>
    </w:p>
    <w:p>
      <w:pPr>
        <w:pStyle w:val="38"/>
        <w:numPr>
          <w:ilvl w:val="0"/>
          <w:numId w:val="15"/>
        </w:numPr>
        <w:spacing w:line="360" w:lineRule="auto"/>
        <w:ind w:firstLineChars="0"/>
        <w:rPr>
          <w:rFonts w:hint="eastAsia" w:ascii="宋体" w:hAnsi="宋体" w:eastAsia="宋体" w:cs="宋体"/>
          <w:b/>
        </w:rPr>
      </w:pPr>
      <w:r>
        <w:rPr>
          <w:rFonts w:hint="eastAsia" w:ascii="宋体" w:hAnsi="宋体" w:eastAsia="宋体" w:cs="宋体"/>
          <w:b/>
        </w:rPr>
        <w:t>生态盈亏评估计算模块</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通过生态足迹与生态承载力差值计算生态盈亏和生态承载力供需平衡指数，识别生态盈余和生态赤字，实现区域生态供需平衡关系的分析，标准化格式输出归档。</w:t>
      </w:r>
    </w:p>
    <w:p>
      <w:pPr>
        <w:pStyle w:val="38"/>
        <w:numPr>
          <w:ilvl w:val="0"/>
          <w:numId w:val="15"/>
        </w:numPr>
        <w:snapToGrid w:val="0"/>
        <w:spacing w:line="360" w:lineRule="auto"/>
        <w:ind w:firstLineChars="0"/>
        <w:rPr>
          <w:rFonts w:hint="eastAsia" w:ascii="宋体" w:hAnsi="宋体" w:eastAsia="宋体" w:cs="宋体"/>
          <w:b/>
          <w:bCs/>
        </w:rPr>
      </w:pPr>
      <w:r>
        <w:rPr>
          <w:rFonts w:hint="eastAsia" w:ascii="宋体" w:hAnsi="宋体" w:eastAsia="宋体" w:cs="宋体"/>
          <w:b/>
          <w:bCs/>
        </w:rPr>
        <w:t>生态盈亏分析及对策建议模块</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实现根据空间单元的生态承载、盈亏分级分布情况，对生态足迹, 生态承载力与生态赤字的结构特征采用层次聚类、欧式距离等方法进行市县单元分型分类和分等定级；建立生态协同发展统筹协调规划的建议先验知识集,根据不同类型评估结果对应提供适应的对策建议。实现长三角城市群生态承载力产品空间分布、统计图表制作，半自动流程化制作评估报告。</w:t>
      </w:r>
    </w:p>
    <w:p>
      <w:pPr>
        <w:snapToGrid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（五）海岛动态监测评价分系统</w:t>
      </w:r>
    </w:p>
    <w:p>
      <w:pPr>
        <w:spacing w:line="360" w:lineRule="auto"/>
        <w:ind w:firstLine="480" w:firstLineChars="200"/>
        <w:rPr>
          <w:rFonts w:hint="eastAsia" w:ascii="宋体" w:hAnsi="宋体" w:eastAsia="宋体" w:cs="宋体"/>
          <w:b/>
          <w:color w:val="FF0000"/>
          <w:sz w:val="24"/>
        </w:rPr>
      </w:pPr>
      <w:r>
        <w:rPr>
          <w:rFonts w:hint="eastAsia" w:ascii="宋体" w:hAnsi="宋体" w:eastAsia="宋体" w:cs="宋体"/>
          <w:sz w:val="24"/>
        </w:rPr>
        <w:t>完成海岛动态监测评价分系统，建设海岛自动识别定位、空间格局监测、生态环境评价、综合价值评估、变迁分析模块，重点监测代表性海岛（崇明三岛等）。</w:t>
      </w:r>
    </w:p>
    <w:p>
      <w:pPr>
        <w:widowControl/>
        <w:spacing w:line="360" w:lineRule="auto"/>
        <w:jc w:val="left"/>
        <w:rPr>
          <w:rFonts w:hint="eastAsia" w:ascii="宋体" w:hAnsi="宋体" w:eastAsia="宋体" w:cs="宋体"/>
          <w:b/>
          <w:sz w:val="24"/>
        </w:rPr>
      </w:pPr>
      <w:r>
        <w:rPr>
          <w:rFonts w:hint="eastAsia" w:ascii="宋体" w:hAnsi="宋体" w:eastAsia="宋体" w:cs="宋体"/>
          <w:b/>
          <w:sz w:val="24"/>
        </w:rPr>
        <w:t>（1）海岛自动识别定位模块</w:t>
      </w:r>
    </w:p>
    <w:p>
      <w:pPr>
        <w:pStyle w:val="38"/>
        <w:widowControl w:val="0"/>
        <w:numPr>
          <w:ilvl w:val="0"/>
          <w:numId w:val="16"/>
        </w:numPr>
        <w:adjustRightInd w:val="0"/>
        <w:snapToGrid w:val="0"/>
        <w:spacing w:line="360" w:lineRule="auto"/>
        <w:ind w:firstLineChars="0"/>
        <w:rPr>
          <w:rFonts w:hint="eastAsia" w:ascii="宋体" w:hAnsi="宋体" w:eastAsia="宋体" w:cs="宋体"/>
          <w:kern w:val="2"/>
        </w:rPr>
      </w:pPr>
      <w:r>
        <w:rPr>
          <w:rFonts w:hint="eastAsia" w:ascii="宋体" w:hAnsi="宋体" w:eastAsia="宋体" w:cs="宋体"/>
          <w:szCs w:val="21"/>
        </w:rPr>
        <w:t>实现FY-3/MERSI中分辨率光谱成像仪L1级数据的</w:t>
      </w:r>
      <w:r>
        <w:rPr>
          <w:rFonts w:hint="eastAsia" w:ascii="宋体" w:hAnsi="宋体" w:eastAsia="宋体" w:cs="宋体"/>
          <w:kern w:val="2"/>
        </w:rPr>
        <w:t>自动下载和整理；</w:t>
      </w:r>
    </w:p>
    <w:p>
      <w:pPr>
        <w:pStyle w:val="38"/>
        <w:widowControl w:val="0"/>
        <w:numPr>
          <w:ilvl w:val="0"/>
          <w:numId w:val="16"/>
        </w:numPr>
        <w:adjustRightInd w:val="0"/>
        <w:snapToGrid w:val="0"/>
        <w:spacing w:line="360" w:lineRule="auto"/>
        <w:ind w:firstLineChars="0"/>
        <w:rPr>
          <w:rFonts w:hint="eastAsia" w:ascii="宋体" w:hAnsi="宋体" w:eastAsia="宋体" w:cs="宋体"/>
          <w:kern w:val="2"/>
        </w:rPr>
      </w:pPr>
      <w:r>
        <w:rPr>
          <w:rFonts w:hint="eastAsia" w:ascii="宋体" w:hAnsi="宋体" w:eastAsia="宋体" w:cs="宋体"/>
          <w:kern w:val="2"/>
        </w:rPr>
        <w:t>实现</w:t>
      </w:r>
      <w:r>
        <w:rPr>
          <w:rFonts w:hint="eastAsia" w:ascii="宋体" w:hAnsi="宋体" w:eastAsia="宋体" w:cs="宋体"/>
          <w:szCs w:val="21"/>
        </w:rPr>
        <w:t>FY-3 云检测产品</w:t>
      </w:r>
      <w:r>
        <w:rPr>
          <w:rFonts w:hint="eastAsia" w:ascii="宋体" w:hAnsi="宋体" w:eastAsia="宋体" w:cs="宋体"/>
          <w:kern w:val="2"/>
        </w:rPr>
        <w:t>的自动下载和整理；</w:t>
      </w:r>
    </w:p>
    <w:p>
      <w:pPr>
        <w:pStyle w:val="38"/>
        <w:widowControl w:val="0"/>
        <w:numPr>
          <w:ilvl w:val="0"/>
          <w:numId w:val="16"/>
        </w:numPr>
        <w:adjustRightInd w:val="0"/>
        <w:snapToGrid w:val="0"/>
        <w:spacing w:line="360" w:lineRule="auto"/>
        <w:ind w:firstLineChars="0"/>
        <w:rPr>
          <w:rFonts w:hint="eastAsia" w:ascii="宋体" w:hAnsi="宋体" w:eastAsia="宋体" w:cs="宋体"/>
          <w:kern w:val="2"/>
        </w:rPr>
      </w:pPr>
      <w:r>
        <w:rPr>
          <w:rFonts w:hint="eastAsia" w:ascii="宋体" w:hAnsi="宋体" w:eastAsia="宋体" w:cs="宋体"/>
          <w:kern w:val="2"/>
        </w:rPr>
        <w:t>收集海陆模板、数字高程、土地利用/土地覆被分类等国家基础地理信息数据；</w:t>
      </w:r>
    </w:p>
    <w:p>
      <w:pPr>
        <w:pStyle w:val="38"/>
        <w:widowControl w:val="0"/>
        <w:numPr>
          <w:ilvl w:val="0"/>
          <w:numId w:val="16"/>
        </w:numPr>
        <w:adjustRightInd w:val="0"/>
        <w:snapToGrid w:val="0"/>
        <w:spacing w:line="360" w:lineRule="auto"/>
        <w:ind w:firstLineChars="0"/>
        <w:rPr>
          <w:rFonts w:hint="eastAsia" w:ascii="宋体" w:hAnsi="宋体" w:eastAsia="宋体" w:cs="宋体"/>
          <w:kern w:val="2"/>
        </w:rPr>
      </w:pPr>
      <w:r>
        <w:rPr>
          <w:rFonts w:hint="eastAsia" w:ascii="宋体" w:hAnsi="宋体" w:eastAsia="宋体" w:cs="宋体"/>
          <w:kern w:val="2"/>
        </w:rPr>
        <w:t>实现</w:t>
      </w:r>
      <w:r>
        <w:rPr>
          <w:rFonts w:hint="eastAsia" w:ascii="宋体" w:hAnsi="宋体" w:eastAsia="宋体" w:cs="宋体"/>
          <w:szCs w:val="21"/>
        </w:rPr>
        <w:t>FY-3海岛空间区位识别（季）产品的制作；</w:t>
      </w:r>
    </w:p>
    <w:p>
      <w:pPr>
        <w:widowControl/>
        <w:spacing w:line="360" w:lineRule="auto"/>
        <w:jc w:val="left"/>
        <w:rPr>
          <w:rFonts w:hint="eastAsia" w:ascii="宋体" w:hAnsi="宋体" w:eastAsia="宋体" w:cs="宋体"/>
          <w:b/>
          <w:sz w:val="24"/>
        </w:rPr>
      </w:pPr>
      <w:r>
        <w:rPr>
          <w:rFonts w:hint="eastAsia" w:ascii="宋体" w:hAnsi="宋体" w:eastAsia="宋体" w:cs="宋体"/>
          <w:b/>
          <w:sz w:val="24"/>
        </w:rPr>
        <w:t>（2）海岛空间格局监测模块</w:t>
      </w:r>
    </w:p>
    <w:p>
      <w:pPr>
        <w:pStyle w:val="38"/>
        <w:widowControl w:val="0"/>
        <w:numPr>
          <w:ilvl w:val="0"/>
          <w:numId w:val="17"/>
        </w:numPr>
        <w:adjustRightInd w:val="0"/>
        <w:snapToGrid w:val="0"/>
        <w:spacing w:line="360" w:lineRule="auto"/>
        <w:ind w:firstLineChars="0"/>
        <w:rPr>
          <w:rFonts w:hint="eastAsia" w:ascii="宋体" w:hAnsi="宋体" w:eastAsia="宋体" w:cs="宋体"/>
          <w:szCs w:val="21"/>
        </w:rPr>
      </w:pPr>
      <w:r>
        <w:rPr>
          <w:rFonts w:hint="eastAsia" w:ascii="宋体" w:hAnsi="宋体" w:eastAsia="宋体" w:cs="宋体"/>
          <w:szCs w:val="21"/>
        </w:rPr>
        <w:t>实现FY-3陆表覆盖产品的自动下载和整理；</w:t>
      </w:r>
    </w:p>
    <w:p>
      <w:pPr>
        <w:pStyle w:val="38"/>
        <w:widowControl w:val="0"/>
        <w:numPr>
          <w:ilvl w:val="0"/>
          <w:numId w:val="17"/>
        </w:numPr>
        <w:adjustRightInd w:val="0"/>
        <w:snapToGrid w:val="0"/>
        <w:spacing w:line="360" w:lineRule="auto"/>
        <w:ind w:firstLineChars="0"/>
        <w:rPr>
          <w:rFonts w:hint="eastAsia" w:ascii="宋体" w:hAnsi="宋体" w:eastAsia="宋体" w:cs="宋体"/>
          <w:szCs w:val="21"/>
        </w:rPr>
      </w:pPr>
      <w:r>
        <w:rPr>
          <w:rFonts w:hint="eastAsia" w:ascii="宋体" w:hAnsi="宋体" w:eastAsia="宋体" w:cs="宋体"/>
          <w:szCs w:val="21"/>
        </w:rPr>
        <w:t>实现FY-3海岛土地覆盖（季）产品的制作；</w:t>
      </w:r>
    </w:p>
    <w:p>
      <w:pPr>
        <w:pStyle w:val="38"/>
        <w:widowControl w:val="0"/>
        <w:numPr>
          <w:ilvl w:val="0"/>
          <w:numId w:val="17"/>
        </w:numPr>
        <w:adjustRightInd w:val="0"/>
        <w:snapToGrid w:val="0"/>
        <w:spacing w:line="360" w:lineRule="auto"/>
        <w:ind w:firstLineChars="0"/>
        <w:rPr>
          <w:rFonts w:hint="eastAsia" w:ascii="宋体" w:hAnsi="宋体" w:eastAsia="宋体" w:cs="宋体"/>
          <w:szCs w:val="21"/>
        </w:rPr>
      </w:pPr>
      <w:r>
        <w:rPr>
          <w:rFonts w:hint="eastAsia" w:ascii="宋体" w:hAnsi="宋体" w:eastAsia="宋体" w:cs="宋体"/>
          <w:szCs w:val="21"/>
        </w:rPr>
        <w:t>实现FY-3海岛土地覆盖空间格局（季）统计表和统计图的制作；</w:t>
      </w:r>
    </w:p>
    <w:p>
      <w:pPr>
        <w:widowControl/>
        <w:spacing w:line="360" w:lineRule="auto"/>
        <w:jc w:val="left"/>
        <w:rPr>
          <w:rFonts w:hint="eastAsia" w:ascii="宋体" w:hAnsi="宋体" w:eastAsia="宋体" w:cs="宋体"/>
          <w:b/>
          <w:sz w:val="24"/>
        </w:rPr>
      </w:pPr>
      <w:r>
        <w:rPr>
          <w:rFonts w:hint="eastAsia" w:ascii="宋体" w:hAnsi="宋体" w:eastAsia="宋体" w:cs="宋体"/>
          <w:b/>
          <w:sz w:val="24"/>
        </w:rPr>
        <w:t>（3）海岛生态环境评价模块</w:t>
      </w:r>
    </w:p>
    <w:p>
      <w:pPr>
        <w:pStyle w:val="38"/>
        <w:widowControl w:val="0"/>
        <w:numPr>
          <w:ilvl w:val="0"/>
          <w:numId w:val="9"/>
        </w:numPr>
        <w:adjustRightInd w:val="0"/>
        <w:snapToGrid w:val="0"/>
        <w:spacing w:line="360" w:lineRule="auto"/>
        <w:ind w:firstLineChars="0"/>
        <w:rPr>
          <w:rFonts w:hint="eastAsia" w:ascii="宋体" w:hAnsi="宋体" w:eastAsia="宋体" w:cs="宋体"/>
          <w:kern w:val="2"/>
        </w:rPr>
      </w:pPr>
      <w:r>
        <w:rPr>
          <w:rFonts w:hint="eastAsia" w:ascii="宋体" w:hAnsi="宋体" w:eastAsia="宋体" w:cs="宋体"/>
          <w:szCs w:val="21"/>
        </w:rPr>
        <w:t>实现FY-3陆表温度产品、植被指数产品、叶面积指数产品、土壤水分产产品、陆表反射比产品和陆表双向反射/反照率产品的自动下载和（季）产品制作</w:t>
      </w:r>
      <w:r>
        <w:rPr>
          <w:rFonts w:hint="eastAsia" w:ascii="宋体" w:hAnsi="宋体" w:eastAsia="宋体" w:cs="宋体"/>
          <w:kern w:val="2"/>
        </w:rPr>
        <w:t>；</w:t>
      </w:r>
    </w:p>
    <w:p>
      <w:pPr>
        <w:pStyle w:val="38"/>
        <w:widowControl w:val="0"/>
        <w:numPr>
          <w:ilvl w:val="0"/>
          <w:numId w:val="9"/>
        </w:numPr>
        <w:adjustRightInd w:val="0"/>
        <w:snapToGrid w:val="0"/>
        <w:spacing w:line="360" w:lineRule="auto"/>
        <w:ind w:firstLineChars="0"/>
        <w:rPr>
          <w:rFonts w:hint="eastAsia" w:ascii="宋体" w:hAnsi="宋体" w:eastAsia="宋体" w:cs="宋体"/>
          <w:kern w:val="2"/>
        </w:rPr>
      </w:pPr>
      <w:r>
        <w:rPr>
          <w:rFonts w:hint="eastAsia" w:ascii="宋体" w:hAnsi="宋体" w:eastAsia="宋体" w:cs="宋体"/>
          <w:szCs w:val="21"/>
        </w:rPr>
        <w:t>实现FY-3海岛遥感生态指数（季）产品的制作</w:t>
      </w:r>
      <w:r>
        <w:rPr>
          <w:rFonts w:hint="eastAsia" w:ascii="宋体" w:hAnsi="宋体" w:eastAsia="宋体" w:cs="宋体"/>
          <w:kern w:val="2"/>
        </w:rPr>
        <w:t>；</w:t>
      </w:r>
    </w:p>
    <w:p>
      <w:pPr>
        <w:pStyle w:val="38"/>
        <w:widowControl w:val="0"/>
        <w:numPr>
          <w:ilvl w:val="0"/>
          <w:numId w:val="9"/>
        </w:numPr>
        <w:adjustRightInd w:val="0"/>
        <w:snapToGrid w:val="0"/>
        <w:spacing w:line="360" w:lineRule="auto"/>
        <w:ind w:firstLineChars="0"/>
        <w:rPr>
          <w:rFonts w:hint="eastAsia" w:ascii="宋体" w:hAnsi="宋体" w:eastAsia="宋体" w:cs="宋体"/>
          <w:kern w:val="2"/>
        </w:rPr>
      </w:pPr>
      <w:r>
        <w:rPr>
          <w:rFonts w:hint="eastAsia" w:ascii="宋体" w:hAnsi="宋体" w:eastAsia="宋体" w:cs="宋体"/>
          <w:szCs w:val="21"/>
        </w:rPr>
        <w:t>实现FY-3海岛建筑指数（季）产品的制作</w:t>
      </w:r>
      <w:r>
        <w:rPr>
          <w:rFonts w:hint="eastAsia" w:ascii="宋体" w:hAnsi="宋体" w:eastAsia="宋体" w:cs="宋体"/>
          <w:kern w:val="2"/>
        </w:rPr>
        <w:t>；</w:t>
      </w:r>
    </w:p>
    <w:p>
      <w:pPr>
        <w:pStyle w:val="38"/>
        <w:widowControl w:val="0"/>
        <w:numPr>
          <w:ilvl w:val="0"/>
          <w:numId w:val="9"/>
        </w:numPr>
        <w:adjustRightInd w:val="0"/>
        <w:snapToGrid w:val="0"/>
        <w:spacing w:line="360" w:lineRule="auto"/>
        <w:ind w:firstLineChars="0"/>
        <w:rPr>
          <w:rFonts w:hint="eastAsia" w:ascii="宋体" w:hAnsi="宋体" w:eastAsia="宋体" w:cs="宋体"/>
          <w:kern w:val="2"/>
        </w:rPr>
      </w:pPr>
      <w:r>
        <w:rPr>
          <w:rFonts w:hint="eastAsia" w:ascii="宋体" w:hAnsi="宋体" w:eastAsia="宋体" w:cs="宋体"/>
          <w:szCs w:val="21"/>
        </w:rPr>
        <w:t>实现FY-3海岛裸土指数（季）产品的制作</w:t>
      </w:r>
      <w:r>
        <w:rPr>
          <w:rFonts w:hint="eastAsia" w:ascii="宋体" w:hAnsi="宋体" w:eastAsia="宋体" w:cs="宋体"/>
          <w:kern w:val="2"/>
        </w:rPr>
        <w:t>；</w:t>
      </w:r>
    </w:p>
    <w:p>
      <w:pPr>
        <w:widowControl/>
        <w:spacing w:line="360" w:lineRule="auto"/>
        <w:jc w:val="left"/>
        <w:rPr>
          <w:rFonts w:hint="eastAsia" w:ascii="宋体" w:hAnsi="宋体" w:eastAsia="宋体" w:cs="宋体"/>
          <w:b/>
          <w:sz w:val="24"/>
        </w:rPr>
      </w:pPr>
      <w:r>
        <w:rPr>
          <w:rFonts w:hint="eastAsia" w:ascii="宋体" w:hAnsi="宋体" w:eastAsia="宋体" w:cs="宋体"/>
          <w:b/>
          <w:sz w:val="24"/>
        </w:rPr>
        <w:t>（4）海岛综合价值评估模块</w:t>
      </w:r>
    </w:p>
    <w:p>
      <w:pPr>
        <w:pStyle w:val="38"/>
        <w:widowControl w:val="0"/>
        <w:numPr>
          <w:ilvl w:val="0"/>
          <w:numId w:val="18"/>
        </w:numPr>
        <w:adjustRightInd w:val="0"/>
        <w:snapToGrid w:val="0"/>
        <w:spacing w:line="360" w:lineRule="auto"/>
        <w:ind w:firstLineChars="0"/>
        <w:rPr>
          <w:rFonts w:hint="eastAsia" w:ascii="宋体" w:hAnsi="宋体" w:eastAsia="宋体" w:cs="宋体"/>
          <w:kern w:val="2"/>
        </w:rPr>
      </w:pPr>
      <w:r>
        <w:rPr>
          <w:rFonts w:hint="eastAsia" w:ascii="宋体" w:hAnsi="宋体" w:eastAsia="宋体" w:cs="宋体"/>
          <w:kern w:val="2"/>
        </w:rPr>
        <w:t>收集</w:t>
      </w:r>
      <w:r>
        <w:rPr>
          <w:rFonts w:hint="eastAsia" w:ascii="宋体" w:hAnsi="宋体" w:eastAsia="宋体" w:cs="宋体"/>
          <w:szCs w:val="21"/>
        </w:rPr>
        <w:t>历史平均气象与气候条件统计资料</w:t>
      </w:r>
      <w:r>
        <w:rPr>
          <w:rFonts w:hint="eastAsia" w:ascii="宋体" w:hAnsi="宋体" w:eastAsia="宋体" w:cs="宋体"/>
          <w:kern w:val="2"/>
        </w:rPr>
        <w:t>；</w:t>
      </w:r>
    </w:p>
    <w:p>
      <w:pPr>
        <w:pStyle w:val="38"/>
        <w:widowControl w:val="0"/>
        <w:numPr>
          <w:ilvl w:val="0"/>
          <w:numId w:val="18"/>
        </w:numPr>
        <w:adjustRightInd w:val="0"/>
        <w:snapToGrid w:val="0"/>
        <w:spacing w:line="360" w:lineRule="auto"/>
        <w:ind w:firstLineChars="0"/>
        <w:rPr>
          <w:rFonts w:hint="eastAsia" w:ascii="宋体" w:hAnsi="宋体" w:eastAsia="宋体" w:cs="宋体"/>
          <w:kern w:val="2"/>
        </w:rPr>
      </w:pPr>
      <w:r>
        <w:rPr>
          <w:rFonts w:hint="eastAsia" w:ascii="宋体" w:hAnsi="宋体" w:eastAsia="宋体" w:cs="宋体"/>
          <w:kern w:val="2"/>
        </w:rPr>
        <w:t>收集</w:t>
      </w:r>
      <w:r>
        <w:rPr>
          <w:rFonts w:hint="eastAsia" w:ascii="宋体" w:hAnsi="宋体" w:eastAsia="宋体" w:cs="宋体"/>
          <w:szCs w:val="21"/>
        </w:rPr>
        <w:t>海洋灾害发生率统计资料</w:t>
      </w:r>
      <w:r>
        <w:rPr>
          <w:rFonts w:hint="eastAsia" w:ascii="宋体" w:hAnsi="宋体" w:eastAsia="宋体" w:cs="宋体"/>
          <w:kern w:val="2"/>
        </w:rPr>
        <w:t>；</w:t>
      </w:r>
    </w:p>
    <w:p>
      <w:pPr>
        <w:pStyle w:val="38"/>
        <w:widowControl w:val="0"/>
        <w:numPr>
          <w:ilvl w:val="0"/>
          <w:numId w:val="18"/>
        </w:numPr>
        <w:adjustRightInd w:val="0"/>
        <w:snapToGrid w:val="0"/>
        <w:spacing w:line="360" w:lineRule="auto"/>
        <w:ind w:firstLineChars="0"/>
        <w:rPr>
          <w:rFonts w:hint="eastAsia" w:ascii="宋体" w:hAnsi="宋体" w:eastAsia="宋体" w:cs="宋体"/>
          <w:kern w:val="2"/>
        </w:rPr>
      </w:pPr>
      <w:r>
        <w:rPr>
          <w:rFonts w:hint="eastAsia" w:ascii="宋体" w:hAnsi="宋体" w:eastAsia="宋体" w:cs="宋体"/>
          <w:kern w:val="2"/>
        </w:rPr>
        <w:t>收集</w:t>
      </w:r>
      <w:r>
        <w:rPr>
          <w:rFonts w:hint="eastAsia" w:ascii="宋体" w:hAnsi="宋体" w:eastAsia="宋体" w:cs="宋体"/>
          <w:szCs w:val="21"/>
        </w:rPr>
        <w:t>规划限制条件、海岛保护规划、海洋功能区划数据；</w:t>
      </w:r>
    </w:p>
    <w:p>
      <w:pPr>
        <w:pStyle w:val="38"/>
        <w:widowControl w:val="0"/>
        <w:numPr>
          <w:ilvl w:val="0"/>
          <w:numId w:val="18"/>
        </w:numPr>
        <w:adjustRightInd w:val="0"/>
        <w:snapToGrid w:val="0"/>
        <w:spacing w:line="360" w:lineRule="auto"/>
        <w:ind w:firstLineChars="0"/>
        <w:rPr>
          <w:rFonts w:hint="eastAsia" w:ascii="宋体" w:hAnsi="宋体" w:eastAsia="宋体" w:cs="宋体"/>
          <w:kern w:val="2"/>
        </w:rPr>
      </w:pPr>
      <w:r>
        <w:rPr>
          <w:rFonts w:hint="eastAsia" w:ascii="宋体" w:hAnsi="宋体" w:eastAsia="宋体" w:cs="宋体"/>
          <w:szCs w:val="21"/>
        </w:rPr>
        <w:t>实现FY-3海岛综合价值评估（季）产品的制作</w:t>
      </w:r>
      <w:r>
        <w:rPr>
          <w:rFonts w:hint="eastAsia" w:ascii="宋体" w:hAnsi="宋体" w:eastAsia="宋体" w:cs="宋体"/>
          <w:kern w:val="2"/>
        </w:rPr>
        <w:t>；</w:t>
      </w:r>
    </w:p>
    <w:p>
      <w:pPr>
        <w:widowControl/>
        <w:spacing w:line="360" w:lineRule="auto"/>
        <w:jc w:val="left"/>
        <w:rPr>
          <w:rFonts w:hint="eastAsia" w:ascii="宋体" w:hAnsi="宋体" w:eastAsia="宋体" w:cs="宋体"/>
          <w:b/>
          <w:sz w:val="24"/>
        </w:rPr>
      </w:pPr>
      <w:r>
        <w:rPr>
          <w:rFonts w:hint="eastAsia" w:ascii="宋体" w:hAnsi="宋体" w:eastAsia="宋体" w:cs="宋体"/>
          <w:b/>
          <w:sz w:val="24"/>
        </w:rPr>
        <w:t>（5）海岛变迁分析模块</w:t>
      </w:r>
    </w:p>
    <w:p>
      <w:pPr>
        <w:pStyle w:val="38"/>
        <w:widowControl w:val="0"/>
        <w:numPr>
          <w:ilvl w:val="0"/>
          <w:numId w:val="19"/>
        </w:numPr>
        <w:adjustRightInd w:val="0"/>
        <w:snapToGrid w:val="0"/>
        <w:spacing w:line="360" w:lineRule="auto"/>
        <w:ind w:firstLineChars="0"/>
        <w:rPr>
          <w:rFonts w:hint="eastAsia" w:ascii="宋体" w:hAnsi="宋体" w:eastAsia="宋体" w:cs="宋体"/>
          <w:kern w:val="2"/>
        </w:rPr>
      </w:pPr>
      <w:r>
        <w:rPr>
          <w:rFonts w:hint="eastAsia" w:ascii="宋体" w:hAnsi="宋体" w:eastAsia="宋体" w:cs="宋体"/>
          <w:szCs w:val="21"/>
        </w:rPr>
        <w:t>实现FY-3海岛变迁（季）专题图的制作</w:t>
      </w:r>
      <w:r>
        <w:rPr>
          <w:rFonts w:hint="eastAsia" w:ascii="宋体" w:hAnsi="宋体" w:eastAsia="宋体" w:cs="宋体"/>
          <w:kern w:val="2"/>
        </w:rPr>
        <w:t>；</w:t>
      </w:r>
    </w:p>
    <w:p>
      <w:pPr>
        <w:pStyle w:val="38"/>
        <w:widowControl w:val="0"/>
        <w:numPr>
          <w:ilvl w:val="0"/>
          <w:numId w:val="19"/>
        </w:numPr>
        <w:adjustRightInd w:val="0"/>
        <w:snapToGrid w:val="0"/>
        <w:spacing w:line="360" w:lineRule="auto"/>
        <w:ind w:firstLineChars="0"/>
        <w:rPr>
          <w:rFonts w:hint="eastAsia" w:ascii="宋体" w:hAnsi="宋体" w:eastAsia="宋体" w:cs="宋体"/>
          <w:kern w:val="2"/>
        </w:rPr>
      </w:pPr>
      <w:r>
        <w:rPr>
          <w:rFonts w:hint="eastAsia" w:ascii="宋体" w:hAnsi="宋体" w:eastAsia="宋体" w:cs="宋体"/>
          <w:szCs w:val="21"/>
        </w:rPr>
        <w:t>实现FY-3海岛变迁（季）统计数据的制作</w:t>
      </w:r>
      <w:r>
        <w:rPr>
          <w:rFonts w:hint="eastAsia" w:ascii="宋体" w:hAnsi="宋体" w:eastAsia="宋体" w:cs="宋体"/>
          <w:kern w:val="2"/>
        </w:rPr>
        <w:t>；</w:t>
      </w:r>
    </w:p>
    <w:p>
      <w:pPr>
        <w:pStyle w:val="38"/>
        <w:widowControl w:val="0"/>
        <w:numPr>
          <w:ilvl w:val="0"/>
          <w:numId w:val="19"/>
        </w:numPr>
        <w:adjustRightInd w:val="0"/>
        <w:snapToGrid w:val="0"/>
        <w:spacing w:line="360" w:lineRule="auto"/>
        <w:ind w:firstLineChars="0"/>
        <w:rPr>
          <w:rFonts w:hint="eastAsia" w:ascii="宋体" w:hAnsi="宋体" w:eastAsia="宋体" w:cs="宋体"/>
          <w:kern w:val="2"/>
        </w:rPr>
      </w:pPr>
      <w:r>
        <w:rPr>
          <w:rFonts w:hint="eastAsia" w:ascii="宋体" w:hAnsi="宋体" w:eastAsia="宋体" w:cs="宋体"/>
          <w:szCs w:val="21"/>
        </w:rPr>
        <w:t>实现FY-3海岛变迁（季）评估报告的制作</w:t>
      </w:r>
      <w:r>
        <w:rPr>
          <w:rFonts w:hint="eastAsia" w:ascii="宋体" w:hAnsi="宋体" w:eastAsia="宋体" w:cs="宋体"/>
          <w:kern w:val="2"/>
        </w:rPr>
        <w:t>。</w:t>
      </w:r>
    </w:p>
    <w:p>
      <w:pPr>
        <w:snapToGrid w:val="0"/>
        <w:spacing w:line="360" w:lineRule="auto"/>
        <w:rPr>
          <w:rFonts w:hint="eastAsia" w:ascii="宋体" w:hAnsi="宋体" w:eastAsia="宋体" w:cs="宋体"/>
          <w:b/>
          <w:color w:val="000000"/>
          <w:sz w:val="24"/>
        </w:rPr>
      </w:pPr>
    </w:p>
    <w:p>
      <w:pPr>
        <w:snapToGrid w:val="0"/>
        <w:spacing w:line="360" w:lineRule="auto"/>
        <w:outlineLvl w:val="3"/>
        <w:rPr>
          <w:rFonts w:hint="eastAsia" w:ascii="宋体" w:hAnsi="宋体" w:eastAsia="宋体" w:cs="宋体"/>
          <w:b/>
          <w:color w:val="000000"/>
          <w:sz w:val="24"/>
        </w:rPr>
      </w:pPr>
      <w:r>
        <w:rPr>
          <w:rFonts w:hint="eastAsia" w:ascii="宋体" w:hAnsi="宋体" w:eastAsia="宋体" w:cs="宋体"/>
          <w:b/>
          <w:color w:val="000000"/>
          <w:sz w:val="24"/>
        </w:rPr>
        <w:t>2交付成果</w:t>
      </w:r>
    </w:p>
    <w:p>
      <w:pPr>
        <w:snapToGrid w:val="0"/>
        <w:spacing w:line="360" w:lineRule="auto"/>
        <w:rPr>
          <w:rFonts w:hint="eastAsia" w:ascii="宋体" w:hAnsi="宋体" w:eastAsia="宋体" w:cs="宋体"/>
          <w:b/>
          <w:color w:val="FF0000"/>
          <w:sz w:val="24"/>
        </w:rPr>
      </w:pPr>
      <w:r>
        <w:rPr>
          <w:rFonts w:hint="eastAsia" w:ascii="宋体" w:hAnsi="宋体" w:eastAsia="宋体" w:cs="宋体"/>
          <w:b/>
          <w:color w:val="FF0000"/>
          <w:sz w:val="24"/>
        </w:rPr>
        <w:t>总体要求：</w:t>
      </w:r>
    </w:p>
    <w:p>
      <w:pPr>
        <w:pStyle w:val="38"/>
        <w:widowControl w:val="0"/>
        <w:numPr>
          <w:ilvl w:val="0"/>
          <w:numId w:val="20"/>
        </w:numPr>
        <w:adjustRightInd w:val="0"/>
        <w:snapToGrid w:val="0"/>
        <w:spacing w:line="360" w:lineRule="auto"/>
        <w:ind w:firstLineChars="0"/>
        <w:rPr>
          <w:rFonts w:hint="eastAsia" w:ascii="宋体" w:hAnsi="宋体" w:eastAsia="宋体" w:cs="宋体"/>
          <w:szCs w:val="21"/>
        </w:rPr>
      </w:pPr>
      <w:r>
        <w:rPr>
          <w:rFonts w:hint="eastAsia" w:ascii="宋体" w:hAnsi="宋体" w:eastAsia="宋体" w:cs="宋体"/>
          <w:szCs w:val="21"/>
        </w:rPr>
        <w:t>工作报告（含任务要求、研发主要节点和进展、考核指标完成情况对照表、存在的问题和解决措施）；</w:t>
      </w:r>
    </w:p>
    <w:p>
      <w:pPr>
        <w:pStyle w:val="38"/>
        <w:widowControl w:val="0"/>
        <w:numPr>
          <w:ilvl w:val="0"/>
          <w:numId w:val="20"/>
        </w:numPr>
        <w:adjustRightInd w:val="0"/>
        <w:snapToGrid w:val="0"/>
        <w:spacing w:line="360" w:lineRule="auto"/>
        <w:ind w:firstLineChars="0"/>
        <w:rPr>
          <w:rFonts w:hint="eastAsia" w:ascii="宋体" w:hAnsi="宋体" w:eastAsia="宋体" w:cs="宋体"/>
          <w:szCs w:val="21"/>
        </w:rPr>
      </w:pPr>
      <w:r>
        <w:rPr>
          <w:rFonts w:hint="eastAsia" w:ascii="宋体" w:hAnsi="宋体" w:eastAsia="宋体" w:cs="宋体"/>
          <w:szCs w:val="21"/>
        </w:rPr>
        <w:t>项目技术报告（含建设内容、建设成果、技术路线（含算法原理、算法流程图、输入输出等）、解决的关键技术问题、结果验证、效益评估等）；</w:t>
      </w:r>
    </w:p>
    <w:p>
      <w:pPr>
        <w:pStyle w:val="38"/>
        <w:widowControl w:val="0"/>
        <w:numPr>
          <w:ilvl w:val="0"/>
          <w:numId w:val="20"/>
        </w:numPr>
        <w:adjustRightInd w:val="0"/>
        <w:snapToGrid w:val="0"/>
        <w:spacing w:line="360" w:lineRule="auto"/>
        <w:ind w:firstLineChars="0"/>
        <w:rPr>
          <w:rFonts w:hint="eastAsia" w:ascii="宋体" w:hAnsi="宋体" w:eastAsia="宋体" w:cs="宋体"/>
          <w:szCs w:val="21"/>
        </w:rPr>
      </w:pPr>
      <w:r>
        <w:rPr>
          <w:rFonts w:hint="eastAsia" w:ascii="宋体" w:hAnsi="宋体" w:eastAsia="宋体" w:cs="宋体"/>
          <w:szCs w:val="21"/>
        </w:rPr>
        <w:t>软件设计文档(含原理、技术路线、流程、框图、输入输出等)；</w:t>
      </w:r>
    </w:p>
    <w:p>
      <w:pPr>
        <w:pStyle w:val="38"/>
        <w:widowControl w:val="0"/>
        <w:numPr>
          <w:ilvl w:val="0"/>
          <w:numId w:val="20"/>
        </w:numPr>
        <w:adjustRightInd w:val="0"/>
        <w:snapToGrid w:val="0"/>
        <w:spacing w:line="360" w:lineRule="auto"/>
        <w:ind w:firstLineChars="0"/>
        <w:rPr>
          <w:rFonts w:hint="eastAsia" w:ascii="宋体" w:hAnsi="宋体" w:eastAsia="宋体" w:cs="宋体"/>
          <w:szCs w:val="21"/>
        </w:rPr>
      </w:pPr>
      <w:r>
        <w:rPr>
          <w:rFonts w:hint="eastAsia" w:ascii="宋体" w:hAnsi="宋体" w:eastAsia="宋体" w:cs="宋体"/>
          <w:szCs w:val="21"/>
        </w:rPr>
        <w:t>系统（或软件模块）源程序代码及说明文档：各模块及对应源程序代码、使用手册等；</w:t>
      </w:r>
    </w:p>
    <w:p>
      <w:pPr>
        <w:snapToGrid w:val="0"/>
        <w:spacing w:line="360" w:lineRule="auto"/>
        <w:rPr>
          <w:rFonts w:hint="eastAsia" w:ascii="宋体" w:hAnsi="宋体" w:eastAsia="宋体" w:cs="宋体"/>
          <w:b/>
          <w:color w:val="FF0000"/>
          <w:sz w:val="24"/>
        </w:rPr>
      </w:pPr>
    </w:p>
    <w:p>
      <w:pPr>
        <w:pStyle w:val="38"/>
        <w:numPr>
          <w:ilvl w:val="0"/>
          <w:numId w:val="21"/>
        </w:numPr>
        <w:snapToGrid w:val="0"/>
        <w:spacing w:line="360" w:lineRule="auto"/>
        <w:ind w:firstLineChars="0"/>
        <w:rPr>
          <w:rFonts w:hint="eastAsia" w:ascii="宋体" w:hAnsi="宋体" w:eastAsia="宋体" w:cs="宋体"/>
          <w:b/>
          <w:color w:val="FF0000"/>
        </w:rPr>
      </w:pPr>
      <w:r>
        <w:rPr>
          <w:rFonts w:hint="eastAsia" w:ascii="宋体" w:hAnsi="宋体" w:eastAsia="宋体" w:cs="宋体"/>
          <w:b/>
          <w:color w:val="FF0000"/>
        </w:rPr>
        <w:t>基于遥感数据的清单订正及模式同化分系统</w:t>
      </w:r>
    </w:p>
    <w:p>
      <w:pPr>
        <w:pStyle w:val="38"/>
        <w:widowControl w:val="0"/>
        <w:numPr>
          <w:ilvl w:val="0"/>
          <w:numId w:val="22"/>
        </w:numPr>
        <w:adjustRightInd w:val="0"/>
        <w:snapToGrid w:val="0"/>
        <w:spacing w:line="360" w:lineRule="auto"/>
        <w:ind w:firstLineChars="0"/>
        <w:rPr>
          <w:rFonts w:hint="eastAsia" w:ascii="宋体" w:hAnsi="宋体" w:eastAsia="宋体" w:cs="宋体"/>
          <w:szCs w:val="21"/>
        </w:rPr>
      </w:pPr>
      <w:r>
        <w:rPr>
          <w:rFonts w:hint="eastAsia" w:ascii="宋体" w:hAnsi="宋体" w:eastAsia="宋体" w:cs="宋体"/>
          <w:szCs w:val="21"/>
        </w:rPr>
        <w:t>基于遥感数据的清单订正及模式同化分系统一套；</w:t>
      </w:r>
    </w:p>
    <w:p>
      <w:pPr>
        <w:pStyle w:val="38"/>
        <w:widowControl w:val="0"/>
        <w:numPr>
          <w:ilvl w:val="0"/>
          <w:numId w:val="22"/>
        </w:numPr>
        <w:adjustRightInd w:val="0"/>
        <w:snapToGrid w:val="0"/>
        <w:spacing w:line="360" w:lineRule="auto"/>
        <w:ind w:firstLineChars="0"/>
        <w:rPr>
          <w:rFonts w:hint="eastAsia" w:ascii="宋体" w:hAnsi="宋体" w:eastAsia="宋体" w:cs="宋体"/>
          <w:szCs w:val="21"/>
        </w:rPr>
      </w:pPr>
      <w:r>
        <w:rPr>
          <w:rFonts w:hint="eastAsia" w:ascii="宋体" w:hAnsi="宋体" w:eastAsia="宋体" w:cs="宋体"/>
          <w:szCs w:val="21"/>
        </w:rPr>
        <w:t>提供更新的长三角NO2排放源清单；</w:t>
      </w:r>
    </w:p>
    <w:p>
      <w:pPr>
        <w:snapToGrid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（二）重点区域多源卫星资料协同分析分系统</w:t>
      </w:r>
    </w:p>
    <w:p>
      <w:pPr>
        <w:pStyle w:val="38"/>
        <w:widowControl w:val="0"/>
        <w:numPr>
          <w:ilvl w:val="0"/>
          <w:numId w:val="23"/>
        </w:numPr>
        <w:adjustRightInd w:val="0"/>
        <w:snapToGrid w:val="0"/>
        <w:spacing w:line="360" w:lineRule="auto"/>
        <w:ind w:firstLineChars="0"/>
        <w:rPr>
          <w:rFonts w:hint="eastAsia" w:ascii="宋体" w:hAnsi="宋体" w:eastAsia="宋体" w:cs="宋体"/>
          <w:szCs w:val="21"/>
        </w:rPr>
      </w:pPr>
      <w:r>
        <w:rPr>
          <w:rFonts w:hint="eastAsia" w:ascii="宋体" w:hAnsi="宋体" w:eastAsia="宋体" w:cs="宋体"/>
          <w:szCs w:val="21"/>
        </w:rPr>
        <w:t>重点区域多源卫星资料协同分析分系统一套；</w:t>
      </w:r>
    </w:p>
    <w:p>
      <w:pPr>
        <w:pStyle w:val="38"/>
        <w:widowControl w:val="0"/>
        <w:numPr>
          <w:ilvl w:val="0"/>
          <w:numId w:val="23"/>
        </w:numPr>
        <w:adjustRightInd w:val="0"/>
        <w:snapToGrid w:val="0"/>
        <w:spacing w:line="360" w:lineRule="auto"/>
        <w:ind w:firstLineChars="0"/>
        <w:rPr>
          <w:rFonts w:hint="eastAsia" w:ascii="宋体" w:hAnsi="宋体" w:eastAsia="宋体" w:cs="宋体"/>
          <w:szCs w:val="21"/>
        </w:rPr>
      </w:pPr>
      <w:r>
        <w:rPr>
          <w:rFonts w:hint="eastAsia" w:ascii="宋体" w:hAnsi="宋体" w:eastAsia="宋体" w:cs="宋体"/>
          <w:szCs w:val="21"/>
        </w:rPr>
        <w:t>提交多源卫星二氧化氮柱浓度精度检验分析报告一份；</w:t>
      </w:r>
    </w:p>
    <w:p>
      <w:pPr>
        <w:pStyle w:val="38"/>
        <w:widowControl w:val="0"/>
        <w:numPr>
          <w:ilvl w:val="0"/>
          <w:numId w:val="23"/>
        </w:numPr>
        <w:adjustRightInd w:val="0"/>
        <w:snapToGrid w:val="0"/>
        <w:spacing w:line="360" w:lineRule="auto"/>
        <w:ind w:firstLineChars="0"/>
        <w:rPr>
          <w:rFonts w:hint="eastAsia" w:ascii="宋体" w:hAnsi="宋体" w:eastAsia="宋体" w:cs="宋体"/>
          <w:szCs w:val="21"/>
        </w:rPr>
      </w:pPr>
      <w:r>
        <w:rPr>
          <w:rFonts w:hint="eastAsia" w:ascii="宋体" w:hAnsi="宋体" w:eastAsia="宋体" w:cs="宋体"/>
          <w:szCs w:val="21"/>
        </w:rPr>
        <w:t>提交多源卫星二氧化氮柱浓度融合算法说明和源代码；</w:t>
      </w:r>
    </w:p>
    <w:p>
      <w:pPr>
        <w:pStyle w:val="38"/>
        <w:widowControl w:val="0"/>
        <w:numPr>
          <w:ilvl w:val="0"/>
          <w:numId w:val="23"/>
        </w:numPr>
        <w:adjustRightInd w:val="0"/>
        <w:snapToGrid w:val="0"/>
        <w:spacing w:line="360" w:lineRule="auto"/>
        <w:ind w:firstLineChars="0"/>
        <w:rPr>
          <w:rFonts w:hint="eastAsia" w:ascii="宋体" w:hAnsi="宋体" w:eastAsia="宋体" w:cs="宋体"/>
          <w:szCs w:val="21"/>
        </w:rPr>
      </w:pPr>
      <w:r>
        <w:rPr>
          <w:rFonts w:hint="eastAsia" w:ascii="宋体" w:hAnsi="宋体" w:eastAsia="宋体" w:cs="宋体"/>
          <w:szCs w:val="21"/>
        </w:rPr>
        <w:t>提交多源卫星二氧化氮柱浓度融合产品应用技术报告一份</w:t>
      </w:r>
    </w:p>
    <w:p>
      <w:pPr>
        <w:pStyle w:val="38"/>
        <w:widowControl w:val="0"/>
        <w:numPr>
          <w:ilvl w:val="0"/>
          <w:numId w:val="23"/>
        </w:numPr>
        <w:adjustRightInd w:val="0"/>
        <w:snapToGrid w:val="0"/>
        <w:spacing w:line="360" w:lineRule="auto"/>
        <w:ind w:firstLineChars="0"/>
        <w:rPr>
          <w:rFonts w:hint="eastAsia" w:ascii="宋体" w:hAnsi="宋体" w:eastAsia="宋体" w:cs="宋体"/>
          <w:szCs w:val="21"/>
        </w:rPr>
      </w:pPr>
      <w:r>
        <w:rPr>
          <w:rFonts w:hint="eastAsia" w:ascii="宋体" w:hAnsi="宋体" w:eastAsia="宋体" w:cs="宋体"/>
          <w:szCs w:val="21"/>
        </w:rPr>
        <w:t>测试数据及测试结果：二氧化氮柱浓度融合算法测试数据及测试结果图片；</w:t>
      </w:r>
    </w:p>
    <w:p>
      <w:pPr>
        <w:pStyle w:val="38"/>
        <w:widowControl w:val="0"/>
        <w:numPr>
          <w:ilvl w:val="0"/>
          <w:numId w:val="23"/>
        </w:numPr>
        <w:adjustRightInd w:val="0"/>
        <w:snapToGrid w:val="0"/>
        <w:spacing w:line="360" w:lineRule="auto"/>
        <w:ind w:firstLineChars="0"/>
        <w:rPr>
          <w:rFonts w:hint="eastAsia" w:ascii="宋体" w:hAnsi="宋体" w:eastAsia="宋体" w:cs="宋体"/>
          <w:szCs w:val="21"/>
        </w:rPr>
      </w:pPr>
      <w:r>
        <w:rPr>
          <w:rFonts w:hint="eastAsia" w:ascii="宋体" w:hAnsi="宋体" w:eastAsia="宋体" w:cs="宋体"/>
          <w:szCs w:val="21"/>
        </w:rPr>
        <w:t>提交多源卫星二氧化硫柱浓度精度检验分析报告一份</w:t>
      </w:r>
    </w:p>
    <w:p>
      <w:pPr>
        <w:pStyle w:val="38"/>
        <w:widowControl w:val="0"/>
        <w:numPr>
          <w:ilvl w:val="0"/>
          <w:numId w:val="23"/>
        </w:numPr>
        <w:adjustRightInd w:val="0"/>
        <w:snapToGrid w:val="0"/>
        <w:spacing w:line="360" w:lineRule="auto"/>
        <w:ind w:firstLineChars="0"/>
        <w:rPr>
          <w:rFonts w:hint="eastAsia" w:ascii="宋体" w:hAnsi="宋体" w:eastAsia="宋体" w:cs="宋体"/>
          <w:szCs w:val="21"/>
        </w:rPr>
      </w:pPr>
      <w:r>
        <w:rPr>
          <w:rFonts w:hint="eastAsia" w:ascii="宋体" w:hAnsi="宋体" w:eastAsia="宋体" w:cs="宋体"/>
          <w:szCs w:val="21"/>
        </w:rPr>
        <w:t>提交多源卫星二氧化硫柱浓度融合算法说明和源代码；</w:t>
      </w:r>
    </w:p>
    <w:p>
      <w:pPr>
        <w:pStyle w:val="38"/>
        <w:widowControl w:val="0"/>
        <w:numPr>
          <w:ilvl w:val="0"/>
          <w:numId w:val="23"/>
        </w:numPr>
        <w:adjustRightInd w:val="0"/>
        <w:snapToGrid w:val="0"/>
        <w:spacing w:line="360" w:lineRule="auto"/>
        <w:ind w:firstLineChars="0"/>
        <w:rPr>
          <w:rFonts w:hint="eastAsia" w:ascii="宋体" w:hAnsi="宋体" w:eastAsia="宋体" w:cs="宋体"/>
          <w:szCs w:val="21"/>
        </w:rPr>
      </w:pPr>
      <w:r>
        <w:rPr>
          <w:rFonts w:hint="eastAsia" w:ascii="宋体" w:hAnsi="宋体" w:eastAsia="宋体" w:cs="宋体"/>
          <w:szCs w:val="21"/>
        </w:rPr>
        <w:t>提交多源卫星二氧化硫柱浓度融合产品应用技术报告一份</w:t>
      </w:r>
    </w:p>
    <w:p>
      <w:pPr>
        <w:pStyle w:val="38"/>
        <w:widowControl w:val="0"/>
        <w:numPr>
          <w:ilvl w:val="0"/>
          <w:numId w:val="23"/>
        </w:numPr>
        <w:adjustRightInd w:val="0"/>
        <w:snapToGrid w:val="0"/>
        <w:spacing w:line="360" w:lineRule="auto"/>
        <w:ind w:firstLineChars="0"/>
        <w:rPr>
          <w:rFonts w:hint="eastAsia" w:ascii="宋体" w:hAnsi="宋体" w:eastAsia="宋体" w:cs="宋体"/>
          <w:szCs w:val="21"/>
        </w:rPr>
      </w:pPr>
      <w:r>
        <w:rPr>
          <w:rFonts w:hint="eastAsia" w:ascii="宋体" w:hAnsi="宋体" w:eastAsia="宋体" w:cs="宋体"/>
          <w:szCs w:val="21"/>
        </w:rPr>
        <w:t>测试数据及测试结果：二氧化硫柱浓度融合算法测试数据及测试结果图片；</w:t>
      </w:r>
    </w:p>
    <w:p>
      <w:pPr>
        <w:snapToGrid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（三）基于云技术的统一门户分系统</w:t>
      </w:r>
    </w:p>
    <w:p>
      <w:pPr>
        <w:pStyle w:val="38"/>
        <w:widowControl w:val="0"/>
        <w:numPr>
          <w:ilvl w:val="0"/>
          <w:numId w:val="24"/>
        </w:numPr>
        <w:adjustRightInd w:val="0"/>
        <w:snapToGrid w:val="0"/>
        <w:spacing w:line="360" w:lineRule="auto"/>
        <w:ind w:firstLineChars="0"/>
        <w:rPr>
          <w:rFonts w:hint="eastAsia" w:ascii="宋体" w:hAnsi="宋体" w:eastAsia="宋体" w:cs="宋体"/>
          <w:szCs w:val="21"/>
        </w:rPr>
      </w:pPr>
      <w:r>
        <w:rPr>
          <w:rFonts w:hint="eastAsia" w:ascii="宋体" w:hAnsi="宋体" w:eastAsia="宋体" w:cs="宋体"/>
          <w:szCs w:val="21"/>
        </w:rPr>
        <w:t>基于云技术的统一门户分系统一套；</w:t>
      </w:r>
    </w:p>
    <w:p>
      <w:pPr>
        <w:pStyle w:val="38"/>
        <w:widowControl w:val="0"/>
        <w:numPr>
          <w:ilvl w:val="0"/>
          <w:numId w:val="24"/>
        </w:numPr>
        <w:adjustRightInd w:val="0"/>
        <w:snapToGrid w:val="0"/>
        <w:spacing w:line="360" w:lineRule="auto"/>
        <w:ind w:firstLineChars="0"/>
        <w:rPr>
          <w:rFonts w:hint="eastAsia" w:ascii="宋体" w:hAnsi="宋体" w:eastAsia="宋体" w:cs="宋体"/>
          <w:szCs w:val="21"/>
        </w:rPr>
      </w:pPr>
      <w:r>
        <w:rPr>
          <w:rFonts w:hint="eastAsia" w:ascii="宋体" w:hAnsi="宋体" w:eastAsia="宋体" w:cs="宋体"/>
          <w:szCs w:val="21"/>
        </w:rPr>
        <w:t>提交基于云技术的统一门户分系统源代码；</w:t>
      </w:r>
    </w:p>
    <w:p>
      <w:pPr>
        <w:snapToGrid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（四）长三角城市群生态承载力评估分系统</w:t>
      </w:r>
    </w:p>
    <w:p>
      <w:pPr>
        <w:pStyle w:val="38"/>
        <w:widowControl w:val="0"/>
        <w:numPr>
          <w:ilvl w:val="0"/>
          <w:numId w:val="25"/>
        </w:numPr>
        <w:adjustRightInd w:val="0"/>
        <w:snapToGrid w:val="0"/>
        <w:spacing w:line="360" w:lineRule="auto"/>
        <w:ind w:firstLineChars="0"/>
        <w:rPr>
          <w:rFonts w:hint="eastAsia" w:ascii="宋体" w:hAnsi="宋体" w:eastAsia="宋体" w:cs="宋体"/>
          <w:szCs w:val="21"/>
        </w:rPr>
      </w:pPr>
      <w:r>
        <w:rPr>
          <w:rFonts w:hint="eastAsia" w:ascii="宋体" w:hAnsi="宋体" w:eastAsia="宋体" w:cs="宋体"/>
          <w:szCs w:val="21"/>
        </w:rPr>
        <w:t>提交长三角城市群生态承载力评估分系统一套；</w:t>
      </w:r>
    </w:p>
    <w:p>
      <w:pPr>
        <w:pStyle w:val="38"/>
        <w:widowControl w:val="0"/>
        <w:numPr>
          <w:ilvl w:val="0"/>
          <w:numId w:val="25"/>
        </w:numPr>
        <w:adjustRightInd w:val="0"/>
        <w:snapToGrid w:val="0"/>
        <w:spacing w:line="360" w:lineRule="auto"/>
        <w:ind w:firstLineChars="0"/>
        <w:rPr>
          <w:rFonts w:hint="eastAsia" w:ascii="宋体" w:hAnsi="宋体" w:eastAsia="宋体" w:cs="宋体"/>
          <w:szCs w:val="21"/>
        </w:rPr>
      </w:pPr>
      <w:r>
        <w:rPr>
          <w:rFonts w:hint="eastAsia" w:ascii="宋体" w:hAnsi="宋体" w:eastAsia="宋体" w:cs="宋体"/>
          <w:szCs w:val="21"/>
        </w:rPr>
        <w:t>提交长三角城市群生态承载力评估分系统技术方法、算法流程说明以及数据一致化处理中影像校正合成反演计算、缺失值重建、</w:t>
      </w:r>
      <w:r>
        <w:rPr>
          <w:rFonts w:hint="eastAsia" w:ascii="宋体" w:hAnsi="宋体" w:eastAsia="宋体" w:cs="宋体"/>
        </w:rPr>
        <w:t>空间</w:t>
      </w:r>
      <w:r>
        <w:rPr>
          <w:rFonts w:hint="eastAsia" w:ascii="宋体" w:hAnsi="宋体" w:eastAsia="宋体" w:cs="宋体"/>
          <w:szCs w:val="21"/>
        </w:rPr>
        <w:t>细化等算法源代码，生态足迹、承载力反演和供需平衡分型定级等算法源代码及系统源代码；</w:t>
      </w:r>
    </w:p>
    <w:p>
      <w:pPr>
        <w:pStyle w:val="38"/>
        <w:widowControl w:val="0"/>
        <w:numPr>
          <w:ilvl w:val="0"/>
          <w:numId w:val="25"/>
        </w:numPr>
        <w:adjustRightInd w:val="0"/>
        <w:snapToGrid w:val="0"/>
        <w:spacing w:line="360" w:lineRule="auto"/>
        <w:ind w:firstLineChars="0"/>
        <w:rPr>
          <w:rFonts w:hint="eastAsia" w:ascii="宋体" w:hAnsi="宋体" w:eastAsia="宋体" w:cs="宋体"/>
          <w:szCs w:val="21"/>
        </w:rPr>
      </w:pPr>
      <w:r>
        <w:rPr>
          <w:rFonts w:hint="eastAsia" w:ascii="宋体" w:hAnsi="宋体" w:eastAsia="宋体" w:cs="宋体"/>
          <w:szCs w:val="21"/>
        </w:rPr>
        <w:t>提交长三角城市群生态承载力评估技术报告和验证文档；</w:t>
      </w:r>
    </w:p>
    <w:p>
      <w:pPr>
        <w:pStyle w:val="38"/>
        <w:widowControl w:val="0"/>
        <w:numPr>
          <w:ilvl w:val="0"/>
          <w:numId w:val="25"/>
        </w:numPr>
        <w:adjustRightInd w:val="0"/>
        <w:snapToGrid w:val="0"/>
        <w:spacing w:line="360" w:lineRule="auto"/>
        <w:ind w:firstLineChars="0"/>
        <w:rPr>
          <w:rFonts w:hint="eastAsia" w:ascii="宋体" w:hAnsi="宋体" w:eastAsia="宋体" w:cs="宋体"/>
          <w:szCs w:val="21"/>
        </w:rPr>
      </w:pPr>
      <w:r>
        <w:rPr>
          <w:rFonts w:hint="eastAsia" w:ascii="宋体" w:hAnsi="宋体" w:eastAsia="宋体" w:cs="宋体"/>
          <w:szCs w:val="21"/>
        </w:rPr>
        <w:t>提交长序列标准化数据集包括长三角各市生态足迹核算空间数据集、长三角各市生态承载力核算空间数据集、长三角各市生态盈亏核算及分级分类空间数据集。</w:t>
      </w:r>
    </w:p>
    <w:p>
      <w:pPr>
        <w:snapToGrid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（五）海岛动态监测评价子分系统</w:t>
      </w:r>
    </w:p>
    <w:p>
      <w:pPr>
        <w:pStyle w:val="38"/>
        <w:widowControl w:val="0"/>
        <w:numPr>
          <w:ilvl w:val="0"/>
          <w:numId w:val="26"/>
        </w:numPr>
        <w:adjustRightInd w:val="0"/>
        <w:snapToGrid w:val="0"/>
        <w:spacing w:line="360" w:lineRule="auto"/>
        <w:ind w:firstLineChars="0"/>
        <w:rPr>
          <w:rFonts w:hint="eastAsia" w:ascii="宋体" w:hAnsi="宋体" w:eastAsia="宋体" w:cs="宋体"/>
          <w:szCs w:val="21"/>
        </w:rPr>
      </w:pPr>
      <w:r>
        <w:rPr>
          <w:rFonts w:hint="eastAsia" w:ascii="宋体" w:hAnsi="宋体" w:eastAsia="宋体" w:cs="宋体"/>
          <w:szCs w:val="21"/>
        </w:rPr>
        <w:t>提交海岛动态监测评价分系统一套；</w:t>
      </w:r>
    </w:p>
    <w:p>
      <w:pPr>
        <w:pStyle w:val="38"/>
        <w:widowControl w:val="0"/>
        <w:numPr>
          <w:ilvl w:val="0"/>
          <w:numId w:val="26"/>
        </w:numPr>
        <w:adjustRightInd w:val="0"/>
        <w:snapToGrid w:val="0"/>
        <w:spacing w:line="360" w:lineRule="auto"/>
        <w:ind w:firstLineChars="0"/>
        <w:rPr>
          <w:rFonts w:hint="eastAsia" w:ascii="宋体" w:hAnsi="宋体" w:eastAsia="宋体" w:cs="宋体"/>
          <w:szCs w:val="21"/>
        </w:rPr>
      </w:pPr>
      <w:r>
        <w:rPr>
          <w:rFonts w:hint="eastAsia" w:ascii="宋体" w:hAnsi="宋体" w:eastAsia="宋体" w:cs="宋体"/>
          <w:szCs w:val="21"/>
        </w:rPr>
        <w:t>提交海岛动态监测评价分系统算法说明和源代码；</w:t>
      </w:r>
    </w:p>
    <w:p>
      <w:pPr>
        <w:pStyle w:val="38"/>
        <w:widowControl w:val="0"/>
        <w:numPr>
          <w:ilvl w:val="0"/>
          <w:numId w:val="26"/>
        </w:numPr>
        <w:adjustRightInd w:val="0"/>
        <w:snapToGrid w:val="0"/>
        <w:spacing w:line="360" w:lineRule="auto"/>
        <w:ind w:firstLineChars="0"/>
        <w:rPr>
          <w:rFonts w:hint="eastAsia" w:ascii="宋体" w:hAnsi="宋体" w:eastAsia="宋体" w:cs="宋体"/>
          <w:szCs w:val="21"/>
        </w:rPr>
      </w:pPr>
      <w:r>
        <w:rPr>
          <w:rFonts w:hint="eastAsia" w:ascii="宋体" w:hAnsi="宋体" w:eastAsia="宋体" w:cs="宋体"/>
          <w:szCs w:val="21"/>
        </w:rPr>
        <w:t>提交海岛动态监测评价技术报告和2021-2022年海岛变迁评估报告各一篇。</w:t>
      </w:r>
    </w:p>
    <w:p>
      <w:pPr>
        <w:snapToGrid w:val="0"/>
        <w:spacing w:line="360" w:lineRule="auto"/>
        <w:outlineLvl w:val="3"/>
        <w:rPr>
          <w:rFonts w:hint="eastAsia" w:ascii="宋体" w:hAnsi="宋体" w:eastAsia="宋体" w:cs="宋体"/>
          <w:b/>
          <w:sz w:val="24"/>
        </w:rPr>
      </w:pPr>
      <w:r>
        <w:rPr>
          <w:rFonts w:hint="eastAsia" w:ascii="宋体" w:hAnsi="宋体" w:eastAsia="宋体" w:cs="宋体"/>
          <w:b/>
          <w:color w:val="000000"/>
          <w:sz w:val="24"/>
        </w:rPr>
        <w:t>3</w:t>
      </w:r>
      <w:r>
        <w:rPr>
          <w:rFonts w:hint="eastAsia" w:ascii="宋体" w:hAnsi="宋体" w:eastAsia="宋体" w:cs="宋体"/>
          <w:b/>
          <w:sz w:val="24"/>
        </w:rPr>
        <w:t>系统技术指标（加*为核心指标）</w:t>
      </w:r>
    </w:p>
    <w:p>
      <w:pPr>
        <w:pStyle w:val="38"/>
        <w:numPr>
          <w:ilvl w:val="0"/>
          <w:numId w:val="27"/>
        </w:numPr>
        <w:adjustRightInd w:val="0"/>
        <w:snapToGrid w:val="0"/>
        <w:spacing w:line="360" w:lineRule="auto"/>
        <w:ind w:firstLineChars="0"/>
        <w:rPr>
          <w:rFonts w:hint="eastAsia" w:ascii="宋体" w:hAnsi="宋体" w:eastAsia="宋体" w:cs="宋体"/>
        </w:rPr>
      </w:pPr>
      <w:r>
        <w:rPr>
          <w:rFonts w:hint="eastAsia" w:ascii="宋体" w:hAnsi="宋体" w:eastAsia="宋体" w:cs="宋体"/>
        </w:rPr>
        <w:t>功能指标：系统的功能、精度、准确率等</w:t>
      </w:r>
    </w:p>
    <w:p>
      <w:pPr>
        <w:pStyle w:val="38"/>
        <w:widowControl w:val="0"/>
        <w:numPr>
          <w:ilvl w:val="0"/>
          <w:numId w:val="28"/>
        </w:numPr>
        <w:adjustRightInd w:val="0"/>
        <w:snapToGrid w:val="0"/>
        <w:spacing w:line="360" w:lineRule="auto"/>
        <w:ind w:firstLineChars="0"/>
        <w:rPr>
          <w:rFonts w:hint="eastAsia" w:ascii="宋体" w:hAnsi="宋体" w:eastAsia="宋体" w:cs="宋体"/>
          <w:szCs w:val="21"/>
        </w:rPr>
      </w:pPr>
      <w:r>
        <w:rPr>
          <w:rFonts w:hint="eastAsia" w:ascii="宋体" w:hAnsi="宋体" w:eastAsia="宋体" w:cs="宋体"/>
          <w:szCs w:val="21"/>
        </w:rPr>
        <w:t>*生成订正后的长三角区域排放源清单；</w:t>
      </w:r>
    </w:p>
    <w:p>
      <w:pPr>
        <w:pStyle w:val="38"/>
        <w:widowControl w:val="0"/>
        <w:numPr>
          <w:ilvl w:val="0"/>
          <w:numId w:val="28"/>
        </w:numPr>
        <w:adjustRightInd w:val="0"/>
        <w:snapToGrid w:val="0"/>
        <w:spacing w:line="360" w:lineRule="auto"/>
        <w:ind w:firstLineChars="0"/>
        <w:rPr>
          <w:rFonts w:hint="eastAsia" w:ascii="宋体" w:hAnsi="宋体" w:eastAsia="宋体" w:cs="宋体"/>
          <w:szCs w:val="21"/>
        </w:rPr>
      </w:pPr>
      <w:r>
        <w:rPr>
          <w:rFonts w:hint="eastAsia" w:ascii="宋体" w:hAnsi="宋体" w:eastAsia="宋体" w:cs="宋体"/>
          <w:szCs w:val="21"/>
        </w:rPr>
        <w:t>*模式对典型月份PM2.5的预报偏差降低5%以上；模式对NO2的预报偏差降低5%以上；对O3的预报偏差降低3-5%以上；</w:t>
      </w:r>
    </w:p>
    <w:p>
      <w:pPr>
        <w:pStyle w:val="38"/>
        <w:widowControl w:val="0"/>
        <w:numPr>
          <w:ilvl w:val="0"/>
          <w:numId w:val="28"/>
        </w:numPr>
        <w:adjustRightInd w:val="0"/>
        <w:snapToGrid w:val="0"/>
        <w:spacing w:line="360" w:lineRule="auto"/>
        <w:ind w:firstLineChars="0"/>
        <w:rPr>
          <w:rFonts w:hint="eastAsia" w:ascii="宋体" w:hAnsi="宋体" w:eastAsia="宋体" w:cs="宋体"/>
          <w:szCs w:val="21"/>
        </w:rPr>
      </w:pPr>
      <w:r>
        <w:rPr>
          <w:rFonts w:hint="eastAsia" w:ascii="宋体" w:hAnsi="宋体" w:eastAsia="宋体" w:cs="宋体"/>
          <w:szCs w:val="21"/>
        </w:rPr>
        <w:t>*同时采用星地校验和交叉检验的方式对卫星二氧化氮和二氧化硫产品进行检验，检验方法至少包括相关系数、平均偏差、均方根误差、散点图、偏差直方图等定量化统计分析指标；</w:t>
      </w:r>
    </w:p>
    <w:p>
      <w:pPr>
        <w:pStyle w:val="38"/>
        <w:widowControl w:val="0"/>
        <w:numPr>
          <w:ilvl w:val="0"/>
          <w:numId w:val="28"/>
        </w:numPr>
        <w:adjustRightInd w:val="0"/>
        <w:snapToGrid w:val="0"/>
        <w:spacing w:line="360" w:lineRule="auto"/>
        <w:ind w:firstLineChars="0"/>
        <w:rPr>
          <w:rFonts w:hint="eastAsia" w:ascii="宋体" w:hAnsi="宋体" w:eastAsia="宋体" w:cs="宋体"/>
          <w:szCs w:val="21"/>
        </w:rPr>
      </w:pPr>
      <w:r>
        <w:rPr>
          <w:rFonts w:hint="eastAsia" w:ascii="宋体" w:hAnsi="宋体" w:eastAsia="宋体" w:cs="宋体"/>
          <w:szCs w:val="21"/>
        </w:rPr>
        <w:t>对多种卫星数据和产品数据自动下载以及预处理，并快速响应；</w:t>
      </w:r>
    </w:p>
    <w:p>
      <w:pPr>
        <w:pStyle w:val="38"/>
        <w:widowControl w:val="0"/>
        <w:numPr>
          <w:ilvl w:val="0"/>
          <w:numId w:val="28"/>
        </w:numPr>
        <w:adjustRightInd w:val="0"/>
        <w:snapToGrid w:val="0"/>
        <w:spacing w:line="360" w:lineRule="auto"/>
        <w:ind w:firstLineChars="0"/>
        <w:rPr>
          <w:rFonts w:hint="eastAsia" w:ascii="宋体" w:hAnsi="宋体" w:eastAsia="宋体" w:cs="宋体"/>
          <w:szCs w:val="21"/>
        </w:rPr>
      </w:pPr>
      <w:r>
        <w:rPr>
          <w:rFonts w:hint="eastAsia" w:ascii="宋体" w:hAnsi="宋体" w:eastAsia="宋体" w:cs="宋体"/>
          <w:szCs w:val="21"/>
        </w:rPr>
        <w:t>*海岛动态监测评价分系统稳定运行，自动化生产的产品空间分辨率不低于250m，季时相。海岛变迁专题图和评估报告支持人机交互修改编辑；</w:t>
      </w:r>
    </w:p>
    <w:p>
      <w:pPr>
        <w:pStyle w:val="38"/>
        <w:widowControl w:val="0"/>
        <w:numPr>
          <w:ilvl w:val="0"/>
          <w:numId w:val="28"/>
        </w:numPr>
        <w:adjustRightInd w:val="0"/>
        <w:snapToGrid w:val="0"/>
        <w:spacing w:line="360" w:lineRule="auto"/>
        <w:ind w:firstLineChars="0"/>
        <w:rPr>
          <w:rFonts w:hint="eastAsia" w:ascii="宋体" w:hAnsi="宋体" w:eastAsia="宋体" w:cs="宋体"/>
          <w:szCs w:val="21"/>
        </w:rPr>
      </w:pPr>
      <w:r>
        <w:rPr>
          <w:rFonts w:hint="eastAsia" w:ascii="宋体" w:hAnsi="宋体" w:eastAsia="宋体" w:cs="宋体"/>
          <w:szCs w:val="21"/>
        </w:rPr>
        <w:t>*海岛动态监测评价分系统的监测海岛的位置、面积监测空间精度在90%以上。</w:t>
      </w:r>
    </w:p>
    <w:p>
      <w:pPr>
        <w:pStyle w:val="38"/>
        <w:widowControl w:val="0"/>
        <w:numPr>
          <w:ilvl w:val="0"/>
          <w:numId w:val="28"/>
        </w:numPr>
        <w:adjustRightInd w:val="0"/>
        <w:snapToGrid w:val="0"/>
        <w:spacing w:line="360" w:lineRule="auto"/>
        <w:ind w:firstLineChars="0"/>
        <w:rPr>
          <w:rFonts w:hint="eastAsia" w:ascii="宋体" w:hAnsi="宋体" w:eastAsia="宋体" w:cs="宋体"/>
          <w:szCs w:val="21"/>
        </w:rPr>
      </w:pPr>
      <w:r>
        <w:rPr>
          <w:rFonts w:hint="eastAsia" w:ascii="宋体" w:hAnsi="宋体" w:eastAsia="宋体" w:cs="宋体"/>
          <w:szCs w:val="21"/>
        </w:rPr>
        <w:t>*系统具备长三角城市群生态承载力评估相关FY-3多源遥感数据、社会经济数据、气象数据的支持和处理能力，具有生态足迹、生态承载力、生态盈亏评估功能和产品自动生成能力，空间分辨率为百米级，时相为年，空间统计单元到市/县。识别出生态盈余、平衡、赤字状态，具备长三角城市群生态盈亏分析及保护对策优化决策功能。</w:t>
      </w:r>
    </w:p>
    <w:p>
      <w:pPr>
        <w:pStyle w:val="38"/>
        <w:widowControl w:val="0"/>
        <w:numPr>
          <w:ilvl w:val="0"/>
          <w:numId w:val="28"/>
        </w:numPr>
        <w:adjustRightInd w:val="0"/>
        <w:snapToGrid w:val="0"/>
        <w:spacing w:line="360" w:lineRule="auto"/>
        <w:ind w:firstLineChars="0"/>
        <w:rPr>
          <w:rFonts w:hint="eastAsia" w:ascii="宋体" w:hAnsi="宋体" w:eastAsia="宋体" w:cs="宋体"/>
          <w:szCs w:val="21"/>
        </w:rPr>
      </w:pPr>
      <w:r>
        <w:rPr>
          <w:rFonts w:hint="eastAsia" w:ascii="宋体" w:hAnsi="宋体" w:eastAsia="宋体" w:cs="宋体"/>
          <w:szCs w:val="21"/>
        </w:rPr>
        <w:t>长三角城市群生态承载力评估报告按年、月生成，提供多维度图表统计、时空分析与专题制图；</w:t>
      </w:r>
    </w:p>
    <w:p>
      <w:pPr>
        <w:pStyle w:val="38"/>
        <w:widowControl w:val="0"/>
        <w:numPr>
          <w:ilvl w:val="0"/>
          <w:numId w:val="28"/>
        </w:numPr>
        <w:adjustRightInd w:val="0"/>
        <w:snapToGrid w:val="0"/>
        <w:spacing w:line="360" w:lineRule="auto"/>
        <w:ind w:firstLineChars="0"/>
        <w:rPr>
          <w:rFonts w:hint="eastAsia" w:ascii="宋体" w:hAnsi="宋体" w:eastAsia="宋体" w:cs="宋体"/>
          <w:szCs w:val="21"/>
        </w:rPr>
      </w:pPr>
      <w:r>
        <w:rPr>
          <w:rFonts w:hint="eastAsia" w:ascii="宋体" w:hAnsi="宋体" w:eastAsia="宋体" w:cs="宋体"/>
          <w:szCs w:val="21"/>
        </w:rPr>
        <w:t>发展长三角NPP和LST生态参数缺失值重建和空间细化模型，空间分辨率可由公里级提升至≤100米，平均精度在15%之内，计算效率优于15min。</w:t>
      </w:r>
    </w:p>
    <w:p>
      <w:pPr>
        <w:adjustRightInd w:val="0"/>
        <w:snapToGrid w:val="0"/>
        <w:spacing w:line="360" w:lineRule="auto"/>
        <w:rPr>
          <w:rFonts w:hint="eastAsia" w:ascii="宋体" w:hAnsi="宋体" w:eastAsia="宋体" w:cs="宋体"/>
        </w:rPr>
      </w:pPr>
    </w:p>
    <w:p>
      <w:pPr>
        <w:pStyle w:val="38"/>
        <w:numPr>
          <w:ilvl w:val="0"/>
          <w:numId w:val="27"/>
        </w:numPr>
        <w:adjustRightInd w:val="0"/>
        <w:snapToGrid w:val="0"/>
        <w:spacing w:line="360" w:lineRule="auto"/>
        <w:ind w:firstLineChars="0"/>
        <w:rPr>
          <w:rFonts w:hint="eastAsia" w:ascii="宋体" w:hAnsi="宋体" w:eastAsia="宋体" w:cs="宋体"/>
        </w:rPr>
      </w:pPr>
      <w:r>
        <w:rPr>
          <w:rFonts w:hint="eastAsia" w:ascii="宋体" w:hAnsi="宋体" w:eastAsia="宋体" w:cs="宋体"/>
        </w:rPr>
        <w:t>非功能指标：易用性、可扩展性等</w:t>
      </w:r>
    </w:p>
    <w:p>
      <w:pPr>
        <w:pStyle w:val="38"/>
        <w:widowControl w:val="0"/>
        <w:numPr>
          <w:ilvl w:val="0"/>
          <w:numId w:val="29"/>
        </w:numPr>
        <w:adjustRightInd w:val="0"/>
        <w:snapToGrid w:val="0"/>
        <w:spacing w:line="360" w:lineRule="auto"/>
        <w:ind w:firstLineChars="0"/>
        <w:rPr>
          <w:rFonts w:hint="eastAsia" w:ascii="宋体" w:hAnsi="宋体" w:eastAsia="宋体" w:cs="宋体"/>
          <w:szCs w:val="21"/>
        </w:rPr>
      </w:pPr>
      <w:r>
        <w:rPr>
          <w:rFonts w:hint="eastAsia" w:ascii="宋体" w:hAnsi="宋体" w:eastAsia="宋体" w:cs="宋体"/>
          <w:szCs w:val="21"/>
        </w:rPr>
        <w:t>高可移植性：具有可在不同编译器及系统平台之间进行移植的功能。</w:t>
      </w:r>
    </w:p>
    <w:p>
      <w:pPr>
        <w:pStyle w:val="38"/>
        <w:widowControl w:val="0"/>
        <w:numPr>
          <w:ilvl w:val="0"/>
          <w:numId w:val="29"/>
        </w:numPr>
        <w:adjustRightInd w:val="0"/>
        <w:snapToGrid w:val="0"/>
        <w:spacing w:line="360" w:lineRule="auto"/>
        <w:ind w:firstLineChars="0"/>
        <w:rPr>
          <w:rFonts w:hint="eastAsia" w:ascii="宋体" w:hAnsi="宋体" w:eastAsia="宋体" w:cs="宋体"/>
          <w:szCs w:val="21"/>
        </w:rPr>
      </w:pPr>
      <w:r>
        <w:rPr>
          <w:rFonts w:hint="eastAsia" w:ascii="宋体" w:hAnsi="宋体" w:eastAsia="宋体" w:cs="宋体"/>
          <w:szCs w:val="21"/>
        </w:rPr>
        <w:t>互联网通信接口：基于标准协议，提供各种数据交互，解决平台的异构性问题，同时能提供良好的可扩展性；</w:t>
      </w:r>
    </w:p>
    <w:p>
      <w:pPr>
        <w:pStyle w:val="38"/>
        <w:widowControl w:val="0"/>
        <w:numPr>
          <w:ilvl w:val="0"/>
          <w:numId w:val="29"/>
        </w:numPr>
        <w:adjustRightInd w:val="0"/>
        <w:snapToGrid w:val="0"/>
        <w:spacing w:line="360" w:lineRule="auto"/>
        <w:ind w:firstLineChars="0"/>
        <w:rPr>
          <w:rFonts w:hint="eastAsia" w:ascii="宋体" w:hAnsi="宋体" w:eastAsia="宋体" w:cs="宋体"/>
          <w:szCs w:val="21"/>
        </w:rPr>
      </w:pPr>
      <w:r>
        <w:rPr>
          <w:rFonts w:hint="eastAsia" w:ascii="宋体" w:hAnsi="宋体" w:eastAsia="宋体" w:cs="宋体"/>
          <w:szCs w:val="21"/>
        </w:rPr>
        <w:t>*分层设计：云平台系统采用分层设计思想，将系统进行合理分层，并在不同层次提供不同服务；</w:t>
      </w:r>
    </w:p>
    <w:p>
      <w:pPr>
        <w:pStyle w:val="38"/>
        <w:widowControl w:val="0"/>
        <w:numPr>
          <w:ilvl w:val="0"/>
          <w:numId w:val="29"/>
        </w:numPr>
        <w:adjustRightInd w:val="0"/>
        <w:snapToGrid w:val="0"/>
        <w:spacing w:line="360" w:lineRule="auto"/>
        <w:ind w:firstLineChars="0"/>
        <w:rPr>
          <w:rFonts w:hint="eastAsia" w:ascii="宋体" w:hAnsi="宋体" w:eastAsia="宋体" w:cs="宋体"/>
          <w:szCs w:val="21"/>
        </w:rPr>
      </w:pPr>
      <w:r>
        <w:rPr>
          <w:rFonts w:hint="eastAsia" w:ascii="宋体" w:hAnsi="宋体" w:eastAsia="宋体" w:cs="宋体"/>
          <w:szCs w:val="21"/>
        </w:rPr>
        <w:t>安全性：提供一种完整的数据备份策略机制和恢复机制，保证随时随地都可以完成数据的完整恢复；</w:t>
      </w:r>
    </w:p>
    <w:p>
      <w:pPr>
        <w:pStyle w:val="38"/>
        <w:widowControl w:val="0"/>
        <w:numPr>
          <w:ilvl w:val="0"/>
          <w:numId w:val="29"/>
        </w:numPr>
        <w:adjustRightInd w:val="0"/>
        <w:snapToGrid w:val="0"/>
        <w:spacing w:line="360" w:lineRule="auto"/>
        <w:ind w:firstLineChars="0"/>
        <w:rPr>
          <w:rFonts w:hint="eastAsia" w:ascii="宋体" w:hAnsi="宋体" w:eastAsia="宋体" w:cs="宋体"/>
          <w:szCs w:val="21"/>
        </w:rPr>
      </w:pPr>
      <w:r>
        <w:rPr>
          <w:rFonts w:hint="eastAsia" w:ascii="宋体" w:hAnsi="宋体" w:eastAsia="宋体" w:cs="宋体"/>
          <w:szCs w:val="21"/>
        </w:rPr>
        <w:t>*云服务：采用云服务提供商提供的成熟可靠的云服务方案集成建设。</w:t>
      </w:r>
    </w:p>
    <w:p>
      <w:pPr>
        <w:pStyle w:val="38"/>
        <w:widowControl w:val="0"/>
        <w:numPr>
          <w:ilvl w:val="0"/>
          <w:numId w:val="29"/>
        </w:numPr>
        <w:adjustRightInd w:val="0"/>
        <w:snapToGrid w:val="0"/>
        <w:spacing w:line="360" w:lineRule="auto"/>
        <w:ind w:firstLineChars="0"/>
        <w:rPr>
          <w:rFonts w:hint="eastAsia" w:ascii="宋体" w:hAnsi="宋体" w:eastAsia="宋体" w:cs="宋体"/>
          <w:szCs w:val="21"/>
        </w:rPr>
      </w:pPr>
      <w:r>
        <w:rPr>
          <w:rFonts w:hint="eastAsia" w:ascii="宋体" w:hAnsi="宋体" w:eastAsia="宋体" w:cs="宋体"/>
          <w:szCs w:val="21"/>
        </w:rPr>
        <w:t>弹性架构：在不改动源代码的前提下，系统支持按需动态扩展和回缩云资源，以降低系统TOC。</w:t>
      </w:r>
    </w:p>
    <w:p>
      <w:pPr>
        <w:adjustRightInd w:val="0"/>
        <w:snapToGrid w:val="0"/>
        <w:spacing w:line="360" w:lineRule="auto"/>
        <w:rPr>
          <w:rFonts w:hint="eastAsia" w:ascii="宋体" w:hAnsi="宋体" w:eastAsia="宋体" w:cs="宋体"/>
        </w:rPr>
      </w:pPr>
    </w:p>
    <w:p>
      <w:pPr>
        <w:snapToGrid w:val="0"/>
        <w:spacing w:before="240" w:line="360" w:lineRule="auto"/>
        <w:outlineLvl w:val="2"/>
        <w:rPr>
          <w:rFonts w:hint="eastAsia" w:ascii="宋体" w:hAnsi="宋体" w:eastAsia="宋体" w:cs="宋体"/>
          <w:b/>
          <w:color w:val="000000"/>
          <w:sz w:val="24"/>
        </w:rPr>
      </w:pPr>
      <w:r>
        <w:rPr>
          <w:rFonts w:hint="eastAsia" w:ascii="宋体" w:hAnsi="宋体" w:eastAsia="宋体" w:cs="宋体"/>
          <w:b/>
          <w:color w:val="000000"/>
          <w:sz w:val="24"/>
        </w:rPr>
        <w:t>四、保密要求</w:t>
      </w:r>
    </w:p>
    <w:p>
      <w:pPr>
        <w:pStyle w:val="40"/>
        <w:snapToGrid w:val="0"/>
        <w:ind w:firstLine="480"/>
        <w:rPr>
          <w:rFonts w:hint="eastAsia" w:ascii="宋体" w:hAnsi="宋体" w:eastAsia="宋体" w:cs="宋体"/>
          <w:color w:val="000000"/>
          <w:sz w:val="24"/>
          <w:szCs w:val="24"/>
        </w:rPr>
      </w:pPr>
      <w:r>
        <w:rPr>
          <w:rFonts w:hint="eastAsia" w:ascii="宋体" w:hAnsi="宋体" w:eastAsia="宋体" w:cs="宋体"/>
          <w:bCs/>
          <w:color w:val="000000"/>
          <w:kern w:val="0"/>
          <w:sz w:val="24"/>
          <w:szCs w:val="24"/>
        </w:rPr>
        <w:t>乙方必须如约承担合同履行时所应该尽的一切保密义务，乙方对项目实施过程中的资料、数据进行保密，未经采购人书面同意不得泄露，一切保密责任不因合同的中止或解除而失效。</w:t>
      </w:r>
    </w:p>
    <w:p>
      <w:pPr>
        <w:snapToGrid w:val="0"/>
        <w:spacing w:line="360" w:lineRule="auto"/>
        <w:outlineLvl w:val="2"/>
        <w:rPr>
          <w:rFonts w:hint="eastAsia" w:ascii="宋体" w:hAnsi="宋体" w:eastAsia="宋体" w:cs="宋体"/>
          <w:b/>
          <w:color w:val="000000"/>
          <w:sz w:val="24"/>
        </w:rPr>
      </w:pPr>
      <w:r>
        <w:rPr>
          <w:rFonts w:hint="eastAsia" w:ascii="宋体" w:hAnsi="宋体" w:eastAsia="宋体" w:cs="宋体"/>
          <w:b/>
          <w:color w:val="000000"/>
          <w:sz w:val="24"/>
        </w:rPr>
        <w:t xml:space="preserve">五、报价要求 </w:t>
      </w:r>
    </w:p>
    <w:p>
      <w:pPr>
        <w:snapToGrid w:val="0"/>
        <w:spacing w:line="360" w:lineRule="auto"/>
        <w:ind w:firstLine="480" w:firstLineChars="200"/>
        <w:rPr>
          <w:rFonts w:hint="eastAsia" w:ascii="宋体" w:hAnsi="宋体" w:eastAsia="宋体" w:cs="宋体"/>
          <w:color w:val="000000"/>
          <w:sz w:val="24"/>
        </w:rPr>
      </w:pPr>
      <w:bookmarkStart w:id="39" w:name="_Toc370215551"/>
      <w:r>
        <w:rPr>
          <w:rFonts w:hint="eastAsia" w:ascii="宋体" w:hAnsi="宋体" w:eastAsia="宋体" w:cs="宋体"/>
          <w:color w:val="000000"/>
          <w:sz w:val="24"/>
        </w:rPr>
        <w:t>投标货币为人民币报价。投标报价应包括以下几部分：</w:t>
      </w:r>
    </w:p>
    <w:p>
      <w:pPr>
        <w:widowControl/>
        <w:adjustRightInd w:val="0"/>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1.本项目所需的软件开发费用；</w:t>
      </w:r>
    </w:p>
    <w:p>
      <w:pPr>
        <w:widowControl/>
        <w:adjustRightInd w:val="0"/>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2.本项目所需的一次性的部署实施费用；</w:t>
      </w:r>
    </w:p>
    <w:p>
      <w:pPr>
        <w:widowControl/>
        <w:adjustRightInd w:val="0"/>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3.一年内本项目所需要的运行维护服务费，包括日常巡检、系统维护、系统升级等，服务期起始时间为系统正式上线之日（得到采购人验收的《项目验收报告》）起开始计算；</w:t>
      </w:r>
    </w:p>
    <w:p>
      <w:pPr>
        <w:widowControl/>
        <w:adjustRightInd w:val="0"/>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4.项目集成费、税费以及完成招标内容所需的一切费用。</w:t>
      </w:r>
    </w:p>
    <w:bookmarkEnd w:id="37"/>
    <w:bookmarkEnd w:id="39"/>
    <w:p>
      <w:pPr>
        <w:snapToGrid w:val="0"/>
        <w:spacing w:line="360" w:lineRule="auto"/>
        <w:outlineLvl w:val="2"/>
        <w:rPr>
          <w:rFonts w:hint="eastAsia" w:ascii="宋体" w:hAnsi="宋体" w:eastAsia="宋体" w:cs="宋体"/>
          <w:b/>
          <w:color w:val="000000"/>
          <w:sz w:val="24"/>
        </w:rPr>
      </w:pPr>
      <w:r>
        <w:rPr>
          <w:rFonts w:hint="eastAsia" w:ascii="宋体" w:hAnsi="宋体" w:eastAsia="宋体" w:cs="宋体"/>
          <w:b/>
          <w:color w:val="000000"/>
          <w:sz w:val="24"/>
        </w:rPr>
        <w:t>六、完工时间及服务地点</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1、完工时间： 2022年11月30日；</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2、服务地点： 上海。</w:t>
      </w:r>
    </w:p>
    <w:p>
      <w:pPr>
        <w:snapToGrid w:val="0"/>
        <w:spacing w:line="360" w:lineRule="auto"/>
        <w:outlineLvl w:val="2"/>
        <w:rPr>
          <w:rFonts w:hint="eastAsia" w:ascii="宋体" w:hAnsi="宋体" w:eastAsia="宋体" w:cs="宋体"/>
          <w:b/>
          <w:color w:val="000000"/>
          <w:sz w:val="24"/>
        </w:rPr>
      </w:pPr>
      <w:r>
        <w:rPr>
          <w:rFonts w:hint="eastAsia" w:ascii="宋体" w:hAnsi="宋体" w:eastAsia="宋体" w:cs="宋体"/>
          <w:b/>
          <w:color w:val="000000"/>
          <w:sz w:val="24"/>
        </w:rPr>
        <w:t>七、付款方式和条件</w:t>
      </w:r>
    </w:p>
    <w:p>
      <w:pPr>
        <w:widowControl/>
        <w:adjustRightInd w:val="0"/>
        <w:snapToGrid w:val="0"/>
        <w:spacing w:line="360" w:lineRule="auto"/>
        <w:ind w:firstLine="480" w:firstLineChars="20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确定中标后与甲方协商。</w:t>
      </w:r>
    </w:p>
    <w:p>
      <w:pPr>
        <w:snapToGrid w:val="0"/>
        <w:spacing w:line="360" w:lineRule="auto"/>
        <w:outlineLvl w:val="2"/>
        <w:rPr>
          <w:rFonts w:hint="eastAsia" w:ascii="宋体" w:hAnsi="宋体" w:eastAsia="宋体" w:cs="宋体"/>
          <w:color w:val="000000"/>
          <w:sz w:val="24"/>
        </w:rPr>
      </w:pPr>
      <w:r>
        <w:rPr>
          <w:rFonts w:hint="eastAsia" w:ascii="宋体" w:hAnsi="宋体" w:eastAsia="宋体" w:cs="宋体"/>
          <w:b/>
          <w:color w:val="000000"/>
          <w:sz w:val="24"/>
        </w:rPr>
        <w:t>八、验收要求</w:t>
      </w:r>
    </w:p>
    <w:p>
      <w:pPr>
        <w:widowControl/>
        <w:adjustRightInd w:val="0"/>
        <w:snapToGrid w:val="0"/>
        <w:spacing w:line="360" w:lineRule="auto"/>
        <w:ind w:firstLine="480" w:firstLineChars="20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1.在本项目所要求的功能内容下，乙方须根据采购人提出的项目需求变更进行系统优化和更新；</w:t>
      </w:r>
    </w:p>
    <w:p>
      <w:pPr>
        <w:widowControl/>
        <w:adjustRightInd w:val="0"/>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2.系统的建设和开发应严格按国家相关行业标准规范进行，乙方须根据开发进度及时提供相关文档，文档应有严格的版本控制策略，最终交付的文档必须是最新的；</w:t>
      </w:r>
    </w:p>
    <w:p>
      <w:pPr>
        <w:widowControl/>
        <w:adjustRightInd w:val="0"/>
        <w:snapToGrid w:val="0"/>
        <w:spacing w:line="360" w:lineRule="auto"/>
        <w:ind w:firstLine="480" w:firstLineChars="200"/>
        <w:jc w:val="left"/>
        <w:rPr>
          <w:rFonts w:hint="eastAsia" w:ascii="宋体" w:hAnsi="宋体" w:eastAsia="宋体" w:cs="宋体"/>
          <w:bCs/>
          <w:color w:val="000000"/>
          <w:kern w:val="0"/>
          <w:sz w:val="24"/>
        </w:rPr>
      </w:pPr>
      <w:r>
        <w:rPr>
          <w:rFonts w:hint="eastAsia" w:ascii="宋体" w:hAnsi="宋体" w:eastAsia="宋体" w:cs="宋体"/>
          <w:color w:val="000000"/>
          <w:sz w:val="24"/>
        </w:rPr>
        <w:t>3.乙方需按照甲方要求，移交项目执行过程中全部源程序的代码；</w:t>
      </w:r>
    </w:p>
    <w:p>
      <w:pPr>
        <w:widowControl/>
        <w:adjustRightInd w:val="0"/>
        <w:snapToGrid w:val="0"/>
        <w:spacing w:line="360" w:lineRule="auto"/>
        <w:ind w:firstLine="480" w:firstLineChars="20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4.所有的技术文件须用中文书写；</w:t>
      </w:r>
    </w:p>
    <w:p>
      <w:pPr>
        <w:widowControl/>
        <w:adjustRightInd w:val="0"/>
        <w:snapToGrid w:val="0"/>
        <w:spacing w:line="360" w:lineRule="auto"/>
        <w:ind w:firstLine="480" w:firstLineChars="20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5.项目交付应在合同规定时间内，将采购范围内所界定的工作完成，并协助采购人制定相应管理规范，在通过双方认可验收后，交付给采购人，其中包括：符合项目目标和相应的技术要求、业务要求的完成的，可最终良好运行的遥感</w:t>
      </w:r>
      <w:r>
        <w:rPr>
          <w:rFonts w:hint="eastAsia" w:ascii="宋体" w:hAnsi="宋体" w:eastAsia="宋体" w:cs="宋体"/>
          <w:color w:val="000000"/>
          <w:sz w:val="24"/>
        </w:rPr>
        <w:t>大气环境监测云平台</w:t>
      </w:r>
      <w:r>
        <w:rPr>
          <w:rFonts w:hint="eastAsia" w:ascii="宋体" w:hAnsi="宋体" w:eastAsia="宋体" w:cs="宋体"/>
          <w:bCs/>
          <w:color w:val="000000"/>
          <w:kern w:val="0"/>
          <w:sz w:val="24"/>
        </w:rPr>
        <w:t>，足以确保系统正常运行所需的管理、运营及维护有关的配套技术文件；</w:t>
      </w:r>
    </w:p>
    <w:p>
      <w:pPr>
        <w:widowControl/>
        <w:adjustRightInd w:val="0"/>
        <w:snapToGrid w:val="0"/>
        <w:spacing w:line="360" w:lineRule="auto"/>
        <w:ind w:firstLine="480" w:firstLineChars="20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6.项目总体验收时，乙方须出具软件评测报告，并由采购人、乙方共同对系统进行验收。并提供《总体验收报告》。如果验收时发现与详细业务需求不符或达不到规定的性能指标，采购人有权提出整改，乙方有义务按照要求整改。</w:t>
      </w:r>
    </w:p>
    <w:p>
      <w:pPr>
        <w:snapToGrid w:val="0"/>
        <w:spacing w:line="360" w:lineRule="auto"/>
        <w:outlineLvl w:val="2"/>
        <w:rPr>
          <w:rFonts w:hint="eastAsia" w:ascii="宋体" w:hAnsi="宋体" w:eastAsia="宋体" w:cs="宋体"/>
          <w:b/>
          <w:color w:val="000000"/>
          <w:sz w:val="24"/>
        </w:rPr>
      </w:pPr>
      <w:r>
        <w:rPr>
          <w:rFonts w:hint="eastAsia" w:ascii="宋体" w:hAnsi="宋体" w:eastAsia="宋体" w:cs="宋体"/>
          <w:b/>
          <w:color w:val="000000"/>
          <w:sz w:val="24"/>
        </w:rPr>
        <w:t>九、后续服务</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1、技术支持</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（1）乙方须对招标文件中的有关规定提供1年的免费技术支持和售后服务；</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（2）在免费服务期内，业务范围内的所有服务内容及在服务过程中所产生的费用均不再收取</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color w:val="000000"/>
          <w:sz w:val="24"/>
        </w:rPr>
        <w:t>（3）在服务期</w:t>
      </w:r>
      <w:r>
        <w:rPr>
          <w:rFonts w:hint="eastAsia" w:ascii="宋体" w:hAnsi="宋体" w:eastAsia="宋体" w:cs="宋体"/>
          <w:sz w:val="24"/>
        </w:rPr>
        <w:t>内日常提供7×8线上值守服务，在重要污染天气事件中提供7×24线上值守服务；</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（4）乙方必须在本项目免费服务期满的前半年时间内向甲方明确提出本项目免费服务期满后不少于两年的后续服务方案，如：服务方式、服务响应、服务费用等；</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（5）软件平台必须具有良好的接入能力，在后续新增本项目之外的硬件设备时，乙方必须配合相关工作；</w:t>
      </w:r>
    </w:p>
    <w:tbl>
      <w:tblPr>
        <w:tblStyle w:val="18"/>
        <w:tblW w:w="0" w:type="auto"/>
        <w:tblInd w:w="5" w:type="dxa"/>
        <w:tblLayout w:type="fixed"/>
        <w:tblCellMar>
          <w:top w:w="0" w:type="dxa"/>
          <w:left w:w="0" w:type="dxa"/>
          <w:bottom w:w="0" w:type="dxa"/>
          <w:right w:w="0" w:type="dxa"/>
        </w:tblCellMar>
      </w:tblPr>
      <w:tblGrid>
        <w:gridCol w:w="755"/>
        <w:gridCol w:w="1544"/>
        <w:gridCol w:w="5918"/>
      </w:tblGrid>
      <w:tr>
        <w:tblPrEx>
          <w:tblCellMar>
            <w:top w:w="0" w:type="dxa"/>
            <w:left w:w="0" w:type="dxa"/>
            <w:bottom w:w="0" w:type="dxa"/>
            <w:right w:w="0" w:type="dxa"/>
          </w:tblCellMar>
        </w:tblPrEx>
        <w:trPr>
          <w:trHeight w:val="768" w:hRule="atLeast"/>
        </w:trPr>
        <w:tc>
          <w:tcPr>
            <w:tcW w:w="75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序号</w:t>
            </w:r>
          </w:p>
        </w:tc>
        <w:tc>
          <w:tcPr>
            <w:tcW w:w="1544" w:type="dxa"/>
            <w:tcBorders>
              <w:top w:val="single" w:color="000000" w:sz="4" w:space="0"/>
              <w:left w:val="nil"/>
              <w:bottom w:val="single" w:color="000000" w:sz="4" w:space="0"/>
              <w:right w:val="single" w:color="000000" w:sz="4" w:space="0"/>
            </w:tcBorders>
            <w:vAlign w:val="center"/>
          </w:tcPr>
          <w:p>
            <w:pPr>
              <w:snapToGrid w:val="0"/>
              <w:spacing w:line="360" w:lineRule="auto"/>
              <w:ind w:firstLine="480" w:firstLineChars="200"/>
              <w:jc w:val="center"/>
              <w:rPr>
                <w:rFonts w:hint="eastAsia" w:ascii="宋体" w:hAnsi="宋体" w:eastAsia="宋体" w:cs="宋体"/>
                <w:color w:val="000000"/>
                <w:sz w:val="24"/>
              </w:rPr>
            </w:pPr>
            <w:r>
              <w:rPr>
                <w:rFonts w:hint="eastAsia" w:ascii="宋体" w:hAnsi="宋体" w:eastAsia="宋体" w:cs="宋体"/>
                <w:color w:val="000000"/>
                <w:sz w:val="24"/>
              </w:rPr>
              <w:t>服务项目</w:t>
            </w:r>
          </w:p>
        </w:tc>
        <w:tc>
          <w:tcPr>
            <w:tcW w:w="5918" w:type="dxa"/>
            <w:tcBorders>
              <w:top w:val="single" w:color="000000" w:sz="4" w:space="0"/>
              <w:left w:val="nil"/>
              <w:bottom w:val="single" w:color="000000" w:sz="4" w:space="0"/>
              <w:right w:val="single" w:color="000000" w:sz="4" w:space="0"/>
            </w:tcBorders>
            <w:vAlign w:val="center"/>
          </w:tcPr>
          <w:p>
            <w:pPr>
              <w:snapToGrid w:val="0"/>
              <w:spacing w:line="360" w:lineRule="auto"/>
              <w:ind w:firstLine="480" w:firstLineChars="200"/>
              <w:jc w:val="center"/>
              <w:rPr>
                <w:rFonts w:hint="eastAsia" w:ascii="宋体" w:hAnsi="宋体" w:eastAsia="宋体" w:cs="宋体"/>
                <w:color w:val="000000"/>
                <w:sz w:val="24"/>
              </w:rPr>
            </w:pPr>
            <w:r>
              <w:rPr>
                <w:rFonts w:hint="eastAsia" w:ascii="宋体" w:hAnsi="宋体" w:eastAsia="宋体" w:cs="宋体"/>
                <w:color w:val="000000"/>
                <w:sz w:val="24"/>
              </w:rPr>
              <w:t>实施内容</w:t>
            </w:r>
          </w:p>
        </w:tc>
      </w:tr>
      <w:tr>
        <w:tblPrEx>
          <w:tblCellMar>
            <w:top w:w="0" w:type="dxa"/>
            <w:left w:w="0" w:type="dxa"/>
            <w:bottom w:w="0" w:type="dxa"/>
            <w:right w:w="0" w:type="dxa"/>
          </w:tblCellMar>
        </w:tblPrEx>
        <w:trPr>
          <w:trHeight w:val="1412" w:hRule="atLeast"/>
        </w:trPr>
        <w:tc>
          <w:tcPr>
            <w:tcW w:w="75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w:t>
            </w:r>
          </w:p>
        </w:tc>
        <w:tc>
          <w:tcPr>
            <w:tcW w:w="1544" w:type="dxa"/>
            <w:tcBorders>
              <w:top w:val="single" w:color="000000" w:sz="4" w:space="0"/>
              <w:left w:val="nil"/>
              <w:bottom w:val="single" w:color="000000" w:sz="4" w:space="0"/>
              <w:right w:val="single" w:color="000000" w:sz="4" w:space="0"/>
            </w:tcBorders>
            <w:vAlign w:val="center"/>
          </w:tcPr>
          <w:p>
            <w:pPr>
              <w:snapToGrid w:val="0"/>
              <w:spacing w:line="360" w:lineRule="auto"/>
              <w:ind w:firstLine="360" w:firstLineChars="150"/>
              <w:jc w:val="center"/>
              <w:rPr>
                <w:rFonts w:hint="eastAsia" w:ascii="宋体" w:hAnsi="宋体" w:eastAsia="宋体" w:cs="宋体"/>
                <w:color w:val="000000"/>
                <w:sz w:val="24"/>
              </w:rPr>
            </w:pPr>
            <w:r>
              <w:rPr>
                <w:rFonts w:hint="eastAsia" w:ascii="宋体" w:hAnsi="宋体" w:eastAsia="宋体" w:cs="宋体"/>
                <w:color w:val="000000"/>
                <w:sz w:val="24"/>
              </w:rPr>
              <w:t>定期巡检</w:t>
            </w:r>
          </w:p>
        </w:tc>
        <w:tc>
          <w:tcPr>
            <w:tcW w:w="5918" w:type="dxa"/>
            <w:tcBorders>
              <w:top w:val="single" w:color="000000" w:sz="4" w:space="0"/>
              <w:left w:val="nil"/>
              <w:bottom w:val="single" w:color="000000" w:sz="4" w:space="0"/>
              <w:right w:val="single" w:color="000000" w:sz="4" w:space="0"/>
            </w:tcBorders>
            <w:vAlign w:val="center"/>
          </w:tcPr>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定期对系统进行有关安全性、可管理性以及系统性能进行检查分析，对系统进行性能检测，系统健康检测的结果将转化为简明易懂的报告，由专业系统健康检测的服务专家跟进并指出系统潜在的问题以及推荐解决方法。</w:t>
            </w:r>
          </w:p>
        </w:tc>
      </w:tr>
      <w:tr>
        <w:tblPrEx>
          <w:tblCellMar>
            <w:top w:w="0" w:type="dxa"/>
            <w:left w:w="0" w:type="dxa"/>
            <w:bottom w:w="0" w:type="dxa"/>
            <w:right w:w="0" w:type="dxa"/>
          </w:tblCellMar>
        </w:tblPrEx>
        <w:trPr>
          <w:trHeight w:val="2820" w:hRule="atLeast"/>
        </w:trPr>
        <w:tc>
          <w:tcPr>
            <w:tcW w:w="75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w:t>
            </w:r>
          </w:p>
        </w:tc>
        <w:tc>
          <w:tcPr>
            <w:tcW w:w="1544" w:type="dxa"/>
            <w:tcBorders>
              <w:top w:val="single" w:color="000000" w:sz="4" w:space="0"/>
              <w:left w:val="nil"/>
              <w:bottom w:val="single" w:color="000000" w:sz="4" w:space="0"/>
              <w:right w:val="single" w:color="000000" w:sz="4" w:space="0"/>
            </w:tcBorders>
            <w:vAlign w:val="center"/>
          </w:tcPr>
          <w:p>
            <w:pPr>
              <w:snapToGrid w:val="0"/>
              <w:spacing w:line="360" w:lineRule="auto"/>
              <w:ind w:firstLine="120" w:firstLineChars="50"/>
              <w:jc w:val="center"/>
              <w:rPr>
                <w:rFonts w:hint="eastAsia" w:ascii="宋体" w:hAnsi="宋体" w:eastAsia="宋体" w:cs="宋体"/>
                <w:color w:val="000000"/>
                <w:sz w:val="24"/>
              </w:rPr>
            </w:pPr>
            <w:r>
              <w:rPr>
                <w:rFonts w:hint="eastAsia" w:ascii="宋体" w:hAnsi="宋体" w:eastAsia="宋体" w:cs="宋体"/>
                <w:color w:val="000000"/>
                <w:sz w:val="24"/>
              </w:rPr>
              <w:t>系统软件维护</w:t>
            </w:r>
          </w:p>
        </w:tc>
        <w:tc>
          <w:tcPr>
            <w:tcW w:w="5918" w:type="dxa"/>
            <w:tcBorders>
              <w:top w:val="single" w:color="000000" w:sz="4" w:space="0"/>
              <w:left w:val="nil"/>
              <w:bottom w:val="single" w:color="000000" w:sz="4" w:space="0"/>
              <w:right w:val="single" w:color="000000" w:sz="4" w:space="0"/>
            </w:tcBorders>
            <w:vAlign w:val="center"/>
          </w:tcPr>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(1)系统资源分配与效率改进建议；</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(2)系统扩充、版本更新升级及功能更新服务；</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(3)系统容量预测建议；</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(4)软件配置规划和性能优化；</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(5)系统软件应用和维护的技术咨询；</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(6)系统版本更新升级及功能更新服务；</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(7)使用的应用软件需要更新的操作系统支持；</w:t>
            </w:r>
          </w:p>
        </w:tc>
      </w:tr>
      <w:tr>
        <w:tblPrEx>
          <w:tblCellMar>
            <w:top w:w="0" w:type="dxa"/>
            <w:left w:w="0" w:type="dxa"/>
            <w:bottom w:w="0" w:type="dxa"/>
            <w:right w:w="0" w:type="dxa"/>
          </w:tblCellMar>
        </w:tblPrEx>
        <w:trPr>
          <w:trHeight w:val="1405" w:hRule="atLeast"/>
        </w:trPr>
        <w:tc>
          <w:tcPr>
            <w:tcW w:w="75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w:t>
            </w:r>
          </w:p>
        </w:tc>
        <w:tc>
          <w:tcPr>
            <w:tcW w:w="1544" w:type="dxa"/>
            <w:tcBorders>
              <w:top w:val="single" w:color="000000" w:sz="4" w:space="0"/>
              <w:left w:val="nil"/>
              <w:bottom w:val="single" w:color="000000" w:sz="4" w:space="0"/>
              <w:right w:val="single" w:color="000000" w:sz="4" w:space="0"/>
            </w:tcBorders>
            <w:vAlign w:val="center"/>
          </w:tcPr>
          <w:p>
            <w:pPr>
              <w:snapToGrid w:val="0"/>
              <w:spacing w:line="360" w:lineRule="auto"/>
              <w:ind w:firstLine="360" w:firstLineChars="150"/>
              <w:jc w:val="center"/>
              <w:rPr>
                <w:rFonts w:hint="eastAsia" w:ascii="宋体" w:hAnsi="宋体" w:eastAsia="宋体" w:cs="宋体"/>
                <w:color w:val="000000"/>
                <w:sz w:val="24"/>
              </w:rPr>
            </w:pPr>
            <w:r>
              <w:rPr>
                <w:rFonts w:hint="eastAsia" w:ascii="宋体" w:hAnsi="宋体" w:eastAsia="宋体" w:cs="宋体"/>
                <w:color w:val="000000"/>
                <w:sz w:val="24"/>
              </w:rPr>
              <w:t>顾问咨询</w:t>
            </w:r>
          </w:p>
        </w:tc>
        <w:tc>
          <w:tcPr>
            <w:tcW w:w="5918" w:type="dxa"/>
            <w:tcBorders>
              <w:top w:val="single" w:color="000000" w:sz="4" w:space="0"/>
              <w:left w:val="nil"/>
              <w:bottom w:val="single" w:color="000000" w:sz="4" w:space="0"/>
              <w:right w:val="single" w:color="000000" w:sz="4" w:space="0"/>
            </w:tcBorders>
            <w:vAlign w:val="center"/>
          </w:tcPr>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根据系统运行实际状况，结合客户对今后系统发展规划和需求，提出系统升级和优化方案，并提供有关咨询服务。同时提供新产品新技术通报、软硬件技术咨询的技术服务。</w:t>
            </w:r>
          </w:p>
        </w:tc>
      </w:tr>
    </w:tbl>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2、业务培训</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包括现场培训和专业培训，均由乙方负责。甲方有权对乙方提出的培训方案和培训计划进行选择和调整。</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2.1现场培训</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现场培训由乙方在项目实施现场进行。乙方必须安排甲方认可的具有相关专业资格或者实际工作经验的教师和相应辅导人员进行培训；现场培训应贯穿于整个项目实施过程。</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2.2专业培训</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乙方在应答时应制定详细的人员培训方案，培训方案应包括培训目的、培训时间安排、人数、教材编写、培训组织方式等。乙方必须根据招标文件中采购的设备及采用的相关技术，在投标文件中提出全面的培训计划和课程内容安排，并在合同签定后征得甲方同意后实施。</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2.2.3培训内容和培训对象</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培训内容主要包括系统的安装、操作、配置和维护及系统组成、结构、功能、使用方法等，系统常见故障现象的诊断和处理，常见的问题及解决办法等。乙方必须为所有被培训人员提供培训环境、文字资料和讲义等相关用品等。所有的资料必须是简体中文书写。</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培训对象为系统维护及相关技术人员，不少于3天×10人次。</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2.2.4所有的培训教员必须用中文授课，除非有其它的协议规定。</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2.2.5培训工作初步安排在系统试运行期间，具体时间由甲方指定。</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2.2.6相关要求</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（1）乙方须选派具有一定资质和实践经验，且受过专门训练的高级专业技术人员负责各分项的技术培训工作。</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乙方的培训内容包括基本理论、软件的安装与操作、运行管理、现场操作辅导等，培训方式应包括技术讲课、操作示范和其它必须的业务指导和技术咨询，确保培训人员对系统基本理论、技术特性、操作规范、运行规程、管理维护等方面获得全面了解和掌握。</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（3）乙方须在培训开始前10天内将培训计划和教材提交甲方审核，除上述培训外乙方还须负责在现场组织对系统的安装、调试和运行进行技术示范和业务指导。</w:t>
      </w:r>
    </w:p>
    <w:p>
      <w:pPr>
        <w:snapToGrid w:val="0"/>
        <w:spacing w:line="360" w:lineRule="auto"/>
        <w:outlineLvl w:val="2"/>
        <w:rPr>
          <w:rFonts w:hint="eastAsia" w:ascii="宋体" w:hAnsi="宋体" w:eastAsia="宋体" w:cs="宋体"/>
          <w:b/>
          <w:color w:val="000000"/>
          <w:sz w:val="24"/>
        </w:rPr>
      </w:pPr>
      <w:r>
        <w:rPr>
          <w:rFonts w:hint="eastAsia" w:ascii="宋体" w:hAnsi="宋体" w:eastAsia="宋体" w:cs="宋体"/>
          <w:b/>
          <w:color w:val="000000"/>
          <w:sz w:val="24"/>
        </w:rPr>
        <w:t>十、软硬件归属要求</w:t>
      </w:r>
    </w:p>
    <w:p>
      <w:pPr>
        <w:widowControl/>
        <w:adjustRightInd w:val="0"/>
        <w:snapToGrid w:val="0"/>
        <w:spacing w:line="360" w:lineRule="auto"/>
        <w:ind w:firstLine="480" w:firstLineChars="20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1.</w:t>
      </w:r>
      <w:r>
        <w:rPr>
          <w:rFonts w:hint="eastAsia" w:ascii="宋体" w:hAnsi="宋体" w:eastAsia="宋体" w:cs="宋体"/>
          <w:color w:val="000000"/>
          <w:kern w:val="0"/>
          <w:sz w:val="24"/>
        </w:rPr>
        <w:t>本项目的平台使用权由采购人享有，如果乙方使用该项目平台需经采购方授权</w:t>
      </w:r>
      <w:r>
        <w:rPr>
          <w:rFonts w:hint="eastAsia" w:ascii="宋体" w:hAnsi="宋体" w:eastAsia="宋体" w:cs="宋体"/>
          <w:bCs/>
          <w:color w:val="000000"/>
          <w:kern w:val="0"/>
          <w:sz w:val="24"/>
        </w:rPr>
        <w:t>。</w:t>
      </w:r>
    </w:p>
    <w:p>
      <w:pPr>
        <w:widowControl/>
        <w:adjustRightInd w:val="0"/>
        <w:snapToGrid w:val="0"/>
        <w:spacing w:line="360" w:lineRule="auto"/>
        <w:ind w:firstLine="480" w:firstLineChars="20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2.乙方应保证，许可软件不侵犯任何第三方的版权、专利权、商标权。采购人在项目所在地使用该系统或系统的任何一部分时，免受第三方提出的侵犯其专利权、商标权、著作权或其它知识产权的起诉。</w:t>
      </w:r>
    </w:p>
    <w:p>
      <w:pPr>
        <w:widowControl/>
        <w:adjustRightInd w:val="0"/>
        <w:snapToGrid w:val="0"/>
        <w:spacing w:line="360" w:lineRule="auto"/>
        <w:ind w:firstLine="480" w:firstLineChars="20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3.乙方保证项目结束后，移交项目执行过程中全部源程序代码。</w:t>
      </w:r>
    </w:p>
    <w:p>
      <w:pPr>
        <w:snapToGrid w:val="0"/>
        <w:spacing w:line="360" w:lineRule="auto"/>
        <w:outlineLvl w:val="2"/>
        <w:rPr>
          <w:rFonts w:hint="eastAsia" w:ascii="宋体" w:hAnsi="宋体" w:eastAsia="宋体" w:cs="宋体"/>
          <w:b/>
          <w:color w:val="000000"/>
          <w:sz w:val="24"/>
        </w:rPr>
      </w:pPr>
      <w:r>
        <w:rPr>
          <w:rFonts w:hint="eastAsia" w:ascii="宋体" w:hAnsi="宋体" w:eastAsia="宋体" w:cs="宋体"/>
          <w:b/>
          <w:color w:val="000000"/>
          <w:sz w:val="24"/>
        </w:rPr>
        <w:t>十一、违约责任说明</w:t>
      </w:r>
    </w:p>
    <w:p>
      <w:pPr>
        <w:snapToGrid w:val="0"/>
        <w:spacing w:line="360" w:lineRule="auto"/>
        <w:ind w:firstLine="360" w:firstLineChars="150"/>
        <w:rPr>
          <w:rFonts w:hint="eastAsia" w:ascii="宋体" w:hAnsi="宋体" w:eastAsia="宋体" w:cs="宋体"/>
          <w:color w:val="000000"/>
          <w:sz w:val="24"/>
        </w:rPr>
      </w:pPr>
      <w:r>
        <w:rPr>
          <w:rFonts w:hint="eastAsia" w:ascii="宋体" w:hAnsi="宋体" w:eastAsia="宋体" w:cs="宋体"/>
          <w:bCs/>
          <w:color w:val="000000"/>
          <w:kern w:val="0"/>
          <w:sz w:val="24"/>
        </w:rPr>
        <w:t>（1）乙方提供的服务不符合采购文件、投标文件或合同规定的，甲方有权拒收，乙方须向甲方支付本合同总价5%的违约金，</w:t>
      </w:r>
      <w:r>
        <w:rPr>
          <w:rFonts w:hint="eastAsia" w:ascii="宋体" w:hAnsi="宋体" w:eastAsia="宋体" w:cs="宋体"/>
          <w:color w:val="000000"/>
          <w:sz w:val="24"/>
        </w:rPr>
        <w:t>如果违约金不足以弥补甲方的损失，乙方还应赔偿甲方的损失，补足违约金不足部分。</w:t>
      </w:r>
    </w:p>
    <w:p>
      <w:pPr>
        <w:widowControl/>
        <w:adjustRightInd w:val="0"/>
        <w:snapToGrid w:val="0"/>
        <w:spacing w:line="360" w:lineRule="auto"/>
        <w:ind w:firstLine="480" w:firstLineChars="20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2）乙方未能按本合同规定的完工时间完成验收交付并提供服务的，从逾期之日起每日按合同总价3‰的数额向甲方支付违约金；逾期超过30天的，甲方有权终止合同，由此造成甲方损失的，由乙方承担全部责任，赔偿甲方所有损失。</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（3）在采购文件、投标文件或合同范围内，对于用户提出的投诉，乙方须在3个日历日内进行整改或消除，拒不整改或消除的，甲方有权对乙方进行责任追究，并要求合理的损失赔偿。</w:t>
      </w:r>
      <w:bookmarkEnd w:id="38"/>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（4）项目实施过程中，乙方提出的合理变更，须由两方采购人和项目管理单位共同书面确认，未经两方采购人和项目管理单位同意的变更，采购人有权追究乙方违约责任。</w:t>
      </w:r>
    </w:p>
    <w:bookmarkEnd w:id="45"/>
    <w:p>
      <w:pPr>
        <w:spacing w:line="360" w:lineRule="auto"/>
        <w:ind w:left="1080" w:leftChars="257" w:hanging="540"/>
        <w:rPr>
          <w:rFonts w:hint="eastAsia" w:ascii="宋体" w:hAnsi="宋体" w:eastAsia="宋体" w:cs="宋体"/>
          <w:sz w:val="24"/>
        </w:rPr>
      </w:pPr>
    </w:p>
    <w:p>
      <w:pPr>
        <w:spacing w:line="240" w:lineRule="atLeast"/>
        <w:ind w:left="1080" w:leftChars="257" w:hanging="540"/>
        <w:rPr>
          <w:rFonts w:hint="eastAsia" w:ascii="宋体" w:hAnsi="宋体" w:eastAsia="宋体" w:cs="宋体"/>
          <w:sz w:val="24"/>
        </w:rPr>
      </w:pPr>
    </w:p>
    <w:p>
      <w:pPr>
        <w:spacing w:line="240" w:lineRule="atLeast"/>
        <w:ind w:left="1080" w:leftChars="257" w:hanging="540"/>
        <w:rPr>
          <w:rFonts w:hint="eastAsia" w:ascii="宋体" w:hAnsi="宋体" w:eastAsia="宋体" w:cs="宋体"/>
          <w:sz w:val="24"/>
        </w:rPr>
      </w:pPr>
    </w:p>
    <w:p>
      <w:pPr>
        <w:spacing w:line="240" w:lineRule="atLeast"/>
        <w:ind w:left="1080" w:leftChars="257" w:hanging="540"/>
        <w:rPr>
          <w:rFonts w:hint="eastAsia" w:ascii="宋体" w:hAnsi="宋体" w:eastAsia="宋体" w:cs="宋体"/>
          <w:sz w:val="24"/>
        </w:rPr>
      </w:pPr>
    </w:p>
    <w:p>
      <w:pPr>
        <w:spacing w:line="240" w:lineRule="atLeast"/>
        <w:ind w:left="1080" w:leftChars="257" w:hanging="540"/>
        <w:rPr>
          <w:rFonts w:hint="eastAsia" w:ascii="宋体" w:hAnsi="宋体" w:eastAsia="宋体" w:cs="宋体"/>
          <w:sz w:val="24"/>
        </w:rPr>
      </w:pPr>
    </w:p>
    <w:p>
      <w:pPr>
        <w:spacing w:line="240" w:lineRule="atLeast"/>
        <w:ind w:left="1080" w:leftChars="257" w:hanging="540"/>
        <w:rPr>
          <w:rFonts w:hint="eastAsia" w:ascii="宋体" w:hAnsi="宋体" w:eastAsia="宋体" w:cs="宋体"/>
          <w:sz w:val="24"/>
        </w:rPr>
      </w:pPr>
      <w:r>
        <w:rPr>
          <w:rFonts w:hint="eastAsia" w:ascii="宋体" w:hAnsi="宋体" w:eastAsia="宋体" w:cs="宋体"/>
          <w:sz w:val="24"/>
        </w:rPr>
        <w:br w:type="page"/>
      </w:r>
    </w:p>
    <w:p>
      <w:pPr>
        <w:pStyle w:val="2"/>
        <w:numPr>
          <w:ilvl w:val="0"/>
          <w:numId w:val="1"/>
        </w:numPr>
        <w:spacing w:before="0" w:after="0" w:line="240" w:lineRule="atLeast"/>
        <w:rPr>
          <w:rFonts w:hint="eastAsia" w:ascii="宋体" w:hAnsi="宋体" w:eastAsia="宋体" w:cs="宋体"/>
        </w:rPr>
      </w:pPr>
      <w:bookmarkStart w:id="40" w:name="_Toc218935355"/>
      <w:bookmarkStart w:id="41" w:name="_Toc507399907"/>
      <w:bookmarkStart w:id="42" w:name="_Toc219175639"/>
      <w:bookmarkStart w:id="43" w:name="_Toc216582826"/>
      <w:r>
        <w:rPr>
          <w:rFonts w:hint="eastAsia" w:ascii="宋体" w:hAnsi="宋体" w:eastAsia="宋体" w:cs="宋体"/>
        </w:rPr>
        <w:t>评标方法和标准</w:t>
      </w:r>
      <w:bookmarkEnd w:id="40"/>
      <w:bookmarkEnd w:id="41"/>
      <w:bookmarkEnd w:id="42"/>
      <w:bookmarkEnd w:id="43"/>
    </w:p>
    <w:p>
      <w:pPr>
        <w:pStyle w:val="11"/>
        <w:tabs>
          <w:tab w:val="clear" w:pos="567"/>
        </w:tabs>
        <w:adjustRightInd w:val="0"/>
        <w:snapToGrid w:val="0"/>
        <w:spacing w:before="0" w:line="360" w:lineRule="auto"/>
        <w:ind w:firstLine="472" w:firstLineChars="225"/>
        <w:rPr>
          <w:rFonts w:hint="eastAsia" w:ascii="宋体" w:hAnsi="宋体" w:eastAsia="宋体" w:cs="宋体"/>
          <w:sz w:val="21"/>
          <w:szCs w:val="21"/>
        </w:rPr>
      </w:pPr>
    </w:p>
    <w:p>
      <w:pPr>
        <w:pStyle w:val="11"/>
        <w:tabs>
          <w:tab w:val="clear" w:pos="567"/>
        </w:tabs>
        <w:adjustRightInd w:val="0"/>
        <w:snapToGrid w:val="0"/>
        <w:spacing w:before="0" w:line="360" w:lineRule="auto"/>
        <w:ind w:firstLine="540" w:firstLineChars="225"/>
        <w:rPr>
          <w:rFonts w:hint="eastAsia" w:ascii="宋体" w:hAnsi="宋体" w:eastAsia="宋体" w:cs="宋体"/>
        </w:rPr>
      </w:pPr>
      <w:r>
        <w:rPr>
          <w:rFonts w:hint="eastAsia" w:ascii="宋体" w:hAnsi="宋体" w:eastAsia="宋体" w:cs="宋体"/>
        </w:rPr>
        <w:t>本项目将按照招标文件第一章投标人须知中“五 开标及评标”、“六 确定中标”及本章的规定评标。</w:t>
      </w:r>
    </w:p>
    <w:p>
      <w:pPr>
        <w:pStyle w:val="11"/>
        <w:adjustRightInd w:val="0"/>
        <w:snapToGrid w:val="0"/>
        <w:spacing w:before="100" w:after="100" w:line="360" w:lineRule="auto"/>
        <w:rPr>
          <w:rFonts w:hint="eastAsia" w:ascii="宋体" w:hAnsi="宋体" w:eastAsia="宋体" w:cs="宋体"/>
        </w:rPr>
      </w:pPr>
      <w:r>
        <w:rPr>
          <w:rFonts w:hint="eastAsia" w:ascii="宋体" w:hAnsi="宋体" w:eastAsia="宋体" w:cs="宋体"/>
        </w:rPr>
        <w:t>根据《中华人民共和国政府采购法》及相关法律、法规的规定确定以下评标方法、步骤及标准：</w:t>
      </w:r>
    </w:p>
    <w:p>
      <w:pPr>
        <w:pStyle w:val="11"/>
        <w:adjustRightInd w:val="0"/>
        <w:snapToGrid w:val="0"/>
        <w:spacing w:before="100" w:after="100" w:line="360" w:lineRule="auto"/>
        <w:rPr>
          <w:rFonts w:hint="eastAsia" w:ascii="宋体" w:hAnsi="宋体" w:eastAsia="宋体" w:cs="宋体"/>
        </w:rPr>
      </w:pPr>
      <w:r>
        <w:rPr>
          <w:rFonts w:hint="eastAsia" w:ascii="宋体" w:hAnsi="宋体" w:eastAsia="宋体" w:cs="宋体"/>
        </w:rPr>
        <w:t>一、总则</w:t>
      </w:r>
    </w:p>
    <w:p>
      <w:pPr>
        <w:pStyle w:val="11"/>
        <w:adjustRightInd w:val="0"/>
        <w:snapToGrid w:val="0"/>
        <w:spacing w:before="100" w:after="100" w:line="360" w:lineRule="auto"/>
        <w:rPr>
          <w:rFonts w:hint="eastAsia" w:ascii="宋体" w:hAnsi="宋体" w:eastAsia="宋体" w:cs="宋体"/>
        </w:rPr>
      </w:pPr>
      <w:r>
        <w:rPr>
          <w:rFonts w:hint="eastAsia" w:ascii="宋体" w:hAnsi="宋体" w:eastAsia="宋体" w:cs="宋体"/>
        </w:rPr>
        <w:t>1．评标委员会</w:t>
      </w:r>
    </w:p>
    <w:p>
      <w:pPr>
        <w:pStyle w:val="11"/>
        <w:adjustRightInd w:val="0"/>
        <w:snapToGrid w:val="0"/>
        <w:spacing w:before="100" w:after="100" w:line="360" w:lineRule="auto"/>
        <w:rPr>
          <w:rFonts w:hint="eastAsia" w:ascii="宋体" w:hAnsi="宋体" w:eastAsia="宋体" w:cs="宋体"/>
        </w:rPr>
      </w:pPr>
      <w:r>
        <w:rPr>
          <w:rFonts w:hint="eastAsia" w:ascii="宋体" w:hAnsi="宋体" w:eastAsia="宋体" w:cs="宋体"/>
        </w:rPr>
        <w:t>1.1本次招标依法组建评标委员会。本次评标的评委会依法由5位或5位以上评委组成。评委会负责全部的评审工作，任何人不得干预评委会的工作。评委会下设评标工作小组，主要负责相关资料的整理、记录评标情况等工作。评审专家（不含采购人代表）有下列情形之一的，受到邀请应主动提出回避，采购当事人也可以要求该评审专家回避：</w:t>
      </w:r>
    </w:p>
    <w:p>
      <w:pPr>
        <w:pStyle w:val="11"/>
        <w:adjustRightInd w:val="0"/>
        <w:snapToGrid w:val="0"/>
        <w:spacing w:before="100" w:after="100" w:line="360" w:lineRule="auto"/>
        <w:rPr>
          <w:rFonts w:hint="eastAsia" w:ascii="宋体" w:hAnsi="宋体" w:eastAsia="宋体" w:cs="宋体"/>
        </w:rPr>
      </w:pPr>
      <w:r>
        <w:rPr>
          <w:rFonts w:hint="eastAsia" w:ascii="宋体" w:hAnsi="宋体" w:eastAsia="宋体" w:cs="宋体"/>
        </w:rPr>
        <w:t>1) 三年内曾在参加该采购项目投标人中任职或担任顾问的；</w:t>
      </w:r>
    </w:p>
    <w:p>
      <w:pPr>
        <w:pStyle w:val="11"/>
        <w:adjustRightInd w:val="0"/>
        <w:snapToGrid w:val="0"/>
        <w:spacing w:before="100" w:after="100" w:line="360" w:lineRule="auto"/>
        <w:rPr>
          <w:rFonts w:hint="eastAsia" w:ascii="宋体" w:hAnsi="宋体" w:eastAsia="宋体" w:cs="宋体"/>
        </w:rPr>
      </w:pPr>
      <w:r>
        <w:rPr>
          <w:rFonts w:hint="eastAsia" w:ascii="宋体" w:hAnsi="宋体" w:eastAsia="宋体" w:cs="宋体"/>
        </w:rPr>
        <w:t>2) 配偶或直系亲属在参加该采购项目的投标人中任职或担任顾问的；</w:t>
      </w:r>
    </w:p>
    <w:p>
      <w:pPr>
        <w:pStyle w:val="11"/>
        <w:adjustRightInd w:val="0"/>
        <w:snapToGrid w:val="0"/>
        <w:spacing w:before="100" w:after="100" w:line="360" w:lineRule="auto"/>
        <w:rPr>
          <w:rFonts w:hint="eastAsia" w:ascii="宋体" w:hAnsi="宋体" w:eastAsia="宋体" w:cs="宋体"/>
        </w:rPr>
      </w:pPr>
      <w:r>
        <w:rPr>
          <w:rFonts w:hint="eastAsia" w:ascii="宋体" w:hAnsi="宋体" w:eastAsia="宋体" w:cs="宋体"/>
        </w:rPr>
        <w:t>3) 与参加该采购项目投标人发生过法律纠纷的；</w:t>
      </w:r>
    </w:p>
    <w:p>
      <w:pPr>
        <w:pStyle w:val="11"/>
        <w:adjustRightInd w:val="0"/>
        <w:snapToGrid w:val="0"/>
        <w:spacing w:before="100" w:after="100" w:line="360" w:lineRule="auto"/>
        <w:rPr>
          <w:rFonts w:hint="eastAsia" w:ascii="宋体" w:hAnsi="宋体" w:eastAsia="宋体" w:cs="宋体"/>
        </w:rPr>
      </w:pPr>
      <w:r>
        <w:rPr>
          <w:rFonts w:hint="eastAsia" w:ascii="宋体" w:hAnsi="宋体" w:eastAsia="宋体" w:cs="宋体"/>
        </w:rPr>
        <w:t>4) 任职单位与采购人或参与该采购项目投标人存在行政隶属关系的；</w:t>
      </w:r>
    </w:p>
    <w:p>
      <w:pPr>
        <w:pStyle w:val="11"/>
        <w:adjustRightInd w:val="0"/>
        <w:snapToGrid w:val="0"/>
        <w:spacing w:before="100" w:after="100" w:line="360" w:lineRule="auto"/>
        <w:rPr>
          <w:rFonts w:hint="eastAsia" w:ascii="宋体" w:hAnsi="宋体" w:eastAsia="宋体" w:cs="宋体"/>
        </w:rPr>
      </w:pPr>
      <w:r>
        <w:rPr>
          <w:rFonts w:hint="eastAsia" w:ascii="宋体" w:hAnsi="宋体" w:eastAsia="宋体" w:cs="宋体"/>
        </w:rPr>
        <w:t>5) 参与招标文件论证的；</w:t>
      </w:r>
    </w:p>
    <w:p>
      <w:pPr>
        <w:pStyle w:val="11"/>
        <w:adjustRightInd w:val="0"/>
        <w:snapToGrid w:val="0"/>
        <w:spacing w:before="100" w:after="100" w:line="360" w:lineRule="auto"/>
        <w:rPr>
          <w:rFonts w:hint="eastAsia" w:ascii="宋体" w:hAnsi="宋体" w:eastAsia="宋体" w:cs="宋体"/>
        </w:rPr>
      </w:pPr>
      <w:r>
        <w:rPr>
          <w:rFonts w:hint="eastAsia" w:ascii="宋体" w:hAnsi="宋体" w:eastAsia="宋体" w:cs="宋体"/>
        </w:rPr>
        <w:t>6) 法律、法规、规章规定应当回避以及其他可能影响公正评审的。</w:t>
      </w:r>
    </w:p>
    <w:p>
      <w:pPr>
        <w:pStyle w:val="11"/>
        <w:adjustRightInd w:val="0"/>
        <w:snapToGrid w:val="0"/>
        <w:spacing w:before="100" w:after="100" w:line="360" w:lineRule="auto"/>
        <w:rPr>
          <w:rFonts w:hint="eastAsia" w:ascii="宋体" w:hAnsi="宋体" w:eastAsia="宋体" w:cs="宋体"/>
        </w:rPr>
      </w:pPr>
      <w:r>
        <w:rPr>
          <w:rFonts w:hint="eastAsia" w:ascii="宋体" w:hAnsi="宋体" w:eastAsia="宋体" w:cs="宋体"/>
        </w:rPr>
        <w:t>1.2评标委员会将按照招标文件确定的评标方法进行评标。对招标文件中描述有歧义或前后不一致的地方，评标委员会有权按法律法规的规定进行评判，但对同一条款的评判应适用于每个投标人。</w:t>
      </w:r>
    </w:p>
    <w:p>
      <w:pPr>
        <w:pStyle w:val="11"/>
        <w:adjustRightInd w:val="0"/>
        <w:snapToGrid w:val="0"/>
        <w:spacing w:before="100" w:after="100" w:line="360" w:lineRule="auto"/>
        <w:rPr>
          <w:rFonts w:hint="eastAsia" w:ascii="宋体" w:hAnsi="宋体" w:eastAsia="宋体" w:cs="宋体"/>
        </w:rPr>
      </w:pPr>
      <w:r>
        <w:rPr>
          <w:rFonts w:hint="eastAsia" w:ascii="宋体" w:hAnsi="宋体" w:eastAsia="宋体" w:cs="宋体"/>
        </w:rPr>
        <w:t>1.3在评标期间，为方便对投标文件进行审核、评估和对比，评标委员会可以以书面形式要求投标人对投标文件中含义不明确、对同类问题表述不一致或者有明显文字和计算错误的内容作出必要的书面澄清说明，但该澄清说明不得超出投标文件的范围或者改变投标文件的实质性内容。</w:t>
      </w:r>
    </w:p>
    <w:p>
      <w:pPr>
        <w:pStyle w:val="11"/>
        <w:adjustRightInd w:val="0"/>
        <w:snapToGrid w:val="0"/>
        <w:spacing w:before="100" w:after="100" w:line="360" w:lineRule="auto"/>
        <w:rPr>
          <w:rFonts w:hint="eastAsia" w:ascii="宋体" w:hAnsi="宋体" w:eastAsia="宋体" w:cs="宋体"/>
        </w:rPr>
      </w:pPr>
      <w:r>
        <w:rPr>
          <w:rFonts w:hint="eastAsia" w:ascii="宋体" w:hAnsi="宋体" w:eastAsia="宋体" w:cs="宋体"/>
        </w:rPr>
        <w:t>1.4如有必要，评标委员会将书面要求投标人修正投标文件中不构成实质性偏离的、微小的、非正规的、不一致的或不规则的地方，这些修正不应影响评标的公平公正。</w:t>
      </w:r>
    </w:p>
    <w:p>
      <w:pPr>
        <w:pStyle w:val="11"/>
        <w:adjustRightInd w:val="0"/>
        <w:snapToGrid w:val="0"/>
        <w:spacing w:before="100" w:after="100" w:line="360" w:lineRule="auto"/>
        <w:rPr>
          <w:rFonts w:hint="eastAsia" w:ascii="宋体" w:hAnsi="宋体" w:eastAsia="宋体" w:cs="宋体"/>
        </w:rPr>
      </w:pPr>
      <w:r>
        <w:rPr>
          <w:rFonts w:hint="eastAsia" w:ascii="宋体" w:hAnsi="宋体" w:eastAsia="宋体" w:cs="宋体"/>
        </w:rPr>
        <w:t>1.5参与评标工作的所有人员必须遵守《中华人民共和国政府采购法》及相关法律、法规的规定，以确保评标的公平、公正。</w:t>
      </w:r>
    </w:p>
    <w:p>
      <w:pPr>
        <w:pStyle w:val="11"/>
        <w:adjustRightInd w:val="0"/>
        <w:snapToGrid w:val="0"/>
        <w:spacing w:before="100" w:after="100" w:line="360" w:lineRule="auto"/>
        <w:rPr>
          <w:rFonts w:hint="eastAsia" w:ascii="宋体" w:hAnsi="宋体" w:eastAsia="宋体" w:cs="宋体"/>
        </w:rPr>
      </w:pPr>
      <w:r>
        <w:rPr>
          <w:rFonts w:hint="eastAsia" w:ascii="宋体" w:hAnsi="宋体" w:eastAsia="宋体" w:cs="宋体"/>
        </w:rPr>
        <w:t>2．评标方法</w:t>
      </w:r>
    </w:p>
    <w:p>
      <w:pPr>
        <w:pStyle w:val="11"/>
        <w:adjustRightInd w:val="0"/>
        <w:snapToGrid w:val="0"/>
        <w:spacing w:before="100" w:after="100" w:line="360" w:lineRule="auto"/>
        <w:rPr>
          <w:rFonts w:hint="eastAsia" w:ascii="宋体" w:hAnsi="宋体" w:eastAsia="宋体" w:cs="宋体"/>
        </w:rPr>
      </w:pPr>
      <w:r>
        <w:rPr>
          <w:rFonts w:hint="eastAsia" w:ascii="宋体" w:hAnsi="宋体" w:eastAsia="宋体" w:cs="宋体"/>
        </w:rPr>
        <w:t>2.1本次评标采用综合评分法。</w:t>
      </w:r>
    </w:p>
    <w:p>
      <w:pPr>
        <w:pStyle w:val="11"/>
        <w:adjustRightInd w:val="0"/>
        <w:snapToGrid w:val="0"/>
        <w:spacing w:before="100" w:after="100" w:line="360" w:lineRule="auto"/>
        <w:rPr>
          <w:rFonts w:hint="eastAsia" w:ascii="宋体" w:hAnsi="宋体" w:eastAsia="宋体" w:cs="宋体"/>
        </w:rPr>
      </w:pPr>
      <w:r>
        <w:rPr>
          <w:rFonts w:hint="eastAsia" w:ascii="宋体" w:hAnsi="宋体" w:eastAsia="宋体" w:cs="宋体"/>
        </w:rPr>
        <w:t>2.2本次评标是以招标文件为依据，按公正、科学、客观、平等竞争的要求，推荐技术先进、报价合理、经验丰富、信誉良好、售后服务好以及综合实力强的中标人。</w:t>
      </w:r>
    </w:p>
    <w:p>
      <w:pPr>
        <w:pStyle w:val="11"/>
        <w:adjustRightInd w:val="0"/>
        <w:snapToGrid w:val="0"/>
        <w:spacing w:before="100" w:after="100" w:line="360" w:lineRule="auto"/>
        <w:rPr>
          <w:rFonts w:hint="eastAsia" w:ascii="宋体" w:hAnsi="宋体" w:eastAsia="宋体" w:cs="宋体"/>
        </w:rPr>
      </w:pPr>
      <w:r>
        <w:rPr>
          <w:rFonts w:hint="eastAsia" w:ascii="宋体" w:hAnsi="宋体" w:eastAsia="宋体" w:cs="宋体"/>
        </w:rPr>
        <w:t>3．评标步骤</w:t>
      </w:r>
    </w:p>
    <w:p>
      <w:pPr>
        <w:pStyle w:val="11"/>
        <w:adjustRightInd w:val="0"/>
        <w:snapToGrid w:val="0"/>
        <w:spacing w:before="100" w:after="100" w:line="360" w:lineRule="auto"/>
        <w:rPr>
          <w:rFonts w:hint="eastAsia" w:ascii="宋体" w:hAnsi="宋体" w:eastAsia="宋体" w:cs="宋体"/>
        </w:rPr>
      </w:pPr>
      <w:r>
        <w:rPr>
          <w:rFonts w:hint="eastAsia" w:ascii="宋体" w:hAnsi="宋体" w:eastAsia="宋体" w:cs="宋体"/>
        </w:rPr>
        <w:t>3.1评标委员会先进行初步评审，再进行技术、商务及价格的详细评审。只有通过初步评审的投标才能进入详细的评审。最后评标委员会出具评标报告，并排序推荐三位中标候选人。</w:t>
      </w:r>
    </w:p>
    <w:p>
      <w:pPr>
        <w:pStyle w:val="11"/>
        <w:adjustRightInd w:val="0"/>
        <w:snapToGrid w:val="0"/>
        <w:spacing w:before="100" w:after="100" w:line="360" w:lineRule="auto"/>
        <w:rPr>
          <w:rFonts w:hint="eastAsia" w:ascii="宋体" w:hAnsi="宋体" w:eastAsia="宋体" w:cs="宋体"/>
        </w:rPr>
      </w:pPr>
      <w:r>
        <w:rPr>
          <w:rFonts w:hint="eastAsia" w:ascii="宋体" w:hAnsi="宋体" w:eastAsia="宋体" w:cs="宋体"/>
        </w:rPr>
        <w:t>4．评分及其统计</w:t>
      </w:r>
    </w:p>
    <w:p>
      <w:pPr>
        <w:pStyle w:val="11"/>
        <w:adjustRightInd w:val="0"/>
        <w:snapToGrid w:val="0"/>
        <w:spacing w:before="100" w:after="100" w:line="360" w:lineRule="auto"/>
        <w:rPr>
          <w:rFonts w:hint="eastAsia" w:ascii="宋体" w:hAnsi="宋体" w:eastAsia="宋体" w:cs="宋体"/>
        </w:rPr>
      </w:pPr>
      <w:r>
        <w:rPr>
          <w:rFonts w:hint="eastAsia" w:ascii="宋体" w:hAnsi="宋体" w:eastAsia="宋体" w:cs="宋体"/>
        </w:rPr>
        <w:t>4.1按照评标程序、评分标准以及权重分配的规定，评标委员会各成员分别首先就各个投标人的技术状况、商务状况及其对招标文件要求的响应情况进行评议和比较，评出其技术评分和商务评分。各评委评分的算术平均值即为该投标人的技术或商务评分。然后，评出投标人的价格评分。将各投标人的技术评分、商务评分和价格评分分相加得出其综合得分。将各综合得分由高到低顺序排列，综合得分最高的投标人为第一中标候选人，综合得分次高的投标人为第二中标候选人，综合得分第三的投标人为第三中标候选人。具体评分标准如下表：</w:t>
      </w:r>
    </w:p>
    <w:p>
      <w:pPr>
        <w:adjustRightInd w:val="0"/>
        <w:snapToGrid w:val="0"/>
        <w:spacing w:line="360" w:lineRule="auto"/>
        <w:rPr>
          <w:rFonts w:hint="eastAsia" w:ascii="宋体" w:hAnsi="宋体" w:eastAsia="宋体" w:cs="宋体"/>
          <w:sz w:val="24"/>
        </w:rPr>
      </w:pPr>
    </w:p>
    <w:p>
      <w:pPr>
        <w:adjustRightInd w:val="0"/>
        <w:snapToGrid w:val="0"/>
        <w:spacing w:line="360" w:lineRule="auto"/>
        <w:rPr>
          <w:rFonts w:hint="eastAsia" w:ascii="宋体" w:hAnsi="宋体" w:eastAsia="宋体" w:cs="宋体"/>
          <w:sz w:val="24"/>
        </w:rPr>
      </w:pPr>
    </w:p>
    <w:p>
      <w:pPr>
        <w:adjustRightInd w:val="0"/>
        <w:snapToGrid w:val="0"/>
        <w:spacing w:line="360" w:lineRule="auto"/>
        <w:rPr>
          <w:rFonts w:hint="eastAsia" w:ascii="宋体" w:hAnsi="宋体" w:eastAsia="宋体" w:cs="宋体"/>
          <w:sz w:val="24"/>
        </w:rPr>
      </w:pPr>
    </w:p>
    <w:p>
      <w:pPr>
        <w:adjustRightInd w:val="0"/>
        <w:snapToGrid w:val="0"/>
        <w:spacing w:line="360" w:lineRule="auto"/>
        <w:rPr>
          <w:rFonts w:hint="eastAsia" w:ascii="宋体" w:hAnsi="宋体" w:eastAsia="宋体" w:cs="宋体"/>
          <w:sz w:val="24"/>
        </w:rPr>
      </w:pPr>
    </w:p>
    <w:p>
      <w:pPr>
        <w:adjustRightInd w:val="0"/>
        <w:snapToGrid w:val="0"/>
        <w:spacing w:line="360" w:lineRule="auto"/>
        <w:rPr>
          <w:rFonts w:hint="eastAsia" w:ascii="宋体" w:hAnsi="宋体" w:eastAsia="宋体" w:cs="宋体"/>
          <w:sz w:val="24"/>
        </w:rPr>
      </w:pPr>
    </w:p>
    <w:p>
      <w:pPr>
        <w:adjustRightInd w:val="0"/>
        <w:snapToGrid w:val="0"/>
        <w:spacing w:line="360" w:lineRule="auto"/>
        <w:rPr>
          <w:rFonts w:hint="eastAsia" w:ascii="宋体" w:hAnsi="宋体" w:eastAsia="宋体" w:cs="宋体"/>
          <w:sz w:val="24"/>
        </w:rPr>
      </w:pPr>
    </w:p>
    <w:p>
      <w:pPr>
        <w:adjustRightInd w:val="0"/>
        <w:snapToGrid w:val="0"/>
        <w:spacing w:line="360" w:lineRule="auto"/>
        <w:rPr>
          <w:rFonts w:hint="eastAsia" w:ascii="宋体" w:hAnsi="宋体" w:eastAsia="宋体" w:cs="宋体"/>
          <w:sz w:val="24"/>
        </w:rPr>
      </w:pPr>
    </w:p>
    <w:p>
      <w:pPr>
        <w:adjustRightInd w:val="0"/>
        <w:snapToGrid w:val="0"/>
        <w:spacing w:line="360" w:lineRule="auto"/>
        <w:rPr>
          <w:rFonts w:hint="eastAsia" w:ascii="宋体" w:hAnsi="宋体" w:eastAsia="宋体" w:cs="宋体"/>
          <w:b/>
          <w:color w:val="000000"/>
          <w:sz w:val="24"/>
        </w:rPr>
      </w:pPr>
      <w:r>
        <w:rPr>
          <w:rFonts w:hint="eastAsia" w:ascii="宋体" w:hAnsi="宋体" w:eastAsia="宋体" w:cs="宋体"/>
          <w:sz w:val="24"/>
        </w:rPr>
        <w:t>评分标准表如下：</w:t>
      </w:r>
    </w:p>
    <w:tbl>
      <w:tblPr>
        <w:tblStyle w:val="18"/>
        <w:tblW w:w="867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602"/>
        <w:gridCol w:w="913"/>
        <w:gridCol w:w="4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 w:hRule="atLeast"/>
        </w:trPr>
        <w:tc>
          <w:tcPr>
            <w:tcW w:w="1192" w:type="dxa"/>
            <w:vAlign w:val="center"/>
          </w:tcPr>
          <w:p>
            <w:pPr>
              <w:widowControl/>
              <w:adjustRightInd w:val="0"/>
              <w:snapToGrid w:val="0"/>
              <w:spacing w:line="276" w:lineRule="auto"/>
              <w:jc w:val="center"/>
              <w:rPr>
                <w:rFonts w:hint="eastAsia" w:ascii="宋体" w:hAnsi="宋体" w:eastAsia="宋体" w:cs="宋体"/>
                <w:color w:val="000000"/>
                <w:sz w:val="24"/>
              </w:rPr>
            </w:pPr>
            <w:r>
              <w:rPr>
                <w:rFonts w:hint="eastAsia" w:ascii="宋体" w:hAnsi="宋体" w:eastAsia="宋体" w:cs="宋体"/>
                <w:color w:val="000000"/>
                <w:sz w:val="24"/>
              </w:rPr>
              <w:t>类别</w:t>
            </w:r>
          </w:p>
        </w:tc>
        <w:tc>
          <w:tcPr>
            <w:tcW w:w="1602" w:type="dxa"/>
            <w:vAlign w:val="center"/>
          </w:tcPr>
          <w:p>
            <w:pPr>
              <w:widowControl/>
              <w:adjustRightInd w:val="0"/>
              <w:snapToGrid w:val="0"/>
              <w:spacing w:line="276" w:lineRule="auto"/>
              <w:jc w:val="center"/>
              <w:rPr>
                <w:rFonts w:hint="eastAsia" w:ascii="宋体" w:hAnsi="宋体" w:eastAsia="宋体" w:cs="宋体"/>
                <w:color w:val="000000"/>
                <w:sz w:val="24"/>
              </w:rPr>
            </w:pPr>
            <w:r>
              <w:rPr>
                <w:rFonts w:hint="eastAsia" w:ascii="宋体" w:hAnsi="宋体" w:eastAsia="宋体" w:cs="宋体"/>
                <w:color w:val="000000"/>
                <w:sz w:val="24"/>
              </w:rPr>
              <w:t>评分项目</w:t>
            </w:r>
          </w:p>
        </w:tc>
        <w:tc>
          <w:tcPr>
            <w:tcW w:w="913" w:type="dxa"/>
            <w:vAlign w:val="center"/>
          </w:tcPr>
          <w:p>
            <w:pPr>
              <w:widowControl/>
              <w:adjustRightInd w:val="0"/>
              <w:snapToGrid w:val="0"/>
              <w:spacing w:line="276" w:lineRule="auto"/>
              <w:jc w:val="center"/>
              <w:rPr>
                <w:rFonts w:hint="eastAsia" w:ascii="宋体" w:hAnsi="宋体" w:eastAsia="宋体" w:cs="宋体"/>
                <w:color w:val="000000"/>
                <w:sz w:val="24"/>
              </w:rPr>
            </w:pPr>
            <w:r>
              <w:rPr>
                <w:rFonts w:hint="eastAsia" w:ascii="宋体" w:hAnsi="宋体" w:eastAsia="宋体" w:cs="宋体"/>
                <w:color w:val="000000"/>
                <w:sz w:val="24"/>
              </w:rPr>
              <w:t>分值</w:t>
            </w:r>
          </w:p>
        </w:tc>
        <w:tc>
          <w:tcPr>
            <w:tcW w:w="4970" w:type="dxa"/>
            <w:vAlign w:val="center"/>
          </w:tcPr>
          <w:p>
            <w:pPr>
              <w:widowControl/>
              <w:adjustRightInd w:val="0"/>
              <w:snapToGrid w:val="0"/>
              <w:spacing w:line="276" w:lineRule="auto"/>
              <w:jc w:val="center"/>
              <w:rPr>
                <w:rFonts w:hint="eastAsia" w:ascii="宋体" w:hAnsi="宋体" w:eastAsia="宋体" w:cs="宋体"/>
                <w:color w:val="000000"/>
                <w:sz w:val="24"/>
              </w:rPr>
            </w:pPr>
            <w:r>
              <w:rPr>
                <w:rFonts w:hint="eastAsia" w:ascii="宋体" w:hAnsi="宋体" w:eastAsia="宋体" w:cs="宋体"/>
                <w:color w:val="000000"/>
                <w:sz w:val="24"/>
              </w:rPr>
              <w:t>评议指标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92" w:type="dxa"/>
            <w:vAlign w:val="center"/>
          </w:tcPr>
          <w:p>
            <w:pPr>
              <w:widowControl/>
              <w:adjustRightInd w:val="0"/>
              <w:snapToGrid w:val="0"/>
              <w:spacing w:line="276" w:lineRule="auto"/>
              <w:jc w:val="center"/>
              <w:rPr>
                <w:rFonts w:hint="eastAsia" w:ascii="宋体" w:hAnsi="宋体" w:eastAsia="宋体" w:cs="宋体"/>
                <w:color w:val="000000"/>
                <w:sz w:val="24"/>
              </w:rPr>
            </w:pPr>
            <w:r>
              <w:rPr>
                <w:rFonts w:hint="eastAsia" w:ascii="宋体" w:hAnsi="宋体" w:eastAsia="宋体" w:cs="宋体"/>
                <w:color w:val="000000"/>
                <w:sz w:val="24"/>
              </w:rPr>
              <w:t>报价分值</w:t>
            </w:r>
          </w:p>
          <w:p>
            <w:pPr>
              <w:widowControl/>
              <w:adjustRightInd w:val="0"/>
              <w:snapToGrid w:val="0"/>
              <w:spacing w:line="276" w:lineRule="auto"/>
              <w:jc w:val="center"/>
              <w:rPr>
                <w:rFonts w:hint="eastAsia" w:ascii="宋体" w:hAnsi="宋体" w:eastAsia="宋体" w:cs="宋体"/>
                <w:color w:val="000000"/>
                <w:sz w:val="24"/>
              </w:rPr>
            </w:pPr>
            <w:r>
              <w:rPr>
                <w:rFonts w:hint="eastAsia" w:ascii="宋体" w:hAnsi="宋体" w:eastAsia="宋体" w:cs="宋体"/>
                <w:color w:val="000000"/>
                <w:sz w:val="24"/>
              </w:rPr>
              <w:t>（10分）</w:t>
            </w:r>
          </w:p>
        </w:tc>
        <w:tc>
          <w:tcPr>
            <w:tcW w:w="1602" w:type="dxa"/>
            <w:vAlign w:val="center"/>
          </w:tcPr>
          <w:p>
            <w:pPr>
              <w:widowControl/>
              <w:adjustRightInd w:val="0"/>
              <w:snapToGrid w:val="0"/>
              <w:spacing w:line="276" w:lineRule="auto"/>
              <w:jc w:val="center"/>
              <w:rPr>
                <w:rFonts w:hint="eastAsia" w:ascii="宋体" w:hAnsi="宋体" w:eastAsia="宋体" w:cs="宋体"/>
                <w:color w:val="000000"/>
                <w:sz w:val="24"/>
              </w:rPr>
            </w:pPr>
            <w:r>
              <w:rPr>
                <w:rFonts w:hint="eastAsia" w:ascii="宋体" w:hAnsi="宋体" w:eastAsia="宋体" w:cs="宋体"/>
                <w:color w:val="000000"/>
                <w:sz w:val="24"/>
              </w:rPr>
              <w:t>投标价格</w:t>
            </w:r>
          </w:p>
        </w:tc>
        <w:tc>
          <w:tcPr>
            <w:tcW w:w="913" w:type="dxa"/>
            <w:vAlign w:val="center"/>
          </w:tcPr>
          <w:p>
            <w:pPr>
              <w:widowControl/>
              <w:adjustRightInd w:val="0"/>
              <w:snapToGrid w:val="0"/>
              <w:spacing w:line="276" w:lineRule="auto"/>
              <w:jc w:val="center"/>
              <w:rPr>
                <w:rFonts w:hint="eastAsia" w:ascii="宋体" w:hAnsi="宋体" w:eastAsia="宋体" w:cs="宋体"/>
                <w:color w:val="000000"/>
                <w:sz w:val="24"/>
              </w:rPr>
            </w:pPr>
            <w:r>
              <w:rPr>
                <w:rFonts w:hint="eastAsia" w:ascii="宋体" w:hAnsi="宋体" w:eastAsia="宋体" w:cs="宋体"/>
                <w:color w:val="000000"/>
                <w:sz w:val="24"/>
              </w:rPr>
              <w:t>10</w:t>
            </w:r>
          </w:p>
        </w:tc>
        <w:tc>
          <w:tcPr>
            <w:tcW w:w="4970" w:type="dxa"/>
            <w:vAlign w:val="center"/>
          </w:tcPr>
          <w:p>
            <w:pPr>
              <w:widowControl/>
              <w:adjustRightInd w:val="0"/>
              <w:snapToGrid w:val="0"/>
              <w:spacing w:line="276" w:lineRule="auto"/>
              <w:jc w:val="center"/>
              <w:rPr>
                <w:rFonts w:hint="eastAsia" w:ascii="宋体" w:hAnsi="宋体" w:eastAsia="宋体" w:cs="宋体"/>
                <w:color w:val="000000"/>
                <w:sz w:val="24"/>
              </w:rPr>
            </w:pPr>
            <w:r>
              <w:rPr>
                <w:rFonts w:hint="eastAsia" w:ascii="宋体" w:hAnsi="宋体" w:eastAsia="宋体" w:cs="宋体"/>
                <w:color w:val="000000"/>
                <w:sz w:val="24"/>
              </w:rPr>
              <w:t>以本次最低有效投标报价为基准价，投标报价得分=（基准价/投标报价）*10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192" w:type="dxa"/>
            <w:vMerge w:val="restart"/>
            <w:vAlign w:val="center"/>
          </w:tcPr>
          <w:p>
            <w:pPr>
              <w:widowControl/>
              <w:adjustRightInd w:val="0"/>
              <w:snapToGrid w:val="0"/>
              <w:spacing w:line="276" w:lineRule="auto"/>
              <w:jc w:val="center"/>
              <w:rPr>
                <w:rFonts w:hint="eastAsia" w:ascii="宋体" w:hAnsi="宋体" w:eastAsia="宋体" w:cs="宋体"/>
                <w:color w:val="000000"/>
                <w:sz w:val="24"/>
              </w:rPr>
            </w:pPr>
            <w:r>
              <w:rPr>
                <w:rFonts w:hint="eastAsia" w:ascii="宋体" w:hAnsi="宋体" w:eastAsia="宋体" w:cs="宋体"/>
                <w:color w:val="000000"/>
                <w:sz w:val="24"/>
              </w:rPr>
              <w:t>技术评分标准</w:t>
            </w:r>
          </w:p>
          <w:p>
            <w:pPr>
              <w:widowControl/>
              <w:adjustRightInd w:val="0"/>
              <w:snapToGrid w:val="0"/>
              <w:spacing w:line="276" w:lineRule="auto"/>
              <w:jc w:val="center"/>
              <w:rPr>
                <w:rFonts w:hint="eastAsia" w:ascii="宋体" w:hAnsi="宋体" w:eastAsia="宋体" w:cs="宋体"/>
                <w:color w:val="000000"/>
                <w:sz w:val="24"/>
              </w:rPr>
            </w:pPr>
            <w:r>
              <w:rPr>
                <w:rFonts w:hint="eastAsia" w:ascii="宋体" w:hAnsi="宋体" w:eastAsia="宋体" w:cs="宋体"/>
                <w:color w:val="000000"/>
                <w:sz w:val="24"/>
              </w:rPr>
              <w:t>（70分）</w:t>
            </w:r>
          </w:p>
        </w:tc>
        <w:tc>
          <w:tcPr>
            <w:tcW w:w="1602" w:type="dxa"/>
            <w:vAlign w:val="center"/>
          </w:tcPr>
          <w:p>
            <w:pPr>
              <w:widowControl/>
              <w:adjustRightInd w:val="0"/>
              <w:snapToGrid w:val="0"/>
              <w:spacing w:line="276" w:lineRule="auto"/>
              <w:jc w:val="center"/>
              <w:rPr>
                <w:rFonts w:hint="eastAsia" w:ascii="宋体" w:hAnsi="宋体" w:eastAsia="宋体" w:cs="宋体"/>
                <w:color w:val="000000"/>
                <w:sz w:val="24"/>
              </w:rPr>
            </w:pPr>
            <w:r>
              <w:rPr>
                <w:rFonts w:hint="eastAsia" w:ascii="宋体" w:hAnsi="宋体" w:eastAsia="宋体" w:cs="宋体"/>
                <w:color w:val="000000"/>
                <w:sz w:val="24"/>
              </w:rPr>
              <w:t>需求分析的功能符合性</w:t>
            </w:r>
          </w:p>
        </w:tc>
        <w:tc>
          <w:tcPr>
            <w:tcW w:w="913" w:type="dxa"/>
            <w:vAlign w:val="center"/>
          </w:tcPr>
          <w:p>
            <w:pPr>
              <w:widowControl/>
              <w:adjustRightInd w:val="0"/>
              <w:snapToGrid w:val="0"/>
              <w:spacing w:line="276" w:lineRule="auto"/>
              <w:jc w:val="center"/>
              <w:rPr>
                <w:rFonts w:hint="eastAsia" w:ascii="宋体" w:hAnsi="宋体" w:eastAsia="宋体" w:cs="宋体"/>
                <w:color w:val="000000"/>
                <w:sz w:val="24"/>
              </w:rPr>
            </w:pPr>
            <w:r>
              <w:rPr>
                <w:rFonts w:hint="eastAsia" w:ascii="宋体" w:hAnsi="宋体" w:eastAsia="宋体" w:cs="宋体"/>
                <w:color w:val="000000"/>
                <w:sz w:val="24"/>
              </w:rPr>
              <w:t>4</w:t>
            </w:r>
          </w:p>
        </w:tc>
        <w:tc>
          <w:tcPr>
            <w:tcW w:w="4970" w:type="dxa"/>
            <w:vAlign w:val="center"/>
          </w:tcPr>
          <w:p>
            <w:pPr>
              <w:widowControl/>
              <w:snapToGrid w:val="0"/>
              <w:spacing w:line="276" w:lineRule="auto"/>
              <w:jc w:val="left"/>
              <w:rPr>
                <w:rFonts w:hint="eastAsia" w:ascii="宋体" w:hAnsi="宋体" w:eastAsia="宋体" w:cs="宋体"/>
                <w:color w:val="000000"/>
                <w:sz w:val="24"/>
              </w:rPr>
            </w:pPr>
            <w:r>
              <w:rPr>
                <w:rFonts w:hint="eastAsia" w:ascii="宋体" w:hAnsi="宋体" w:eastAsia="宋体" w:cs="宋体"/>
                <w:color w:val="000000"/>
                <w:sz w:val="24"/>
              </w:rPr>
              <w:t>供应商能结合采购需求的功能进行完整清晰的分析，条理明确，得4分；</w:t>
            </w:r>
          </w:p>
          <w:p>
            <w:pPr>
              <w:widowControl/>
              <w:snapToGrid w:val="0"/>
              <w:spacing w:line="276" w:lineRule="auto"/>
              <w:jc w:val="left"/>
              <w:rPr>
                <w:rFonts w:hint="eastAsia" w:ascii="宋体" w:hAnsi="宋体" w:eastAsia="宋体" w:cs="宋体"/>
                <w:color w:val="000000"/>
                <w:sz w:val="24"/>
              </w:rPr>
            </w:pPr>
            <w:r>
              <w:rPr>
                <w:rFonts w:hint="eastAsia" w:ascii="宋体" w:hAnsi="宋体" w:eastAsia="宋体" w:cs="宋体"/>
                <w:color w:val="000000"/>
                <w:sz w:val="24"/>
              </w:rPr>
              <w:t>供应商基本能对采购需求的功能进行分析，条理基本清晰，得2分；</w:t>
            </w:r>
          </w:p>
          <w:p>
            <w:pPr>
              <w:widowControl/>
              <w:adjustRightInd w:val="0"/>
              <w:snapToGrid w:val="0"/>
              <w:spacing w:line="276" w:lineRule="auto"/>
              <w:rPr>
                <w:rFonts w:hint="eastAsia" w:ascii="宋体" w:hAnsi="宋体" w:eastAsia="宋体" w:cs="宋体"/>
                <w:color w:val="000000"/>
                <w:sz w:val="24"/>
              </w:rPr>
            </w:pPr>
            <w:r>
              <w:rPr>
                <w:rFonts w:hint="eastAsia" w:ascii="宋体" w:hAnsi="宋体" w:eastAsia="宋体" w:cs="宋体"/>
                <w:color w:val="000000"/>
                <w:sz w:val="24"/>
              </w:rPr>
              <w:t>供应商未能对采购需求的功能进行分析，得0分。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192" w:type="dxa"/>
            <w:vMerge w:val="continue"/>
            <w:vAlign w:val="center"/>
          </w:tcPr>
          <w:p>
            <w:pPr>
              <w:widowControl/>
              <w:adjustRightInd w:val="0"/>
              <w:snapToGrid w:val="0"/>
              <w:spacing w:line="276" w:lineRule="auto"/>
              <w:jc w:val="center"/>
              <w:rPr>
                <w:rFonts w:hint="eastAsia" w:ascii="宋体" w:hAnsi="宋体" w:eastAsia="宋体" w:cs="宋体"/>
                <w:color w:val="000000"/>
                <w:sz w:val="24"/>
              </w:rPr>
            </w:pPr>
          </w:p>
        </w:tc>
        <w:tc>
          <w:tcPr>
            <w:tcW w:w="1602" w:type="dxa"/>
            <w:vAlign w:val="center"/>
          </w:tcPr>
          <w:p>
            <w:pPr>
              <w:widowControl/>
              <w:adjustRightInd w:val="0"/>
              <w:snapToGrid w:val="0"/>
              <w:spacing w:line="276" w:lineRule="auto"/>
              <w:jc w:val="center"/>
              <w:rPr>
                <w:rFonts w:hint="eastAsia" w:ascii="宋体" w:hAnsi="宋体" w:eastAsia="宋体" w:cs="宋体"/>
                <w:color w:val="000000"/>
                <w:sz w:val="24"/>
              </w:rPr>
            </w:pPr>
            <w:r>
              <w:rPr>
                <w:rFonts w:hint="eastAsia" w:ascii="宋体" w:hAnsi="宋体" w:eastAsia="宋体" w:cs="宋体"/>
                <w:color w:val="000000"/>
                <w:sz w:val="24"/>
              </w:rPr>
              <w:t>总体技术方案设计</w:t>
            </w:r>
          </w:p>
        </w:tc>
        <w:tc>
          <w:tcPr>
            <w:tcW w:w="913" w:type="dxa"/>
            <w:vAlign w:val="center"/>
          </w:tcPr>
          <w:p>
            <w:pPr>
              <w:widowControl/>
              <w:adjustRightInd w:val="0"/>
              <w:snapToGrid w:val="0"/>
              <w:spacing w:line="276" w:lineRule="auto"/>
              <w:jc w:val="center"/>
              <w:rPr>
                <w:rFonts w:hint="eastAsia" w:ascii="宋体" w:hAnsi="宋体" w:eastAsia="宋体" w:cs="宋体"/>
                <w:color w:val="000000"/>
                <w:sz w:val="24"/>
              </w:rPr>
            </w:pPr>
            <w:r>
              <w:rPr>
                <w:rFonts w:hint="eastAsia" w:ascii="宋体" w:hAnsi="宋体" w:eastAsia="宋体" w:cs="宋体"/>
                <w:color w:val="000000"/>
                <w:sz w:val="24"/>
              </w:rPr>
              <w:t>6</w:t>
            </w:r>
          </w:p>
        </w:tc>
        <w:tc>
          <w:tcPr>
            <w:tcW w:w="4970" w:type="dxa"/>
            <w:vAlign w:val="center"/>
          </w:tcPr>
          <w:p>
            <w:pPr>
              <w:widowControl/>
              <w:adjustRightInd w:val="0"/>
              <w:snapToGrid w:val="0"/>
              <w:spacing w:line="276" w:lineRule="auto"/>
              <w:rPr>
                <w:rFonts w:hint="eastAsia" w:ascii="宋体" w:hAnsi="宋体" w:eastAsia="宋体" w:cs="宋体"/>
                <w:color w:val="000000"/>
                <w:sz w:val="24"/>
              </w:rPr>
            </w:pPr>
            <w:r>
              <w:rPr>
                <w:rFonts w:hint="eastAsia" w:ascii="宋体" w:hAnsi="宋体" w:eastAsia="宋体" w:cs="宋体"/>
                <w:color w:val="000000"/>
                <w:sz w:val="24"/>
              </w:rPr>
              <w:t>总体设计原则明确、方案规范，对业务流程有深刻理解，并且能提供具体的运行模式设计、功能结构分解，得6分；</w:t>
            </w:r>
          </w:p>
          <w:p>
            <w:pPr>
              <w:widowControl/>
              <w:adjustRightInd w:val="0"/>
              <w:snapToGrid w:val="0"/>
              <w:spacing w:line="276" w:lineRule="auto"/>
              <w:rPr>
                <w:rFonts w:hint="eastAsia" w:ascii="宋体" w:hAnsi="宋体" w:eastAsia="宋体" w:cs="宋体"/>
                <w:color w:val="000000"/>
                <w:sz w:val="24"/>
              </w:rPr>
            </w:pPr>
            <w:r>
              <w:rPr>
                <w:rFonts w:hint="eastAsia" w:ascii="宋体" w:hAnsi="宋体" w:eastAsia="宋体" w:cs="宋体"/>
                <w:color w:val="000000"/>
                <w:sz w:val="24"/>
              </w:rPr>
              <w:t>能提供总体的技术方案和设计，能提供数据实时获取业务流程以及流程图设计方案的，得4分；</w:t>
            </w:r>
          </w:p>
          <w:p>
            <w:pPr>
              <w:widowControl/>
              <w:adjustRightInd w:val="0"/>
              <w:snapToGrid w:val="0"/>
              <w:spacing w:line="276" w:lineRule="auto"/>
              <w:rPr>
                <w:rFonts w:hint="eastAsia" w:ascii="宋体" w:hAnsi="宋体" w:eastAsia="宋体" w:cs="宋体"/>
                <w:color w:val="000000"/>
                <w:sz w:val="24"/>
              </w:rPr>
            </w:pPr>
            <w:r>
              <w:rPr>
                <w:rFonts w:hint="eastAsia" w:ascii="宋体" w:hAnsi="宋体" w:eastAsia="宋体" w:cs="宋体"/>
                <w:color w:val="000000"/>
                <w:sz w:val="24"/>
              </w:rPr>
              <w:t>基本能提供总体的技术方案和设计，条理基本清晰的，得2分；</w:t>
            </w:r>
          </w:p>
          <w:p>
            <w:pPr>
              <w:widowControl/>
              <w:adjustRightInd w:val="0"/>
              <w:snapToGrid w:val="0"/>
              <w:spacing w:line="276" w:lineRule="auto"/>
              <w:rPr>
                <w:rFonts w:hint="eastAsia" w:ascii="宋体" w:hAnsi="宋体" w:eastAsia="宋体" w:cs="宋体"/>
                <w:color w:val="000000"/>
                <w:sz w:val="24"/>
              </w:rPr>
            </w:pPr>
            <w:r>
              <w:rPr>
                <w:rFonts w:hint="eastAsia" w:ascii="宋体" w:hAnsi="宋体" w:eastAsia="宋体" w:cs="宋体"/>
                <w:color w:val="000000"/>
                <w:sz w:val="24"/>
              </w:rPr>
              <w:t>未能提供总体的技术方案和设计的，得0分；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192" w:type="dxa"/>
            <w:vMerge w:val="continue"/>
            <w:vAlign w:val="center"/>
          </w:tcPr>
          <w:p>
            <w:pPr>
              <w:widowControl/>
              <w:adjustRightInd w:val="0"/>
              <w:snapToGrid w:val="0"/>
              <w:spacing w:line="276" w:lineRule="auto"/>
              <w:jc w:val="center"/>
              <w:rPr>
                <w:rFonts w:hint="eastAsia" w:ascii="宋体" w:hAnsi="宋体" w:eastAsia="宋体" w:cs="宋体"/>
                <w:color w:val="000000"/>
                <w:sz w:val="24"/>
              </w:rPr>
            </w:pPr>
          </w:p>
        </w:tc>
        <w:tc>
          <w:tcPr>
            <w:tcW w:w="1602" w:type="dxa"/>
            <w:vMerge w:val="restart"/>
            <w:vAlign w:val="center"/>
          </w:tcPr>
          <w:p>
            <w:pPr>
              <w:widowControl/>
              <w:adjustRightInd w:val="0"/>
              <w:snapToGrid w:val="0"/>
              <w:spacing w:line="276" w:lineRule="auto"/>
              <w:jc w:val="center"/>
              <w:rPr>
                <w:rFonts w:hint="eastAsia" w:ascii="宋体" w:hAnsi="宋体" w:eastAsia="宋体" w:cs="宋体"/>
                <w:color w:val="000000"/>
                <w:sz w:val="24"/>
              </w:rPr>
            </w:pPr>
            <w:r>
              <w:rPr>
                <w:rFonts w:hint="eastAsia" w:ascii="宋体" w:hAnsi="宋体" w:eastAsia="宋体" w:cs="宋体"/>
                <w:color w:val="000000"/>
                <w:sz w:val="24"/>
              </w:rPr>
              <w:t>详细设计方案</w:t>
            </w:r>
          </w:p>
          <w:p>
            <w:pPr>
              <w:widowControl/>
              <w:adjustRightInd w:val="0"/>
              <w:snapToGrid w:val="0"/>
              <w:spacing w:line="276" w:lineRule="auto"/>
              <w:jc w:val="center"/>
              <w:rPr>
                <w:rFonts w:hint="eastAsia" w:ascii="宋体" w:hAnsi="宋体" w:eastAsia="宋体" w:cs="宋体"/>
                <w:color w:val="000000"/>
                <w:sz w:val="24"/>
              </w:rPr>
            </w:pPr>
          </w:p>
        </w:tc>
        <w:tc>
          <w:tcPr>
            <w:tcW w:w="913" w:type="dxa"/>
            <w:vMerge w:val="restart"/>
            <w:vAlign w:val="center"/>
          </w:tcPr>
          <w:p>
            <w:pPr>
              <w:widowControl/>
              <w:adjustRightInd w:val="0"/>
              <w:snapToGrid w:val="0"/>
              <w:spacing w:line="276" w:lineRule="auto"/>
              <w:jc w:val="center"/>
              <w:rPr>
                <w:rFonts w:hint="eastAsia" w:ascii="宋体" w:hAnsi="宋体" w:eastAsia="宋体" w:cs="宋体"/>
                <w:color w:val="000000"/>
                <w:sz w:val="24"/>
              </w:rPr>
            </w:pPr>
            <w:r>
              <w:rPr>
                <w:rFonts w:hint="eastAsia" w:ascii="宋体" w:hAnsi="宋体" w:eastAsia="宋体" w:cs="宋体"/>
                <w:color w:val="000000"/>
                <w:sz w:val="24"/>
              </w:rPr>
              <w:t>12</w:t>
            </w:r>
          </w:p>
        </w:tc>
        <w:tc>
          <w:tcPr>
            <w:tcW w:w="4970" w:type="dxa"/>
            <w:vAlign w:val="center"/>
          </w:tcPr>
          <w:p>
            <w:pPr>
              <w:widowControl/>
              <w:spacing w:line="276" w:lineRule="auto"/>
              <w:jc w:val="left"/>
              <w:rPr>
                <w:rFonts w:hint="eastAsia" w:ascii="宋体" w:hAnsi="宋体" w:eastAsia="宋体" w:cs="宋体"/>
                <w:color w:val="000000"/>
                <w:sz w:val="24"/>
              </w:rPr>
            </w:pPr>
            <w:r>
              <w:rPr>
                <w:rFonts w:hint="eastAsia" w:ascii="宋体" w:hAnsi="宋体" w:eastAsia="宋体" w:cs="宋体"/>
                <w:color w:val="000000"/>
                <w:sz w:val="24"/>
              </w:rPr>
              <w:t>（1）整体设计方案：</w:t>
            </w:r>
          </w:p>
          <w:p>
            <w:pPr>
              <w:widowControl/>
              <w:spacing w:line="276" w:lineRule="auto"/>
              <w:jc w:val="left"/>
              <w:rPr>
                <w:rFonts w:hint="eastAsia" w:ascii="宋体" w:hAnsi="宋体" w:eastAsia="宋体" w:cs="宋体"/>
                <w:color w:val="000000"/>
                <w:sz w:val="24"/>
              </w:rPr>
            </w:pPr>
            <w:r>
              <w:rPr>
                <w:rFonts w:hint="eastAsia" w:ascii="宋体" w:hAnsi="宋体" w:eastAsia="宋体" w:cs="宋体"/>
                <w:color w:val="000000"/>
                <w:sz w:val="24"/>
              </w:rPr>
              <w:t xml:space="preserve">设计方案覆盖全部用户需求，功能分析准确，得4分； </w:t>
            </w:r>
          </w:p>
          <w:p>
            <w:pPr>
              <w:widowControl/>
              <w:spacing w:line="276" w:lineRule="auto"/>
              <w:jc w:val="left"/>
              <w:rPr>
                <w:rFonts w:hint="eastAsia" w:ascii="宋体" w:hAnsi="宋体" w:eastAsia="宋体" w:cs="宋体"/>
                <w:color w:val="000000"/>
                <w:sz w:val="24"/>
              </w:rPr>
            </w:pPr>
            <w:r>
              <w:rPr>
                <w:rFonts w:hint="eastAsia" w:ascii="宋体" w:hAnsi="宋体" w:eastAsia="宋体" w:cs="宋体"/>
                <w:color w:val="000000"/>
                <w:sz w:val="24"/>
              </w:rPr>
              <w:t>设计方案覆盖全部用户需求，功能分析较准确，得2分；</w:t>
            </w:r>
          </w:p>
          <w:p>
            <w:pPr>
              <w:autoSpaceDE w:val="0"/>
              <w:autoSpaceDN w:val="0"/>
              <w:adjustRightInd w:val="0"/>
              <w:spacing w:line="276" w:lineRule="auto"/>
              <w:jc w:val="left"/>
              <w:rPr>
                <w:rFonts w:hint="eastAsia" w:ascii="宋体" w:hAnsi="宋体" w:eastAsia="宋体" w:cs="宋体"/>
                <w:color w:val="000000"/>
                <w:sz w:val="24"/>
              </w:rPr>
            </w:pPr>
            <w:r>
              <w:rPr>
                <w:rFonts w:hint="eastAsia" w:ascii="宋体" w:hAnsi="宋体" w:eastAsia="宋体" w:cs="宋体"/>
                <w:color w:val="000000"/>
                <w:sz w:val="24"/>
              </w:rPr>
              <w:t>设计方案不能覆盖全部用户需求，功能分析不够准确，得0分。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2" w:hRule="atLeast"/>
        </w:trPr>
        <w:tc>
          <w:tcPr>
            <w:tcW w:w="1192" w:type="dxa"/>
            <w:vMerge w:val="continue"/>
            <w:vAlign w:val="center"/>
          </w:tcPr>
          <w:p>
            <w:pPr>
              <w:widowControl/>
              <w:adjustRightInd w:val="0"/>
              <w:snapToGrid w:val="0"/>
              <w:spacing w:line="276" w:lineRule="auto"/>
              <w:jc w:val="center"/>
              <w:rPr>
                <w:rFonts w:hint="eastAsia" w:ascii="宋体" w:hAnsi="宋体" w:eastAsia="宋体" w:cs="宋体"/>
                <w:color w:val="000000"/>
                <w:sz w:val="24"/>
              </w:rPr>
            </w:pPr>
          </w:p>
        </w:tc>
        <w:tc>
          <w:tcPr>
            <w:tcW w:w="1602" w:type="dxa"/>
            <w:vMerge w:val="continue"/>
            <w:vAlign w:val="center"/>
          </w:tcPr>
          <w:p>
            <w:pPr>
              <w:widowControl/>
              <w:adjustRightInd w:val="0"/>
              <w:snapToGrid w:val="0"/>
              <w:spacing w:line="276" w:lineRule="auto"/>
              <w:jc w:val="center"/>
              <w:rPr>
                <w:rFonts w:hint="eastAsia" w:ascii="宋体" w:hAnsi="宋体" w:eastAsia="宋体" w:cs="宋体"/>
                <w:color w:val="000000"/>
                <w:sz w:val="24"/>
              </w:rPr>
            </w:pPr>
          </w:p>
        </w:tc>
        <w:tc>
          <w:tcPr>
            <w:tcW w:w="913" w:type="dxa"/>
            <w:vMerge w:val="continue"/>
            <w:vAlign w:val="center"/>
          </w:tcPr>
          <w:p>
            <w:pPr>
              <w:widowControl/>
              <w:adjustRightInd w:val="0"/>
              <w:snapToGrid w:val="0"/>
              <w:spacing w:line="276" w:lineRule="auto"/>
              <w:jc w:val="center"/>
              <w:rPr>
                <w:rFonts w:hint="eastAsia" w:ascii="宋体" w:hAnsi="宋体" w:eastAsia="宋体" w:cs="宋体"/>
                <w:color w:val="000000"/>
                <w:sz w:val="24"/>
              </w:rPr>
            </w:pPr>
          </w:p>
        </w:tc>
        <w:tc>
          <w:tcPr>
            <w:tcW w:w="4970" w:type="dxa"/>
            <w:vAlign w:val="center"/>
          </w:tcPr>
          <w:p>
            <w:pPr>
              <w:widowControl/>
              <w:spacing w:line="276" w:lineRule="auto"/>
              <w:jc w:val="left"/>
              <w:rPr>
                <w:rFonts w:hint="eastAsia" w:ascii="宋体" w:hAnsi="宋体" w:eastAsia="宋体" w:cs="宋体"/>
                <w:color w:val="000000"/>
                <w:sz w:val="24"/>
              </w:rPr>
            </w:pPr>
            <w:r>
              <w:rPr>
                <w:rFonts w:hint="eastAsia" w:ascii="宋体" w:hAnsi="宋体" w:eastAsia="宋体" w:cs="宋体"/>
                <w:color w:val="000000"/>
                <w:sz w:val="24"/>
              </w:rPr>
              <w:t>（2）输入、输出、处理流程设计：</w:t>
            </w:r>
          </w:p>
          <w:p>
            <w:pPr>
              <w:widowControl/>
              <w:spacing w:line="276" w:lineRule="auto"/>
              <w:jc w:val="left"/>
              <w:rPr>
                <w:rFonts w:hint="eastAsia" w:ascii="宋体" w:hAnsi="宋体" w:eastAsia="宋体" w:cs="宋体"/>
                <w:color w:val="000000"/>
                <w:sz w:val="24"/>
              </w:rPr>
            </w:pPr>
            <w:r>
              <w:rPr>
                <w:rFonts w:hint="eastAsia" w:ascii="宋体" w:hAnsi="宋体" w:eastAsia="宋体" w:cs="宋体"/>
                <w:color w:val="000000"/>
                <w:sz w:val="24"/>
              </w:rPr>
              <w:t xml:space="preserve">符合功能要求且符合逻辑，流程图表达明确、清晰，得4分； </w:t>
            </w:r>
          </w:p>
          <w:p>
            <w:pPr>
              <w:widowControl/>
              <w:spacing w:line="276" w:lineRule="auto"/>
              <w:jc w:val="left"/>
              <w:rPr>
                <w:rFonts w:hint="eastAsia" w:ascii="宋体" w:hAnsi="宋体" w:eastAsia="宋体" w:cs="宋体"/>
                <w:color w:val="000000"/>
                <w:sz w:val="24"/>
              </w:rPr>
            </w:pPr>
            <w:r>
              <w:rPr>
                <w:rFonts w:hint="eastAsia" w:ascii="宋体" w:hAnsi="宋体" w:eastAsia="宋体" w:cs="宋体"/>
                <w:color w:val="000000"/>
                <w:sz w:val="24"/>
              </w:rPr>
              <w:t>基本符合功能要求且符合逻辑，流程图表达较明确、较清晰，得2分；</w:t>
            </w:r>
          </w:p>
          <w:p>
            <w:pPr>
              <w:autoSpaceDE w:val="0"/>
              <w:autoSpaceDN w:val="0"/>
              <w:adjustRightInd w:val="0"/>
              <w:spacing w:line="276" w:lineRule="auto"/>
              <w:jc w:val="left"/>
              <w:rPr>
                <w:rFonts w:hint="eastAsia" w:ascii="宋体" w:hAnsi="宋体" w:eastAsia="宋体" w:cs="宋体"/>
                <w:color w:val="000000"/>
                <w:sz w:val="24"/>
              </w:rPr>
            </w:pPr>
            <w:r>
              <w:rPr>
                <w:rFonts w:hint="eastAsia" w:ascii="宋体" w:hAnsi="宋体" w:eastAsia="宋体" w:cs="宋体"/>
                <w:color w:val="000000"/>
                <w:sz w:val="24"/>
              </w:rPr>
              <w:t>不符合功能要求、不符合逻辑，流程图表达不够明确、不够清晰，得0分。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92" w:type="dxa"/>
            <w:vMerge w:val="continue"/>
            <w:vAlign w:val="center"/>
          </w:tcPr>
          <w:p>
            <w:pPr>
              <w:widowControl/>
              <w:adjustRightInd w:val="0"/>
              <w:snapToGrid w:val="0"/>
              <w:spacing w:line="276" w:lineRule="auto"/>
              <w:jc w:val="center"/>
              <w:rPr>
                <w:rFonts w:hint="eastAsia" w:ascii="宋体" w:hAnsi="宋体" w:eastAsia="宋体" w:cs="宋体"/>
                <w:color w:val="000000"/>
                <w:sz w:val="24"/>
              </w:rPr>
            </w:pPr>
          </w:p>
        </w:tc>
        <w:tc>
          <w:tcPr>
            <w:tcW w:w="1602" w:type="dxa"/>
            <w:vMerge w:val="continue"/>
            <w:vAlign w:val="center"/>
          </w:tcPr>
          <w:p>
            <w:pPr>
              <w:widowControl/>
              <w:adjustRightInd w:val="0"/>
              <w:snapToGrid w:val="0"/>
              <w:spacing w:line="276" w:lineRule="auto"/>
              <w:jc w:val="center"/>
              <w:rPr>
                <w:rFonts w:hint="eastAsia" w:ascii="宋体" w:hAnsi="宋体" w:eastAsia="宋体" w:cs="宋体"/>
                <w:color w:val="000000"/>
                <w:sz w:val="24"/>
              </w:rPr>
            </w:pPr>
          </w:p>
        </w:tc>
        <w:tc>
          <w:tcPr>
            <w:tcW w:w="913" w:type="dxa"/>
            <w:vMerge w:val="continue"/>
            <w:vAlign w:val="center"/>
          </w:tcPr>
          <w:p>
            <w:pPr>
              <w:widowControl/>
              <w:adjustRightInd w:val="0"/>
              <w:snapToGrid w:val="0"/>
              <w:spacing w:line="276" w:lineRule="auto"/>
              <w:jc w:val="center"/>
              <w:rPr>
                <w:rFonts w:hint="eastAsia" w:ascii="宋体" w:hAnsi="宋体" w:eastAsia="宋体" w:cs="宋体"/>
                <w:color w:val="000000"/>
                <w:sz w:val="24"/>
              </w:rPr>
            </w:pPr>
          </w:p>
        </w:tc>
        <w:tc>
          <w:tcPr>
            <w:tcW w:w="4970" w:type="dxa"/>
            <w:vAlign w:val="center"/>
          </w:tcPr>
          <w:p>
            <w:pPr>
              <w:widowControl/>
              <w:spacing w:line="276" w:lineRule="auto"/>
              <w:jc w:val="left"/>
              <w:rPr>
                <w:rFonts w:hint="eastAsia" w:ascii="宋体" w:hAnsi="宋体" w:eastAsia="宋体" w:cs="宋体"/>
                <w:color w:val="000000"/>
                <w:sz w:val="24"/>
              </w:rPr>
            </w:pPr>
            <w:r>
              <w:rPr>
                <w:rFonts w:hint="eastAsia" w:ascii="宋体" w:hAnsi="宋体" w:eastAsia="宋体" w:cs="宋体"/>
                <w:color w:val="000000"/>
                <w:sz w:val="24"/>
              </w:rPr>
              <w:t>（3）内部接口与外部接口设计清晰：</w:t>
            </w:r>
          </w:p>
          <w:p>
            <w:pPr>
              <w:pStyle w:val="4"/>
              <w:spacing w:line="276" w:lineRule="auto"/>
              <w:ind w:firstLine="0"/>
              <w:rPr>
                <w:rFonts w:hint="eastAsia" w:ascii="宋体" w:hAnsi="宋体" w:eastAsia="宋体" w:cs="宋体"/>
                <w:color w:val="000000"/>
                <w:kern w:val="2"/>
                <w:szCs w:val="24"/>
              </w:rPr>
            </w:pPr>
            <w:r>
              <w:rPr>
                <w:rFonts w:hint="eastAsia" w:ascii="宋体" w:hAnsi="宋体" w:eastAsia="宋体" w:cs="宋体"/>
                <w:color w:val="000000"/>
                <w:kern w:val="2"/>
                <w:szCs w:val="24"/>
              </w:rPr>
              <w:t>内部接口、外部接口传递数据形式，接口关系设计清晰明确得4分；</w:t>
            </w:r>
          </w:p>
          <w:p>
            <w:pPr>
              <w:pStyle w:val="4"/>
              <w:spacing w:line="276" w:lineRule="auto"/>
              <w:ind w:firstLine="0"/>
              <w:rPr>
                <w:rFonts w:hint="eastAsia" w:ascii="宋体" w:hAnsi="宋体" w:eastAsia="宋体" w:cs="宋体"/>
                <w:color w:val="000000"/>
                <w:kern w:val="2"/>
                <w:szCs w:val="24"/>
              </w:rPr>
            </w:pPr>
            <w:r>
              <w:rPr>
                <w:rFonts w:hint="eastAsia" w:ascii="宋体" w:hAnsi="宋体" w:eastAsia="宋体" w:cs="宋体"/>
                <w:color w:val="000000"/>
                <w:kern w:val="2"/>
                <w:szCs w:val="24"/>
              </w:rPr>
              <w:t>内部接口、外部接口传递数据形式，接口关系设计一般得2分；</w:t>
            </w:r>
          </w:p>
          <w:p>
            <w:pPr>
              <w:autoSpaceDE w:val="0"/>
              <w:autoSpaceDN w:val="0"/>
              <w:adjustRightInd w:val="0"/>
              <w:spacing w:line="276" w:lineRule="auto"/>
              <w:jc w:val="left"/>
              <w:rPr>
                <w:rFonts w:hint="eastAsia" w:ascii="宋体" w:hAnsi="宋体" w:eastAsia="宋体" w:cs="宋体"/>
                <w:color w:val="000000"/>
                <w:sz w:val="24"/>
              </w:rPr>
            </w:pPr>
            <w:r>
              <w:rPr>
                <w:rFonts w:hint="eastAsia" w:ascii="宋体" w:hAnsi="宋体" w:eastAsia="宋体" w:cs="宋体"/>
                <w:color w:val="000000"/>
                <w:sz w:val="24"/>
              </w:rPr>
              <w:t>缺项或设计不清楚得0分。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trPr>
        <w:tc>
          <w:tcPr>
            <w:tcW w:w="1192" w:type="dxa"/>
            <w:vMerge w:val="restart"/>
            <w:vAlign w:val="center"/>
          </w:tcPr>
          <w:p>
            <w:pPr>
              <w:widowControl/>
              <w:adjustRightInd w:val="0"/>
              <w:snapToGrid w:val="0"/>
              <w:spacing w:line="276" w:lineRule="auto"/>
              <w:jc w:val="center"/>
              <w:rPr>
                <w:rFonts w:hint="eastAsia" w:ascii="宋体" w:hAnsi="宋体" w:eastAsia="宋体" w:cs="宋体"/>
                <w:color w:val="000000"/>
                <w:sz w:val="24"/>
              </w:rPr>
            </w:pPr>
          </w:p>
        </w:tc>
        <w:tc>
          <w:tcPr>
            <w:tcW w:w="1602" w:type="dxa"/>
            <w:vMerge w:val="restart"/>
            <w:vAlign w:val="center"/>
          </w:tcPr>
          <w:p>
            <w:pPr>
              <w:widowControl/>
              <w:adjustRightInd w:val="0"/>
              <w:snapToGrid w:val="0"/>
              <w:spacing w:line="276" w:lineRule="auto"/>
              <w:jc w:val="center"/>
              <w:rPr>
                <w:rFonts w:hint="eastAsia" w:ascii="宋体" w:hAnsi="宋体" w:eastAsia="宋体" w:cs="宋体"/>
                <w:color w:val="000000"/>
                <w:sz w:val="24"/>
              </w:rPr>
            </w:pPr>
            <w:r>
              <w:rPr>
                <w:rFonts w:hint="eastAsia" w:ascii="宋体" w:hAnsi="宋体" w:eastAsia="宋体" w:cs="宋体"/>
                <w:color w:val="000000"/>
                <w:sz w:val="24"/>
              </w:rPr>
              <w:t>关键技术解决方案</w:t>
            </w:r>
          </w:p>
        </w:tc>
        <w:tc>
          <w:tcPr>
            <w:tcW w:w="913" w:type="dxa"/>
            <w:vMerge w:val="restart"/>
            <w:vAlign w:val="center"/>
          </w:tcPr>
          <w:p>
            <w:pPr>
              <w:widowControl/>
              <w:adjustRightInd w:val="0"/>
              <w:snapToGrid w:val="0"/>
              <w:spacing w:line="276" w:lineRule="auto"/>
              <w:jc w:val="center"/>
              <w:rPr>
                <w:rFonts w:hint="eastAsia" w:ascii="宋体" w:hAnsi="宋体" w:eastAsia="宋体" w:cs="宋体"/>
                <w:color w:val="000000"/>
                <w:sz w:val="24"/>
              </w:rPr>
            </w:pPr>
            <w:r>
              <w:rPr>
                <w:rFonts w:hint="eastAsia" w:ascii="宋体" w:hAnsi="宋体" w:eastAsia="宋体" w:cs="宋体"/>
                <w:color w:val="000000"/>
                <w:sz w:val="24"/>
              </w:rPr>
              <w:t>45</w:t>
            </w:r>
          </w:p>
        </w:tc>
        <w:tc>
          <w:tcPr>
            <w:tcW w:w="4970" w:type="dxa"/>
            <w:vAlign w:val="center"/>
          </w:tcPr>
          <w:p>
            <w:pPr>
              <w:widowControl/>
              <w:spacing w:line="276" w:lineRule="auto"/>
              <w:jc w:val="left"/>
              <w:rPr>
                <w:rFonts w:hint="eastAsia" w:ascii="宋体" w:hAnsi="宋体" w:eastAsia="宋体" w:cs="宋体"/>
                <w:color w:val="000000"/>
                <w:sz w:val="24"/>
              </w:rPr>
            </w:pPr>
            <w:r>
              <w:rPr>
                <w:rFonts w:hint="eastAsia" w:ascii="宋体" w:hAnsi="宋体" w:eastAsia="宋体" w:cs="宋体"/>
                <w:color w:val="000000"/>
                <w:sz w:val="24"/>
              </w:rPr>
              <w:t>（1）基于遥感数据的清单订正及模式同化分系统：建立格点化的地面排放年变化因子和月变化因子，以此为依据修正近三年NOX排放清单；利用高分辨率WRF-CHEM模式对原始清单和修正清单进行模拟对比，检验对地面主要污染物的模拟效果；系统自动下载FY-3或其他卫星相关遥感观测资料，自动清理订正下载的遥感处理，为数据同化做预处理准备，算法流程描述清晰，功能设计、逻辑流程图、接口说明正确，得10分；算法流程描述较清晰，有流程说明，得5分，算法流程描述不清晰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trPr>
        <w:tc>
          <w:tcPr>
            <w:tcW w:w="1192" w:type="dxa"/>
            <w:vMerge w:val="continue"/>
            <w:vAlign w:val="center"/>
          </w:tcPr>
          <w:p>
            <w:pPr>
              <w:widowControl/>
              <w:adjustRightInd w:val="0"/>
              <w:snapToGrid w:val="0"/>
              <w:spacing w:line="276" w:lineRule="auto"/>
              <w:jc w:val="center"/>
              <w:rPr>
                <w:rFonts w:hint="eastAsia" w:ascii="宋体" w:hAnsi="宋体" w:eastAsia="宋体" w:cs="宋体"/>
                <w:color w:val="000000"/>
                <w:sz w:val="24"/>
              </w:rPr>
            </w:pPr>
          </w:p>
        </w:tc>
        <w:tc>
          <w:tcPr>
            <w:tcW w:w="1602" w:type="dxa"/>
            <w:vMerge w:val="continue"/>
            <w:vAlign w:val="center"/>
          </w:tcPr>
          <w:p>
            <w:pPr>
              <w:widowControl/>
              <w:adjustRightInd w:val="0"/>
              <w:snapToGrid w:val="0"/>
              <w:spacing w:line="276" w:lineRule="auto"/>
              <w:jc w:val="center"/>
              <w:rPr>
                <w:rFonts w:hint="eastAsia" w:ascii="宋体" w:hAnsi="宋体" w:eastAsia="宋体" w:cs="宋体"/>
                <w:color w:val="000000"/>
                <w:sz w:val="24"/>
              </w:rPr>
            </w:pPr>
          </w:p>
        </w:tc>
        <w:tc>
          <w:tcPr>
            <w:tcW w:w="913" w:type="dxa"/>
            <w:vMerge w:val="continue"/>
            <w:vAlign w:val="center"/>
          </w:tcPr>
          <w:p>
            <w:pPr>
              <w:widowControl/>
              <w:adjustRightInd w:val="0"/>
              <w:snapToGrid w:val="0"/>
              <w:spacing w:line="276" w:lineRule="auto"/>
              <w:jc w:val="center"/>
              <w:rPr>
                <w:rFonts w:hint="eastAsia" w:ascii="宋体" w:hAnsi="宋体" w:eastAsia="宋体" w:cs="宋体"/>
                <w:color w:val="000000"/>
                <w:sz w:val="24"/>
              </w:rPr>
            </w:pPr>
          </w:p>
        </w:tc>
        <w:tc>
          <w:tcPr>
            <w:tcW w:w="4970" w:type="dxa"/>
            <w:vAlign w:val="center"/>
          </w:tcPr>
          <w:p>
            <w:pPr>
              <w:widowControl/>
              <w:jc w:val="left"/>
              <w:rPr>
                <w:rFonts w:hint="eastAsia" w:ascii="宋体" w:hAnsi="宋体" w:eastAsia="宋体" w:cs="宋体"/>
                <w:color w:val="000000"/>
                <w:sz w:val="24"/>
              </w:rPr>
            </w:pPr>
            <w:r>
              <w:rPr>
                <w:rFonts w:hint="eastAsia" w:ascii="宋体" w:hAnsi="宋体" w:eastAsia="宋体" w:cs="宋体"/>
                <w:color w:val="000000"/>
                <w:sz w:val="24"/>
              </w:rPr>
              <w:t>（2）采用统计建模、物理反演、机器学习、多元融合降尺度等算法可实现基于FY3卫星为主的生态承载力相关参数的开发，算法流程描述清晰，功能设计、逻辑流程图、接口说明正确，得5分；算法流程描述较清晰，有流程说明，得2分，算法流程描述不清晰，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192" w:type="dxa"/>
            <w:vMerge w:val="continue"/>
            <w:vAlign w:val="center"/>
          </w:tcPr>
          <w:p>
            <w:pPr>
              <w:widowControl/>
              <w:adjustRightInd w:val="0"/>
              <w:snapToGrid w:val="0"/>
              <w:spacing w:line="276" w:lineRule="auto"/>
              <w:jc w:val="center"/>
              <w:rPr>
                <w:rFonts w:hint="eastAsia" w:ascii="宋体" w:hAnsi="宋体" w:eastAsia="宋体" w:cs="宋体"/>
                <w:color w:val="000000"/>
                <w:sz w:val="24"/>
              </w:rPr>
            </w:pPr>
          </w:p>
        </w:tc>
        <w:tc>
          <w:tcPr>
            <w:tcW w:w="1602" w:type="dxa"/>
            <w:vMerge w:val="continue"/>
            <w:vAlign w:val="center"/>
          </w:tcPr>
          <w:p>
            <w:pPr>
              <w:widowControl/>
              <w:adjustRightInd w:val="0"/>
              <w:snapToGrid w:val="0"/>
              <w:spacing w:line="276" w:lineRule="auto"/>
              <w:jc w:val="center"/>
              <w:rPr>
                <w:rFonts w:hint="eastAsia" w:ascii="宋体" w:hAnsi="宋体" w:eastAsia="宋体" w:cs="宋体"/>
                <w:color w:val="000000"/>
                <w:sz w:val="24"/>
              </w:rPr>
            </w:pPr>
          </w:p>
        </w:tc>
        <w:tc>
          <w:tcPr>
            <w:tcW w:w="913" w:type="dxa"/>
            <w:vMerge w:val="continue"/>
            <w:vAlign w:val="center"/>
          </w:tcPr>
          <w:p>
            <w:pPr>
              <w:widowControl/>
              <w:adjustRightInd w:val="0"/>
              <w:snapToGrid w:val="0"/>
              <w:spacing w:line="276" w:lineRule="auto"/>
              <w:jc w:val="center"/>
              <w:rPr>
                <w:rFonts w:hint="eastAsia" w:ascii="宋体" w:hAnsi="宋体" w:eastAsia="宋体" w:cs="宋体"/>
                <w:color w:val="000000"/>
                <w:sz w:val="24"/>
              </w:rPr>
            </w:pPr>
          </w:p>
        </w:tc>
        <w:tc>
          <w:tcPr>
            <w:tcW w:w="4970" w:type="dxa"/>
            <w:vAlign w:val="center"/>
          </w:tcPr>
          <w:p>
            <w:pPr>
              <w:widowControl/>
              <w:jc w:val="left"/>
              <w:rPr>
                <w:rFonts w:hint="eastAsia" w:ascii="宋体" w:hAnsi="宋体" w:eastAsia="宋体" w:cs="宋体"/>
                <w:color w:val="000000"/>
                <w:sz w:val="24"/>
              </w:rPr>
            </w:pPr>
            <w:r>
              <w:rPr>
                <w:rFonts w:hint="eastAsia" w:ascii="宋体" w:hAnsi="宋体" w:eastAsia="宋体" w:cs="宋体"/>
                <w:color w:val="000000"/>
                <w:sz w:val="24"/>
              </w:rPr>
              <w:t>（3）供应商具备NO2数据的处理和检验分析能力，提供遥感NO2柱浓度产品与数值模式预报产品的交叉检验方案并提供长三角区域的NO2空间分布图，得10分；</w:t>
            </w:r>
          </w:p>
          <w:p>
            <w:pPr>
              <w:widowControl/>
              <w:jc w:val="left"/>
              <w:rPr>
                <w:rFonts w:hint="eastAsia" w:ascii="宋体" w:hAnsi="宋体" w:eastAsia="宋体" w:cs="宋体"/>
                <w:color w:val="000000"/>
                <w:sz w:val="24"/>
              </w:rPr>
            </w:pPr>
            <w:r>
              <w:rPr>
                <w:rFonts w:hint="eastAsia" w:ascii="宋体" w:hAnsi="宋体" w:eastAsia="宋体" w:cs="宋体"/>
                <w:kern w:val="0"/>
                <w:sz w:val="24"/>
              </w:rPr>
              <w:t>有NO2数据处理和检验方案，不能提供分布图的</w:t>
            </w:r>
            <w:r>
              <w:rPr>
                <w:rFonts w:hint="eastAsia" w:ascii="宋体" w:hAnsi="宋体" w:eastAsia="宋体" w:cs="宋体"/>
                <w:color w:val="000000"/>
                <w:sz w:val="24"/>
              </w:rPr>
              <w:t>，得5分；</w:t>
            </w:r>
          </w:p>
          <w:p>
            <w:pPr>
              <w:jc w:val="left"/>
              <w:rPr>
                <w:rFonts w:hint="eastAsia" w:ascii="宋体" w:hAnsi="宋体" w:eastAsia="宋体" w:cs="宋体"/>
                <w:kern w:val="0"/>
                <w:sz w:val="24"/>
              </w:rPr>
            </w:pPr>
            <w:r>
              <w:rPr>
                <w:rFonts w:hint="eastAsia" w:ascii="宋体" w:hAnsi="宋体" w:eastAsia="宋体" w:cs="宋体"/>
                <w:color w:val="000000"/>
                <w:sz w:val="24"/>
              </w:rPr>
              <w:t>未提供数据处理方案的，得0分。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192" w:type="dxa"/>
            <w:vMerge w:val="continue"/>
            <w:vAlign w:val="center"/>
          </w:tcPr>
          <w:p>
            <w:pPr>
              <w:widowControl/>
              <w:adjustRightInd w:val="0"/>
              <w:snapToGrid w:val="0"/>
              <w:spacing w:line="276" w:lineRule="auto"/>
              <w:jc w:val="center"/>
              <w:rPr>
                <w:rFonts w:hint="eastAsia" w:ascii="宋体" w:hAnsi="宋体" w:eastAsia="宋体" w:cs="宋体"/>
                <w:color w:val="000000"/>
                <w:sz w:val="24"/>
              </w:rPr>
            </w:pPr>
          </w:p>
        </w:tc>
        <w:tc>
          <w:tcPr>
            <w:tcW w:w="1602" w:type="dxa"/>
            <w:vMerge w:val="continue"/>
            <w:vAlign w:val="center"/>
          </w:tcPr>
          <w:p>
            <w:pPr>
              <w:widowControl/>
              <w:adjustRightInd w:val="0"/>
              <w:snapToGrid w:val="0"/>
              <w:spacing w:line="276" w:lineRule="auto"/>
              <w:jc w:val="center"/>
              <w:rPr>
                <w:rFonts w:hint="eastAsia" w:ascii="宋体" w:hAnsi="宋体" w:eastAsia="宋体" w:cs="宋体"/>
                <w:color w:val="000000"/>
                <w:sz w:val="24"/>
              </w:rPr>
            </w:pPr>
          </w:p>
        </w:tc>
        <w:tc>
          <w:tcPr>
            <w:tcW w:w="913" w:type="dxa"/>
            <w:vMerge w:val="continue"/>
            <w:vAlign w:val="center"/>
          </w:tcPr>
          <w:p>
            <w:pPr>
              <w:widowControl/>
              <w:adjustRightInd w:val="0"/>
              <w:snapToGrid w:val="0"/>
              <w:spacing w:line="276" w:lineRule="auto"/>
              <w:jc w:val="center"/>
              <w:rPr>
                <w:rFonts w:hint="eastAsia" w:ascii="宋体" w:hAnsi="宋体" w:eastAsia="宋体" w:cs="宋体"/>
                <w:color w:val="000000"/>
                <w:sz w:val="24"/>
              </w:rPr>
            </w:pPr>
          </w:p>
        </w:tc>
        <w:tc>
          <w:tcPr>
            <w:tcW w:w="4970" w:type="dxa"/>
            <w:vAlign w:val="center"/>
          </w:tcPr>
          <w:p>
            <w:pPr>
              <w:jc w:val="left"/>
              <w:rPr>
                <w:rFonts w:hint="eastAsia" w:ascii="宋体" w:hAnsi="宋体" w:eastAsia="宋体" w:cs="宋体"/>
                <w:kern w:val="0"/>
                <w:sz w:val="24"/>
              </w:rPr>
            </w:pPr>
            <w:r>
              <w:rPr>
                <w:rFonts w:hint="eastAsia" w:ascii="宋体" w:hAnsi="宋体" w:eastAsia="宋体" w:cs="宋体"/>
                <w:kern w:val="0"/>
                <w:sz w:val="24"/>
              </w:rPr>
              <w:t>（4）卫星遥感大气环境监测融合算法流程描述清晰，并且能够提供以下四个区域（长三角地区、京津冀地区、珠三角地区、汾渭平原地区）时间跨度不少于1年的气溶胶光学厚度、臭氧总量、二氧化碳浓度等产品统计分析结果（季节\月,交叉匹配分布图\偏差曲线图\散点图\直方图）得15分；</w:t>
            </w:r>
          </w:p>
          <w:p>
            <w:pPr>
              <w:jc w:val="left"/>
              <w:rPr>
                <w:rFonts w:hint="eastAsia" w:ascii="宋体" w:hAnsi="宋体" w:eastAsia="宋体" w:cs="宋体"/>
                <w:kern w:val="0"/>
                <w:sz w:val="24"/>
              </w:rPr>
            </w:pPr>
            <w:r>
              <w:rPr>
                <w:rFonts w:hint="eastAsia" w:ascii="宋体" w:hAnsi="宋体" w:eastAsia="宋体" w:cs="宋体"/>
                <w:kern w:val="0"/>
                <w:sz w:val="24"/>
              </w:rPr>
              <w:t>有算法流程描述和建设方案，不能按照时间和区域要求提供上述统计结果的，得5分；</w:t>
            </w:r>
          </w:p>
          <w:p>
            <w:pPr>
              <w:jc w:val="left"/>
              <w:rPr>
                <w:rFonts w:hint="eastAsia" w:ascii="宋体" w:hAnsi="宋体" w:eastAsia="宋体" w:cs="宋体"/>
                <w:kern w:val="0"/>
                <w:sz w:val="24"/>
              </w:rPr>
            </w:pPr>
            <w:r>
              <w:rPr>
                <w:rFonts w:hint="eastAsia" w:ascii="宋体" w:hAnsi="宋体" w:eastAsia="宋体" w:cs="宋体"/>
                <w:kern w:val="0"/>
                <w:sz w:val="24"/>
              </w:rPr>
              <w:t>未提供算法描述和建设方案，得0分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1192" w:type="dxa"/>
            <w:vMerge w:val="continue"/>
            <w:vAlign w:val="center"/>
          </w:tcPr>
          <w:p>
            <w:pPr>
              <w:widowControl/>
              <w:adjustRightInd w:val="0"/>
              <w:snapToGrid w:val="0"/>
              <w:spacing w:line="276" w:lineRule="auto"/>
              <w:jc w:val="center"/>
              <w:rPr>
                <w:rFonts w:hint="eastAsia" w:ascii="宋体" w:hAnsi="宋体" w:eastAsia="宋体" w:cs="宋体"/>
                <w:color w:val="000000"/>
                <w:sz w:val="24"/>
              </w:rPr>
            </w:pPr>
          </w:p>
        </w:tc>
        <w:tc>
          <w:tcPr>
            <w:tcW w:w="1602" w:type="dxa"/>
            <w:vMerge w:val="continue"/>
            <w:vAlign w:val="center"/>
          </w:tcPr>
          <w:p>
            <w:pPr>
              <w:widowControl/>
              <w:adjustRightInd w:val="0"/>
              <w:snapToGrid w:val="0"/>
              <w:spacing w:line="276" w:lineRule="auto"/>
              <w:jc w:val="center"/>
              <w:rPr>
                <w:rFonts w:hint="eastAsia" w:ascii="宋体" w:hAnsi="宋体" w:eastAsia="宋体" w:cs="宋体"/>
                <w:color w:val="000000"/>
                <w:sz w:val="24"/>
              </w:rPr>
            </w:pPr>
          </w:p>
        </w:tc>
        <w:tc>
          <w:tcPr>
            <w:tcW w:w="913" w:type="dxa"/>
            <w:vMerge w:val="continue"/>
            <w:vAlign w:val="center"/>
          </w:tcPr>
          <w:p>
            <w:pPr>
              <w:widowControl/>
              <w:adjustRightInd w:val="0"/>
              <w:snapToGrid w:val="0"/>
              <w:spacing w:line="276" w:lineRule="auto"/>
              <w:jc w:val="center"/>
              <w:rPr>
                <w:rFonts w:hint="eastAsia" w:ascii="宋体" w:hAnsi="宋体" w:eastAsia="宋体" w:cs="宋体"/>
                <w:color w:val="000000"/>
                <w:sz w:val="24"/>
              </w:rPr>
            </w:pPr>
          </w:p>
        </w:tc>
        <w:tc>
          <w:tcPr>
            <w:tcW w:w="4970" w:type="dxa"/>
            <w:vAlign w:val="center"/>
          </w:tcPr>
          <w:p>
            <w:pPr>
              <w:widowControl/>
              <w:spacing w:line="276" w:lineRule="auto"/>
              <w:jc w:val="left"/>
              <w:rPr>
                <w:rFonts w:hint="eastAsia" w:ascii="宋体" w:hAnsi="宋体" w:eastAsia="宋体" w:cs="宋体"/>
                <w:color w:val="000000"/>
                <w:sz w:val="24"/>
              </w:rPr>
            </w:pPr>
            <w:r>
              <w:rPr>
                <w:rFonts w:hint="eastAsia" w:ascii="宋体" w:hAnsi="宋体" w:eastAsia="宋体" w:cs="宋体"/>
                <w:color w:val="000000"/>
                <w:sz w:val="24"/>
              </w:rPr>
              <w:t>（5）基于云技术的统一门户分系统</w:t>
            </w:r>
          </w:p>
          <w:p>
            <w:pPr>
              <w:widowControl/>
              <w:spacing w:line="276" w:lineRule="auto"/>
              <w:jc w:val="left"/>
              <w:rPr>
                <w:rFonts w:hint="eastAsia" w:ascii="宋体" w:hAnsi="宋体" w:eastAsia="宋体" w:cs="宋体"/>
                <w:color w:val="000000"/>
                <w:sz w:val="24"/>
              </w:rPr>
            </w:pPr>
            <w:r>
              <w:rPr>
                <w:rFonts w:hint="eastAsia" w:ascii="宋体" w:hAnsi="宋体" w:eastAsia="宋体" w:cs="宋体"/>
                <w:color w:val="000000"/>
                <w:sz w:val="24"/>
              </w:rPr>
              <w:t>提供高速缓存、OTS、RDB、OSS、网络文件等技术方案的有机组合，可提供高性能、低成本的存储和服务方案，流程描述清晰，功能设计、逻辑流程图、接口说明正确，得5分；</w:t>
            </w:r>
          </w:p>
          <w:p>
            <w:pPr>
              <w:widowControl/>
              <w:spacing w:line="276" w:lineRule="auto"/>
              <w:jc w:val="left"/>
              <w:rPr>
                <w:rFonts w:hint="eastAsia" w:ascii="宋体" w:hAnsi="宋体" w:eastAsia="宋体" w:cs="宋体"/>
                <w:color w:val="000000"/>
                <w:sz w:val="24"/>
              </w:rPr>
            </w:pPr>
            <w:r>
              <w:rPr>
                <w:rFonts w:hint="eastAsia" w:ascii="宋体" w:hAnsi="宋体" w:eastAsia="宋体" w:cs="宋体"/>
                <w:color w:val="000000"/>
                <w:sz w:val="24"/>
              </w:rPr>
              <w:t>算法流程描述较清晰，有流程说明，建设方案先进性不足，得3分；</w:t>
            </w:r>
          </w:p>
          <w:p>
            <w:pPr>
              <w:widowControl/>
              <w:spacing w:line="276" w:lineRule="auto"/>
              <w:jc w:val="left"/>
              <w:rPr>
                <w:rFonts w:hint="eastAsia" w:ascii="宋体" w:hAnsi="宋体" w:eastAsia="宋体" w:cs="宋体"/>
                <w:color w:val="000000"/>
                <w:sz w:val="24"/>
              </w:rPr>
            </w:pPr>
            <w:r>
              <w:rPr>
                <w:rFonts w:hint="eastAsia" w:ascii="宋体" w:hAnsi="宋体" w:eastAsia="宋体" w:cs="宋体"/>
                <w:color w:val="000000"/>
                <w:sz w:val="24"/>
              </w:rPr>
              <w:t>未提供先进性建设方案，得0分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1192" w:type="dxa"/>
            <w:vMerge w:val="continue"/>
            <w:vAlign w:val="center"/>
          </w:tcPr>
          <w:p>
            <w:pPr>
              <w:widowControl/>
              <w:adjustRightInd w:val="0"/>
              <w:snapToGrid w:val="0"/>
              <w:spacing w:line="276" w:lineRule="auto"/>
              <w:jc w:val="center"/>
              <w:rPr>
                <w:rFonts w:hint="eastAsia" w:ascii="宋体" w:hAnsi="宋体" w:eastAsia="宋体" w:cs="宋体"/>
                <w:color w:val="000000"/>
                <w:sz w:val="24"/>
              </w:rPr>
            </w:pPr>
          </w:p>
        </w:tc>
        <w:tc>
          <w:tcPr>
            <w:tcW w:w="1602" w:type="dxa"/>
            <w:vAlign w:val="center"/>
          </w:tcPr>
          <w:p>
            <w:pPr>
              <w:widowControl/>
              <w:adjustRightInd w:val="0"/>
              <w:snapToGrid w:val="0"/>
              <w:spacing w:line="276" w:lineRule="auto"/>
              <w:jc w:val="center"/>
              <w:rPr>
                <w:rFonts w:hint="eastAsia" w:ascii="宋体" w:hAnsi="宋体" w:eastAsia="宋体" w:cs="宋体"/>
                <w:color w:val="000000"/>
                <w:sz w:val="24"/>
              </w:rPr>
            </w:pPr>
            <w:r>
              <w:rPr>
                <w:rFonts w:hint="eastAsia" w:ascii="宋体" w:hAnsi="宋体" w:eastAsia="宋体" w:cs="宋体"/>
                <w:color w:val="000000"/>
                <w:sz w:val="24"/>
              </w:rPr>
              <w:t>实施管理方案</w:t>
            </w:r>
          </w:p>
        </w:tc>
        <w:tc>
          <w:tcPr>
            <w:tcW w:w="913" w:type="dxa"/>
            <w:vAlign w:val="center"/>
          </w:tcPr>
          <w:p>
            <w:pPr>
              <w:widowControl/>
              <w:adjustRightInd w:val="0"/>
              <w:snapToGrid w:val="0"/>
              <w:spacing w:line="276" w:lineRule="auto"/>
              <w:jc w:val="center"/>
              <w:rPr>
                <w:rFonts w:hint="eastAsia" w:ascii="宋体" w:hAnsi="宋体" w:eastAsia="宋体" w:cs="宋体"/>
                <w:color w:val="000000"/>
                <w:sz w:val="24"/>
              </w:rPr>
            </w:pPr>
            <w:r>
              <w:rPr>
                <w:rFonts w:hint="eastAsia" w:ascii="宋体" w:hAnsi="宋体" w:eastAsia="宋体" w:cs="宋体"/>
                <w:color w:val="000000"/>
                <w:sz w:val="24"/>
              </w:rPr>
              <w:t>3</w:t>
            </w:r>
          </w:p>
        </w:tc>
        <w:tc>
          <w:tcPr>
            <w:tcW w:w="4970" w:type="dxa"/>
            <w:vAlign w:val="center"/>
          </w:tcPr>
          <w:p>
            <w:pPr>
              <w:widowControl/>
              <w:snapToGrid w:val="0"/>
              <w:spacing w:line="276" w:lineRule="auto"/>
              <w:jc w:val="left"/>
              <w:rPr>
                <w:rFonts w:hint="eastAsia" w:ascii="宋体" w:hAnsi="宋体" w:eastAsia="宋体" w:cs="宋体"/>
                <w:color w:val="000000"/>
                <w:sz w:val="24"/>
              </w:rPr>
            </w:pPr>
            <w:r>
              <w:rPr>
                <w:rFonts w:hint="eastAsia" w:ascii="宋体" w:hAnsi="宋体" w:eastAsia="宋体" w:cs="宋体"/>
                <w:color w:val="000000"/>
                <w:sz w:val="24"/>
              </w:rPr>
              <w:t>（1）有系统的实施管理方案，项目组织，实施流程清晰，培训符合要求，得3分；</w:t>
            </w:r>
          </w:p>
          <w:p>
            <w:pPr>
              <w:widowControl/>
              <w:snapToGrid w:val="0"/>
              <w:spacing w:line="276" w:lineRule="auto"/>
              <w:jc w:val="left"/>
              <w:rPr>
                <w:rFonts w:hint="eastAsia" w:ascii="宋体" w:hAnsi="宋体" w:eastAsia="宋体" w:cs="宋体"/>
                <w:color w:val="000000"/>
                <w:sz w:val="24"/>
              </w:rPr>
            </w:pPr>
            <w:r>
              <w:rPr>
                <w:rFonts w:hint="eastAsia" w:ascii="宋体" w:hAnsi="宋体" w:eastAsia="宋体" w:cs="宋体"/>
                <w:color w:val="000000"/>
                <w:sz w:val="24"/>
              </w:rPr>
              <w:t>（2）能提供实施管理方案，项目组织，实施流程较为清晰，得2分；</w:t>
            </w:r>
          </w:p>
          <w:p>
            <w:pPr>
              <w:widowControl/>
              <w:snapToGrid w:val="0"/>
              <w:spacing w:line="276" w:lineRule="auto"/>
              <w:jc w:val="left"/>
              <w:rPr>
                <w:rFonts w:hint="eastAsia" w:ascii="宋体" w:hAnsi="宋体" w:eastAsia="宋体" w:cs="宋体"/>
                <w:color w:val="000000"/>
                <w:sz w:val="24"/>
              </w:rPr>
            </w:pPr>
            <w:r>
              <w:rPr>
                <w:rFonts w:hint="eastAsia" w:ascii="宋体" w:hAnsi="宋体" w:eastAsia="宋体" w:cs="宋体"/>
                <w:color w:val="000000"/>
                <w:sz w:val="24"/>
              </w:rPr>
              <w:t>（3）基本能提供项目实施管理方案，项目组织和流程基本清晰，得1分；</w:t>
            </w:r>
          </w:p>
          <w:p>
            <w:pPr>
              <w:widowControl/>
              <w:snapToGrid w:val="0"/>
              <w:spacing w:line="276" w:lineRule="auto"/>
              <w:jc w:val="left"/>
              <w:rPr>
                <w:rFonts w:hint="eastAsia" w:ascii="宋体" w:hAnsi="宋体" w:eastAsia="宋体" w:cs="宋体"/>
                <w:color w:val="000000"/>
                <w:sz w:val="24"/>
              </w:rPr>
            </w:pPr>
            <w:r>
              <w:rPr>
                <w:rFonts w:hint="eastAsia" w:ascii="宋体" w:hAnsi="宋体" w:eastAsia="宋体" w:cs="宋体"/>
                <w:color w:val="000000"/>
                <w:sz w:val="24"/>
              </w:rPr>
              <w:t>（4）未能提供项目实施管理方案的，得0分。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192" w:type="dxa"/>
            <w:vMerge w:val="restart"/>
            <w:vAlign w:val="center"/>
          </w:tcPr>
          <w:p>
            <w:pPr>
              <w:widowControl/>
              <w:adjustRightInd w:val="0"/>
              <w:snapToGrid w:val="0"/>
              <w:spacing w:line="276" w:lineRule="auto"/>
              <w:jc w:val="center"/>
              <w:rPr>
                <w:rFonts w:hint="eastAsia" w:ascii="宋体" w:hAnsi="宋体" w:eastAsia="宋体" w:cs="宋体"/>
                <w:color w:val="000000"/>
                <w:sz w:val="24"/>
              </w:rPr>
            </w:pPr>
            <w:r>
              <w:rPr>
                <w:rFonts w:hint="eastAsia" w:ascii="宋体" w:hAnsi="宋体" w:eastAsia="宋体" w:cs="宋体"/>
                <w:color w:val="000000"/>
                <w:sz w:val="24"/>
              </w:rPr>
              <w:t>商务分值（20分）</w:t>
            </w:r>
          </w:p>
        </w:tc>
        <w:tc>
          <w:tcPr>
            <w:tcW w:w="1602" w:type="dxa"/>
            <w:vAlign w:val="center"/>
          </w:tcPr>
          <w:p>
            <w:pPr>
              <w:widowControl/>
              <w:adjustRightInd w:val="0"/>
              <w:snapToGrid w:val="0"/>
              <w:spacing w:line="276" w:lineRule="auto"/>
              <w:jc w:val="center"/>
              <w:rPr>
                <w:rFonts w:hint="eastAsia" w:ascii="宋体" w:hAnsi="宋体" w:eastAsia="宋体" w:cs="宋体"/>
                <w:color w:val="000000"/>
                <w:sz w:val="24"/>
              </w:rPr>
            </w:pPr>
            <w:r>
              <w:rPr>
                <w:rFonts w:hint="eastAsia" w:ascii="宋体" w:hAnsi="宋体" w:eastAsia="宋体" w:cs="宋体"/>
                <w:color w:val="000000"/>
                <w:sz w:val="24"/>
              </w:rPr>
              <w:t>综合实力</w:t>
            </w:r>
          </w:p>
        </w:tc>
        <w:tc>
          <w:tcPr>
            <w:tcW w:w="913" w:type="dxa"/>
            <w:vAlign w:val="center"/>
          </w:tcPr>
          <w:p>
            <w:pPr>
              <w:widowControl/>
              <w:adjustRightInd w:val="0"/>
              <w:snapToGrid w:val="0"/>
              <w:spacing w:line="276" w:lineRule="auto"/>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4970" w:type="dxa"/>
            <w:vAlign w:val="center"/>
          </w:tcPr>
          <w:p>
            <w:pPr>
              <w:widowControl/>
              <w:spacing w:line="276" w:lineRule="auto"/>
              <w:jc w:val="left"/>
              <w:rPr>
                <w:rFonts w:hint="eastAsia" w:ascii="宋体" w:hAnsi="宋体" w:eastAsia="宋体" w:cs="宋体"/>
                <w:color w:val="000000"/>
                <w:sz w:val="24"/>
              </w:rPr>
            </w:pPr>
            <w:r>
              <w:rPr>
                <w:rFonts w:hint="eastAsia" w:ascii="宋体" w:hAnsi="宋体" w:eastAsia="宋体" w:cs="宋体"/>
                <w:color w:val="000000"/>
                <w:sz w:val="24"/>
              </w:rPr>
              <w:t>根据各投标人所具备的ISO9001质量管理体系认证、国家高新技术企业证书，每提供一项得0.5分，满分1分（提供相关证书复印件）；未提供的不得分。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192" w:type="dxa"/>
            <w:vMerge w:val="continue"/>
            <w:vAlign w:val="center"/>
          </w:tcPr>
          <w:p>
            <w:pPr>
              <w:widowControl/>
              <w:adjustRightInd w:val="0"/>
              <w:snapToGrid w:val="0"/>
              <w:spacing w:line="276" w:lineRule="auto"/>
              <w:jc w:val="center"/>
              <w:rPr>
                <w:rFonts w:hint="eastAsia" w:ascii="宋体" w:hAnsi="宋体" w:eastAsia="宋体" w:cs="宋体"/>
                <w:color w:val="000000"/>
                <w:sz w:val="24"/>
              </w:rPr>
            </w:pPr>
          </w:p>
        </w:tc>
        <w:tc>
          <w:tcPr>
            <w:tcW w:w="1602" w:type="dxa"/>
            <w:vAlign w:val="center"/>
          </w:tcPr>
          <w:p>
            <w:pPr>
              <w:widowControl/>
              <w:adjustRightInd w:val="0"/>
              <w:snapToGrid w:val="0"/>
              <w:spacing w:line="276" w:lineRule="auto"/>
              <w:jc w:val="center"/>
              <w:rPr>
                <w:rFonts w:hint="eastAsia" w:ascii="宋体" w:hAnsi="宋体" w:eastAsia="宋体" w:cs="宋体"/>
                <w:color w:val="000000"/>
                <w:sz w:val="24"/>
              </w:rPr>
            </w:pPr>
            <w:r>
              <w:rPr>
                <w:rFonts w:hint="eastAsia" w:ascii="宋体" w:hAnsi="宋体" w:eastAsia="宋体" w:cs="宋体"/>
                <w:color w:val="000000"/>
                <w:sz w:val="24"/>
              </w:rPr>
              <w:t>类似业绩</w:t>
            </w:r>
          </w:p>
        </w:tc>
        <w:tc>
          <w:tcPr>
            <w:tcW w:w="913" w:type="dxa"/>
            <w:vAlign w:val="center"/>
          </w:tcPr>
          <w:p>
            <w:pPr>
              <w:widowControl/>
              <w:adjustRightInd w:val="0"/>
              <w:snapToGrid w:val="0"/>
              <w:spacing w:line="276" w:lineRule="auto"/>
              <w:jc w:val="center"/>
              <w:rPr>
                <w:rFonts w:hint="eastAsia" w:ascii="宋体" w:hAnsi="宋体" w:eastAsia="宋体" w:cs="宋体"/>
                <w:color w:val="000000"/>
                <w:sz w:val="24"/>
              </w:rPr>
            </w:pPr>
            <w:r>
              <w:rPr>
                <w:rFonts w:hint="eastAsia" w:ascii="宋体" w:hAnsi="宋体" w:eastAsia="宋体" w:cs="宋体"/>
                <w:color w:val="000000"/>
                <w:sz w:val="24"/>
              </w:rPr>
              <w:t>9</w:t>
            </w:r>
          </w:p>
        </w:tc>
        <w:tc>
          <w:tcPr>
            <w:tcW w:w="4970" w:type="dxa"/>
            <w:vAlign w:val="center"/>
          </w:tcPr>
          <w:p>
            <w:pPr>
              <w:widowControl/>
              <w:spacing w:line="276" w:lineRule="auto"/>
              <w:jc w:val="left"/>
              <w:rPr>
                <w:rFonts w:hint="eastAsia" w:ascii="宋体" w:hAnsi="宋体" w:eastAsia="宋体" w:cs="宋体"/>
                <w:color w:val="000000"/>
                <w:sz w:val="24"/>
              </w:rPr>
            </w:pPr>
            <w:r>
              <w:rPr>
                <w:rFonts w:hint="eastAsia" w:ascii="宋体" w:hAnsi="宋体" w:eastAsia="宋体" w:cs="宋体"/>
                <w:color w:val="000000"/>
                <w:sz w:val="24"/>
              </w:rPr>
              <w:t>投标人提供近两年“大气环境”、“生态环境”、“遥感气象应用平台”、“海洋”“定量产品反演”“大气模式”等本项目核心能力相关的项目案例（提供合同首页、盖章页），以上每类项目得1.5分</w:t>
            </w:r>
            <w:r>
              <w:rPr>
                <w:rFonts w:hint="eastAsia" w:ascii="宋体" w:hAnsi="宋体" w:cs="宋体"/>
                <w:color w:val="000000"/>
                <w:sz w:val="24"/>
                <w:lang w:eastAsia="zh-CN"/>
              </w:rPr>
              <w:t>，</w:t>
            </w:r>
            <w:r>
              <w:rPr>
                <w:rFonts w:hint="eastAsia" w:ascii="宋体" w:hAnsi="宋体" w:eastAsia="宋体" w:cs="宋体"/>
                <w:color w:val="000000"/>
                <w:sz w:val="24"/>
              </w:rPr>
              <w:t>最多不超过9分。</w:t>
            </w:r>
          </w:p>
          <w:p>
            <w:pPr>
              <w:widowControl/>
              <w:spacing w:line="276" w:lineRule="auto"/>
              <w:jc w:val="left"/>
              <w:rPr>
                <w:rFonts w:hint="eastAsia" w:ascii="宋体" w:hAnsi="宋体" w:eastAsia="宋体" w:cs="宋体"/>
                <w:color w:val="000000"/>
                <w:sz w:val="24"/>
              </w:rPr>
            </w:pPr>
            <w:r>
              <w:rPr>
                <w:rFonts w:hint="eastAsia" w:ascii="宋体" w:hAnsi="宋体" w:eastAsia="宋体" w:cs="宋体"/>
                <w:color w:val="000000"/>
                <w:sz w:val="24"/>
              </w:rPr>
              <w:t>注：提供合同复印件，合同名称应与上述要求高度相似，不提供不得分。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92" w:type="dxa"/>
            <w:vMerge w:val="continue"/>
            <w:vAlign w:val="center"/>
          </w:tcPr>
          <w:p>
            <w:pPr>
              <w:widowControl/>
              <w:adjustRightInd w:val="0"/>
              <w:snapToGrid w:val="0"/>
              <w:spacing w:line="276" w:lineRule="auto"/>
              <w:jc w:val="center"/>
              <w:rPr>
                <w:rFonts w:hint="eastAsia" w:ascii="宋体" w:hAnsi="宋体" w:eastAsia="宋体" w:cs="宋体"/>
                <w:color w:val="000000"/>
                <w:sz w:val="24"/>
              </w:rPr>
            </w:pPr>
          </w:p>
        </w:tc>
        <w:tc>
          <w:tcPr>
            <w:tcW w:w="1602" w:type="dxa"/>
            <w:vAlign w:val="center"/>
          </w:tcPr>
          <w:p>
            <w:pPr>
              <w:widowControl/>
              <w:adjustRightInd w:val="0"/>
              <w:snapToGrid w:val="0"/>
              <w:spacing w:line="276" w:lineRule="auto"/>
              <w:jc w:val="center"/>
              <w:rPr>
                <w:rFonts w:hint="eastAsia" w:ascii="宋体" w:hAnsi="宋体" w:eastAsia="宋体" w:cs="宋体"/>
                <w:color w:val="000000"/>
                <w:sz w:val="24"/>
              </w:rPr>
            </w:pPr>
            <w:r>
              <w:rPr>
                <w:rFonts w:hint="eastAsia" w:ascii="宋体" w:hAnsi="宋体" w:eastAsia="宋体" w:cs="宋体"/>
                <w:szCs w:val="21"/>
              </w:rPr>
              <w:t>组织结构及项目团队</w:t>
            </w:r>
          </w:p>
        </w:tc>
        <w:tc>
          <w:tcPr>
            <w:tcW w:w="913" w:type="dxa"/>
            <w:vAlign w:val="center"/>
          </w:tcPr>
          <w:p>
            <w:pPr>
              <w:widowControl/>
              <w:adjustRightInd w:val="0"/>
              <w:snapToGrid w:val="0"/>
              <w:spacing w:line="276" w:lineRule="auto"/>
              <w:jc w:val="center"/>
              <w:rPr>
                <w:rFonts w:hint="eastAsia" w:ascii="宋体" w:hAnsi="宋体" w:eastAsia="宋体" w:cs="宋体"/>
                <w:color w:val="000000"/>
                <w:sz w:val="24"/>
              </w:rPr>
            </w:pPr>
            <w:r>
              <w:rPr>
                <w:rFonts w:hint="eastAsia" w:ascii="宋体" w:hAnsi="宋体" w:eastAsia="宋体" w:cs="宋体"/>
                <w:color w:val="000000"/>
                <w:sz w:val="24"/>
              </w:rPr>
              <w:t>4</w:t>
            </w:r>
          </w:p>
        </w:tc>
        <w:tc>
          <w:tcPr>
            <w:tcW w:w="4970" w:type="dxa"/>
            <w:vAlign w:val="center"/>
          </w:tcPr>
          <w:p>
            <w:pPr>
              <w:widowControl/>
              <w:spacing w:line="276" w:lineRule="auto"/>
              <w:jc w:val="left"/>
              <w:rPr>
                <w:rFonts w:hint="eastAsia" w:ascii="宋体" w:hAnsi="宋体" w:eastAsia="宋体" w:cs="宋体"/>
                <w:color w:val="000000"/>
                <w:sz w:val="24"/>
              </w:rPr>
            </w:pPr>
            <w:r>
              <w:rPr>
                <w:rFonts w:hint="eastAsia" w:ascii="宋体" w:hAnsi="宋体" w:eastAsia="宋体" w:cs="宋体"/>
                <w:color w:val="000000"/>
                <w:sz w:val="24"/>
              </w:rPr>
              <w:t>按供应商项目开发建设团队的组织机构、人员构成情况进行评审：</w:t>
            </w:r>
          </w:p>
          <w:p>
            <w:pPr>
              <w:widowControl/>
              <w:spacing w:line="276" w:lineRule="auto"/>
              <w:jc w:val="left"/>
              <w:rPr>
                <w:rFonts w:hint="eastAsia" w:ascii="宋体" w:hAnsi="宋体" w:eastAsia="宋体" w:cs="宋体"/>
                <w:color w:val="000000"/>
                <w:sz w:val="24"/>
              </w:rPr>
            </w:pPr>
            <w:r>
              <w:rPr>
                <w:rFonts w:hint="eastAsia" w:ascii="宋体" w:hAnsi="宋体" w:eastAsia="宋体" w:cs="宋体"/>
                <w:color w:val="000000"/>
                <w:sz w:val="24"/>
              </w:rPr>
              <w:t>组织管理机构完善、合理，团队人员构成专业性强、经验丰富符合项目特点的，投标人拟投入本项目组成员须具有软件开发类中级及以上水平资格证书或硕士及以上学位证书，每提供一份的得1分，得4分；</w:t>
            </w:r>
          </w:p>
          <w:p>
            <w:pPr>
              <w:widowControl/>
              <w:spacing w:line="276" w:lineRule="auto"/>
              <w:jc w:val="left"/>
              <w:rPr>
                <w:rFonts w:hint="eastAsia" w:ascii="宋体" w:hAnsi="宋体" w:eastAsia="宋体" w:cs="宋体"/>
                <w:color w:val="000000"/>
                <w:sz w:val="24"/>
              </w:rPr>
            </w:pPr>
            <w:r>
              <w:rPr>
                <w:rFonts w:hint="eastAsia" w:ascii="宋体" w:hAnsi="宋体" w:eastAsia="宋体" w:cs="宋体"/>
                <w:color w:val="000000"/>
                <w:sz w:val="24"/>
              </w:rPr>
              <w:t>组织管理机构健全、合理，团队人员构成和专业性较好，相关经验较丰富，符合项目需求的，得2分；</w:t>
            </w:r>
          </w:p>
          <w:p>
            <w:pPr>
              <w:widowControl/>
              <w:spacing w:line="276" w:lineRule="auto"/>
              <w:jc w:val="left"/>
              <w:rPr>
                <w:rFonts w:hint="eastAsia" w:ascii="宋体" w:hAnsi="宋体" w:eastAsia="宋体" w:cs="宋体"/>
                <w:color w:val="000000"/>
                <w:sz w:val="24"/>
              </w:rPr>
            </w:pPr>
            <w:r>
              <w:rPr>
                <w:rFonts w:hint="eastAsia" w:ascii="宋体" w:hAnsi="宋体" w:eastAsia="宋体" w:cs="宋体"/>
                <w:color w:val="000000"/>
                <w:sz w:val="24"/>
              </w:rPr>
              <w:t>组织管理机构和人员构成不合理，专业性和相关经验有欠缺，得0分。</w:t>
            </w:r>
          </w:p>
          <w:p>
            <w:pPr>
              <w:widowControl/>
              <w:spacing w:line="276" w:lineRule="auto"/>
              <w:jc w:val="left"/>
              <w:rPr>
                <w:rFonts w:hint="eastAsia" w:ascii="宋体" w:hAnsi="宋体" w:eastAsia="宋体" w:cs="宋体"/>
                <w:color w:val="000000"/>
                <w:sz w:val="24"/>
              </w:rPr>
            </w:pPr>
            <w:r>
              <w:rPr>
                <w:rFonts w:hint="eastAsia" w:ascii="宋体" w:hAnsi="宋体" w:eastAsia="宋体" w:cs="宋体"/>
                <w:color w:val="000000"/>
                <w:sz w:val="24"/>
              </w:rPr>
              <w:t>注：提供相关资质、资格证明文件复印件，及以上人员在本单位任职的外部证明材料（如加盖所在地区政府有关部门印章的打印日期在本项目投标截止日之前连续六个月的《投保单》或《社会保险参保人员证明》，或单位代缴个人所得税税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192" w:type="dxa"/>
            <w:vMerge w:val="continue"/>
            <w:vAlign w:val="center"/>
          </w:tcPr>
          <w:p>
            <w:pPr>
              <w:widowControl/>
              <w:adjustRightInd w:val="0"/>
              <w:snapToGrid w:val="0"/>
              <w:spacing w:line="276" w:lineRule="auto"/>
              <w:jc w:val="center"/>
              <w:rPr>
                <w:rFonts w:hint="eastAsia" w:ascii="宋体" w:hAnsi="宋体" w:eastAsia="宋体" w:cs="宋体"/>
                <w:color w:val="000000"/>
                <w:sz w:val="24"/>
              </w:rPr>
            </w:pPr>
          </w:p>
        </w:tc>
        <w:tc>
          <w:tcPr>
            <w:tcW w:w="1602" w:type="dxa"/>
            <w:vAlign w:val="center"/>
          </w:tcPr>
          <w:p>
            <w:pPr>
              <w:adjustRightInd w:val="0"/>
              <w:snapToGrid w:val="0"/>
              <w:spacing w:line="276" w:lineRule="auto"/>
              <w:jc w:val="center"/>
              <w:rPr>
                <w:rFonts w:hint="eastAsia" w:ascii="宋体" w:hAnsi="宋体" w:eastAsia="宋体" w:cs="宋体"/>
                <w:szCs w:val="21"/>
              </w:rPr>
            </w:pPr>
            <w:r>
              <w:rPr>
                <w:rFonts w:hint="eastAsia" w:ascii="宋体" w:hAnsi="宋体" w:eastAsia="宋体" w:cs="宋体"/>
                <w:szCs w:val="21"/>
              </w:rPr>
              <w:t>商务要求响应情况</w:t>
            </w:r>
          </w:p>
        </w:tc>
        <w:tc>
          <w:tcPr>
            <w:tcW w:w="913" w:type="dxa"/>
            <w:vAlign w:val="center"/>
          </w:tcPr>
          <w:p>
            <w:pPr>
              <w:adjustRightInd w:val="0"/>
              <w:snapToGrid w:val="0"/>
              <w:spacing w:line="276" w:lineRule="auto"/>
              <w:jc w:val="center"/>
              <w:rPr>
                <w:rFonts w:hint="eastAsia" w:ascii="宋体" w:hAnsi="宋体" w:eastAsia="宋体" w:cs="宋体"/>
                <w:color w:val="000000"/>
                <w:sz w:val="24"/>
              </w:rPr>
            </w:pPr>
            <w:r>
              <w:rPr>
                <w:rFonts w:hint="eastAsia" w:ascii="宋体" w:hAnsi="宋体" w:eastAsia="宋体" w:cs="宋体"/>
                <w:color w:val="000000"/>
                <w:sz w:val="24"/>
              </w:rPr>
              <w:t>3</w:t>
            </w:r>
          </w:p>
        </w:tc>
        <w:tc>
          <w:tcPr>
            <w:tcW w:w="4970" w:type="dxa"/>
            <w:vAlign w:val="center"/>
          </w:tcPr>
          <w:p>
            <w:pPr>
              <w:widowControl/>
              <w:spacing w:line="276" w:lineRule="auto"/>
              <w:jc w:val="left"/>
              <w:rPr>
                <w:rFonts w:hint="eastAsia" w:ascii="宋体" w:hAnsi="宋体" w:eastAsia="宋体" w:cs="宋体"/>
                <w:color w:val="000000"/>
                <w:sz w:val="24"/>
              </w:rPr>
            </w:pPr>
            <w:r>
              <w:rPr>
                <w:rFonts w:hint="eastAsia" w:ascii="宋体" w:hAnsi="宋体" w:eastAsia="宋体" w:cs="宋体"/>
                <w:color w:val="000000"/>
                <w:sz w:val="24"/>
              </w:rPr>
              <w:t>供应商对用户需求的商务要求进行响应：</w:t>
            </w:r>
          </w:p>
          <w:p>
            <w:pPr>
              <w:widowControl/>
              <w:spacing w:line="276" w:lineRule="auto"/>
              <w:jc w:val="left"/>
              <w:rPr>
                <w:rFonts w:hint="eastAsia" w:ascii="宋体" w:hAnsi="宋体" w:eastAsia="宋体" w:cs="宋体"/>
                <w:color w:val="000000"/>
                <w:sz w:val="24"/>
              </w:rPr>
            </w:pPr>
            <w:r>
              <w:rPr>
                <w:rFonts w:hint="eastAsia" w:ascii="宋体" w:hAnsi="宋体" w:eastAsia="宋体" w:cs="宋体"/>
                <w:color w:val="000000"/>
                <w:sz w:val="24"/>
              </w:rPr>
              <w:t>完全满足得3分，每有一项负偏离扣0.5分，扣完为止。</w:t>
            </w:r>
          </w:p>
          <w:p>
            <w:pPr>
              <w:widowControl/>
              <w:spacing w:line="276" w:lineRule="auto"/>
              <w:jc w:val="left"/>
              <w:rPr>
                <w:rFonts w:hint="eastAsia" w:ascii="宋体" w:hAnsi="宋体" w:eastAsia="宋体" w:cs="宋体"/>
                <w:color w:val="000000"/>
                <w:sz w:val="24"/>
              </w:rPr>
            </w:pPr>
            <w:r>
              <w:rPr>
                <w:rFonts w:hint="eastAsia" w:ascii="宋体" w:hAnsi="宋体" w:eastAsia="宋体" w:cs="宋体"/>
                <w:color w:val="000000"/>
                <w:sz w:val="24"/>
              </w:rPr>
              <w:t>注：供应商一一响应，未响应的按负偏离计算。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192" w:type="dxa"/>
            <w:vMerge w:val="continue"/>
            <w:vAlign w:val="center"/>
          </w:tcPr>
          <w:p>
            <w:pPr>
              <w:widowControl/>
              <w:adjustRightInd w:val="0"/>
              <w:snapToGrid w:val="0"/>
              <w:spacing w:line="276" w:lineRule="auto"/>
              <w:jc w:val="center"/>
              <w:rPr>
                <w:rFonts w:hint="eastAsia" w:ascii="宋体" w:hAnsi="宋体" w:eastAsia="宋体" w:cs="宋体"/>
                <w:color w:val="000000"/>
                <w:sz w:val="24"/>
              </w:rPr>
            </w:pPr>
          </w:p>
        </w:tc>
        <w:tc>
          <w:tcPr>
            <w:tcW w:w="1602" w:type="dxa"/>
            <w:vAlign w:val="center"/>
          </w:tcPr>
          <w:p>
            <w:pPr>
              <w:adjustRightInd w:val="0"/>
              <w:snapToGrid w:val="0"/>
              <w:spacing w:line="276" w:lineRule="auto"/>
              <w:jc w:val="center"/>
              <w:rPr>
                <w:rFonts w:hint="eastAsia" w:ascii="宋体" w:hAnsi="宋体" w:eastAsia="宋体" w:cs="宋体"/>
                <w:szCs w:val="21"/>
              </w:rPr>
            </w:pPr>
            <w:r>
              <w:rPr>
                <w:rFonts w:hint="eastAsia" w:ascii="宋体" w:hAnsi="宋体" w:eastAsia="宋体" w:cs="宋体"/>
                <w:szCs w:val="21"/>
              </w:rPr>
              <w:t>进度安排</w:t>
            </w:r>
          </w:p>
        </w:tc>
        <w:tc>
          <w:tcPr>
            <w:tcW w:w="913" w:type="dxa"/>
            <w:vAlign w:val="center"/>
          </w:tcPr>
          <w:p>
            <w:pPr>
              <w:adjustRightInd w:val="0"/>
              <w:snapToGrid w:val="0"/>
              <w:spacing w:line="276" w:lineRule="auto"/>
              <w:jc w:val="center"/>
              <w:rPr>
                <w:rFonts w:hint="eastAsia" w:ascii="宋体" w:hAnsi="宋体" w:eastAsia="宋体" w:cs="宋体"/>
                <w:color w:val="000000"/>
                <w:sz w:val="24"/>
              </w:rPr>
            </w:pPr>
            <w:r>
              <w:rPr>
                <w:rFonts w:hint="eastAsia" w:ascii="宋体" w:hAnsi="宋体" w:eastAsia="宋体" w:cs="宋体"/>
                <w:color w:val="000000"/>
                <w:sz w:val="24"/>
              </w:rPr>
              <w:t>3</w:t>
            </w:r>
          </w:p>
        </w:tc>
        <w:tc>
          <w:tcPr>
            <w:tcW w:w="4970" w:type="dxa"/>
            <w:vAlign w:val="center"/>
          </w:tcPr>
          <w:p>
            <w:pPr>
              <w:widowControl/>
              <w:spacing w:line="276" w:lineRule="auto"/>
              <w:jc w:val="left"/>
              <w:rPr>
                <w:rFonts w:hint="eastAsia" w:ascii="宋体" w:hAnsi="宋体" w:eastAsia="宋体" w:cs="宋体"/>
                <w:color w:val="000000"/>
                <w:sz w:val="24"/>
              </w:rPr>
            </w:pPr>
            <w:r>
              <w:rPr>
                <w:rFonts w:hint="eastAsia" w:ascii="宋体" w:hAnsi="宋体" w:eastAsia="宋体" w:cs="宋体"/>
                <w:color w:val="000000"/>
                <w:sz w:val="24"/>
              </w:rPr>
              <w:t>项目开发进度安排合理，保障措施完善，最多得3分；</w:t>
            </w:r>
          </w:p>
          <w:p>
            <w:pPr>
              <w:widowControl/>
              <w:spacing w:line="276" w:lineRule="auto"/>
              <w:jc w:val="left"/>
              <w:rPr>
                <w:rFonts w:hint="eastAsia" w:ascii="宋体" w:hAnsi="宋体" w:eastAsia="宋体" w:cs="宋体"/>
                <w:color w:val="000000"/>
                <w:sz w:val="24"/>
              </w:rPr>
            </w:pPr>
            <w:r>
              <w:rPr>
                <w:rFonts w:hint="eastAsia" w:ascii="宋体" w:hAnsi="宋体" w:eastAsia="宋体" w:cs="宋体"/>
                <w:color w:val="000000"/>
                <w:sz w:val="24"/>
              </w:rPr>
              <w:t>项目开发进度安排较合理，保障措施较完善，最多得1分；</w:t>
            </w:r>
          </w:p>
          <w:p>
            <w:pPr>
              <w:adjustRightInd w:val="0"/>
              <w:snapToGrid w:val="0"/>
              <w:spacing w:line="276" w:lineRule="auto"/>
              <w:jc w:val="left"/>
              <w:rPr>
                <w:rFonts w:hint="eastAsia" w:ascii="宋体" w:hAnsi="宋体" w:eastAsia="宋体" w:cs="宋体"/>
                <w:color w:val="000000"/>
                <w:sz w:val="24"/>
              </w:rPr>
            </w:pPr>
            <w:r>
              <w:rPr>
                <w:rFonts w:hint="eastAsia" w:ascii="宋体" w:hAnsi="宋体" w:eastAsia="宋体" w:cs="宋体"/>
                <w:color w:val="000000"/>
                <w:sz w:val="24"/>
              </w:rPr>
              <w:t>项目开发进度安排不合理，保障措施不完善，得0分；</w:t>
            </w:r>
          </w:p>
        </w:tc>
      </w:tr>
    </w:tbl>
    <w:p>
      <w:pPr>
        <w:adjustRightInd w:val="0"/>
        <w:snapToGrid w:val="0"/>
        <w:spacing w:line="360" w:lineRule="auto"/>
        <w:rPr>
          <w:rFonts w:hint="eastAsia" w:ascii="宋体" w:hAnsi="宋体" w:eastAsia="宋体" w:cs="宋体"/>
          <w:sz w:val="24"/>
        </w:rPr>
      </w:pPr>
    </w:p>
    <w:p>
      <w:pPr>
        <w:pStyle w:val="11"/>
        <w:adjustRightInd w:val="0"/>
        <w:snapToGrid w:val="0"/>
        <w:spacing w:before="100" w:after="100" w:line="360" w:lineRule="auto"/>
        <w:rPr>
          <w:rFonts w:hint="eastAsia" w:ascii="宋体" w:hAnsi="宋体" w:eastAsia="宋体" w:cs="宋体"/>
        </w:rPr>
      </w:pPr>
      <w:r>
        <w:rPr>
          <w:rFonts w:hint="eastAsia" w:ascii="宋体" w:hAnsi="宋体" w:eastAsia="宋体" w:cs="宋体"/>
        </w:rPr>
        <w:t>二、初步评审</w:t>
      </w:r>
    </w:p>
    <w:p>
      <w:pPr>
        <w:pStyle w:val="11"/>
        <w:adjustRightInd w:val="0"/>
        <w:snapToGrid w:val="0"/>
        <w:spacing w:before="100" w:after="100" w:line="360" w:lineRule="auto"/>
        <w:rPr>
          <w:rFonts w:hint="eastAsia" w:ascii="宋体" w:hAnsi="宋体" w:eastAsia="宋体" w:cs="宋体"/>
        </w:rPr>
      </w:pPr>
      <w:r>
        <w:rPr>
          <w:rFonts w:hint="eastAsia" w:ascii="宋体" w:hAnsi="宋体" w:eastAsia="宋体" w:cs="宋体"/>
        </w:rPr>
        <w:t>5．采购人或采购代理机构依据法律法规和招标文件中规定的内容，对投标人的资格进行审查。未通过资格审查的投标人不进入评标；通过资格审查的投标人少于三家的，不进行评标。</w:t>
      </w:r>
    </w:p>
    <w:p>
      <w:pPr>
        <w:pStyle w:val="11"/>
        <w:adjustRightInd w:val="0"/>
        <w:snapToGrid w:val="0"/>
        <w:spacing w:before="100" w:after="100" w:line="360" w:lineRule="auto"/>
        <w:rPr>
          <w:rFonts w:hint="eastAsia" w:ascii="宋体" w:hAnsi="宋体" w:eastAsia="宋体" w:cs="宋体"/>
        </w:rPr>
      </w:pPr>
      <w:r>
        <w:rPr>
          <w:rFonts w:hint="eastAsia" w:ascii="宋体" w:hAnsi="宋体" w:eastAsia="宋体" w:cs="宋体"/>
        </w:rPr>
        <w:t>6．评标委员会按照《符合性检查表》内容对投标文件进行符合性检查，只有对《符合性检查表》所列各项作出实质性响应的投标文件才能通过初步评审。对是否实质性响应招标文件的要求有争议的投标，评标委员会将以记名方式表决，被认为响应的得票超过半数的投标人有资格进入下一阶段的评审，否则将被淘汰。</w:t>
      </w:r>
    </w:p>
    <w:p>
      <w:pPr>
        <w:pStyle w:val="11"/>
        <w:adjustRightInd w:val="0"/>
        <w:snapToGrid w:val="0"/>
        <w:spacing w:before="100" w:after="100" w:line="360" w:lineRule="auto"/>
        <w:rPr>
          <w:rFonts w:hint="eastAsia" w:ascii="宋体" w:hAnsi="宋体" w:eastAsia="宋体" w:cs="宋体"/>
        </w:rPr>
      </w:pPr>
      <w:r>
        <w:rPr>
          <w:rFonts w:hint="eastAsia" w:ascii="宋体" w:hAnsi="宋体" w:eastAsia="宋体" w:cs="宋体"/>
        </w:rPr>
        <w:t>7．在详细评审之前，评标委员会要审查每份投标文件是否实质上响应了招标文件的要求。实质上响应的投标应该是与招标文件要求的关键条款、条件和规格相符合，没有重大偏离或保留的投标。所谓重大偏离或保留是指实质上影响合同的供货范围、质量和性能；或者实质上与招标文件不一致，而且限制了合同中采购人的权利或投标人的义务；纠正这些偏离或保留将会对其他实质上响应要求的投标人的竞争地位产生不公正的影响。评标委员会决定投标文件的响应性只根据投标文件本身的内容，而不寻找外部的证据。</w:t>
      </w:r>
    </w:p>
    <w:p>
      <w:pPr>
        <w:pStyle w:val="11"/>
        <w:adjustRightInd w:val="0"/>
        <w:snapToGrid w:val="0"/>
        <w:spacing w:before="100" w:after="100" w:line="360" w:lineRule="auto"/>
        <w:rPr>
          <w:rFonts w:hint="eastAsia" w:ascii="宋体" w:hAnsi="宋体" w:eastAsia="宋体" w:cs="宋体"/>
        </w:rPr>
      </w:pPr>
      <w:r>
        <w:rPr>
          <w:rFonts w:hint="eastAsia" w:ascii="宋体" w:hAnsi="宋体" w:eastAsia="宋体" w:cs="宋体"/>
        </w:rPr>
        <w:t>8．无效投标的认定</w:t>
      </w:r>
    </w:p>
    <w:p>
      <w:pPr>
        <w:pStyle w:val="11"/>
        <w:tabs>
          <w:tab w:val="clear" w:pos="567"/>
        </w:tabs>
        <w:adjustRightInd w:val="0"/>
        <w:snapToGrid w:val="0"/>
        <w:spacing w:before="100" w:after="100" w:line="360" w:lineRule="auto"/>
        <w:rPr>
          <w:rFonts w:hint="eastAsia" w:ascii="宋体" w:hAnsi="宋体" w:eastAsia="宋体" w:cs="宋体"/>
        </w:rPr>
      </w:pPr>
      <w:r>
        <w:rPr>
          <w:rFonts w:hint="eastAsia" w:ascii="宋体" w:hAnsi="宋体" w:eastAsia="宋体" w:cs="宋体"/>
        </w:rPr>
        <w:t>8.1按《资格性和符合性检查表》（见附表1）所列各项，投标文件不满足招标文件要求的，将被认定为无效投标。</w:t>
      </w:r>
    </w:p>
    <w:p>
      <w:pPr>
        <w:widowControl/>
        <w:adjustRightInd w:val="0"/>
        <w:snapToGrid w:val="0"/>
        <w:spacing w:line="360" w:lineRule="auto"/>
        <w:rPr>
          <w:rFonts w:hint="eastAsia" w:ascii="宋体" w:hAnsi="宋体" w:eastAsia="宋体" w:cs="宋体"/>
          <w:sz w:val="24"/>
        </w:rPr>
      </w:pPr>
      <w:r>
        <w:rPr>
          <w:rFonts w:hint="eastAsia" w:ascii="宋体" w:hAnsi="宋体" w:eastAsia="宋体" w:cs="宋体"/>
          <w:sz w:val="24"/>
        </w:rPr>
        <w:t>注：1.根据《政府采购促进中小企业发展暂行办法》（财库[20</w:t>
      </w:r>
      <w:r>
        <w:rPr>
          <w:rFonts w:hint="eastAsia" w:ascii="宋体" w:hAnsi="宋体" w:cs="宋体"/>
          <w:sz w:val="24"/>
          <w:lang w:val="en-US" w:eastAsia="zh-CN"/>
        </w:rPr>
        <w:t>20</w:t>
      </w:r>
      <w:r>
        <w:rPr>
          <w:rFonts w:hint="eastAsia" w:ascii="宋体" w:hAnsi="宋体" w:eastAsia="宋体" w:cs="宋体"/>
          <w:sz w:val="24"/>
        </w:rPr>
        <w:t>]</w:t>
      </w:r>
      <w:r>
        <w:rPr>
          <w:rFonts w:hint="eastAsia" w:ascii="宋体" w:hAnsi="宋体" w:cs="宋体"/>
          <w:sz w:val="24"/>
          <w:lang w:val="en-US" w:eastAsia="zh-CN"/>
        </w:rPr>
        <w:t>46</w:t>
      </w:r>
      <w:r>
        <w:rPr>
          <w:rFonts w:hint="eastAsia" w:ascii="宋体" w:hAnsi="宋体" w:eastAsia="宋体" w:cs="宋体"/>
          <w:sz w:val="24"/>
        </w:rPr>
        <w:t>号）、《财政部 司法部关于政府采购支持监狱企业发展有关问题的通知》（财库〔2014〕68号）和《三部门联合发布关于促进残疾人就业政府采购政策的通知》（</w:t>
      </w:r>
      <w:bookmarkStart w:id="44" w:name="sendNo"/>
      <w:r>
        <w:rPr>
          <w:rFonts w:hint="eastAsia" w:ascii="宋体" w:hAnsi="宋体" w:eastAsia="宋体" w:cs="宋体"/>
          <w:sz w:val="24"/>
        </w:rPr>
        <w:t>财库〔</w:t>
      </w:r>
      <w:bookmarkEnd w:id="44"/>
      <w:r>
        <w:rPr>
          <w:rFonts w:hint="eastAsia" w:ascii="宋体" w:hAnsi="宋体" w:eastAsia="宋体" w:cs="宋体"/>
          <w:sz w:val="24"/>
        </w:rPr>
        <w:t>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hint="eastAsia" w:ascii="宋体" w:hAnsi="宋体" w:eastAsia="宋体" w:cs="宋体"/>
          <w:sz w:val="24"/>
          <w:u w:val="single"/>
        </w:rPr>
        <w:t xml:space="preserve">  </w:t>
      </w:r>
      <w:r>
        <w:rPr>
          <w:rFonts w:hint="eastAsia" w:ascii="宋体" w:hAnsi="宋体" w:cs="宋体"/>
          <w:sz w:val="24"/>
          <w:u w:val="single"/>
          <w:lang w:val="en-US" w:eastAsia="zh-CN"/>
        </w:rPr>
        <w:t>10</w:t>
      </w:r>
      <w:r>
        <w:rPr>
          <w:rFonts w:hint="eastAsia" w:ascii="宋体" w:hAnsi="宋体" w:eastAsia="宋体" w:cs="宋体"/>
          <w:sz w:val="24"/>
          <w:u w:val="single"/>
        </w:rPr>
        <w:t xml:space="preserve"> </w:t>
      </w:r>
      <w:r>
        <w:rPr>
          <w:rFonts w:hint="eastAsia" w:ascii="宋体" w:hAnsi="宋体" w:eastAsia="宋体" w:cs="宋体"/>
          <w:sz w:val="24"/>
        </w:rPr>
        <w:t xml:space="preserve"> %后参与评审。对于同时属于小微企业、监狱企业或残疾人福利性单位的，不重复进行投标报价扣除。</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2.联合协议中约定，小型、微型企业和监狱企业的协议合同金额占到联合体协议合同总金额30%以上的，可给予联合体</w:t>
      </w:r>
      <w:r>
        <w:rPr>
          <w:rFonts w:hint="eastAsia" w:ascii="宋体" w:hAnsi="宋体" w:eastAsia="宋体" w:cs="宋体"/>
          <w:sz w:val="24"/>
          <w:u w:val="single"/>
        </w:rPr>
        <w:t xml:space="preserve">  2  </w:t>
      </w:r>
      <w:r>
        <w:rPr>
          <w:rFonts w:hint="eastAsia" w:ascii="宋体" w:hAnsi="宋体" w:eastAsia="宋体" w:cs="宋体"/>
          <w:sz w:val="24"/>
        </w:rPr>
        <w:t>%的价格扣除。</w:t>
      </w:r>
    </w:p>
    <w:p>
      <w:pPr>
        <w:widowControl/>
        <w:adjustRightInd w:val="0"/>
        <w:snapToGrid w:val="0"/>
        <w:spacing w:line="360" w:lineRule="auto"/>
        <w:jc w:val="left"/>
        <w:rPr>
          <w:rFonts w:hint="eastAsia" w:ascii="宋体" w:hAnsi="宋体" w:eastAsia="宋体" w:cs="宋体"/>
          <w:sz w:val="24"/>
        </w:rPr>
      </w:pPr>
      <w:r>
        <w:rPr>
          <w:rFonts w:hint="eastAsia" w:ascii="宋体" w:hAnsi="宋体" w:eastAsia="宋体" w:cs="宋体"/>
          <w:sz w:val="24"/>
        </w:rPr>
        <w:t>联合体各方均为小型、微型企业和监狱企业的，联合体视同为小型、微型企业和监狱企业。</w:t>
      </w:r>
    </w:p>
    <w:p>
      <w:pPr>
        <w:pStyle w:val="11"/>
        <w:tabs>
          <w:tab w:val="clear" w:pos="567"/>
        </w:tabs>
        <w:spacing w:before="0" w:line="360" w:lineRule="auto"/>
        <w:ind w:left="-61" w:leftChars="-29" w:firstLine="480" w:firstLineChars="200"/>
        <w:rPr>
          <w:rFonts w:hint="eastAsia" w:ascii="宋体" w:hAnsi="宋体" w:eastAsia="宋体" w:cs="宋体"/>
        </w:rPr>
      </w:pPr>
      <w:r>
        <w:rPr>
          <w:rFonts w:hint="eastAsia" w:ascii="宋体" w:hAnsi="宋体" w:eastAsia="宋体" w:cs="宋体"/>
        </w:rPr>
        <w:t>3采购人采购产品属于节能产品、环境标志产品品目清单范围内，且投标人所投产品具有节能产品、环境标志产品认证证书，在评标时予以优先采购，具体优惠措施为：在技术部分打分项中加</w:t>
      </w:r>
      <w:r>
        <w:rPr>
          <w:rFonts w:hint="eastAsia" w:ascii="宋体" w:hAnsi="宋体" w:eastAsia="宋体" w:cs="宋体"/>
          <w:u w:val="single"/>
        </w:rPr>
        <w:t xml:space="preserve"> 1</w:t>
      </w:r>
      <w:r>
        <w:rPr>
          <w:rFonts w:hint="eastAsia" w:ascii="宋体" w:hAnsi="宋体" w:eastAsia="宋体" w:cs="宋体"/>
        </w:rPr>
        <w:t xml:space="preserve"> 分。</w:t>
      </w:r>
    </w:p>
    <w:p>
      <w:pPr>
        <w:pStyle w:val="11"/>
        <w:tabs>
          <w:tab w:val="clear" w:pos="567"/>
        </w:tabs>
        <w:adjustRightInd w:val="0"/>
        <w:snapToGrid w:val="0"/>
        <w:spacing w:before="0" w:line="360" w:lineRule="auto"/>
        <w:ind w:left="-181" w:leftChars="-86" w:firstLine="660" w:firstLineChars="275"/>
        <w:rPr>
          <w:rFonts w:hint="eastAsia" w:ascii="宋体" w:hAnsi="宋体" w:eastAsia="宋体" w:cs="宋体"/>
        </w:rPr>
      </w:pPr>
      <w:r>
        <w:rPr>
          <w:rFonts w:hint="eastAsia" w:ascii="宋体" w:hAnsi="宋体" w:eastAsia="宋体" w:cs="宋体"/>
        </w:rPr>
        <w:t>4.如采购人所采购产品为政府强制采购的节能产品，投标人所投产品的品牌及型号必须为清单中有效期内产品并提供证明文件，否则其投标将作为无效投标被拒绝。</w:t>
      </w:r>
    </w:p>
    <w:p>
      <w:pPr>
        <w:pStyle w:val="11"/>
        <w:tabs>
          <w:tab w:val="clear" w:pos="567"/>
        </w:tabs>
        <w:adjustRightInd w:val="0"/>
        <w:snapToGrid w:val="0"/>
        <w:spacing w:before="0" w:line="360" w:lineRule="auto"/>
        <w:ind w:left="-181" w:leftChars="-86" w:firstLine="660" w:firstLineChars="275"/>
        <w:rPr>
          <w:rFonts w:hint="eastAsia" w:ascii="宋体" w:hAnsi="宋体" w:eastAsia="宋体" w:cs="宋体"/>
        </w:rPr>
      </w:pPr>
      <w:r>
        <w:rPr>
          <w:rFonts w:hint="eastAsia" w:ascii="宋体" w:hAnsi="宋体" w:eastAsia="宋体" w:cs="宋体"/>
        </w:rPr>
        <w:t>5.同品牌处理办法：</w:t>
      </w:r>
    </w:p>
    <w:p>
      <w:pPr>
        <w:pStyle w:val="11"/>
        <w:tabs>
          <w:tab w:val="clear" w:pos="567"/>
        </w:tabs>
        <w:adjustRightInd w:val="0"/>
        <w:snapToGrid w:val="0"/>
        <w:spacing w:before="0" w:line="360" w:lineRule="auto"/>
        <w:ind w:left="-181" w:leftChars="-86" w:firstLine="456" w:firstLineChars="190"/>
        <w:rPr>
          <w:rFonts w:hint="eastAsia" w:ascii="宋体" w:hAnsi="宋体" w:eastAsia="宋体" w:cs="宋体"/>
        </w:rPr>
      </w:pPr>
      <w:r>
        <w:rPr>
          <w:rFonts w:hint="eastAsia" w:ascii="宋体" w:hAnsi="宋体" w:eastAsia="宋体" w:cs="宋体"/>
        </w:rPr>
        <w:t>如采用最低评标办法，则：提供相同品牌产品的不同投标人以其中通过资格审查、符合性审查且报价最低的参加评标；报价相同的，由采购人或者采购人委托评标委员会按照招标文件中评标办法规定的方式确定一个参加评标的投标人；未规定的采取随机抽取方式确定，其他投标无效。</w:t>
      </w:r>
    </w:p>
    <w:p>
      <w:pPr>
        <w:pStyle w:val="11"/>
        <w:tabs>
          <w:tab w:val="clear" w:pos="567"/>
        </w:tabs>
        <w:adjustRightInd w:val="0"/>
        <w:snapToGrid w:val="0"/>
        <w:spacing w:before="0" w:line="360" w:lineRule="auto"/>
        <w:ind w:left="-181" w:leftChars="-86" w:firstLine="456" w:firstLineChars="190"/>
        <w:rPr>
          <w:rFonts w:hint="eastAsia" w:ascii="宋体" w:hAnsi="宋体" w:eastAsia="宋体" w:cs="宋体"/>
        </w:rPr>
      </w:pPr>
      <w:r>
        <w:rPr>
          <w:rFonts w:hint="eastAsia" w:ascii="宋体" w:hAnsi="宋体" w:eastAsia="宋体" w:cs="宋体"/>
        </w:rPr>
        <w:t>如采用综合评标法，则：提供相同品牌产品且通过资格审查、符合性审查的不同投标人，按一家投标人计算，评审后得分最高的同品牌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w:t>
      </w:r>
    </w:p>
    <w:p>
      <w:pPr>
        <w:pStyle w:val="11"/>
        <w:tabs>
          <w:tab w:val="clear" w:pos="567"/>
        </w:tabs>
        <w:adjustRightInd w:val="0"/>
        <w:snapToGrid w:val="0"/>
        <w:spacing w:before="0" w:line="360" w:lineRule="auto"/>
        <w:ind w:left="-181" w:leftChars="-86" w:firstLine="660" w:firstLineChars="275"/>
        <w:rPr>
          <w:rFonts w:hint="eastAsia" w:ascii="宋体" w:hAnsi="宋体" w:eastAsia="宋体" w:cs="宋体"/>
        </w:rPr>
      </w:pPr>
      <w:r>
        <w:rPr>
          <w:rFonts w:hint="eastAsia" w:ascii="宋体" w:hAnsi="宋体" w:eastAsia="宋体" w:cs="宋体"/>
        </w:rPr>
        <w:t xml:space="preserve">6.中标候选人并列式时的处理方式：   </w:t>
      </w:r>
    </w:p>
    <w:p>
      <w:pPr>
        <w:pStyle w:val="11"/>
        <w:tabs>
          <w:tab w:val="clear" w:pos="567"/>
        </w:tabs>
        <w:adjustRightInd w:val="0"/>
        <w:snapToGrid w:val="0"/>
        <w:spacing w:before="0" w:line="360" w:lineRule="auto"/>
        <w:ind w:left="-181" w:leftChars="-86" w:firstLine="456" w:firstLineChars="190"/>
        <w:rPr>
          <w:rFonts w:hint="eastAsia" w:ascii="宋体" w:hAnsi="宋体" w:eastAsia="宋体" w:cs="宋体"/>
        </w:rPr>
      </w:pPr>
      <w:r>
        <w:rPr>
          <w:rFonts w:hint="eastAsia" w:ascii="宋体" w:hAnsi="宋体" w:eastAsia="宋体" w:cs="宋体"/>
        </w:rPr>
        <w:t>如采用综合评标法，则：得分相同的，按投标报价由低到高顺序排列；得分且投标报价相同的，按技术指标优劣顺序排列。</w:t>
      </w:r>
    </w:p>
    <w:p>
      <w:pPr>
        <w:pStyle w:val="11"/>
        <w:tabs>
          <w:tab w:val="clear" w:pos="567"/>
        </w:tabs>
        <w:adjustRightInd w:val="0"/>
        <w:snapToGrid w:val="0"/>
        <w:spacing w:before="0" w:line="360" w:lineRule="auto"/>
        <w:ind w:left="-181" w:leftChars="-86" w:firstLine="577" w:firstLineChars="275"/>
        <w:rPr>
          <w:rFonts w:hint="eastAsia" w:ascii="宋体" w:hAnsi="宋体" w:eastAsia="宋体" w:cs="宋体"/>
          <w:color w:val="FF0000"/>
          <w:sz w:val="21"/>
          <w:szCs w:val="21"/>
        </w:rPr>
      </w:pPr>
      <w:r>
        <w:rPr>
          <w:rFonts w:hint="eastAsia" w:ascii="宋体" w:hAnsi="宋体" w:eastAsia="宋体" w:cs="宋体"/>
          <w:i/>
          <w:color w:val="FF0000"/>
          <w:sz w:val="21"/>
          <w:szCs w:val="21"/>
        </w:rPr>
        <w:br w:type="page"/>
      </w:r>
    </w:p>
    <w:tbl>
      <w:tblPr>
        <w:tblStyle w:val="18"/>
        <w:tblW w:w="0" w:type="auto"/>
        <w:tblInd w:w="108" w:type="dxa"/>
        <w:tblLayout w:type="fixed"/>
        <w:tblCellMar>
          <w:top w:w="0" w:type="dxa"/>
          <w:left w:w="108" w:type="dxa"/>
          <w:bottom w:w="0" w:type="dxa"/>
          <w:right w:w="108" w:type="dxa"/>
        </w:tblCellMar>
      </w:tblPr>
      <w:tblGrid>
        <w:gridCol w:w="2820"/>
        <w:gridCol w:w="920"/>
        <w:gridCol w:w="1505"/>
        <w:gridCol w:w="1843"/>
        <w:gridCol w:w="1612"/>
      </w:tblGrid>
      <w:tr>
        <w:tblPrEx>
          <w:tblCellMar>
            <w:top w:w="0" w:type="dxa"/>
            <w:left w:w="108" w:type="dxa"/>
            <w:bottom w:w="0" w:type="dxa"/>
            <w:right w:w="108" w:type="dxa"/>
          </w:tblCellMar>
        </w:tblPrEx>
        <w:trPr>
          <w:trHeight w:val="585" w:hRule="atLeast"/>
        </w:trPr>
        <w:tc>
          <w:tcPr>
            <w:tcW w:w="8700" w:type="dxa"/>
            <w:gridSpan w:val="5"/>
            <w:tcBorders>
              <w:top w:val="nil"/>
              <w:left w:val="nil"/>
              <w:bottom w:val="single" w:color="auto" w:sz="4" w:space="0"/>
              <w:right w:val="nil"/>
            </w:tcBorders>
            <w:vAlign w:val="center"/>
          </w:tcPr>
          <w:p>
            <w:pPr>
              <w:widowControl/>
              <w:adjustRightInd w:val="0"/>
              <w:snapToGrid w:val="0"/>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商务符合性审查表</w:t>
            </w:r>
          </w:p>
        </w:tc>
      </w:tr>
      <w:tr>
        <w:tblPrEx>
          <w:tblCellMar>
            <w:top w:w="0" w:type="dxa"/>
            <w:left w:w="108" w:type="dxa"/>
            <w:bottom w:w="0" w:type="dxa"/>
            <w:right w:w="108" w:type="dxa"/>
          </w:tblCellMar>
        </w:tblPrEx>
        <w:trPr>
          <w:trHeight w:val="390" w:hRule="atLeast"/>
        </w:trPr>
        <w:tc>
          <w:tcPr>
            <w:tcW w:w="3740"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审查事项</w:t>
            </w:r>
          </w:p>
        </w:tc>
        <w:tc>
          <w:tcPr>
            <w:tcW w:w="1505"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投标人名称</w:t>
            </w:r>
          </w:p>
        </w:tc>
        <w:tc>
          <w:tcPr>
            <w:tcW w:w="1843"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投标人名称</w:t>
            </w:r>
          </w:p>
        </w:tc>
        <w:tc>
          <w:tcPr>
            <w:tcW w:w="1612"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投标人名称</w:t>
            </w:r>
          </w:p>
        </w:tc>
      </w:tr>
      <w:tr>
        <w:tblPrEx>
          <w:tblCellMar>
            <w:top w:w="0" w:type="dxa"/>
            <w:left w:w="108" w:type="dxa"/>
            <w:bottom w:w="0" w:type="dxa"/>
            <w:right w:w="108" w:type="dxa"/>
          </w:tblCellMar>
        </w:tblPrEx>
        <w:trPr>
          <w:trHeight w:val="90" w:hRule="atLeast"/>
        </w:trPr>
        <w:tc>
          <w:tcPr>
            <w:tcW w:w="374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jc w:val="left"/>
              <w:rPr>
                <w:rFonts w:hint="eastAsia" w:ascii="宋体" w:hAnsi="宋体" w:eastAsia="宋体" w:cs="宋体"/>
                <w:color w:val="000000"/>
                <w:kern w:val="0"/>
                <w:szCs w:val="21"/>
              </w:rPr>
            </w:pPr>
          </w:p>
        </w:tc>
        <w:tc>
          <w:tcPr>
            <w:tcW w:w="1505"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843"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612"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460" w:hRule="atLeast"/>
        </w:trPr>
        <w:tc>
          <w:tcPr>
            <w:tcW w:w="2820"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招标文件要求</w:t>
            </w:r>
          </w:p>
        </w:tc>
        <w:tc>
          <w:tcPr>
            <w:tcW w:w="920"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条款号</w:t>
            </w:r>
          </w:p>
        </w:tc>
        <w:tc>
          <w:tcPr>
            <w:tcW w:w="1505"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843"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612"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87" w:hRule="atLeast"/>
        </w:trPr>
        <w:tc>
          <w:tcPr>
            <w:tcW w:w="2820"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未提供进口产品（不允许采购进口产品时适用）</w:t>
            </w:r>
          </w:p>
        </w:tc>
        <w:tc>
          <w:tcPr>
            <w:tcW w:w="920"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1.3.5</w:t>
            </w:r>
          </w:p>
        </w:tc>
        <w:tc>
          <w:tcPr>
            <w:tcW w:w="1505"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843"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1612"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符合中小企业投标要求</w:t>
            </w:r>
          </w:p>
        </w:tc>
        <w:tc>
          <w:tcPr>
            <w:tcW w:w="920"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1.3.6</w:t>
            </w:r>
          </w:p>
        </w:tc>
        <w:tc>
          <w:tcPr>
            <w:tcW w:w="1505"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843"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612"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483" w:hRule="atLeast"/>
        </w:trPr>
        <w:tc>
          <w:tcPr>
            <w:tcW w:w="2820"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符合联合体规定</w:t>
            </w:r>
          </w:p>
        </w:tc>
        <w:tc>
          <w:tcPr>
            <w:tcW w:w="920"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1.4.7</w:t>
            </w:r>
          </w:p>
        </w:tc>
        <w:tc>
          <w:tcPr>
            <w:tcW w:w="1505"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843"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612"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570" w:hRule="atLeast"/>
        </w:trPr>
        <w:tc>
          <w:tcPr>
            <w:tcW w:w="28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满足投标人的关联性要求</w:t>
            </w:r>
          </w:p>
        </w:tc>
        <w:tc>
          <w:tcPr>
            <w:tcW w:w="92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1.5</w:t>
            </w:r>
          </w:p>
        </w:tc>
        <w:tc>
          <w:tcPr>
            <w:tcW w:w="1505"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843"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612"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570" w:hRule="atLeast"/>
        </w:trPr>
        <w:tc>
          <w:tcPr>
            <w:tcW w:w="28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满足投标范围的完整性要求</w:t>
            </w:r>
          </w:p>
        </w:tc>
        <w:tc>
          <w:tcPr>
            <w:tcW w:w="92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8.1</w:t>
            </w:r>
          </w:p>
        </w:tc>
        <w:tc>
          <w:tcPr>
            <w:tcW w:w="1505"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color w:val="000000"/>
                <w:kern w:val="0"/>
                <w:szCs w:val="21"/>
              </w:rPr>
            </w:pPr>
          </w:p>
        </w:tc>
        <w:tc>
          <w:tcPr>
            <w:tcW w:w="1843"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color w:val="000000"/>
                <w:kern w:val="0"/>
                <w:szCs w:val="21"/>
              </w:rPr>
            </w:pPr>
          </w:p>
        </w:tc>
        <w:tc>
          <w:tcPr>
            <w:tcW w:w="1612"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color w:val="000000"/>
                <w:kern w:val="0"/>
                <w:szCs w:val="21"/>
              </w:rPr>
            </w:pPr>
          </w:p>
        </w:tc>
      </w:tr>
      <w:tr>
        <w:tblPrEx>
          <w:tblCellMar>
            <w:top w:w="0" w:type="dxa"/>
            <w:left w:w="108" w:type="dxa"/>
            <w:bottom w:w="0" w:type="dxa"/>
            <w:right w:w="108" w:type="dxa"/>
          </w:tblCellMar>
        </w:tblPrEx>
        <w:trPr>
          <w:trHeight w:val="570" w:hRule="atLeast"/>
        </w:trPr>
        <w:tc>
          <w:tcPr>
            <w:tcW w:w="28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未包含价格调整要求</w:t>
            </w:r>
          </w:p>
        </w:tc>
        <w:tc>
          <w:tcPr>
            <w:tcW w:w="92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11.5</w:t>
            </w:r>
          </w:p>
        </w:tc>
        <w:tc>
          <w:tcPr>
            <w:tcW w:w="1505"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843"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612"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保证金符合要求</w:t>
            </w:r>
          </w:p>
        </w:tc>
        <w:tc>
          <w:tcPr>
            <w:tcW w:w="920"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12.4</w:t>
            </w:r>
          </w:p>
        </w:tc>
        <w:tc>
          <w:tcPr>
            <w:tcW w:w="1505"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843"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612"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投标有效期满足要求</w:t>
            </w:r>
          </w:p>
        </w:tc>
        <w:tc>
          <w:tcPr>
            <w:tcW w:w="920"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13.1</w:t>
            </w:r>
          </w:p>
        </w:tc>
        <w:tc>
          <w:tcPr>
            <w:tcW w:w="1505"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843"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612"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投标文件采用不可拆装的胶订方式</w:t>
            </w:r>
          </w:p>
        </w:tc>
        <w:tc>
          <w:tcPr>
            <w:tcW w:w="920"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14.3</w:t>
            </w:r>
          </w:p>
        </w:tc>
        <w:tc>
          <w:tcPr>
            <w:tcW w:w="1505"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843"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612"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接受算术修正</w:t>
            </w:r>
          </w:p>
        </w:tc>
        <w:tc>
          <w:tcPr>
            <w:tcW w:w="920"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20.2</w:t>
            </w:r>
          </w:p>
        </w:tc>
        <w:tc>
          <w:tcPr>
            <w:tcW w:w="1505"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843"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612"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同一品牌处理</w:t>
            </w:r>
          </w:p>
        </w:tc>
        <w:tc>
          <w:tcPr>
            <w:tcW w:w="920"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20.3</w:t>
            </w:r>
          </w:p>
        </w:tc>
        <w:tc>
          <w:tcPr>
            <w:tcW w:w="1505"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843"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612"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符合强制采购节能产品要求</w:t>
            </w:r>
          </w:p>
        </w:tc>
        <w:tc>
          <w:tcPr>
            <w:tcW w:w="920"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20.5</w:t>
            </w:r>
          </w:p>
        </w:tc>
        <w:tc>
          <w:tcPr>
            <w:tcW w:w="1505"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843"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612"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579" w:hRule="atLeast"/>
        </w:trPr>
        <w:tc>
          <w:tcPr>
            <w:tcW w:w="2820"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签署和盖章符合要求</w:t>
            </w:r>
          </w:p>
        </w:tc>
        <w:tc>
          <w:tcPr>
            <w:tcW w:w="920"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22.2</w:t>
            </w:r>
          </w:p>
        </w:tc>
        <w:tc>
          <w:tcPr>
            <w:tcW w:w="1505"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843"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612"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559" w:hRule="atLeast"/>
        </w:trPr>
        <w:tc>
          <w:tcPr>
            <w:tcW w:w="2820"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未发现串通投标</w:t>
            </w:r>
          </w:p>
        </w:tc>
        <w:tc>
          <w:tcPr>
            <w:tcW w:w="920"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22.2</w:t>
            </w:r>
          </w:p>
        </w:tc>
        <w:tc>
          <w:tcPr>
            <w:tcW w:w="1505"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843"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612"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553" w:hRule="atLeast"/>
        </w:trPr>
        <w:tc>
          <w:tcPr>
            <w:tcW w:w="2820"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报价说明可以接受</w:t>
            </w:r>
          </w:p>
        </w:tc>
        <w:tc>
          <w:tcPr>
            <w:tcW w:w="920"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22.2</w:t>
            </w:r>
          </w:p>
        </w:tc>
        <w:tc>
          <w:tcPr>
            <w:tcW w:w="1505"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843"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612"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kern w:val="0"/>
                <w:szCs w:val="21"/>
              </w:rPr>
            </w:pPr>
            <w:r>
              <w:rPr>
                <w:rFonts w:hint="eastAsia" w:ascii="宋体" w:hAnsi="宋体" w:eastAsia="宋体" w:cs="宋体"/>
                <w:szCs w:val="21"/>
              </w:rPr>
              <w:t>无采购人不能接受的附加条件</w:t>
            </w:r>
          </w:p>
        </w:tc>
        <w:tc>
          <w:tcPr>
            <w:tcW w:w="920"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22.2</w:t>
            </w:r>
          </w:p>
        </w:tc>
        <w:tc>
          <w:tcPr>
            <w:tcW w:w="1505"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color w:val="000000"/>
                <w:kern w:val="0"/>
                <w:szCs w:val="21"/>
              </w:rPr>
            </w:pPr>
          </w:p>
        </w:tc>
        <w:tc>
          <w:tcPr>
            <w:tcW w:w="1843"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color w:val="000000"/>
                <w:kern w:val="0"/>
                <w:szCs w:val="21"/>
              </w:rPr>
            </w:pPr>
          </w:p>
        </w:tc>
        <w:tc>
          <w:tcPr>
            <w:tcW w:w="1612"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color w:val="000000"/>
                <w:kern w:val="0"/>
                <w:szCs w:val="21"/>
              </w:rPr>
            </w:pPr>
          </w:p>
        </w:tc>
      </w:tr>
      <w:tr>
        <w:tblPrEx>
          <w:tblCellMar>
            <w:top w:w="0" w:type="dxa"/>
            <w:left w:w="108" w:type="dxa"/>
            <w:bottom w:w="0" w:type="dxa"/>
            <w:right w:w="108" w:type="dxa"/>
          </w:tblCellMar>
        </w:tblPrEx>
        <w:trPr>
          <w:trHeight w:val="513" w:hRule="atLeast"/>
        </w:trPr>
        <w:tc>
          <w:tcPr>
            <w:tcW w:w="2820"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未参与其他服务</w:t>
            </w:r>
          </w:p>
        </w:tc>
        <w:tc>
          <w:tcPr>
            <w:tcW w:w="920"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1.6</w:t>
            </w:r>
          </w:p>
        </w:tc>
        <w:tc>
          <w:tcPr>
            <w:tcW w:w="1505"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843"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612"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未发现影响采购人决策行为</w:t>
            </w:r>
          </w:p>
        </w:tc>
        <w:tc>
          <w:tcPr>
            <w:tcW w:w="920"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1.7</w:t>
            </w:r>
          </w:p>
        </w:tc>
        <w:tc>
          <w:tcPr>
            <w:tcW w:w="1505"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843"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612"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报价未超过预算或最高限价</w:t>
            </w:r>
          </w:p>
        </w:tc>
        <w:tc>
          <w:tcPr>
            <w:tcW w:w="920"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2.3</w:t>
            </w:r>
          </w:p>
        </w:tc>
        <w:tc>
          <w:tcPr>
            <w:tcW w:w="1505"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kern w:val="0"/>
                <w:szCs w:val="21"/>
              </w:rPr>
            </w:pPr>
          </w:p>
        </w:tc>
        <w:tc>
          <w:tcPr>
            <w:tcW w:w="1843"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kern w:val="0"/>
                <w:szCs w:val="21"/>
              </w:rPr>
            </w:pPr>
          </w:p>
        </w:tc>
        <w:tc>
          <w:tcPr>
            <w:tcW w:w="1612"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kern w:val="0"/>
                <w:szCs w:val="21"/>
              </w:rPr>
            </w:pPr>
          </w:p>
        </w:tc>
      </w:tr>
      <w:tr>
        <w:tblPrEx>
          <w:tblCellMar>
            <w:top w:w="0" w:type="dxa"/>
            <w:left w:w="108" w:type="dxa"/>
            <w:bottom w:w="0" w:type="dxa"/>
            <w:right w:w="108" w:type="dxa"/>
          </w:tblCellMar>
        </w:tblPrEx>
        <w:trPr>
          <w:trHeight w:val="409" w:hRule="atLeast"/>
        </w:trPr>
        <w:tc>
          <w:tcPr>
            <w:tcW w:w="374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结论</w:t>
            </w:r>
          </w:p>
        </w:tc>
        <w:tc>
          <w:tcPr>
            <w:tcW w:w="1505"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843"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612"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bl>
    <w:p>
      <w:pPr>
        <w:pStyle w:val="11"/>
        <w:tabs>
          <w:tab w:val="clear" w:pos="567"/>
        </w:tabs>
        <w:adjustRightInd w:val="0"/>
        <w:snapToGrid w:val="0"/>
        <w:spacing w:before="0" w:line="360" w:lineRule="auto"/>
        <w:ind w:left="-181" w:leftChars="-86" w:firstLine="577" w:firstLineChars="275"/>
        <w:rPr>
          <w:rFonts w:hint="eastAsia" w:ascii="宋体" w:hAnsi="宋体" w:eastAsia="宋体" w:cs="宋体"/>
          <w:color w:val="FF0000"/>
          <w:sz w:val="21"/>
          <w:szCs w:val="21"/>
        </w:rPr>
      </w:pPr>
      <w:r>
        <w:rPr>
          <w:rFonts w:hint="eastAsia" w:ascii="宋体" w:hAnsi="宋体" w:eastAsia="宋体" w:cs="宋体"/>
          <w:color w:val="FF0000"/>
          <w:sz w:val="21"/>
          <w:szCs w:val="21"/>
        </w:rPr>
        <w:br w:type="page"/>
      </w:r>
    </w:p>
    <w:tbl>
      <w:tblPr>
        <w:tblStyle w:val="18"/>
        <w:tblW w:w="0" w:type="auto"/>
        <w:tblInd w:w="108" w:type="dxa"/>
        <w:tblLayout w:type="fixed"/>
        <w:tblCellMar>
          <w:top w:w="0" w:type="dxa"/>
          <w:left w:w="108" w:type="dxa"/>
          <w:bottom w:w="0" w:type="dxa"/>
          <w:right w:w="108" w:type="dxa"/>
        </w:tblCellMar>
      </w:tblPr>
      <w:tblGrid>
        <w:gridCol w:w="2820"/>
        <w:gridCol w:w="920"/>
        <w:gridCol w:w="1505"/>
        <w:gridCol w:w="1843"/>
        <w:gridCol w:w="1612"/>
      </w:tblGrid>
      <w:tr>
        <w:tblPrEx>
          <w:tblCellMar>
            <w:top w:w="0" w:type="dxa"/>
            <w:left w:w="108" w:type="dxa"/>
            <w:bottom w:w="0" w:type="dxa"/>
            <w:right w:w="108" w:type="dxa"/>
          </w:tblCellMar>
        </w:tblPrEx>
        <w:trPr>
          <w:trHeight w:val="585" w:hRule="atLeast"/>
        </w:trPr>
        <w:tc>
          <w:tcPr>
            <w:tcW w:w="8700" w:type="dxa"/>
            <w:gridSpan w:val="5"/>
            <w:tcBorders>
              <w:top w:val="nil"/>
              <w:left w:val="nil"/>
              <w:bottom w:val="single" w:color="auto" w:sz="4" w:space="0"/>
              <w:right w:val="nil"/>
            </w:tcBorders>
            <w:vAlign w:val="center"/>
          </w:tcPr>
          <w:p>
            <w:pPr>
              <w:widowControl/>
              <w:adjustRightInd w:val="0"/>
              <w:snapToGrid w:val="0"/>
              <w:spacing w:line="360" w:lineRule="auto"/>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技术符合性审查表</w:t>
            </w:r>
          </w:p>
        </w:tc>
      </w:tr>
      <w:tr>
        <w:tblPrEx>
          <w:tblCellMar>
            <w:top w:w="0" w:type="dxa"/>
            <w:left w:w="108" w:type="dxa"/>
            <w:bottom w:w="0" w:type="dxa"/>
            <w:right w:w="108" w:type="dxa"/>
          </w:tblCellMar>
        </w:tblPrEx>
        <w:trPr>
          <w:trHeight w:val="327" w:hRule="atLeast"/>
        </w:trPr>
        <w:tc>
          <w:tcPr>
            <w:tcW w:w="3740"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审查事项</w:t>
            </w:r>
          </w:p>
        </w:tc>
        <w:tc>
          <w:tcPr>
            <w:tcW w:w="1505" w:type="dxa"/>
            <w:tcBorders>
              <w:top w:val="nil"/>
              <w:left w:val="nil"/>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投标人名称</w:t>
            </w:r>
          </w:p>
        </w:tc>
        <w:tc>
          <w:tcPr>
            <w:tcW w:w="1843" w:type="dxa"/>
            <w:tcBorders>
              <w:top w:val="nil"/>
              <w:left w:val="nil"/>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投标人名称</w:t>
            </w:r>
          </w:p>
        </w:tc>
        <w:tc>
          <w:tcPr>
            <w:tcW w:w="1612" w:type="dxa"/>
            <w:tcBorders>
              <w:top w:val="nil"/>
              <w:left w:val="nil"/>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投标人名称</w:t>
            </w:r>
          </w:p>
        </w:tc>
      </w:tr>
      <w:tr>
        <w:tblPrEx>
          <w:tblCellMar>
            <w:top w:w="0" w:type="dxa"/>
            <w:left w:w="108" w:type="dxa"/>
            <w:bottom w:w="0" w:type="dxa"/>
            <w:right w:w="108" w:type="dxa"/>
          </w:tblCellMar>
        </w:tblPrEx>
        <w:trPr>
          <w:trHeight w:val="570" w:hRule="atLeast"/>
        </w:trPr>
        <w:tc>
          <w:tcPr>
            <w:tcW w:w="374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360" w:lineRule="auto"/>
              <w:jc w:val="left"/>
              <w:rPr>
                <w:rFonts w:hint="eastAsia" w:ascii="宋体" w:hAnsi="宋体" w:eastAsia="宋体" w:cs="宋体"/>
                <w:color w:val="000000"/>
                <w:kern w:val="0"/>
                <w:szCs w:val="21"/>
              </w:rPr>
            </w:pPr>
          </w:p>
        </w:tc>
        <w:tc>
          <w:tcPr>
            <w:tcW w:w="1505" w:type="dxa"/>
            <w:tcBorders>
              <w:top w:val="nil"/>
              <w:left w:val="nil"/>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843" w:type="dxa"/>
            <w:tcBorders>
              <w:top w:val="nil"/>
              <w:left w:val="nil"/>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612" w:type="dxa"/>
            <w:tcBorders>
              <w:top w:val="nil"/>
              <w:left w:val="nil"/>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招标文件要求</w:t>
            </w:r>
          </w:p>
        </w:tc>
        <w:tc>
          <w:tcPr>
            <w:tcW w:w="920" w:type="dxa"/>
            <w:tcBorders>
              <w:top w:val="nil"/>
              <w:left w:val="nil"/>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条款号</w:t>
            </w:r>
          </w:p>
        </w:tc>
        <w:tc>
          <w:tcPr>
            <w:tcW w:w="1505" w:type="dxa"/>
            <w:tcBorders>
              <w:top w:val="nil"/>
              <w:left w:val="nil"/>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843" w:type="dxa"/>
            <w:tcBorders>
              <w:top w:val="nil"/>
              <w:left w:val="nil"/>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612" w:type="dxa"/>
            <w:tcBorders>
              <w:top w:val="nil"/>
              <w:left w:val="nil"/>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eastAsia="宋体" w:cs="宋体"/>
                <w:color w:val="000000"/>
                <w:kern w:val="0"/>
                <w:szCs w:val="21"/>
              </w:rPr>
            </w:pPr>
          </w:p>
        </w:tc>
        <w:tc>
          <w:tcPr>
            <w:tcW w:w="920" w:type="dxa"/>
            <w:tcBorders>
              <w:top w:val="nil"/>
              <w:left w:val="nil"/>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eastAsia="宋体" w:cs="宋体"/>
                <w:color w:val="000000"/>
                <w:kern w:val="0"/>
                <w:szCs w:val="21"/>
              </w:rPr>
            </w:pPr>
          </w:p>
        </w:tc>
        <w:tc>
          <w:tcPr>
            <w:tcW w:w="1505" w:type="dxa"/>
            <w:tcBorders>
              <w:top w:val="nil"/>
              <w:left w:val="nil"/>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843" w:type="dxa"/>
            <w:tcBorders>
              <w:top w:val="nil"/>
              <w:left w:val="nil"/>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1612" w:type="dxa"/>
            <w:tcBorders>
              <w:top w:val="nil"/>
              <w:left w:val="nil"/>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eastAsia="宋体" w:cs="宋体"/>
                <w:color w:val="000000"/>
                <w:kern w:val="0"/>
                <w:szCs w:val="21"/>
              </w:rPr>
            </w:pPr>
          </w:p>
        </w:tc>
        <w:tc>
          <w:tcPr>
            <w:tcW w:w="920" w:type="dxa"/>
            <w:tcBorders>
              <w:top w:val="nil"/>
              <w:left w:val="nil"/>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eastAsia="宋体" w:cs="宋体"/>
                <w:color w:val="000000"/>
                <w:kern w:val="0"/>
                <w:szCs w:val="21"/>
              </w:rPr>
            </w:pPr>
          </w:p>
        </w:tc>
        <w:tc>
          <w:tcPr>
            <w:tcW w:w="1505" w:type="dxa"/>
            <w:tcBorders>
              <w:top w:val="nil"/>
              <w:left w:val="nil"/>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843" w:type="dxa"/>
            <w:tcBorders>
              <w:top w:val="nil"/>
              <w:left w:val="nil"/>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612" w:type="dxa"/>
            <w:tcBorders>
              <w:top w:val="nil"/>
              <w:left w:val="nil"/>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eastAsia="宋体" w:cs="宋体"/>
                <w:color w:val="000000"/>
                <w:kern w:val="0"/>
                <w:szCs w:val="21"/>
              </w:rPr>
            </w:pPr>
          </w:p>
        </w:tc>
        <w:tc>
          <w:tcPr>
            <w:tcW w:w="920" w:type="dxa"/>
            <w:tcBorders>
              <w:top w:val="nil"/>
              <w:left w:val="nil"/>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eastAsia="宋体" w:cs="宋体"/>
                <w:color w:val="000000"/>
                <w:kern w:val="0"/>
                <w:szCs w:val="21"/>
              </w:rPr>
            </w:pPr>
          </w:p>
        </w:tc>
        <w:tc>
          <w:tcPr>
            <w:tcW w:w="1505" w:type="dxa"/>
            <w:tcBorders>
              <w:top w:val="nil"/>
              <w:left w:val="nil"/>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843" w:type="dxa"/>
            <w:tcBorders>
              <w:top w:val="nil"/>
              <w:left w:val="nil"/>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612" w:type="dxa"/>
            <w:tcBorders>
              <w:top w:val="nil"/>
              <w:left w:val="nil"/>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nil"/>
              <w:right w:val="single" w:color="auto" w:sz="4" w:space="0"/>
            </w:tcBorders>
            <w:vAlign w:val="center"/>
          </w:tcPr>
          <w:p>
            <w:pPr>
              <w:widowControl/>
              <w:adjustRightInd w:val="0"/>
              <w:snapToGrid w:val="0"/>
              <w:spacing w:line="360" w:lineRule="auto"/>
              <w:jc w:val="center"/>
              <w:rPr>
                <w:rFonts w:hint="eastAsia" w:ascii="宋体" w:hAnsi="宋体" w:eastAsia="宋体" w:cs="宋体"/>
                <w:color w:val="000000"/>
                <w:kern w:val="0"/>
                <w:szCs w:val="21"/>
              </w:rPr>
            </w:pPr>
          </w:p>
        </w:tc>
        <w:tc>
          <w:tcPr>
            <w:tcW w:w="920" w:type="dxa"/>
            <w:tcBorders>
              <w:top w:val="nil"/>
              <w:left w:val="nil"/>
              <w:bottom w:val="nil"/>
              <w:right w:val="single" w:color="auto" w:sz="4" w:space="0"/>
            </w:tcBorders>
            <w:vAlign w:val="center"/>
          </w:tcPr>
          <w:p>
            <w:pPr>
              <w:widowControl/>
              <w:adjustRightInd w:val="0"/>
              <w:snapToGrid w:val="0"/>
              <w:spacing w:line="360" w:lineRule="auto"/>
              <w:jc w:val="center"/>
              <w:rPr>
                <w:rFonts w:hint="eastAsia" w:ascii="宋体" w:hAnsi="宋体" w:eastAsia="宋体" w:cs="宋体"/>
                <w:color w:val="000000"/>
                <w:kern w:val="0"/>
                <w:szCs w:val="21"/>
              </w:rPr>
            </w:pPr>
          </w:p>
        </w:tc>
        <w:tc>
          <w:tcPr>
            <w:tcW w:w="1505" w:type="dxa"/>
            <w:tcBorders>
              <w:top w:val="nil"/>
              <w:left w:val="nil"/>
              <w:bottom w:val="nil"/>
              <w:right w:val="single" w:color="auto" w:sz="4" w:space="0"/>
            </w:tcBorders>
            <w:vAlign w:val="center"/>
          </w:tcPr>
          <w:p>
            <w:pPr>
              <w:widowControl/>
              <w:adjustRightInd w:val="0"/>
              <w:snapToGrid w:val="0"/>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843" w:type="dxa"/>
            <w:tcBorders>
              <w:top w:val="nil"/>
              <w:left w:val="nil"/>
              <w:bottom w:val="nil"/>
              <w:right w:val="single" w:color="auto" w:sz="4" w:space="0"/>
            </w:tcBorders>
            <w:vAlign w:val="center"/>
          </w:tcPr>
          <w:p>
            <w:pPr>
              <w:widowControl/>
              <w:adjustRightInd w:val="0"/>
              <w:snapToGrid w:val="0"/>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612" w:type="dxa"/>
            <w:tcBorders>
              <w:top w:val="nil"/>
              <w:left w:val="nil"/>
              <w:bottom w:val="nil"/>
              <w:right w:val="single" w:color="auto" w:sz="4" w:space="0"/>
            </w:tcBorders>
            <w:vAlign w:val="center"/>
          </w:tcPr>
          <w:p>
            <w:pPr>
              <w:widowControl/>
              <w:adjustRightInd w:val="0"/>
              <w:snapToGrid w:val="0"/>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570" w:hRule="atLeast"/>
        </w:trPr>
        <w:tc>
          <w:tcPr>
            <w:tcW w:w="28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eastAsia="宋体" w:cs="宋体"/>
                <w:color w:val="000000"/>
                <w:kern w:val="0"/>
                <w:szCs w:val="21"/>
              </w:rPr>
            </w:pPr>
          </w:p>
        </w:tc>
        <w:tc>
          <w:tcPr>
            <w:tcW w:w="920"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eastAsia="宋体" w:cs="宋体"/>
                <w:color w:val="000000"/>
                <w:kern w:val="0"/>
                <w:szCs w:val="21"/>
              </w:rPr>
            </w:pPr>
          </w:p>
        </w:tc>
        <w:tc>
          <w:tcPr>
            <w:tcW w:w="1505"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843"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612"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eastAsia="宋体" w:cs="宋体"/>
                <w:color w:val="000000"/>
                <w:kern w:val="0"/>
                <w:szCs w:val="21"/>
              </w:rPr>
            </w:pPr>
          </w:p>
        </w:tc>
        <w:tc>
          <w:tcPr>
            <w:tcW w:w="920" w:type="dxa"/>
            <w:tcBorders>
              <w:top w:val="nil"/>
              <w:left w:val="nil"/>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eastAsia="宋体" w:cs="宋体"/>
                <w:color w:val="000000"/>
                <w:kern w:val="0"/>
                <w:szCs w:val="21"/>
              </w:rPr>
            </w:pPr>
          </w:p>
        </w:tc>
        <w:tc>
          <w:tcPr>
            <w:tcW w:w="1505" w:type="dxa"/>
            <w:tcBorders>
              <w:top w:val="nil"/>
              <w:left w:val="nil"/>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843" w:type="dxa"/>
            <w:tcBorders>
              <w:top w:val="nil"/>
              <w:left w:val="nil"/>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612" w:type="dxa"/>
            <w:tcBorders>
              <w:top w:val="nil"/>
              <w:left w:val="nil"/>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eastAsia="宋体" w:cs="宋体"/>
                <w:color w:val="000000"/>
                <w:kern w:val="0"/>
                <w:szCs w:val="21"/>
              </w:rPr>
            </w:pPr>
          </w:p>
        </w:tc>
        <w:tc>
          <w:tcPr>
            <w:tcW w:w="920" w:type="dxa"/>
            <w:tcBorders>
              <w:top w:val="nil"/>
              <w:left w:val="nil"/>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eastAsia="宋体" w:cs="宋体"/>
                <w:color w:val="000000"/>
                <w:kern w:val="0"/>
                <w:szCs w:val="21"/>
              </w:rPr>
            </w:pPr>
          </w:p>
        </w:tc>
        <w:tc>
          <w:tcPr>
            <w:tcW w:w="1505" w:type="dxa"/>
            <w:tcBorders>
              <w:top w:val="nil"/>
              <w:left w:val="nil"/>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843" w:type="dxa"/>
            <w:tcBorders>
              <w:top w:val="nil"/>
              <w:left w:val="nil"/>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612" w:type="dxa"/>
            <w:tcBorders>
              <w:top w:val="nil"/>
              <w:left w:val="nil"/>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eastAsia="宋体" w:cs="宋体"/>
                <w:color w:val="000000"/>
                <w:kern w:val="0"/>
                <w:szCs w:val="21"/>
              </w:rPr>
            </w:pPr>
          </w:p>
        </w:tc>
        <w:tc>
          <w:tcPr>
            <w:tcW w:w="920" w:type="dxa"/>
            <w:tcBorders>
              <w:top w:val="nil"/>
              <w:left w:val="nil"/>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eastAsia="宋体" w:cs="宋体"/>
                <w:color w:val="000000"/>
                <w:kern w:val="0"/>
                <w:szCs w:val="21"/>
              </w:rPr>
            </w:pPr>
          </w:p>
        </w:tc>
        <w:tc>
          <w:tcPr>
            <w:tcW w:w="1505" w:type="dxa"/>
            <w:tcBorders>
              <w:top w:val="nil"/>
              <w:left w:val="nil"/>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843" w:type="dxa"/>
            <w:tcBorders>
              <w:top w:val="nil"/>
              <w:left w:val="nil"/>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612" w:type="dxa"/>
            <w:tcBorders>
              <w:top w:val="nil"/>
              <w:left w:val="nil"/>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eastAsia="宋体" w:cs="宋体"/>
                <w:color w:val="000000"/>
                <w:kern w:val="0"/>
                <w:szCs w:val="21"/>
              </w:rPr>
            </w:pPr>
          </w:p>
        </w:tc>
        <w:tc>
          <w:tcPr>
            <w:tcW w:w="920" w:type="dxa"/>
            <w:tcBorders>
              <w:top w:val="nil"/>
              <w:left w:val="nil"/>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eastAsia="宋体" w:cs="宋体"/>
                <w:color w:val="000000"/>
                <w:kern w:val="0"/>
                <w:szCs w:val="21"/>
              </w:rPr>
            </w:pPr>
          </w:p>
        </w:tc>
        <w:tc>
          <w:tcPr>
            <w:tcW w:w="1505" w:type="dxa"/>
            <w:tcBorders>
              <w:top w:val="nil"/>
              <w:left w:val="nil"/>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843" w:type="dxa"/>
            <w:tcBorders>
              <w:top w:val="nil"/>
              <w:left w:val="nil"/>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612" w:type="dxa"/>
            <w:tcBorders>
              <w:top w:val="nil"/>
              <w:left w:val="nil"/>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eastAsia="宋体" w:cs="宋体"/>
                <w:color w:val="000000"/>
                <w:kern w:val="0"/>
                <w:szCs w:val="21"/>
              </w:rPr>
            </w:pPr>
          </w:p>
        </w:tc>
        <w:tc>
          <w:tcPr>
            <w:tcW w:w="920" w:type="dxa"/>
            <w:tcBorders>
              <w:top w:val="nil"/>
              <w:left w:val="nil"/>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eastAsia="宋体" w:cs="宋体"/>
                <w:color w:val="000000"/>
                <w:kern w:val="0"/>
                <w:szCs w:val="21"/>
              </w:rPr>
            </w:pPr>
          </w:p>
        </w:tc>
        <w:tc>
          <w:tcPr>
            <w:tcW w:w="1505" w:type="dxa"/>
            <w:tcBorders>
              <w:top w:val="nil"/>
              <w:left w:val="nil"/>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843" w:type="dxa"/>
            <w:tcBorders>
              <w:top w:val="nil"/>
              <w:left w:val="nil"/>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612" w:type="dxa"/>
            <w:tcBorders>
              <w:top w:val="nil"/>
              <w:left w:val="nil"/>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eastAsia="宋体" w:cs="宋体"/>
                <w:color w:val="000000"/>
                <w:kern w:val="0"/>
                <w:szCs w:val="21"/>
              </w:rPr>
            </w:pPr>
          </w:p>
        </w:tc>
        <w:tc>
          <w:tcPr>
            <w:tcW w:w="920" w:type="dxa"/>
            <w:tcBorders>
              <w:top w:val="nil"/>
              <w:left w:val="nil"/>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eastAsia="宋体" w:cs="宋体"/>
                <w:color w:val="000000"/>
                <w:kern w:val="0"/>
                <w:szCs w:val="21"/>
              </w:rPr>
            </w:pPr>
          </w:p>
        </w:tc>
        <w:tc>
          <w:tcPr>
            <w:tcW w:w="1505" w:type="dxa"/>
            <w:tcBorders>
              <w:top w:val="nil"/>
              <w:left w:val="nil"/>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843" w:type="dxa"/>
            <w:tcBorders>
              <w:top w:val="nil"/>
              <w:left w:val="nil"/>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612" w:type="dxa"/>
            <w:tcBorders>
              <w:top w:val="nil"/>
              <w:left w:val="nil"/>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eastAsia="宋体" w:cs="宋体"/>
                <w:color w:val="000000"/>
                <w:kern w:val="0"/>
                <w:szCs w:val="21"/>
              </w:rPr>
            </w:pPr>
          </w:p>
        </w:tc>
        <w:tc>
          <w:tcPr>
            <w:tcW w:w="920" w:type="dxa"/>
            <w:tcBorders>
              <w:top w:val="nil"/>
              <w:left w:val="nil"/>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eastAsia="宋体" w:cs="宋体"/>
                <w:color w:val="000000"/>
                <w:kern w:val="0"/>
                <w:szCs w:val="21"/>
              </w:rPr>
            </w:pPr>
          </w:p>
        </w:tc>
        <w:tc>
          <w:tcPr>
            <w:tcW w:w="1505" w:type="dxa"/>
            <w:tcBorders>
              <w:top w:val="nil"/>
              <w:left w:val="nil"/>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843" w:type="dxa"/>
            <w:tcBorders>
              <w:top w:val="nil"/>
              <w:left w:val="nil"/>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612" w:type="dxa"/>
            <w:tcBorders>
              <w:top w:val="nil"/>
              <w:left w:val="nil"/>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eastAsia="宋体" w:cs="宋体"/>
                <w:color w:val="000000"/>
                <w:kern w:val="0"/>
                <w:szCs w:val="21"/>
              </w:rPr>
            </w:pPr>
          </w:p>
        </w:tc>
        <w:tc>
          <w:tcPr>
            <w:tcW w:w="920" w:type="dxa"/>
            <w:tcBorders>
              <w:top w:val="nil"/>
              <w:left w:val="nil"/>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eastAsia="宋体" w:cs="宋体"/>
                <w:color w:val="000000"/>
                <w:kern w:val="0"/>
                <w:szCs w:val="21"/>
              </w:rPr>
            </w:pPr>
          </w:p>
        </w:tc>
        <w:tc>
          <w:tcPr>
            <w:tcW w:w="1505" w:type="dxa"/>
            <w:tcBorders>
              <w:top w:val="nil"/>
              <w:left w:val="nil"/>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843" w:type="dxa"/>
            <w:tcBorders>
              <w:top w:val="nil"/>
              <w:left w:val="nil"/>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612" w:type="dxa"/>
            <w:tcBorders>
              <w:top w:val="nil"/>
              <w:left w:val="nil"/>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eastAsia="宋体" w:cs="宋体"/>
                <w:color w:val="000000"/>
                <w:kern w:val="0"/>
                <w:szCs w:val="21"/>
              </w:rPr>
            </w:pPr>
          </w:p>
        </w:tc>
        <w:tc>
          <w:tcPr>
            <w:tcW w:w="920" w:type="dxa"/>
            <w:tcBorders>
              <w:top w:val="nil"/>
              <w:left w:val="nil"/>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eastAsia="宋体" w:cs="宋体"/>
                <w:color w:val="000000"/>
                <w:kern w:val="0"/>
                <w:szCs w:val="21"/>
              </w:rPr>
            </w:pPr>
          </w:p>
        </w:tc>
        <w:tc>
          <w:tcPr>
            <w:tcW w:w="1505" w:type="dxa"/>
            <w:tcBorders>
              <w:top w:val="nil"/>
              <w:left w:val="nil"/>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843" w:type="dxa"/>
            <w:tcBorders>
              <w:top w:val="nil"/>
              <w:left w:val="nil"/>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612" w:type="dxa"/>
            <w:tcBorders>
              <w:top w:val="nil"/>
              <w:left w:val="nil"/>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eastAsia="宋体" w:cs="宋体"/>
                <w:color w:val="000000"/>
                <w:kern w:val="0"/>
                <w:szCs w:val="21"/>
              </w:rPr>
            </w:pPr>
          </w:p>
        </w:tc>
        <w:tc>
          <w:tcPr>
            <w:tcW w:w="920" w:type="dxa"/>
            <w:tcBorders>
              <w:top w:val="nil"/>
              <w:left w:val="nil"/>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eastAsia="宋体" w:cs="宋体"/>
                <w:color w:val="000000"/>
                <w:kern w:val="0"/>
                <w:szCs w:val="21"/>
              </w:rPr>
            </w:pPr>
          </w:p>
        </w:tc>
        <w:tc>
          <w:tcPr>
            <w:tcW w:w="1505" w:type="dxa"/>
            <w:tcBorders>
              <w:top w:val="nil"/>
              <w:left w:val="nil"/>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843" w:type="dxa"/>
            <w:tcBorders>
              <w:top w:val="nil"/>
              <w:left w:val="nil"/>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612" w:type="dxa"/>
            <w:tcBorders>
              <w:top w:val="nil"/>
              <w:left w:val="nil"/>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eastAsia="宋体" w:cs="宋体"/>
                <w:color w:val="000000"/>
                <w:kern w:val="0"/>
                <w:szCs w:val="21"/>
              </w:rPr>
            </w:pPr>
          </w:p>
        </w:tc>
        <w:tc>
          <w:tcPr>
            <w:tcW w:w="920" w:type="dxa"/>
            <w:tcBorders>
              <w:top w:val="nil"/>
              <w:left w:val="nil"/>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eastAsia="宋体" w:cs="宋体"/>
                <w:color w:val="000000"/>
                <w:kern w:val="0"/>
                <w:szCs w:val="21"/>
              </w:rPr>
            </w:pPr>
          </w:p>
        </w:tc>
        <w:tc>
          <w:tcPr>
            <w:tcW w:w="1505" w:type="dxa"/>
            <w:tcBorders>
              <w:top w:val="nil"/>
              <w:left w:val="nil"/>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843" w:type="dxa"/>
            <w:tcBorders>
              <w:top w:val="nil"/>
              <w:left w:val="nil"/>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612" w:type="dxa"/>
            <w:tcBorders>
              <w:top w:val="nil"/>
              <w:left w:val="nil"/>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570" w:hRule="atLeast"/>
        </w:trPr>
        <w:tc>
          <w:tcPr>
            <w:tcW w:w="374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结论</w:t>
            </w:r>
          </w:p>
        </w:tc>
        <w:tc>
          <w:tcPr>
            <w:tcW w:w="1505" w:type="dxa"/>
            <w:tcBorders>
              <w:top w:val="nil"/>
              <w:left w:val="nil"/>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843" w:type="dxa"/>
            <w:tcBorders>
              <w:top w:val="nil"/>
              <w:left w:val="nil"/>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612" w:type="dxa"/>
            <w:tcBorders>
              <w:top w:val="nil"/>
              <w:left w:val="nil"/>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465" w:hRule="atLeast"/>
        </w:trPr>
        <w:tc>
          <w:tcPr>
            <w:tcW w:w="2820" w:type="dxa"/>
            <w:tcBorders>
              <w:top w:val="nil"/>
              <w:left w:val="nil"/>
              <w:bottom w:val="nil"/>
              <w:right w:val="nil"/>
            </w:tcBorders>
            <w:vAlign w:val="center"/>
          </w:tcPr>
          <w:p>
            <w:pPr>
              <w:widowControl/>
              <w:adjustRightInd w:val="0"/>
              <w:snapToGrid w:val="0"/>
              <w:spacing w:line="360" w:lineRule="auto"/>
              <w:jc w:val="center"/>
              <w:rPr>
                <w:rFonts w:hint="eastAsia" w:ascii="宋体" w:hAnsi="宋体" w:eastAsia="宋体" w:cs="宋体"/>
                <w:color w:val="000000"/>
                <w:kern w:val="0"/>
                <w:szCs w:val="21"/>
              </w:rPr>
            </w:pPr>
          </w:p>
        </w:tc>
        <w:tc>
          <w:tcPr>
            <w:tcW w:w="920" w:type="dxa"/>
            <w:tcBorders>
              <w:top w:val="nil"/>
              <w:left w:val="nil"/>
              <w:bottom w:val="nil"/>
              <w:right w:val="nil"/>
            </w:tcBorders>
            <w:vAlign w:val="center"/>
          </w:tcPr>
          <w:p>
            <w:pPr>
              <w:widowControl/>
              <w:adjustRightInd w:val="0"/>
              <w:snapToGrid w:val="0"/>
              <w:spacing w:line="360" w:lineRule="auto"/>
              <w:jc w:val="center"/>
              <w:rPr>
                <w:rFonts w:hint="eastAsia" w:ascii="宋体" w:hAnsi="宋体" w:eastAsia="宋体" w:cs="宋体"/>
                <w:color w:val="000000"/>
                <w:kern w:val="0"/>
                <w:szCs w:val="21"/>
              </w:rPr>
            </w:pPr>
          </w:p>
        </w:tc>
        <w:tc>
          <w:tcPr>
            <w:tcW w:w="1505" w:type="dxa"/>
            <w:tcBorders>
              <w:top w:val="nil"/>
              <w:left w:val="nil"/>
              <w:bottom w:val="nil"/>
              <w:right w:val="nil"/>
            </w:tcBorders>
            <w:vAlign w:val="center"/>
          </w:tcPr>
          <w:p>
            <w:pPr>
              <w:widowControl/>
              <w:adjustRightInd w:val="0"/>
              <w:snapToGrid w:val="0"/>
              <w:spacing w:line="360" w:lineRule="auto"/>
              <w:jc w:val="center"/>
              <w:rPr>
                <w:rFonts w:hint="eastAsia" w:ascii="宋体" w:hAnsi="宋体" w:eastAsia="宋体" w:cs="宋体"/>
                <w:kern w:val="0"/>
                <w:szCs w:val="21"/>
              </w:rPr>
            </w:pPr>
          </w:p>
        </w:tc>
        <w:tc>
          <w:tcPr>
            <w:tcW w:w="1843" w:type="dxa"/>
            <w:tcBorders>
              <w:top w:val="nil"/>
              <w:left w:val="nil"/>
              <w:bottom w:val="nil"/>
              <w:right w:val="nil"/>
            </w:tcBorders>
            <w:vAlign w:val="center"/>
          </w:tcPr>
          <w:p>
            <w:pPr>
              <w:widowControl/>
              <w:adjustRightInd w:val="0"/>
              <w:snapToGrid w:val="0"/>
              <w:spacing w:line="360" w:lineRule="auto"/>
              <w:jc w:val="left"/>
              <w:rPr>
                <w:rFonts w:hint="eastAsia" w:ascii="宋体" w:hAnsi="宋体" w:eastAsia="宋体" w:cs="宋体"/>
                <w:kern w:val="0"/>
                <w:szCs w:val="21"/>
              </w:rPr>
            </w:pPr>
          </w:p>
        </w:tc>
        <w:tc>
          <w:tcPr>
            <w:tcW w:w="1612" w:type="dxa"/>
            <w:tcBorders>
              <w:top w:val="nil"/>
              <w:left w:val="nil"/>
              <w:bottom w:val="nil"/>
              <w:right w:val="nil"/>
            </w:tcBorders>
            <w:vAlign w:val="center"/>
          </w:tcPr>
          <w:p>
            <w:pPr>
              <w:widowControl/>
              <w:adjustRightInd w:val="0"/>
              <w:snapToGrid w:val="0"/>
              <w:spacing w:line="360" w:lineRule="auto"/>
              <w:jc w:val="left"/>
              <w:rPr>
                <w:rFonts w:hint="eastAsia" w:ascii="宋体" w:hAnsi="宋体" w:eastAsia="宋体" w:cs="宋体"/>
                <w:color w:val="000000"/>
                <w:kern w:val="0"/>
                <w:szCs w:val="21"/>
              </w:rPr>
            </w:pPr>
          </w:p>
        </w:tc>
      </w:tr>
    </w:tbl>
    <w:p>
      <w:pPr>
        <w:pStyle w:val="11"/>
        <w:tabs>
          <w:tab w:val="clear" w:pos="567"/>
        </w:tabs>
        <w:spacing w:before="0" w:line="360" w:lineRule="auto"/>
        <w:ind w:left="-181" w:leftChars="-86" w:firstLine="660" w:firstLineChars="275"/>
        <w:rPr>
          <w:rFonts w:hint="eastAsia" w:ascii="宋体" w:hAnsi="宋体" w:eastAsia="宋体" w:cs="宋体"/>
          <w:color w:val="FF0000"/>
        </w:rPr>
      </w:pPr>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wps:spPr>
                    <wps:txbx>
                      <w:txbxContent>
                        <w:p>
                          <w:pPr>
                            <w:pStyle w:val="14"/>
                            <w:rPr>
                              <w:rStyle w:val="21"/>
                            </w:rPr>
                          </w:pPr>
                          <w:r>
                            <w:fldChar w:fldCharType="begin"/>
                          </w:r>
                          <w:r>
                            <w:rPr>
                              <w:rStyle w:val="21"/>
                            </w:rPr>
                            <w:instrText xml:space="preserve">PAGE  </w:instrText>
                          </w:r>
                          <w:r>
                            <w:fldChar w:fldCharType="separate"/>
                          </w:r>
                          <w:r>
                            <w:rPr>
                              <w:rStyle w:val="21"/>
                            </w:rPr>
                            <w:t>24</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LW7l30AAAAAIBAAAPAAAAAAAAAAEAIAAAACIAAABk&#10;cnMvZG93bnJldi54bWxQSwECFAAUAAAACACHTuJAh8Xjbw4CAAAPBAAADgAAAAAAAAABACAAAAAf&#10;AQAAZHJzL2Uyb0RvYy54bWxQSwUGAAAAAAYABgBZAQAAnwUAAAAA&#10;">
              <v:fill on="f" focussize="0,0"/>
              <v:stroke on="f"/>
              <v:imagedata o:title=""/>
              <o:lock v:ext="edit" aspectratio="f"/>
              <v:textbox inset="0mm,0mm,0mm,0mm" style="mso-fit-shape-to-text:t;">
                <w:txbxContent>
                  <w:p>
                    <w:pPr>
                      <w:pStyle w:val="14"/>
                      <w:rPr>
                        <w:rStyle w:val="21"/>
                      </w:rPr>
                    </w:pPr>
                    <w:r>
                      <w:fldChar w:fldCharType="begin"/>
                    </w:r>
                    <w:r>
                      <w:rPr>
                        <w:rStyle w:val="21"/>
                      </w:rPr>
                      <w:instrText xml:space="preserve">PAGE  </w:instrText>
                    </w:r>
                    <w:r>
                      <w:fldChar w:fldCharType="separate"/>
                    </w:r>
                    <w:r>
                      <w:rPr>
                        <w:rStyle w:val="21"/>
                      </w:rPr>
                      <w:t>24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fldChar w:fldCharType="begin"/>
    </w:r>
    <w:r>
      <w:rPr>
        <w:rStyle w:val="21"/>
      </w:rPr>
      <w:instrText xml:space="preserve">PAGE  </w:instrText>
    </w:r>
    <w: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FC4CF3"/>
    <w:multiLevelType w:val="singleLevel"/>
    <w:tmpl w:val="A5FC4CF3"/>
    <w:lvl w:ilvl="0" w:tentative="0">
      <w:start w:val="1"/>
      <w:numFmt w:val="decimal"/>
      <w:lvlText w:val="%1)"/>
      <w:lvlJc w:val="left"/>
      <w:pPr>
        <w:ind w:left="425" w:hanging="425"/>
      </w:pPr>
      <w:rPr>
        <w:rFonts w:hint="default"/>
      </w:rPr>
    </w:lvl>
  </w:abstractNum>
  <w:abstractNum w:abstractNumId="1">
    <w:nsid w:val="00000001"/>
    <w:multiLevelType w:val="singleLevel"/>
    <w:tmpl w:val="00000001"/>
    <w:lvl w:ilvl="0" w:tentative="0">
      <w:start w:val="1"/>
      <w:numFmt w:val="decimal"/>
      <w:lvlText w:val="%1."/>
      <w:lvlJc w:val="left"/>
      <w:pPr>
        <w:ind w:left="420" w:hanging="420"/>
      </w:pPr>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00000004"/>
    <w:multiLevelType w:val="multilevel"/>
    <w:tmpl w:val="00000004"/>
    <w:lvl w:ilvl="0" w:tentative="0">
      <w:start w:val="4"/>
      <w:numFmt w:val="japaneseCounting"/>
      <w:lvlText w:val="第%1章"/>
      <w:lvlJc w:val="left"/>
      <w:pPr>
        <w:tabs>
          <w:tab w:val="left" w:pos="1830"/>
        </w:tabs>
        <w:ind w:left="1830" w:hanging="1290"/>
      </w:pPr>
      <w:rPr>
        <w:rFonts w:hint="default"/>
        <w:b/>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4">
    <w:nsid w:val="00000005"/>
    <w:multiLevelType w:val="multilevel"/>
    <w:tmpl w:val="00000005"/>
    <w:lvl w:ilvl="0" w:tentative="0">
      <w:start w:val="1"/>
      <w:numFmt w:val="decimal"/>
      <w:lvlText w:val="%1."/>
      <w:lvlJc w:val="left"/>
      <w:pPr>
        <w:tabs>
          <w:tab w:val="left" w:pos="600"/>
        </w:tabs>
        <w:ind w:left="600" w:hanging="60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81D7CF8"/>
    <w:multiLevelType w:val="multilevel"/>
    <w:tmpl w:val="081D7CF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8F302A4"/>
    <w:multiLevelType w:val="multilevel"/>
    <w:tmpl w:val="08F302A4"/>
    <w:lvl w:ilvl="0" w:tentative="0">
      <w:start w:val="1"/>
      <w:numFmt w:val="decimal"/>
      <w:lvlText w:val="%1)"/>
      <w:lvlJc w:val="left"/>
      <w:pPr>
        <w:ind w:left="420" w:hanging="420"/>
      </w:pPr>
      <w:rPr>
        <w:rFonts w:hint="eastAsia"/>
      </w:rPr>
    </w:lvl>
    <w:lvl w:ilvl="1" w:tentative="0">
      <w:start w:val="3"/>
      <w:numFmt w:val="japaneseCounting"/>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8F66BC1"/>
    <w:multiLevelType w:val="multilevel"/>
    <w:tmpl w:val="08F66BC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BE32FEF"/>
    <w:multiLevelType w:val="multilevel"/>
    <w:tmpl w:val="0BE32FEF"/>
    <w:lvl w:ilvl="0" w:tentative="0">
      <w:start w:val="1"/>
      <w:numFmt w:val="decimal"/>
      <w:lvlText w:val="%1)"/>
      <w:lvlJc w:val="left"/>
      <w:pPr>
        <w:ind w:left="420" w:hanging="420"/>
      </w:pPr>
      <w:rPr>
        <w:rFonts w:hint="eastAsia"/>
      </w:rPr>
    </w:lvl>
    <w:lvl w:ilvl="1" w:tentative="0">
      <w:start w:val="4"/>
      <w:numFmt w:val="japaneseCounting"/>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CE97C6D"/>
    <w:multiLevelType w:val="multilevel"/>
    <w:tmpl w:val="0CE97C6D"/>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5620FAB"/>
    <w:multiLevelType w:val="multilevel"/>
    <w:tmpl w:val="15620FA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96EA3E8"/>
    <w:multiLevelType w:val="singleLevel"/>
    <w:tmpl w:val="296EA3E8"/>
    <w:lvl w:ilvl="0" w:tentative="0">
      <w:start w:val="1"/>
      <w:numFmt w:val="decimal"/>
      <w:lvlText w:val="%1)"/>
      <w:lvlJc w:val="left"/>
      <w:pPr>
        <w:ind w:left="425" w:hanging="425"/>
      </w:pPr>
      <w:rPr>
        <w:rFonts w:hint="default"/>
      </w:rPr>
    </w:lvl>
  </w:abstractNum>
  <w:abstractNum w:abstractNumId="12">
    <w:nsid w:val="2C2B1C56"/>
    <w:multiLevelType w:val="multilevel"/>
    <w:tmpl w:val="2C2B1C56"/>
    <w:lvl w:ilvl="0" w:tentative="0">
      <w:start w:val="1"/>
      <w:numFmt w:val="decimal"/>
      <w:lvlText w:val="%1)"/>
      <w:lvlJc w:val="left"/>
      <w:pPr>
        <w:ind w:left="420" w:hanging="420"/>
      </w:pPr>
      <w:rPr>
        <w:rFonts w:hint="eastAsia"/>
      </w:rPr>
    </w:lvl>
    <w:lvl w:ilvl="1" w:tentative="0">
      <w:start w:val="3"/>
      <w:numFmt w:val="japaneseCounting"/>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F4B0BC6"/>
    <w:multiLevelType w:val="multilevel"/>
    <w:tmpl w:val="2F4B0BC6"/>
    <w:lvl w:ilvl="0" w:tentative="0">
      <w:start w:val="1"/>
      <w:numFmt w:val="decimal"/>
      <w:lvlText w:val="%1)"/>
      <w:lvlJc w:val="left"/>
      <w:pPr>
        <w:ind w:left="420" w:hanging="420"/>
      </w:pPr>
      <w:rPr>
        <w:rFonts w:hint="eastAsia"/>
      </w:rPr>
    </w:lvl>
    <w:lvl w:ilvl="1" w:tentative="0">
      <w:start w:val="3"/>
      <w:numFmt w:val="japaneseCounting"/>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BE44E61"/>
    <w:multiLevelType w:val="multilevel"/>
    <w:tmpl w:val="3BE44E61"/>
    <w:lvl w:ilvl="0" w:tentative="0">
      <w:start w:val="1"/>
      <w:numFmt w:val="decimal"/>
      <w:lvlText w:val="%1)"/>
      <w:lvlJc w:val="left"/>
      <w:pPr>
        <w:ind w:left="420" w:hanging="420"/>
      </w:pPr>
      <w:rPr>
        <w:rFonts w:hint="eastAsia"/>
      </w:rPr>
    </w:lvl>
    <w:lvl w:ilvl="1" w:tentative="0">
      <w:start w:val="3"/>
      <w:numFmt w:val="japaneseCounting"/>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D4C3BBF"/>
    <w:multiLevelType w:val="multilevel"/>
    <w:tmpl w:val="3D4C3BBF"/>
    <w:lvl w:ilvl="0" w:tentative="0">
      <w:start w:val="1"/>
      <w:numFmt w:val="decimal"/>
      <w:lvlText w:val="%1)"/>
      <w:lvlJc w:val="left"/>
      <w:pPr>
        <w:ind w:left="420" w:hanging="420"/>
      </w:pPr>
      <w:rPr>
        <w:rFonts w:hint="eastAsia"/>
      </w:rPr>
    </w:lvl>
    <w:lvl w:ilvl="1" w:tentative="0">
      <w:start w:val="3"/>
      <w:numFmt w:val="japaneseCounting"/>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FDE67F5"/>
    <w:multiLevelType w:val="multilevel"/>
    <w:tmpl w:val="3FDE67F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08D2538"/>
    <w:multiLevelType w:val="multilevel"/>
    <w:tmpl w:val="408D253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C1D4AA3"/>
    <w:multiLevelType w:val="multilevel"/>
    <w:tmpl w:val="4C1D4AA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C4124EF"/>
    <w:multiLevelType w:val="multilevel"/>
    <w:tmpl w:val="4C4124E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F4C5D8E"/>
    <w:multiLevelType w:val="multilevel"/>
    <w:tmpl w:val="4F4C5D8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6E56A2C"/>
    <w:multiLevelType w:val="multilevel"/>
    <w:tmpl w:val="56E56A2C"/>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8D6586F"/>
    <w:multiLevelType w:val="multilevel"/>
    <w:tmpl w:val="58D6586F"/>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E6A61F3"/>
    <w:multiLevelType w:val="multilevel"/>
    <w:tmpl w:val="5E6A61F3"/>
    <w:lvl w:ilvl="0" w:tentative="0">
      <w:start w:val="1"/>
      <w:numFmt w:val="decimal"/>
      <w:lvlText w:val="%1)"/>
      <w:lvlJc w:val="left"/>
      <w:pPr>
        <w:ind w:left="420" w:hanging="420"/>
      </w:pPr>
      <w:rPr>
        <w:rFonts w:hint="eastAsia"/>
      </w:rPr>
    </w:lvl>
    <w:lvl w:ilvl="1" w:tentative="0">
      <w:start w:val="3"/>
      <w:numFmt w:val="japaneseCounting"/>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40C7F3F"/>
    <w:multiLevelType w:val="multilevel"/>
    <w:tmpl w:val="640C7F3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6813DB4"/>
    <w:multiLevelType w:val="multilevel"/>
    <w:tmpl w:val="66813DB4"/>
    <w:lvl w:ilvl="0" w:tentative="0">
      <w:start w:val="1"/>
      <w:numFmt w:val="decimal"/>
      <w:lvlText w:val="（%1）"/>
      <w:lvlJc w:val="left"/>
      <w:pPr>
        <w:ind w:left="720" w:hanging="720"/>
      </w:pPr>
      <w:rPr>
        <w:rFonts w:hint="default" w:ascii="Calibri" w:hAnsi="Calibri"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DEF3507"/>
    <w:multiLevelType w:val="multilevel"/>
    <w:tmpl w:val="6DEF3507"/>
    <w:lvl w:ilvl="0" w:tentative="0">
      <w:start w:val="1"/>
      <w:numFmt w:val="decimal"/>
      <w:lvlText w:val="%1)"/>
      <w:lvlJc w:val="left"/>
      <w:pPr>
        <w:ind w:left="420" w:hanging="420"/>
      </w:pPr>
      <w:rPr>
        <w:rFonts w:hint="eastAsia"/>
      </w:rPr>
    </w:lvl>
    <w:lvl w:ilvl="1" w:tentative="0">
      <w:start w:val="4"/>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0385FB0"/>
    <w:multiLevelType w:val="multilevel"/>
    <w:tmpl w:val="70385FB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F2F7324"/>
    <w:multiLevelType w:val="multilevel"/>
    <w:tmpl w:val="7F2F7324"/>
    <w:lvl w:ilvl="0" w:tentative="0">
      <w:start w:val="1"/>
      <w:numFmt w:val="bullet"/>
      <w:lvlText w:val=""/>
      <w:lvlJc w:val="left"/>
      <w:pPr>
        <w:ind w:left="1440" w:hanging="420"/>
      </w:pPr>
      <w:rPr>
        <w:rFonts w:hint="default" w:ascii="Wingdings" w:hAnsi="Wingdings"/>
      </w:rPr>
    </w:lvl>
    <w:lvl w:ilvl="1" w:tentative="0">
      <w:start w:val="1"/>
      <w:numFmt w:val="bullet"/>
      <w:lvlText w:val=""/>
      <w:lvlJc w:val="left"/>
      <w:pPr>
        <w:ind w:left="1860" w:hanging="420"/>
      </w:pPr>
      <w:rPr>
        <w:rFonts w:hint="default" w:ascii="Wingdings" w:hAnsi="Wingdings"/>
      </w:rPr>
    </w:lvl>
    <w:lvl w:ilvl="2" w:tentative="0">
      <w:start w:val="1"/>
      <w:numFmt w:val="bullet"/>
      <w:lvlText w:val=""/>
      <w:lvlJc w:val="left"/>
      <w:pPr>
        <w:ind w:left="2280" w:hanging="420"/>
      </w:pPr>
      <w:rPr>
        <w:rFonts w:hint="default" w:ascii="Wingdings" w:hAnsi="Wingdings"/>
      </w:rPr>
    </w:lvl>
    <w:lvl w:ilvl="3" w:tentative="0">
      <w:start w:val="1"/>
      <w:numFmt w:val="bullet"/>
      <w:lvlText w:val=""/>
      <w:lvlJc w:val="left"/>
      <w:pPr>
        <w:ind w:left="2700" w:hanging="420"/>
      </w:pPr>
      <w:rPr>
        <w:rFonts w:hint="default" w:ascii="Wingdings" w:hAnsi="Wingdings"/>
      </w:rPr>
    </w:lvl>
    <w:lvl w:ilvl="4" w:tentative="0">
      <w:start w:val="1"/>
      <w:numFmt w:val="bullet"/>
      <w:lvlText w:val=""/>
      <w:lvlJc w:val="left"/>
      <w:pPr>
        <w:ind w:left="3120" w:hanging="420"/>
      </w:pPr>
      <w:rPr>
        <w:rFonts w:hint="default" w:ascii="Wingdings" w:hAnsi="Wingdings"/>
      </w:rPr>
    </w:lvl>
    <w:lvl w:ilvl="5" w:tentative="0">
      <w:start w:val="1"/>
      <w:numFmt w:val="bullet"/>
      <w:lvlText w:val=""/>
      <w:lvlJc w:val="left"/>
      <w:pPr>
        <w:ind w:left="3540" w:hanging="420"/>
      </w:pPr>
      <w:rPr>
        <w:rFonts w:hint="default" w:ascii="Wingdings" w:hAnsi="Wingdings"/>
      </w:rPr>
    </w:lvl>
    <w:lvl w:ilvl="6" w:tentative="0">
      <w:start w:val="1"/>
      <w:numFmt w:val="bullet"/>
      <w:lvlText w:val=""/>
      <w:lvlJc w:val="left"/>
      <w:pPr>
        <w:ind w:left="3960" w:hanging="420"/>
      </w:pPr>
      <w:rPr>
        <w:rFonts w:hint="default" w:ascii="Wingdings" w:hAnsi="Wingdings"/>
      </w:rPr>
    </w:lvl>
    <w:lvl w:ilvl="7" w:tentative="0">
      <w:start w:val="1"/>
      <w:numFmt w:val="bullet"/>
      <w:lvlText w:val=""/>
      <w:lvlJc w:val="left"/>
      <w:pPr>
        <w:ind w:left="4380" w:hanging="420"/>
      </w:pPr>
      <w:rPr>
        <w:rFonts w:hint="default" w:ascii="Wingdings" w:hAnsi="Wingdings"/>
      </w:rPr>
    </w:lvl>
    <w:lvl w:ilvl="8" w:tentative="0">
      <w:start w:val="1"/>
      <w:numFmt w:val="bullet"/>
      <w:lvlText w:val=""/>
      <w:lvlJc w:val="left"/>
      <w:pPr>
        <w:ind w:left="4800" w:hanging="420"/>
      </w:pPr>
      <w:rPr>
        <w:rFonts w:hint="default" w:ascii="Wingdings" w:hAnsi="Wingdings"/>
      </w:rPr>
    </w:lvl>
  </w:abstractNum>
  <w:num w:numId="1">
    <w:abstractNumId w:val="3"/>
  </w:num>
  <w:num w:numId="2">
    <w:abstractNumId w:val="4"/>
  </w:num>
  <w:num w:numId="3">
    <w:abstractNumId w:val="28"/>
  </w:num>
  <w:num w:numId="4">
    <w:abstractNumId w:val="2"/>
  </w:num>
  <w:num w:numId="5">
    <w:abstractNumId w:val="1"/>
  </w:num>
  <w:num w:numId="6">
    <w:abstractNumId w:val="22"/>
  </w:num>
  <w:num w:numId="7">
    <w:abstractNumId w:val="11"/>
  </w:num>
  <w:num w:numId="8">
    <w:abstractNumId w:val="0"/>
  </w:num>
  <w:num w:numId="9">
    <w:abstractNumId w:val="26"/>
  </w:num>
  <w:num w:numId="10">
    <w:abstractNumId w:val="17"/>
  </w:num>
  <w:num w:numId="11">
    <w:abstractNumId w:val="27"/>
  </w:num>
  <w:num w:numId="12">
    <w:abstractNumId w:val="19"/>
  </w:num>
  <w:num w:numId="13">
    <w:abstractNumId w:val="5"/>
  </w:num>
  <w:num w:numId="14">
    <w:abstractNumId w:val="24"/>
  </w:num>
  <w:num w:numId="15">
    <w:abstractNumId w:val="21"/>
  </w:num>
  <w:num w:numId="16">
    <w:abstractNumId w:val="10"/>
  </w:num>
  <w:num w:numId="17">
    <w:abstractNumId w:val="7"/>
  </w:num>
  <w:num w:numId="18">
    <w:abstractNumId w:val="16"/>
  </w:num>
  <w:num w:numId="19">
    <w:abstractNumId w:val="20"/>
  </w:num>
  <w:num w:numId="20">
    <w:abstractNumId w:val="15"/>
  </w:num>
  <w:num w:numId="21">
    <w:abstractNumId w:val="9"/>
  </w:num>
  <w:num w:numId="22">
    <w:abstractNumId w:val="6"/>
  </w:num>
  <w:num w:numId="23">
    <w:abstractNumId w:val="13"/>
  </w:num>
  <w:num w:numId="24">
    <w:abstractNumId w:val="8"/>
  </w:num>
  <w:num w:numId="25">
    <w:abstractNumId w:val="18"/>
  </w:num>
  <w:num w:numId="26">
    <w:abstractNumId w:val="12"/>
  </w:num>
  <w:num w:numId="27">
    <w:abstractNumId w:val="25"/>
  </w:num>
  <w:num w:numId="28">
    <w:abstractNumId w:val="1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oNotShadeFormData w:val="1"/>
  <w:noPunctuationKerning w:val="1"/>
  <w:characterSpacingControl w:val="compressPunctuation"/>
  <w:doNotValidateAgainstSchema/>
  <w:doNotDemarcateInvalidXml/>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3N2FlMzZmYjQxMzBmMGE3NDU5NDQyMTFhZWQxMTkifQ=="/>
  </w:docVars>
  <w:rsids>
    <w:rsidRoot w:val="00172A27"/>
    <w:rsid w:val="00011147"/>
    <w:rsid w:val="00012ECD"/>
    <w:rsid w:val="00021B4A"/>
    <w:rsid w:val="00030806"/>
    <w:rsid w:val="0003501A"/>
    <w:rsid w:val="0003505A"/>
    <w:rsid w:val="00035BAB"/>
    <w:rsid w:val="00036D6F"/>
    <w:rsid w:val="00040E4C"/>
    <w:rsid w:val="000421F3"/>
    <w:rsid w:val="00042AE4"/>
    <w:rsid w:val="000465E0"/>
    <w:rsid w:val="00046E0F"/>
    <w:rsid w:val="00052EA8"/>
    <w:rsid w:val="00054636"/>
    <w:rsid w:val="00055956"/>
    <w:rsid w:val="0005705A"/>
    <w:rsid w:val="0005789F"/>
    <w:rsid w:val="00060866"/>
    <w:rsid w:val="00062C61"/>
    <w:rsid w:val="00063AD7"/>
    <w:rsid w:val="0007193A"/>
    <w:rsid w:val="000741DE"/>
    <w:rsid w:val="00081EE2"/>
    <w:rsid w:val="000829C1"/>
    <w:rsid w:val="00084F67"/>
    <w:rsid w:val="00094D62"/>
    <w:rsid w:val="00096579"/>
    <w:rsid w:val="00097532"/>
    <w:rsid w:val="0009769E"/>
    <w:rsid w:val="000A0492"/>
    <w:rsid w:val="000A2433"/>
    <w:rsid w:val="000A2E63"/>
    <w:rsid w:val="000B1BC1"/>
    <w:rsid w:val="000B2617"/>
    <w:rsid w:val="000B3C26"/>
    <w:rsid w:val="000B5CAA"/>
    <w:rsid w:val="000C21D8"/>
    <w:rsid w:val="000C4043"/>
    <w:rsid w:val="000C537D"/>
    <w:rsid w:val="000D3B0D"/>
    <w:rsid w:val="000D7D9A"/>
    <w:rsid w:val="000E220D"/>
    <w:rsid w:val="000E4D86"/>
    <w:rsid w:val="000F0B2B"/>
    <w:rsid w:val="000F546C"/>
    <w:rsid w:val="000F710C"/>
    <w:rsid w:val="001005C2"/>
    <w:rsid w:val="00101BC5"/>
    <w:rsid w:val="00102728"/>
    <w:rsid w:val="00113C20"/>
    <w:rsid w:val="00114E63"/>
    <w:rsid w:val="00125C64"/>
    <w:rsid w:val="0013189A"/>
    <w:rsid w:val="00131E05"/>
    <w:rsid w:val="00135A32"/>
    <w:rsid w:val="001454B2"/>
    <w:rsid w:val="00151C3E"/>
    <w:rsid w:val="00151E81"/>
    <w:rsid w:val="001529F0"/>
    <w:rsid w:val="00153AE7"/>
    <w:rsid w:val="0015468C"/>
    <w:rsid w:val="0015726A"/>
    <w:rsid w:val="00157B8E"/>
    <w:rsid w:val="00163631"/>
    <w:rsid w:val="00165F1D"/>
    <w:rsid w:val="00172A27"/>
    <w:rsid w:val="00174750"/>
    <w:rsid w:val="00191B1B"/>
    <w:rsid w:val="0019246D"/>
    <w:rsid w:val="00197FEC"/>
    <w:rsid w:val="001A34EC"/>
    <w:rsid w:val="001B3A67"/>
    <w:rsid w:val="001B40DC"/>
    <w:rsid w:val="001B522D"/>
    <w:rsid w:val="001B5784"/>
    <w:rsid w:val="001B6A34"/>
    <w:rsid w:val="001C05E1"/>
    <w:rsid w:val="001C5038"/>
    <w:rsid w:val="001C783E"/>
    <w:rsid w:val="001D1EF8"/>
    <w:rsid w:val="001D552A"/>
    <w:rsid w:val="001D7043"/>
    <w:rsid w:val="001E47FB"/>
    <w:rsid w:val="001F5FED"/>
    <w:rsid w:val="00200B1F"/>
    <w:rsid w:val="002028C9"/>
    <w:rsid w:val="0021402C"/>
    <w:rsid w:val="00223B6C"/>
    <w:rsid w:val="0022413A"/>
    <w:rsid w:val="0022552E"/>
    <w:rsid w:val="00227305"/>
    <w:rsid w:val="00231001"/>
    <w:rsid w:val="00234D7C"/>
    <w:rsid w:val="002352D3"/>
    <w:rsid w:val="00241B1C"/>
    <w:rsid w:val="00247AC7"/>
    <w:rsid w:val="00263444"/>
    <w:rsid w:val="00275D41"/>
    <w:rsid w:val="00291427"/>
    <w:rsid w:val="002939C9"/>
    <w:rsid w:val="00293B8C"/>
    <w:rsid w:val="002A15C0"/>
    <w:rsid w:val="002B1817"/>
    <w:rsid w:val="002B34BF"/>
    <w:rsid w:val="002B557E"/>
    <w:rsid w:val="002B7AEF"/>
    <w:rsid w:val="002C4623"/>
    <w:rsid w:val="002D62F3"/>
    <w:rsid w:val="002E7AE4"/>
    <w:rsid w:val="002F3924"/>
    <w:rsid w:val="002F6EDB"/>
    <w:rsid w:val="00300715"/>
    <w:rsid w:val="003109E1"/>
    <w:rsid w:val="00315AC0"/>
    <w:rsid w:val="00317F6E"/>
    <w:rsid w:val="003268E3"/>
    <w:rsid w:val="00330EFC"/>
    <w:rsid w:val="00342454"/>
    <w:rsid w:val="00345284"/>
    <w:rsid w:val="0035060F"/>
    <w:rsid w:val="00351BC4"/>
    <w:rsid w:val="00361FCF"/>
    <w:rsid w:val="00375686"/>
    <w:rsid w:val="003863FB"/>
    <w:rsid w:val="003871F8"/>
    <w:rsid w:val="00391111"/>
    <w:rsid w:val="003B1FA2"/>
    <w:rsid w:val="003B3BA8"/>
    <w:rsid w:val="003B48C4"/>
    <w:rsid w:val="003C6FFD"/>
    <w:rsid w:val="003D0DCC"/>
    <w:rsid w:val="003D21D3"/>
    <w:rsid w:val="003D3A9B"/>
    <w:rsid w:val="003E1E15"/>
    <w:rsid w:val="003E6992"/>
    <w:rsid w:val="003F1E3C"/>
    <w:rsid w:val="003F5CE7"/>
    <w:rsid w:val="0040422A"/>
    <w:rsid w:val="00413C37"/>
    <w:rsid w:val="00416A12"/>
    <w:rsid w:val="00421148"/>
    <w:rsid w:val="00422E38"/>
    <w:rsid w:val="00422EDD"/>
    <w:rsid w:val="00431446"/>
    <w:rsid w:val="0044078E"/>
    <w:rsid w:val="00443C65"/>
    <w:rsid w:val="00446649"/>
    <w:rsid w:val="0045305B"/>
    <w:rsid w:val="00483D45"/>
    <w:rsid w:val="004A3C66"/>
    <w:rsid w:val="004B1D4F"/>
    <w:rsid w:val="004C610E"/>
    <w:rsid w:val="004D2550"/>
    <w:rsid w:val="004D461C"/>
    <w:rsid w:val="004D52D2"/>
    <w:rsid w:val="004D7780"/>
    <w:rsid w:val="004E096B"/>
    <w:rsid w:val="004E5284"/>
    <w:rsid w:val="004E61C5"/>
    <w:rsid w:val="004F4797"/>
    <w:rsid w:val="004F5E74"/>
    <w:rsid w:val="004F73A5"/>
    <w:rsid w:val="004F7B87"/>
    <w:rsid w:val="0050467E"/>
    <w:rsid w:val="00504872"/>
    <w:rsid w:val="00511781"/>
    <w:rsid w:val="00521C14"/>
    <w:rsid w:val="00525279"/>
    <w:rsid w:val="005276B3"/>
    <w:rsid w:val="00530DA7"/>
    <w:rsid w:val="00530FEA"/>
    <w:rsid w:val="00535A70"/>
    <w:rsid w:val="00545143"/>
    <w:rsid w:val="0054574B"/>
    <w:rsid w:val="00554526"/>
    <w:rsid w:val="00566B47"/>
    <w:rsid w:val="00580AA4"/>
    <w:rsid w:val="00586547"/>
    <w:rsid w:val="005A197A"/>
    <w:rsid w:val="005A5DEA"/>
    <w:rsid w:val="005B0819"/>
    <w:rsid w:val="005B2210"/>
    <w:rsid w:val="005B4197"/>
    <w:rsid w:val="005B43C3"/>
    <w:rsid w:val="005B7AE6"/>
    <w:rsid w:val="005D18C6"/>
    <w:rsid w:val="005D580A"/>
    <w:rsid w:val="005D79C0"/>
    <w:rsid w:val="005E3C95"/>
    <w:rsid w:val="0061109E"/>
    <w:rsid w:val="0061577A"/>
    <w:rsid w:val="0061762C"/>
    <w:rsid w:val="00630703"/>
    <w:rsid w:val="006350B7"/>
    <w:rsid w:val="006363F8"/>
    <w:rsid w:val="006406A9"/>
    <w:rsid w:val="0064168E"/>
    <w:rsid w:val="00641B15"/>
    <w:rsid w:val="006440FB"/>
    <w:rsid w:val="00650222"/>
    <w:rsid w:val="0065145C"/>
    <w:rsid w:val="006536C6"/>
    <w:rsid w:val="00653B6E"/>
    <w:rsid w:val="00656D5B"/>
    <w:rsid w:val="006622C9"/>
    <w:rsid w:val="006634F7"/>
    <w:rsid w:val="006637F6"/>
    <w:rsid w:val="006679DC"/>
    <w:rsid w:val="00671706"/>
    <w:rsid w:val="0067622F"/>
    <w:rsid w:val="00691113"/>
    <w:rsid w:val="006947E8"/>
    <w:rsid w:val="006C22D8"/>
    <w:rsid w:val="006D0D42"/>
    <w:rsid w:val="006D1683"/>
    <w:rsid w:val="006D3EB2"/>
    <w:rsid w:val="006D42DA"/>
    <w:rsid w:val="006E07DD"/>
    <w:rsid w:val="006E15CE"/>
    <w:rsid w:val="006E1DB3"/>
    <w:rsid w:val="006E5F65"/>
    <w:rsid w:val="006E7471"/>
    <w:rsid w:val="006F2DD8"/>
    <w:rsid w:val="00700CD9"/>
    <w:rsid w:val="00701958"/>
    <w:rsid w:val="00702D2A"/>
    <w:rsid w:val="00711668"/>
    <w:rsid w:val="00712F4D"/>
    <w:rsid w:val="00713590"/>
    <w:rsid w:val="007205CD"/>
    <w:rsid w:val="00731B09"/>
    <w:rsid w:val="007365EC"/>
    <w:rsid w:val="0074281D"/>
    <w:rsid w:val="007433AA"/>
    <w:rsid w:val="007458DF"/>
    <w:rsid w:val="0074639A"/>
    <w:rsid w:val="00757184"/>
    <w:rsid w:val="0076581D"/>
    <w:rsid w:val="0077121E"/>
    <w:rsid w:val="00773FA8"/>
    <w:rsid w:val="00781AC7"/>
    <w:rsid w:val="007847D4"/>
    <w:rsid w:val="00791E83"/>
    <w:rsid w:val="00792E6A"/>
    <w:rsid w:val="00794A40"/>
    <w:rsid w:val="007A1D51"/>
    <w:rsid w:val="007A319E"/>
    <w:rsid w:val="007A4F47"/>
    <w:rsid w:val="007B15AE"/>
    <w:rsid w:val="007B19DD"/>
    <w:rsid w:val="007B260D"/>
    <w:rsid w:val="007C0D58"/>
    <w:rsid w:val="007C7749"/>
    <w:rsid w:val="007C7B3D"/>
    <w:rsid w:val="007E0858"/>
    <w:rsid w:val="007E4CE1"/>
    <w:rsid w:val="007F49DA"/>
    <w:rsid w:val="00801AD0"/>
    <w:rsid w:val="00804497"/>
    <w:rsid w:val="00806F97"/>
    <w:rsid w:val="00810C0A"/>
    <w:rsid w:val="00814D7C"/>
    <w:rsid w:val="008259F7"/>
    <w:rsid w:val="00826D39"/>
    <w:rsid w:val="00830F28"/>
    <w:rsid w:val="00833EE9"/>
    <w:rsid w:val="00840F57"/>
    <w:rsid w:val="00843FB6"/>
    <w:rsid w:val="00845A2E"/>
    <w:rsid w:val="008537A4"/>
    <w:rsid w:val="008556D6"/>
    <w:rsid w:val="008567FA"/>
    <w:rsid w:val="00863558"/>
    <w:rsid w:val="00863F89"/>
    <w:rsid w:val="00864F43"/>
    <w:rsid w:val="00876F5B"/>
    <w:rsid w:val="00881670"/>
    <w:rsid w:val="00881F56"/>
    <w:rsid w:val="00886222"/>
    <w:rsid w:val="00893537"/>
    <w:rsid w:val="0089420E"/>
    <w:rsid w:val="008945A2"/>
    <w:rsid w:val="00897091"/>
    <w:rsid w:val="008A502B"/>
    <w:rsid w:val="008A6FDE"/>
    <w:rsid w:val="008B5F00"/>
    <w:rsid w:val="008C4787"/>
    <w:rsid w:val="008E0591"/>
    <w:rsid w:val="008E303F"/>
    <w:rsid w:val="008E3771"/>
    <w:rsid w:val="008E6707"/>
    <w:rsid w:val="008E77A6"/>
    <w:rsid w:val="008F23AE"/>
    <w:rsid w:val="008F2F51"/>
    <w:rsid w:val="008F348F"/>
    <w:rsid w:val="0090150A"/>
    <w:rsid w:val="00904D51"/>
    <w:rsid w:val="00910680"/>
    <w:rsid w:val="00914A19"/>
    <w:rsid w:val="00915173"/>
    <w:rsid w:val="009155E1"/>
    <w:rsid w:val="009174B1"/>
    <w:rsid w:val="009177BD"/>
    <w:rsid w:val="00921729"/>
    <w:rsid w:val="009243AB"/>
    <w:rsid w:val="00924AF2"/>
    <w:rsid w:val="00931804"/>
    <w:rsid w:val="00940A82"/>
    <w:rsid w:val="00961A73"/>
    <w:rsid w:val="009622D6"/>
    <w:rsid w:val="00962979"/>
    <w:rsid w:val="00963499"/>
    <w:rsid w:val="009676A9"/>
    <w:rsid w:val="009722EB"/>
    <w:rsid w:val="00980C9A"/>
    <w:rsid w:val="00984214"/>
    <w:rsid w:val="00985205"/>
    <w:rsid w:val="00994E1E"/>
    <w:rsid w:val="00995A16"/>
    <w:rsid w:val="009A1453"/>
    <w:rsid w:val="009A2A79"/>
    <w:rsid w:val="009A38C9"/>
    <w:rsid w:val="009B1BB2"/>
    <w:rsid w:val="009B4138"/>
    <w:rsid w:val="009B4519"/>
    <w:rsid w:val="009C0E0B"/>
    <w:rsid w:val="009C19A7"/>
    <w:rsid w:val="009C2D5B"/>
    <w:rsid w:val="009C36EB"/>
    <w:rsid w:val="009C40B2"/>
    <w:rsid w:val="009C547E"/>
    <w:rsid w:val="009C5C20"/>
    <w:rsid w:val="009C6E91"/>
    <w:rsid w:val="009D33AB"/>
    <w:rsid w:val="009D6021"/>
    <w:rsid w:val="009D725B"/>
    <w:rsid w:val="009E2ABC"/>
    <w:rsid w:val="009F45A4"/>
    <w:rsid w:val="009F4C9F"/>
    <w:rsid w:val="00A00C4E"/>
    <w:rsid w:val="00A1072A"/>
    <w:rsid w:val="00A13219"/>
    <w:rsid w:val="00A15946"/>
    <w:rsid w:val="00A20B6E"/>
    <w:rsid w:val="00A21467"/>
    <w:rsid w:val="00A31357"/>
    <w:rsid w:val="00A327F6"/>
    <w:rsid w:val="00A4320D"/>
    <w:rsid w:val="00A47459"/>
    <w:rsid w:val="00A477B3"/>
    <w:rsid w:val="00A5121E"/>
    <w:rsid w:val="00A5158B"/>
    <w:rsid w:val="00A56296"/>
    <w:rsid w:val="00A70103"/>
    <w:rsid w:val="00A83E42"/>
    <w:rsid w:val="00AA5662"/>
    <w:rsid w:val="00AB6D27"/>
    <w:rsid w:val="00AC4065"/>
    <w:rsid w:val="00AC7CBF"/>
    <w:rsid w:val="00AD14EA"/>
    <w:rsid w:val="00AD3A8C"/>
    <w:rsid w:val="00AD635B"/>
    <w:rsid w:val="00AE34C2"/>
    <w:rsid w:val="00AE5788"/>
    <w:rsid w:val="00AF6634"/>
    <w:rsid w:val="00B0730A"/>
    <w:rsid w:val="00B21F07"/>
    <w:rsid w:val="00B404A0"/>
    <w:rsid w:val="00B577E4"/>
    <w:rsid w:val="00B61A42"/>
    <w:rsid w:val="00B61FD0"/>
    <w:rsid w:val="00B672B3"/>
    <w:rsid w:val="00B771EE"/>
    <w:rsid w:val="00B8220D"/>
    <w:rsid w:val="00B828D5"/>
    <w:rsid w:val="00B978BA"/>
    <w:rsid w:val="00BB3801"/>
    <w:rsid w:val="00BB40D9"/>
    <w:rsid w:val="00BC7551"/>
    <w:rsid w:val="00BD2603"/>
    <w:rsid w:val="00BE13D8"/>
    <w:rsid w:val="00BE4244"/>
    <w:rsid w:val="00BE583E"/>
    <w:rsid w:val="00BE6BC1"/>
    <w:rsid w:val="00C15978"/>
    <w:rsid w:val="00C20E7B"/>
    <w:rsid w:val="00C24696"/>
    <w:rsid w:val="00C27187"/>
    <w:rsid w:val="00C30F80"/>
    <w:rsid w:val="00C31777"/>
    <w:rsid w:val="00C327EF"/>
    <w:rsid w:val="00C4407B"/>
    <w:rsid w:val="00C44AD6"/>
    <w:rsid w:val="00C51E06"/>
    <w:rsid w:val="00C52972"/>
    <w:rsid w:val="00C56F93"/>
    <w:rsid w:val="00C60E63"/>
    <w:rsid w:val="00C61FC4"/>
    <w:rsid w:val="00C65317"/>
    <w:rsid w:val="00C6540A"/>
    <w:rsid w:val="00C67A60"/>
    <w:rsid w:val="00C70DC4"/>
    <w:rsid w:val="00C73272"/>
    <w:rsid w:val="00C8352D"/>
    <w:rsid w:val="00C86B34"/>
    <w:rsid w:val="00C91CF2"/>
    <w:rsid w:val="00C92FDC"/>
    <w:rsid w:val="00CA2076"/>
    <w:rsid w:val="00CA325E"/>
    <w:rsid w:val="00CA3C18"/>
    <w:rsid w:val="00CA517E"/>
    <w:rsid w:val="00CE4416"/>
    <w:rsid w:val="00CE4BE2"/>
    <w:rsid w:val="00CF20CF"/>
    <w:rsid w:val="00CF3ED6"/>
    <w:rsid w:val="00CF7EA1"/>
    <w:rsid w:val="00D038EE"/>
    <w:rsid w:val="00D128CA"/>
    <w:rsid w:val="00D15868"/>
    <w:rsid w:val="00D205FE"/>
    <w:rsid w:val="00D34E83"/>
    <w:rsid w:val="00D354E1"/>
    <w:rsid w:val="00D55068"/>
    <w:rsid w:val="00D66DFA"/>
    <w:rsid w:val="00D67282"/>
    <w:rsid w:val="00D75190"/>
    <w:rsid w:val="00D7542F"/>
    <w:rsid w:val="00D918C1"/>
    <w:rsid w:val="00D94E4C"/>
    <w:rsid w:val="00D96972"/>
    <w:rsid w:val="00DB2B90"/>
    <w:rsid w:val="00DB5342"/>
    <w:rsid w:val="00DD7812"/>
    <w:rsid w:val="00DE226F"/>
    <w:rsid w:val="00DE555D"/>
    <w:rsid w:val="00DF1CD5"/>
    <w:rsid w:val="00DF26DB"/>
    <w:rsid w:val="00DF5C55"/>
    <w:rsid w:val="00DF5EBB"/>
    <w:rsid w:val="00E01A78"/>
    <w:rsid w:val="00E03DFC"/>
    <w:rsid w:val="00E1081C"/>
    <w:rsid w:val="00E10B6E"/>
    <w:rsid w:val="00E13470"/>
    <w:rsid w:val="00E14455"/>
    <w:rsid w:val="00E16674"/>
    <w:rsid w:val="00E22D94"/>
    <w:rsid w:val="00E25A80"/>
    <w:rsid w:val="00E344D1"/>
    <w:rsid w:val="00E35087"/>
    <w:rsid w:val="00E475D6"/>
    <w:rsid w:val="00E52793"/>
    <w:rsid w:val="00E66417"/>
    <w:rsid w:val="00E70706"/>
    <w:rsid w:val="00E766B4"/>
    <w:rsid w:val="00E85062"/>
    <w:rsid w:val="00E86606"/>
    <w:rsid w:val="00E87871"/>
    <w:rsid w:val="00E92F46"/>
    <w:rsid w:val="00E96227"/>
    <w:rsid w:val="00EB2CDF"/>
    <w:rsid w:val="00EB6267"/>
    <w:rsid w:val="00EB6A24"/>
    <w:rsid w:val="00EC689C"/>
    <w:rsid w:val="00EC6EB2"/>
    <w:rsid w:val="00ED63CE"/>
    <w:rsid w:val="00ED7430"/>
    <w:rsid w:val="00EE1327"/>
    <w:rsid w:val="00EE44D7"/>
    <w:rsid w:val="00EE65BD"/>
    <w:rsid w:val="00EF6E2A"/>
    <w:rsid w:val="00F02258"/>
    <w:rsid w:val="00F04BC5"/>
    <w:rsid w:val="00F115A4"/>
    <w:rsid w:val="00F1270D"/>
    <w:rsid w:val="00F12B2A"/>
    <w:rsid w:val="00F13439"/>
    <w:rsid w:val="00F13858"/>
    <w:rsid w:val="00F15677"/>
    <w:rsid w:val="00F2585D"/>
    <w:rsid w:val="00F26704"/>
    <w:rsid w:val="00F277B2"/>
    <w:rsid w:val="00F329DB"/>
    <w:rsid w:val="00F403F7"/>
    <w:rsid w:val="00F4283E"/>
    <w:rsid w:val="00F4425A"/>
    <w:rsid w:val="00F447FE"/>
    <w:rsid w:val="00F522D2"/>
    <w:rsid w:val="00F5268A"/>
    <w:rsid w:val="00F73425"/>
    <w:rsid w:val="00F751D0"/>
    <w:rsid w:val="00F92192"/>
    <w:rsid w:val="00F96039"/>
    <w:rsid w:val="00FA6047"/>
    <w:rsid w:val="00FA6494"/>
    <w:rsid w:val="00FA652C"/>
    <w:rsid w:val="00FA7836"/>
    <w:rsid w:val="00FC5FE9"/>
    <w:rsid w:val="00FC6BC1"/>
    <w:rsid w:val="00FC6C6E"/>
    <w:rsid w:val="00FD3F63"/>
    <w:rsid w:val="00FE4340"/>
    <w:rsid w:val="00FF4163"/>
    <w:rsid w:val="00FF68CA"/>
    <w:rsid w:val="00FF6C31"/>
    <w:rsid w:val="01148F85"/>
    <w:rsid w:val="02AF34E9"/>
    <w:rsid w:val="031908F7"/>
    <w:rsid w:val="03D8B280"/>
    <w:rsid w:val="04D43EE0"/>
    <w:rsid w:val="056D173F"/>
    <w:rsid w:val="05CD29CF"/>
    <w:rsid w:val="06722BD1"/>
    <w:rsid w:val="08964328"/>
    <w:rsid w:val="0CFE3B37"/>
    <w:rsid w:val="0D77A68C"/>
    <w:rsid w:val="0D825EFF"/>
    <w:rsid w:val="0DAC0462"/>
    <w:rsid w:val="0E8A53EA"/>
    <w:rsid w:val="101B3F1F"/>
    <w:rsid w:val="10F97125"/>
    <w:rsid w:val="131E1531"/>
    <w:rsid w:val="13DA57C0"/>
    <w:rsid w:val="14107912"/>
    <w:rsid w:val="153751EF"/>
    <w:rsid w:val="15F8DA1F"/>
    <w:rsid w:val="167F8657"/>
    <w:rsid w:val="1731B716"/>
    <w:rsid w:val="1920E9A4"/>
    <w:rsid w:val="19313F88"/>
    <w:rsid w:val="19485F6F"/>
    <w:rsid w:val="197A6CDF"/>
    <w:rsid w:val="1CD57449"/>
    <w:rsid w:val="1CE0E7E6"/>
    <w:rsid w:val="1D8F7F31"/>
    <w:rsid w:val="1E1397BA"/>
    <w:rsid w:val="1F849612"/>
    <w:rsid w:val="1FA684E3"/>
    <w:rsid w:val="1FF2732C"/>
    <w:rsid w:val="1FF91E20"/>
    <w:rsid w:val="205BB2BC"/>
    <w:rsid w:val="22B22AD1"/>
    <w:rsid w:val="23DE358D"/>
    <w:rsid w:val="2462D50A"/>
    <w:rsid w:val="247BC10D"/>
    <w:rsid w:val="256B452C"/>
    <w:rsid w:val="263CF12A"/>
    <w:rsid w:val="27CB2B9C"/>
    <w:rsid w:val="285C1010"/>
    <w:rsid w:val="2874B01D"/>
    <w:rsid w:val="29810867"/>
    <w:rsid w:val="2AB896FD"/>
    <w:rsid w:val="2C6928C3"/>
    <w:rsid w:val="2CA33616"/>
    <w:rsid w:val="2E062D41"/>
    <w:rsid w:val="2F13B518"/>
    <w:rsid w:val="2FCC09F3"/>
    <w:rsid w:val="30F6D17C"/>
    <w:rsid w:val="33D173AA"/>
    <w:rsid w:val="354F2C9F"/>
    <w:rsid w:val="367E4AE8"/>
    <w:rsid w:val="369CA4EB"/>
    <w:rsid w:val="3726B0D1"/>
    <w:rsid w:val="37460B12"/>
    <w:rsid w:val="38102EE6"/>
    <w:rsid w:val="3BD40F9F"/>
    <w:rsid w:val="3BDD7465"/>
    <w:rsid w:val="3C88F52B"/>
    <w:rsid w:val="3DD34870"/>
    <w:rsid w:val="3F7BA1E9"/>
    <w:rsid w:val="412734F9"/>
    <w:rsid w:val="4355CDA3"/>
    <w:rsid w:val="46902609"/>
    <w:rsid w:val="46D7D1FD"/>
    <w:rsid w:val="4731FCEE"/>
    <w:rsid w:val="4AC438E2"/>
    <w:rsid w:val="4B9A2D52"/>
    <w:rsid w:val="4BAABE81"/>
    <w:rsid w:val="4C41E025"/>
    <w:rsid w:val="4D62FDE0"/>
    <w:rsid w:val="4DBC2F09"/>
    <w:rsid w:val="4EBA2E64"/>
    <w:rsid w:val="4F29372B"/>
    <w:rsid w:val="4F4246BC"/>
    <w:rsid w:val="50B0AB55"/>
    <w:rsid w:val="5374396E"/>
    <w:rsid w:val="54DC1471"/>
    <w:rsid w:val="57D4AC48"/>
    <w:rsid w:val="58479F0F"/>
    <w:rsid w:val="5A2B1992"/>
    <w:rsid w:val="5A5CE8A4"/>
    <w:rsid w:val="5AB2FDE4"/>
    <w:rsid w:val="5BE25EE4"/>
    <w:rsid w:val="5C9F712D"/>
    <w:rsid w:val="61CF4364"/>
    <w:rsid w:val="6245C71C"/>
    <w:rsid w:val="63169593"/>
    <w:rsid w:val="632A4A50"/>
    <w:rsid w:val="63672781"/>
    <w:rsid w:val="654E2C7A"/>
    <w:rsid w:val="659EB6BB"/>
    <w:rsid w:val="65AF093D"/>
    <w:rsid w:val="66CF6A9B"/>
    <w:rsid w:val="68106A5C"/>
    <w:rsid w:val="682830C4"/>
    <w:rsid w:val="682D4861"/>
    <w:rsid w:val="6A948CEE"/>
    <w:rsid w:val="6AD50316"/>
    <w:rsid w:val="6B408E6E"/>
    <w:rsid w:val="6B7C1D02"/>
    <w:rsid w:val="6BD87821"/>
    <w:rsid w:val="6D003795"/>
    <w:rsid w:val="6E71809E"/>
    <w:rsid w:val="73928772"/>
    <w:rsid w:val="76220FDF"/>
    <w:rsid w:val="773E4730"/>
    <w:rsid w:val="77898794"/>
    <w:rsid w:val="78677AE9"/>
    <w:rsid w:val="7A950A5F"/>
    <w:rsid w:val="7AA2C7BC"/>
    <w:rsid w:val="7B055796"/>
    <w:rsid w:val="7B41D9B7"/>
    <w:rsid w:val="7C5C0EDC"/>
    <w:rsid w:val="7C6C7166"/>
    <w:rsid w:val="7CB758DF"/>
    <w:rsid w:val="7E035E28"/>
    <w:rsid w:val="7F8C686C"/>
    <w:rsid w:val="80808BE4"/>
    <w:rsid w:val="824024ED"/>
    <w:rsid w:val="8369BE90"/>
    <w:rsid w:val="84AF0B48"/>
    <w:rsid w:val="8563D27C"/>
    <w:rsid w:val="858AF318"/>
    <w:rsid w:val="877235A8"/>
    <w:rsid w:val="884447B7"/>
    <w:rsid w:val="89086CE9"/>
    <w:rsid w:val="8B7B7431"/>
    <w:rsid w:val="8B7EBAB6"/>
    <w:rsid w:val="8C13C6AB"/>
    <w:rsid w:val="8D76CEE6"/>
    <w:rsid w:val="8D9ABB54"/>
    <w:rsid w:val="8DDCAFFC"/>
    <w:rsid w:val="9047DFC0"/>
    <w:rsid w:val="915EB572"/>
    <w:rsid w:val="938229EF"/>
    <w:rsid w:val="93B5DE3C"/>
    <w:rsid w:val="9660348B"/>
    <w:rsid w:val="971ADE28"/>
    <w:rsid w:val="97291C34"/>
    <w:rsid w:val="9A0E8BCB"/>
    <w:rsid w:val="9C7A55B5"/>
    <w:rsid w:val="9CCC87DB"/>
    <w:rsid w:val="9DDC710A"/>
    <w:rsid w:val="9F49B431"/>
    <w:rsid w:val="A1DF5584"/>
    <w:rsid w:val="A4BD669D"/>
    <w:rsid w:val="A75F8EB9"/>
    <w:rsid w:val="A9091A8C"/>
    <w:rsid w:val="AAD760A1"/>
    <w:rsid w:val="AB1831D9"/>
    <w:rsid w:val="AB8029F8"/>
    <w:rsid w:val="AC2062C9"/>
    <w:rsid w:val="AE175936"/>
    <w:rsid w:val="AF0089C1"/>
    <w:rsid w:val="AF0FE8EF"/>
    <w:rsid w:val="AF498896"/>
    <w:rsid w:val="AF70B95F"/>
    <w:rsid w:val="AF838E37"/>
    <w:rsid w:val="B16EBCE0"/>
    <w:rsid w:val="B35D7274"/>
    <w:rsid w:val="B4682B1A"/>
    <w:rsid w:val="B4B22F90"/>
    <w:rsid w:val="B696BD7F"/>
    <w:rsid w:val="B83F1B8B"/>
    <w:rsid w:val="BA78097D"/>
    <w:rsid w:val="BBE79065"/>
    <w:rsid w:val="BD22EE75"/>
    <w:rsid w:val="BE99C73C"/>
    <w:rsid w:val="BF3E739B"/>
    <w:rsid w:val="C024FF1B"/>
    <w:rsid w:val="C0FEF8FD"/>
    <w:rsid w:val="C1F5544C"/>
    <w:rsid w:val="C403E934"/>
    <w:rsid w:val="C66ECA6B"/>
    <w:rsid w:val="C7AA85C4"/>
    <w:rsid w:val="C9C68C79"/>
    <w:rsid w:val="CA68D715"/>
    <w:rsid w:val="CAB6B363"/>
    <w:rsid w:val="CC48D3A9"/>
    <w:rsid w:val="CD44C42B"/>
    <w:rsid w:val="D1D44A2B"/>
    <w:rsid w:val="D42DFBC3"/>
    <w:rsid w:val="D54069E8"/>
    <w:rsid w:val="D721BAA3"/>
    <w:rsid w:val="D763E422"/>
    <w:rsid w:val="DA9B6740"/>
    <w:rsid w:val="DADC448C"/>
    <w:rsid w:val="E20CD9DB"/>
    <w:rsid w:val="E22C99E0"/>
    <w:rsid w:val="E32A6A30"/>
    <w:rsid w:val="E487D26B"/>
    <w:rsid w:val="E5F63EF7"/>
    <w:rsid w:val="E6770929"/>
    <w:rsid w:val="E806D526"/>
    <w:rsid w:val="E90AC31C"/>
    <w:rsid w:val="E98A6B09"/>
    <w:rsid w:val="E9C5C584"/>
    <w:rsid w:val="EAB8D34C"/>
    <w:rsid w:val="EC2E8C37"/>
    <w:rsid w:val="EC7A3151"/>
    <w:rsid w:val="EE376B38"/>
    <w:rsid w:val="EEC111C6"/>
    <w:rsid w:val="F0753807"/>
    <w:rsid w:val="F0C4EF69"/>
    <w:rsid w:val="F0E3EA98"/>
    <w:rsid w:val="F372E6E7"/>
    <w:rsid w:val="F43CD01C"/>
    <w:rsid w:val="F6ACE172"/>
    <w:rsid w:val="F8029A20"/>
    <w:rsid w:val="F8626F37"/>
    <w:rsid w:val="F921133F"/>
    <w:rsid w:val="FB53CE5B"/>
    <w:rsid w:val="FC2CC869"/>
    <w:rsid w:val="FC3DC3C4"/>
    <w:rsid w:val="FFC3FC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qFormat="1" w:unhideWhenUsed="0" w:uiPriority="0" w:semiHidden="0"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33"/>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35"/>
    <w:qFormat/>
    <w:uiPriority w:val="0"/>
    <w:pPr>
      <w:keepNext/>
      <w:keepLines/>
      <w:outlineLvl w:val="4"/>
    </w:pPr>
    <w:rPr>
      <w:rFonts w:ascii="Times New Roman" w:hAnsi="Times New Roman"/>
      <w:b/>
      <w:bCs/>
      <w:sz w:val="28"/>
      <w:szCs w:val="28"/>
    </w:rPr>
  </w:style>
  <w:style w:type="paragraph" w:styleId="8">
    <w:name w:val="heading 6"/>
    <w:basedOn w:val="1"/>
    <w:next w:val="1"/>
    <w:link w:val="30"/>
    <w:qFormat/>
    <w:uiPriority w:val="0"/>
    <w:pPr>
      <w:keepNext/>
      <w:keepLines/>
      <w:spacing w:before="240" w:after="64" w:line="320" w:lineRule="auto"/>
      <w:ind w:left="420"/>
      <w:outlineLvl w:val="5"/>
    </w:pPr>
    <w:rPr>
      <w:rFonts w:ascii="Arial" w:hAnsi="Arial" w:eastAsia="黑体"/>
      <w:b/>
      <w:bCs/>
      <w:sz w:val="24"/>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8"/>
    <w:uiPriority w:val="0"/>
    <w:pPr>
      <w:autoSpaceDE w:val="0"/>
      <w:autoSpaceDN w:val="0"/>
      <w:adjustRightInd w:val="0"/>
      <w:ind w:firstLine="420"/>
      <w:jc w:val="left"/>
    </w:pPr>
    <w:rPr>
      <w:rFonts w:ascii="宋体"/>
      <w:kern w:val="0"/>
      <w:sz w:val="24"/>
      <w:szCs w:val="20"/>
    </w:rPr>
  </w:style>
  <w:style w:type="paragraph" w:styleId="9">
    <w:name w:val="Document Map"/>
    <w:basedOn w:val="1"/>
    <w:link w:val="26"/>
    <w:qFormat/>
    <w:uiPriority w:val="0"/>
    <w:rPr>
      <w:rFonts w:ascii="宋体"/>
      <w:sz w:val="18"/>
      <w:szCs w:val="18"/>
    </w:rPr>
  </w:style>
  <w:style w:type="paragraph" w:styleId="10">
    <w:name w:val="annotation text"/>
    <w:basedOn w:val="1"/>
    <w:link w:val="31"/>
    <w:qFormat/>
    <w:uiPriority w:val="0"/>
    <w:pPr>
      <w:jc w:val="left"/>
    </w:pPr>
  </w:style>
  <w:style w:type="paragraph" w:styleId="11">
    <w:name w:val="Body Text"/>
    <w:basedOn w:val="1"/>
    <w:qFormat/>
    <w:uiPriority w:val="0"/>
    <w:pPr>
      <w:tabs>
        <w:tab w:val="left" w:pos="567"/>
      </w:tabs>
      <w:spacing w:before="120" w:line="22" w:lineRule="atLeast"/>
    </w:pPr>
    <w:rPr>
      <w:rFonts w:ascii="宋体" w:hAnsi="宋体"/>
      <w:sz w:val="24"/>
    </w:rPr>
  </w:style>
  <w:style w:type="paragraph" w:styleId="12">
    <w:name w:val="Plain Text"/>
    <w:basedOn w:val="1"/>
    <w:link w:val="27"/>
    <w:uiPriority w:val="0"/>
    <w:rPr>
      <w:rFonts w:ascii="宋体" w:hAnsi="Courier New"/>
      <w:szCs w:val="20"/>
    </w:rPr>
  </w:style>
  <w:style w:type="paragraph" w:styleId="13">
    <w:name w:val="Balloon Text"/>
    <w:basedOn w:val="1"/>
    <w:link w:val="32"/>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link w:val="29"/>
    <w:uiPriority w:val="0"/>
    <w:pPr>
      <w:pBdr>
        <w:bottom w:val="single" w:color="auto" w:sz="6" w:space="1"/>
      </w:pBdr>
      <w:tabs>
        <w:tab w:val="center" w:pos="4153"/>
        <w:tab w:val="right" w:pos="8306"/>
      </w:tabs>
      <w:snapToGrid w:val="0"/>
      <w:jc w:val="center"/>
    </w:pPr>
    <w:rPr>
      <w:sz w:val="18"/>
      <w:szCs w:val="18"/>
    </w:rPr>
  </w:style>
  <w:style w:type="paragraph" w:styleId="16">
    <w:name w:val="index 1"/>
    <w:basedOn w:val="1"/>
    <w:next w:val="1"/>
    <w:qFormat/>
    <w:uiPriority w:val="0"/>
    <w:rPr>
      <w:szCs w:val="20"/>
    </w:rPr>
  </w:style>
  <w:style w:type="paragraph" w:styleId="17">
    <w:name w:val="annotation subject"/>
    <w:basedOn w:val="10"/>
    <w:next w:val="10"/>
    <w:link w:val="34"/>
    <w:uiPriority w:val="0"/>
    <w:rPr>
      <w:b/>
      <w:bCs/>
    </w:rPr>
  </w:style>
  <w:style w:type="table" w:styleId="19">
    <w:name w:val="Table Grid"/>
    <w:basedOn w:val="1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uiPriority w:val="0"/>
    <w:rPr>
      <w:rFonts w:ascii="Calibri" w:hAnsi="Calibri" w:eastAsia="宋体" w:cs="Times New Roman"/>
    </w:rPr>
  </w:style>
  <w:style w:type="character" w:styleId="22">
    <w:name w:val="Hyperlink"/>
    <w:qFormat/>
    <w:uiPriority w:val="0"/>
    <w:rPr>
      <w:rFonts w:ascii="Calibri" w:hAnsi="Calibri" w:eastAsia="宋体" w:cs="Times New Roman"/>
      <w:color w:val="0000FF"/>
      <w:u w:val="single"/>
    </w:rPr>
  </w:style>
  <w:style w:type="character" w:styleId="23">
    <w:name w:val="annotation reference"/>
    <w:uiPriority w:val="0"/>
    <w:rPr>
      <w:rFonts w:ascii="Calibri" w:hAnsi="Calibri" w:eastAsia="宋体" w:cs="Times New Roman"/>
      <w:sz w:val="21"/>
      <w:szCs w:val="21"/>
    </w:rPr>
  </w:style>
  <w:style w:type="character" w:customStyle="1" w:styleId="24">
    <w:name w:val="正文1 字符"/>
    <w:link w:val="25"/>
    <w:qFormat/>
    <w:uiPriority w:val="0"/>
    <w:rPr>
      <w:rFonts w:ascii="Times New Roman" w:hAnsi="Times New Roman" w:cs="Times New Roman"/>
      <w:kern w:val="2"/>
      <w:sz w:val="24"/>
      <w:szCs w:val="24"/>
    </w:rPr>
  </w:style>
  <w:style w:type="paragraph" w:customStyle="1" w:styleId="25">
    <w:name w:val="正文1"/>
    <w:basedOn w:val="1"/>
    <w:link w:val="24"/>
    <w:unhideWhenUsed/>
    <w:qFormat/>
    <w:uiPriority w:val="0"/>
    <w:pPr>
      <w:spacing w:line="360" w:lineRule="auto"/>
      <w:ind w:firstLine="480" w:firstLineChars="200"/>
    </w:pPr>
    <w:rPr>
      <w:rFonts w:ascii="Times New Roman" w:hAnsi="Times New Roman"/>
      <w:sz w:val="24"/>
    </w:rPr>
  </w:style>
  <w:style w:type="character" w:customStyle="1" w:styleId="26">
    <w:name w:val="文档结构图 Char"/>
    <w:link w:val="9"/>
    <w:qFormat/>
    <w:uiPriority w:val="0"/>
    <w:rPr>
      <w:rFonts w:ascii="宋体" w:hAnsi="Calibri" w:eastAsia="宋体" w:cs="Times New Roman"/>
      <w:kern w:val="2"/>
      <w:sz w:val="18"/>
      <w:szCs w:val="18"/>
    </w:rPr>
  </w:style>
  <w:style w:type="character" w:customStyle="1" w:styleId="27">
    <w:name w:val="纯文本 Char"/>
    <w:link w:val="12"/>
    <w:qFormat/>
    <w:uiPriority w:val="0"/>
    <w:rPr>
      <w:rFonts w:ascii="宋体" w:hAnsi="Courier New" w:eastAsia="宋体" w:cs="Times New Roman"/>
      <w:kern w:val="2"/>
      <w:sz w:val="21"/>
    </w:rPr>
  </w:style>
  <w:style w:type="character" w:customStyle="1" w:styleId="28">
    <w:name w:val="正文缩进 Char"/>
    <w:link w:val="4"/>
    <w:qFormat/>
    <w:uiPriority w:val="0"/>
    <w:rPr>
      <w:rFonts w:ascii="宋体" w:hAnsi="Calibri" w:eastAsia="宋体" w:cs="Times New Roman"/>
      <w:sz w:val="24"/>
    </w:rPr>
  </w:style>
  <w:style w:type="character" w:customStyle="1" w:styleId="29">
    <w:name w:val="页眉 Char"/>
    <w:link w:val="15"/>
    <w:qFormat/>
    <w:uiPriority w:val="0"/>
    <w:rPr>
      <w:rFonts w:ascii="Calibri" w:hAnsi="Calibri" w:eastAsia="宋体" w:cs="Times New Roman"/>
      <w:kern w:val="2"/>
      <w:sz w:val="18"/>
      <w:szCs w:val="18"/>
    </w:rPr>
  </w:style>
  <w:style w:type="character" w:customStyle="1" w:styleId="30">
    <w:name w:val="标题 6 Char"/>
    <w:basedOn w:val="20"/>
    <w:link w:val="8"/>
    <w:qFormat/>
    <w:uiPriority w:val="0"/>
    <w:rPr>
      <w:rFonts w:ascii="Arial" w:hAnsi="Arial" w:eastAsia="黑体" w:cs="Times New Roman"/>
      <w:b/>
      <w:bCs/>
      <w:kern w:val="2"/>
      <w:sz w:val="24"/>
      <w:szCs w:val="24"/>
    </w:rPr>
  </w:style>
  <w:style w:type="character" w:customStyle="1" w:styleId="31">
    <w:name w:val="批注文字 Char"/>
    <w:link w:val="10"/>
    <w:qFormat/>
    <w:uiPriority w:val="0"/>
    <w:rPr>
      <w:rFonts w:ascii="Calibri" w:hAnsi="Calibri" w:eastAsia="宋体" w:cs="Times New Roman"/>
      <w:kern w:val="2"/>
      <w:sz w:val="21"/>
      <w:szCs w:val="24"/>
    </w:rPr>
  </w:style>
  <w:style w:type="character" w:customStyle="1" w:styleId="32">
    <w:name w:val="批注框文本 Char"/>
    <w:link w:val="13"/>
    <w:qFormat/>
    <w:uiPriority w:val="0"/>
    <w:rPr>
      <w:rFonts w:ascii="Calibri" w:hAnsi="Calibri" w:eastAsia="宋体" w:cs="Times New Roman"/>
      <w:kern w:val="2"/>
      <w:sz w:val="18"/>
      <w:szCs w:val="18"/>
    </w:rPr>
  </w:style>
  <w:style w:type="character" w:customStyle="1" w:styleId="33">
    <w:name w:val="标题 4 Char"/>
    <w:basedOn w:val="20"/>
    <w:link w:val="6"/>
    <w:semiHidden/>
    <w:uiPriority w:val="9"/>
    <w:rPr>
      <w:rFonts w:ascii="Cambria" w:hAnsi="Cambria" w:eastAsia="宋体" w:cs="Times New Roman"/>
      <w:b/>
      <w:bCs/>
      <w:kern w:val="2"/>
      <w:sz w:val="28"/>
      <w:szCs w:val="28"/>
    </w:rPr>
  </w:style>
  <w:style w:type="character" w:customStyle="1" w:styleId="34">
    <w:name w:val="批注主题 Char"/>
    <w:link w:val="17"/>
    <w:uiPriority w:val="0"/>
    <w:rPr>
      <w:rFonts w:ascii="Calibri" w:hAnsi="Calibri" w:eastAsia="宋体" w:cs="Times New Roman"/>
      <w:b/>
      <w:bCs/>
      <w:kern w:val="2"/>
      <w:sz w:val="21"/>
      <w:szCs w:val="24"/>
    </w:rPr>
  </w:style>
  <w:style w:type="character" w:customStyle="1" w:styleId="35">
    <w:name w:val="标题 5 Char"/>
    <w:basedOn w:val="20"/>
    <w:link w:val="7"/>
    <w:qFormat/>
    <w:uiPriority w:val="0"/>
    <w:rPr>
      <w:rFonts w:ascii="Times New Roman" w:hAnsi="Times New Roman" w:cs="Times New Roman"/>
      <w:b/>
      <w:bCs/>
      <w:kern w:val="2"/>
      <w:sz w:val="28"/>
      <w:szCs w:val="28"/>
    </w:rPr>
  </w:style>
  <w:style w:type="character" w:customStyle="1" w:styleId="36">
    <w:name w:val="！正文 Char"/>
    <w:link w:val="37"/>
    <w:qFormat/>
    <w:uiPriority w:val="0"/>
    <w:rPr>
      <w:rFonts w:ascii="Times New Roman" w:hAnsi="Times New Roman" w:cs="Times New Roman"/>
      <w:color w:val="0D0D0D"/>
      <w:sz w:val="24"/>
      <w:szCs w:val="28"/>
    </w:rPr>
  </w:style>
  <w:style w:type="paragraph" w:customStyle="1" w:styleId="37">
    <w:name w:val="！正文"/>
    <w:basedOn w:val="1"/>
    <w:link w:val="36"/>
    <w:unhideWhenUsed/>
    <w:qFormat/>
    <w:uiPriority w:val="0"/>
    <w:pPr>
      <w:spacing w:line="360" w:lineRule="auto"/>
      <w:ind w:firstLine="200" w:firstLineChars="200"/>
    </w:pPr>
    <w:rPr>
      <w:rFonts w:ascii="Times New Roman" w:hAnsi="Times New Roman"/>
      <w:color w:val="0D0D0D"/>
      <w:kern w:val="0"/>
      <w:sz w:val="24"/>
      <w:szCs w:val="28"/>
    </w:rPr>
  </w:style>
  <w:style w:type="paragraph" w:styleId="38">
    <w:name w:val="List Paragraph"/>
    <w:basedOn w:val="1"/>
    <w:qFormat/>
    <w:uiPriority w:val="34"/>
    <w:pPr>
      <w:widowControl/>
      <w:ind w:firstLine="420" w:firstLineChars="200"/>
      <w:jc w:val="left"/>
    </w:pPr>
    <w:rPr>
      <w:kern w:val="0"/>
      <w:sz w:val="24"/>
    </w:rPr>
  </w:style>
  <w:style w:type="paragraph" w:customStyle="1" w:styleId="39">
    <w:name w:val="列出段落1"/>
    <w:basedOn w:val="1"/>
    <w:uiPriority w:val="0"/>
    <w:pPr>
      <w:spacing w:line="360" w:lineRule="auto"/>
      <w:ind w:firstLine="420" w:firstLineChars="200"/>
    </w:pPr>
    <w:rPr>
      <w:rFonts w:ascii="Times New Roman" w:hAnsi="Times New Roman"/>
      <w:szCs w:val="20"/>
    </w:rPr>
  </w:style>
  <w:style w:type="paragraph" w:customStyle="1" w:styleId="40">
    <w:name w:val="正文 段落"/>
    <w:basedOn w:val="1"/>
    <w:uiPriority w:val="0"/>
    <w:pPr>
      <w:spacing w:line="360" w:lineRule="auto"/>
      <w:ind w:firstLine="420" w:firstLineChars="200"/>
    </w:pPr>
    <w:rPr>
      <w:szCs w:val="21"/>
    </w:rPr>
  </w:style>
  <w:style w:type="paragraph" w:customStyle="1" w:styleId="41">
    <w:name w:val="目录 11"/>
    <w:basedOn w:val="1"/>
    <w:next w:val="1"/>
    <w:qFormat/>
    <w:uiPriority w:val="0"/>
  </w:style>
  <w:style w:type="paragraph" w:customStyle="1" w:styleId="42">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3">
    <w:name w:val="Char"/>
    <w:basedOn w:val="1"/>
    <w:qFormat/>
    <w:uiPriority w:val="0"/>
    <w:pPr>
      <w:tabs>
        <w:tab w:val="left" w:pos="360"/>
      </w:tabs>
    </w:pPr>
    <w:rPr>
      <w:sz w:val="24"/>
    </w:rPr>
  </w:style>
  <w:style w:type="paragraph" w:customStyle="1" w:styleId="44">
    <w:name w:val="目录 31"/>
    <w:basedOn w:val="1"/>
    <w:next w:val="1"/>
    <w:qFormat/>
    <w:uiPriority w:val="0"/>
    <w:pPr>
      <w:ind w:left="840" w:leftChars="400"/>
    </w:pPr>
  </w:style>
  <w:style w:type="paragraph" w:customStyle="1" w:styleId="45">
    <w:name w:val="Revision"/>
    <w:hidden/>
    <w:semiHidden/>
    <w:uiPriority w:val="99"/>
    <w:rPr>
      <w:rFonts w:ascii="Calibri" w:hAnsi="Calibri" w:eastAsia="宋体" w:cs="Times New Roman"/>
      <w:kern w:val="2"/>
      <w:sz w:val="21"/>
      <w:szCs w:val="24"/>
      <w:lang w:val="en-US" w:eastAsia="zh-CN" w:bidi="ar-SA"/>
    </w:rPr>
  </w:style>
  <w:style w:type="paragraph" w:customStyle="1" w:styleId="46">
    <w:name w:val="正文一"/>
    <w:basedOn w:val="1"/>
    <w:link w:val="47"/>
    <w:qFormat/>
    <w:uiPriority w:val="0"/>
    <w:pPr>
      <w:spacing w:line="360" w:lineRule="auto"/>
      <w:ind w:firstLine="480" w:firstLineChars="200"/>
    </w:pPr>
    <w:rPr>
      <w:rFonts w:ascii="Times New Roman" w:hAnsi="Times New Roman"/>
      <w:sz w:val="24"/>
    </w:rPr>
  </w:style>
  <w:style w:type="character" w:customStyle="1" w:styleId="47">
    <w:name w:val="正文一 Char"/>
    <w:link w:val="46"/>
    <w:qFormat/>
    <w:uiPriority w:val="0"/>
    <w:rPr>
      <w:rFonts w:ascii="Times New Roman" w:hAnsi="Times New Roman" w:cs="Times New Roman"/>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cntcitc</Company>
  <Pages>40</Pages>
  <Words>20451</Words>
  <Characters>21502</Characters>
  <Lines>168</Lines>
  <Paragraphs>47</Paragraphs>
  <TotalTime>83</TotalTime>
  <ScaleCrop>false</ScaleCrop>
  <LinksUpToDate>false</LinksUpToDate>
  <CharactersWithSpaces>22329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2022-08-01T09:33:00Z</dcterms:created>
  <dc:creator>laohuang</dc:creator>
  <cp:lastModifiedBy>张建</cp:lastModifiedBy>
  <cp:lastPrinted>2022-08-23T03:52:31Z</cp:lastPrinted>
  <dcterms:modified xsi:type="dcterms:W3CDTF">2022-08-23T03:53:54Z</dcterms:modified>
  <dc:title>(加公司LOGO)</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564D0051FFA44B4189D7A082C483A83D</vt:lpwstr>
  </property>
</Properties>
</file>