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opLinePunct w:val="0"/>
        <w:bidi w:val="0"/>
        <w:spacing w:line="360" w:lineRule="auto"/>
        <w:ind w:right="-378" w:rightChars="-180"/>
        <w:jc w:val="center"/>
        <w:rPr>
          <w:rFonts w:ascii="宋体" w:hAnsi="宋体" w:cs="宋体"/>
          <w:sz w:val="36"/>
          <w:szCs w:val="16"/>
        </w:rPr>
      </w:pPr>
    </w:p>
    <w:p>
      <w:pPr>
        <w:pageBreakBefore w:val="0"/>
        <w:topLinePunct w:val="0"/>
        <w:bidi w:val="0"/>
        <w:spacing w:line="360" w:lineRule="auto"/>
        <w:ind w:right="-378" w:rightChars="-180"/>
        <w:jc w:val="center"/>
        <w:rPr>
          <w:rFonts w:ascii="宋体" w:hAnsi="宋体" w:cs="宋体"/>
          <w:sz w:val="36"/>
          <w:szCs w:val="16"/>
        </w:rPr>
      </w:pPr>
    </w:p>
    <w:p>
      <w:pPr>
        <w:pageBreakBefore w:val="0"/>
        <w:topLinePunct w:val="0"/>
        <w:bidi w:val="0"/>
        <w:spacing w:line="360" w:lineRule="auto"/>
        <w:ind w:right="-378" w:rightChars="-180"/>
        <w:jc w:val="center"/>
        <w:rPr>
          <w:rFonts w:ascii="宋体" w:hAnsi="宋体" w:cs="宋体"/>
          <w:sz w:val="72"/>
          <w:szCs w:val="72"/>
        </w:rPr>
      </w:pPr>
      <w:r>
        <w:rPr>
          <w:rFonts w:hint="eastAsia" w:ascii="宋体" w:hAnsi="宋体" w:cs="宋体"/>
          <w:sz w:val="52"/>
          <w:szCs w:val="52"/>
          <w:lang w:val="en-US" w:eastAsia="zh-CN"/>
        </w:rPr>
        <w:t>中国药科大学</w:t>
      </w:r>
      <w:r>
        <w:rPr>
          <w:rFonts w:hint="eastAsia" w:ascii="宋体" w:hAnsi="宋体" w:cs="宋体"/>
          <w:sz w:val="52"/>
          <w:szCs w:val="52"/>
        </w:rPr>
        <w:t>江宁校区学院实验楼二期北侧细胞房净化空调及配套项目</w:t>
      </w:r>
    </w:p>
    <w:p>
      <w:pPr>
        <w:pageBreakBefore w:val="0"/>
        <w:topLinePunct w:val="0"/>
        <w:bidi w:val="0"/>
        <w:spacing w:line="360" w:lineRule="auto"/>
        <w:ind w:right="-378" w:rightChars="-180"/>
        <w:jc w:val="center"/>
        <w:rPr>
          <w:rFonts w:ascii="宋体" w:hAnsi="宋体" w:cs="宋体"/>
          <w:sz w:val="72"/>
          <w:szCs w:val="72"/>
        </w:rPr>
      </w:pPr>
    </w:p>
    <w:p>
      <w:pPr>
        <w:pageBreakBefore w:val="0"/>
        <w:topLinePunct w:val="0"/>
        <w:bidi w:val="0"/>
        <w:spacing w:line="360" w:lineRule="auto"/>
        <w:ind w:right="-378" w:rightChars="-180"/>
        <w:jc w:val="center"/>
        <w:rPr>
          <w:rFonts w:ascii="宋体" w:hAnsi="宋体" w:cs="宋体"/>
          <w:sz w:val="72"/>
          <w:szCs w:val="72"/>
        </w:rPr>
      </w:pPr>
    </w:p>
    <w:p>
      <w:pPr>
        <w:pageBreakBefore w:val="0"/>
        <w:topLinePunct w:val="0"/>
        <w:bidi w:val="0"/>
        <w:spacing w:line="360" w:lineRule="auto"/>
        <w:ind w:right="-378" w:rightChars="-180"/>
        <w:jc w:val="center"/>
        <w:rPr>
          <w:rFonts w:ascii="宋体" w:hAnsi="宋体" w:cs="宋体"/>
          <w:sz w:val="72"/>
          <w:szCs w:val="72"/>
        </w:rPr>
      </w:pPr>
      <w:r>
        <w:rPr>
          <w:rFonts w:hint="eastAsia" w:ascii="宋体" w:hAnsi="宋体" w:cs="宋体"/>
          <w:sz w:val="72"/>
          <w:szCs w:val="72"/>
        </w:rPr>
        <w:t>招 标 文 件</w:t>
      </w:r>
    </w:p>
    <w:p>
      <w:pPr>
        <w:pageBreakBefore w:val="0"/>
        <w:topLinePunct w:val="0"/>
        <w:bidi w:val="0"/>
        <w:spacing w:line="360" w:lineRule="auto"/>
        <w:ind w:right="-378" w:rightChars="-180" w:firstLine="2640" w:firstLineChars="550"/>
        <w:rPr>
          <w:rFonts w:ascii="宋体" w:hAnsi="宋体" w:cs="宋体"/>
          <w:sz w:val="48"/>
          <w:szCs w:val="48"/>
        </w:rPr>
      </w:pPr>
    </w:p>
    <w:p>
      <w:pPr>
        <w:pageBreakBefore w:val="0"/>
        <w:topLinePunct w:val="0"/>
        <w:bidi w:val="0"/>
        <w:spacing w:line="360" w:lineRule="auto"/>
        <w:ind w:right="-378" w:rightChars="-180" w:firstLine="1960" w:firstLineChars="700"/>
        <w:rPr>
          <w:rFonts w:ascii="宋体" w:hAnsi="宋体" w:cs="宋体"/>
          <w:sz w:val="28"/>
          <w:szCs w:val="28"/>
        </w:rPr>
      </w:pPr>
    </w:p>
    <w:p>
      <w:pPr>
        <w:pageBreakBefore w:val="0"/>
        <w:topLinePunct w:val="0"/>
        <w:bidi w:val="0"/>
        <w:spacing w:line="360" w:lineRule="auto"/>
        <w:ind w:right="-378" w:rightChars="-180" w:firstLine="1960" w:firstLineChars="700"/>
        <w:rPr>
          <w:rFonts w:ascii="宋体" w:hAnsi="宋体" w:cs="宋体"/>
          <w:sz w:val="28"/>
          <w:szCs w:val="28"/>
        </w:rPr>
      </w:pPr>
      <w:r>
        <w:rPr>
          <w:rFonts w:hint="eastAsia" w:ascii="宋体" w:hAnsi="宋体" w:cs="宋体"/>
          <w:sz w:val="28"/>
          <w:szCs w:val="28"/>
        </w:rPr>
        <w:t>招标编号：DCHGZB025220121（校方编号）</w:t>
      </w:r>
    </w:p>
    <w:p>
      <w:pPr>
        <w:pageBreakBefore w:val="0"/>
        <w:topLinePunct w:val="0"/>
        <w:bidi w:val="0"/>
        <w:spacing w:line="360" w:lineRule="auto"/>
        <w:ind w:right="-378" w:rightChars="-180" w:firstLine="1960" w:firstLineChars="700"/>
        <w:rPr>
          <w:rFonts w:ascii="宋体" w:hAnsi="宋体" w:cs="宋体"/>
          <w:sz w:val="28"/>
          <w:szCs w:val="28"/>
        </w:rPr>
      </w:pPr>
      <w:r>
        <w:rPr>
          <w:rFonts w:hint="eastAsia" w:ascii="宋体" w:hAnsi="宋体" w:cs="宋体"/>
          <w:sz w:val="28"/>
          <w:szCs w:val="28"/>
        </w:rPr>
        <w:t>JD-ZB-22060（代理机构编号）</w:t>
      </w:r>
    </w:p>
    <w:p>
      <w:pPr>
        <w:pageBreakBefore w:val="0"/>
        <w:topLinePunct w:val="0"/>
        <w:bidi w:val="0"/>
        <w:spacing w:line="360" w:lineRule="auto"/>
        <w:ind w:right="-378" w:rightChars="-180"/>
        <w:rPr>
          <w:rFonts w:ascii="宋体" w:hAnsi="宋体" w:cs="宋体"/>
        </w:rPr>
      </w:pPr>
    </w:p>
    <w:p>
      <w:pPr>
        <w:pageBreakBefore w:val="0"/>
        <w:topLinePunct w:val="0"/>
        <w:bidi w:val="0"/>
        <w:spacing w:line="360" w:lineRule="auto"/>
        <w:ind w:right="-378" w:rightChars="-180"/>
        <w:rPr>
          <w:rFonts w:ascii="宋体" w:hAnsi="宋体" w:cs="宋体"/>
        </w:rPr>
      </w:pPr>
    </w:p>
    <w:p>
      <w:pPr>
        <w:pageBreakBefore w:val="0"/>
        <w:topLinePunct w:val="0"/>
        <w:bidi w:val="0"/>
        <w:spacing w:line="360" w:lineRule="auto"/>
        <w:ind w:right="-378" w:rightChars="-180"/>
        <w:rPr>
          <w:rFonts w:ascii="宋体" w:hAnsi="宋体" w:cs="宋体"/>
        </w:rPr>
      </w:pPr>
    </w:p>
    <w:p>
      <w:pPr>
        <w:pageBreakBefore w:val="0"/>
        <w:topLinePunct w:val="0"/>
        <w:bidi w:val="0"/>
        <w:spacing w:line="360" w:lineRule="auto"/>
        <w:ind w:right="-378" w:rightChars="-180"/>
        <w:rPr>
          <w:rFonts w:ascii="宋体" w:hAnsi="宋体" w:cs="宋体"/>
        </w:rPr>
      </w:pPr>
    </w:p>
    <w:p>
      <w:pPr>
        <w:pageBreakBefore w:val="0"/>
        <w:topLinePunct w:val="0"/>
        <w:bidi w:val="0"/>
        <w:adjustRightInd w:val="0"/>
        <w:snapToGrid w:val="0"/>
        <w:spacing w:line="360" w:lineRule="auto"/>
        <w:ind w:firstLine="1200" w:firstLineChars="400"/>
        <w:rPr>
          <w:rFonts w:ascii="宋体" w:hAnsi="宋体" w:cs="宋体"/>
          <w:snapToGrid w:val="0"/>
          <w:sz w:val="30"/>
          <w:szCs w:val="30"/>
          <w:u w:val="single"/>
        </w:rPr>
      </w:pPr>
      <w:r>
        <w:rPr>
          <w:rFonts w:hint="eastAsia" w:ascii="宋体" w:hAnsi="宋体" w:cs="宋体"/>
          <w:snapToGrid w:val="0"/>
          <w:sz w:val="30"/>
          <w:szCs w:val="30"/>
        </w:rPr>
        <w:t>招   标  人：</w:t>
      </w:r>
      <w:r>
        <w:rPr>
          <w:rFonts w:hint="eastAsia" w:ascii="宋体" w:hAnsi="宋体" w:cs="宋体"/>
          <w:snapToGrid w:val="0"/>
          <w:sz w:val="30"/>
          <w:szCs w:val="30"/>
          <w:u w:val="single"/>
        </w:rPr>
        <w:t xml:space="preserve">中国药科大学 </w:t>
      </w:r>
    </w:p>
    <w:p>
      <w:pPr>
        <w:pageBreakBefore w:val="0"/>
        <w:topLinePunct w:val="0"/>
        <w:bidi w:val="0"/>
        <w:adjustRightInd w:val="0"/>
        <w:snapToGrid w:val="0"/>
        <w:spacing w:line="360" w:lineRule="auto"/>
        <w:ind w:firstLine="1200" w:firstLineChars="400"/>
        <w:rPr>
          <w:rFonts w:ascii="宋体" w:hAnsi="宋体" w:cs="宋体"/>
          <w:snapToGrid w:val="0"/>
          <w:sz w:val="30"/>
          <w:szCs w:val="30"/>
          <w:u w:val="single"/>
        </w:rPr>
      </w:pPr>
      <w:r>
        <w:rPr>
          <w:rFonts w:hint="eastAsia" w:ascii="宋体" w:hAnsi="宋体" w:cs="宋体"/>
          <w:snapToGrid w:val="0"/>
          <w:sz w:val="30"/>
          <w:szCs w:val="30"/>
        </w:rPr>
        <w:t>代 理 单 位：</w:t>
      </w:r>
      <w:r>
        <w:rPr>
          <w:rFonts w:hint="eastAsia" w:ascii="宋体" w:hAnsi="宋体" w:cs="宋体"/>
          <w:snapToGrid w:val="0"/>
          <w:sz w:val="30"/>
          <w:szCs w:val="30"/>
          <w:u w:val="single"/>
        </w:rPr>
        <w:t>南京金鼎工程造价评估有限责任公司</w:t>
      </w:r>
    </w:p>
    <w:p>
      <w:pPr>
        <w:pageBreakBefore w:val="0"/>
        <w:topLinePunct w:val="0"/>
        <w:bidi w:val="0"/>
        <w:spacing w:line="360" w:lineRule="auto"/>
        <w:ind w:firstLine="1200" w:firstLineChars="400"/>
        <w:rPr>
          <w:rFonts w:ascii="宋体" w:hAnsi="宋体" w:cs="宋体"/>
          <w:snapToGrid w:val="0"/>
          <w:sz w:val="28"/>
          <w:szCs w:val="28"/>
        </w:rPr>
      </w:pPr>
      <w:r>
        <w:rPr>
          <w:rFonts w:hint="eastAsia" w:ascii="宋体" w:hAnsi="宋体" w:cs="宋体"/>
          <w:snapToGrid w:val="0"/>
          <w:sz w:val="30"/>
          <w:szCs w:val="30"/>
        </w:rPr>
        <w:t>日       期：2022年7月</w:t>
      </w:r>
    </w:p>
    <w:p>
      <w:pPr>
        <w:pageBreakBefore w:val="0"/>
        <w:topLinePunct w:val="0"/>
        <w:bidi w:val="0"/>
        <w:spacing w:line="360" w:lineRule="auto"/>
        <w:rPr>
          <w:rFonts w:ascii="宋体" w:hAnsi="宋体" w:cs="宋体"/>
          <w:snapToGrid w:val="0"/>
          <w:sz w:val="28"/>
          <w:szCs w:val="28"/>
        </w:rPr>
      </w:pPr>
      <w:r>
        <w:rPr>
          <w:rFonts w:hint="eastAsia" w:ascii="宋体" w:hAnsi="宋体" w:cs="宋体"/>
          <w:snapToGrid w:val="0"/>
          <w:sz w:val="28"/>
          <w:szCs w:val="28"/>
        </w:rPr>
        <w:br w:type="page"/>
      </w:r>
    </w:p>
    <w:sdt>
      <w:sdtPr>
        <w:rPr>
          <w:rFonts w:hint="eastAsia" w:ascii="宋体" w:hAnsi="宋体" w:cs="宋体"/>
        </w:rPr>
        <w:id w:val="147452510"/>
        <w:docPartObj>
          <w:docPartGallery w:val="Table of Contents"/>
          <w:docPartUnique/>
        </w:docPartObj>
      </w:sdtPr>
      <w:sdtEndPr>
        <w:rPr>
          <w:rFonts w:hint="eastAsia" w:ascii="宋体" w:hAnsi="宋体" w:cs="宋体"/>
        </w:rPr>
      </w:sdtEndPr>
      <w:sdtContent>
        <w:p>
          <w:pPr>
            <w:pageBreakBefore w:val="0"/>
            <w:topLinePunct w:val="0"/>
            <w:bidi w:val="0"/>
            <w:spacing w:line="360" w:lineRule="auto"/>
            <w:jc w:val="center"/>
            <w:rPr>
              <w:rFonts w:ascii="宋体" w:hAnsi="宋体" w:cs="宋体"/>
              <w:sz w:val="44"/>
              <w:szCs w:val="44"/>
            </w:rPr>
          </w:pPr>
          <w:r>
            <w:rPr>
              <w:rFonts w:hint="eastAsia" w:ascii="宋体" w:hAnsi="宋体" w:cs="宋体"/>
              <w:sz w:val="44"/>
              <w:szCs w:val="44"/>
            </w:rPr>
            <w:t>目录</w:t>
          </w:r>
        </w:p>
        <w:p>
          <w:pPr>
            <w:pStyle w:val="2"/>
            <w:pageBreakBefore w:val="0"/>
            <w:topLinePunct w:val="0"/>
            <w:bidi w:val="0"/>
            <w:spacing w:line="360" w:lineRule="auto"/>
            <w:rPr>
              <w:rFonts w:ascii="宋体" w:hAnsi="宋体" w:cs="宋体"/>
            </w:rPr>
          </w:pPr>
        </w:p>
        <w:p>
          <w:pPr>
            <w:pStyle w:val="25"/>
            <w:pageBreakBefore w:val="0"/>
            <w:tabs>
              <w:tab w:val="right" w:leader="dot" w:pos="8305"/>
            </w:tabs>
            <w:topLinePunct w:val="0"/>
            <w:bidi w:val="0"/>
            <w:spacing w:line="360" w:lineRule="auto"/>
            <w:rPr>
              <w:rFonts w:ascii="宋体" w:hAnsi="宋体" w:cs="宋体"/>
              <w:sz w:val="28"/>
              <w:szCs w:val="28"/>
            </w:rPr>
          </w:pP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r>
            <w:fldChar w:fldCharType="begin"/>
          </w:r>
          <w:r>
            <w:instrText xml:space="preserve"> HYPERLINK \l "_Toc10032" </w:instrText>
          </w:r>
          <w:r>
            <w:fldChar w:fldCharType="separate"/>
          </w:r>
          <w:r>
            <w:rPr>
              <w:rFonts w:hint="eastAsia" w:ascii="宋体" w:hAnsi="宋体" w:cs="宋体"/>
              <w:bCs/>
              <w:kern w:val="0"/>
              <w:sz w:val="28"/>
              <w:szCs w:val="28"/>
            </w:rPr>
            <w:t>第一章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_Toc10032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25"/>
            <w:pageBreakBefore w:val="0"/>
            <w:tabs>
              <w:tab w:val="right" w:leader="dot" w:pos="8305"/>
            </w:tabs>
            <w:topLinePunct w:val="0"/>
            <w:bidi w:val="0"/>
            <w:spacing w:line="360" w:lineRule="auto"/>
            <w:rPr>
              <w:rFonts w:ascii="宋体" w:hAnsi="宋体" w:cs="宋体"/>
              <w:sz w:val="28"/>
              <w:szCs w:val="28"/>
            </w:rPr>
          </w:pPr>
          <w:r>
            <w:fldChar w:fldCharType="begin"/>
          </w:r>
          <w:r>
            <w:instrText xml:space="preserve"> HYPERLINK \l "_Toc30756"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_Toc30756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25"/>
            <w:pageBreakBefore w:val="0"/>
            <w:tabs>
              <w:tab w:val="right" w:leader="dot" w:pos="8305"/>
            </w:tabs>
            <w:topLinePunct w:val="0"/>
            <w:bidi w:val="0"/>
            <w:spacing w:line="360" w:lineRule="auto"/>
            <w:rPr>
              <w:rFonts w:ascii="宋体" w:hAnsi="宋体" w:cs="宋体"/>
              <w:sz w:val="28"/>
              <w:szCs w:val="28"/>
            </w:rPr>
          </w:pPr>
          <w:r>
            <w:fldChar w:fldCharType="begin"/>
          </w:r>
          <w:r>
            <w:instrText xml:space="preserve"> HYPERLINK \l "_Toc10934" </w:instrText>
          </w:r>
          <w:r>
            <w:fldChar w:fldCharType="separate"/>
          </w:r>
          <w:r>
            <w:rPr>
              <w:rFonts w:hint="eastAsia" w:ascii="宋体" w:hAnsi="宋体" w:cs="宋体"/>
              <w:bCs/>
              <w:kern w:val="44"/>
              <w:sz w:val="28"/>
              <w:szCs w:val="28"/>
            </w:rPr>
            <w:t>第三章 评审标准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_Toc10934 \h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fldChar w:fldCharType="end"/>
          </w:r>
        </w:p>
        <w:p>
          <w:pPr>
            <w:pStyle w:val="25"/>
            <w:pageBreakBefore w:val="0"/>
            <w:tabs>
              <w:tab w:val="right" w:leader="dot" w:pos="8305"/>
            </w:tabs>
            <w:topLinePunct w:val="0"/>
            <w:bidi w:val="0"/>
            <w:spacing w:line="360" w:lineRule="auto"/>
            <w:rPr>
              <w:rFonts w:ascii="宋体" w:hAnsi="宋体" w:cs="宋体"/>
              <w:sz w:val="28"/>
              <w:szCs w:val="28"/>
            </w:rPr>
          </w:pPr>
          <w:r>
            <w:fldChar w:fldCharType="begin"/>
          </w:r>
          <w:r>
            <w:instrText xml:space="preserve"> HYPERLINK \l "_Toc22562" </w:instrText>
          </w:r>
          <w:r>
            <w:fldChar w:fldCharType="separate"/>
          </w:r>
          <w:r>
            <w:rPr>
              <w:rFonts w:hint="eastAsia" w:ascii="宋体" w:hAnsi="宋体" w:cs="宋体"/>
              <w:bCs/>
              <w:kern w:val="44"/>
              <w:sz w:val="28"/>
              <w:szCs w:val="28"/>
            </w:rPr>
            <w:t xml:space="preserve">第四章 </w:t>
          </w:r>
          <w:r>
            <w:rPr>
              <w:rFonts w:hint="eastAsia" w:ascii="宋体" w:hAnsi="宋体" w:cs="宋体"/>
              <w:bCs/>
              <w:kern w:val="44"/>
              <w:sz w:val="28"/>
              <w:szCs w:val="28"/>
              <w:lang w:eastAsia="zh-CN"/>
            </w:rPr>
            <w:t>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_Toc22562 \h </w:instrText>
          </w:r>
          <w:r>
            <w:rPr>
              <w:rFonts w:hint="eastAsia" w:ascii="宋体" w:hAnsi="宋体" w:cs="宋体"/>
              <w:sz w:val="28"/>
              <w:szCs w:val="28"/>
            </w:rPr>
            <w:fldChar w:fldCharType="separate"/>
          </w:r>
          <w:r>
            <w:rPr>
              <w:rFonts w:hint="eastAsia" w:ascii="宋体" w:hAnsi="宋体" w:cs="宋体"/>
              <w:sz w:val="28"/>
              <w:szCs w:val="28"/>
            </w:rPr>
            <w:t>29</w:t>
          </w:r>
          <w:r>
            <w:rPr>
              <w:rFonts w:hint="eastAsia" w:ascii="宋体" w:hAnsi="宋体" w:cs="宋体"/>
              <w:sz w:val="28"/>
              <w:szCs w:val="28"/>
            </w:rPr>
            <w:fldChar w:fldCharType="end"/>
          </w:r>
          <w:r>
            <w:rPr>
              <w:rFonts w:hint="eastAsia" w:ascii="宋体" w:hAnsi="宋体" w:cs="宋体"/>
              <w:sz w:val="28"/>
              <w:szCs w:val="28"/>
            </w:rPr>
            <w:fldChar w:fldCharType="end"/>
          </w:r>
        </w:p>
        <w:p>
          <w:pPr>
            <w:pStyle w:val="25"/>
            <w:pageBreakBefore w:val="0"/>
            <w:tabs>
              <w:tab w:val="right" w:leader="dot" w:pos="8305"/>
            </w:tabs>
            <w:topLinePunct w:val="0"/>
            <w:bidi w:val="0"/>
            <w:spacing w:line="360" w:lineRule="auto"/>
            <w:rPr>
              <w:rFonts w:ascii="宋体" w:hAnsi="宋体" w:cs="宋体"/>
              <w:sz w:val="28"/>
              <w:szCs w:val="28"/>
            </w:rPr>
          </w:pPr>
          <w:r>
            <w:fldChar w:fldCharType="begin"/>
          </w:r>
          <w:r>
            <w:instrText xml:space="preserve"> HYPERLINK \l "_Toc8226" </w:instrText>
          </w:r>
          <w:r>
            <w:fldChar w:fldCharType="separate"/>
          </w:r>
          <w:r>
            <w:rPr>
              <w:rFonts w:hint="eastAsia" w:ascii="宋体" w:hAnsi="宋体" w:cs="宋体"/>
              <w:bCs/>
              <w:kern w:val="44"/>
              <w:sz w:val="28"/>
              <w:szCs w:val="28"/>
            </w:rPr>
            <w:t>第五章 合同</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_Toc8226 \h </w:instrText>
          </w:r>
          <w:r>
            <w:rPr>
              <w:rFonts w:hint="eastAsia" w:ascii="宋体" w:hAnsi="宋体" w:cs="宋体"/>
              <w:sz w:val="28"/>
              <w:szCs w:val="28"/>
            </w:rPr>
            <w:fldChar w:fldCharType="separate"/>
          </w:r>
          <w:r>
            <w:rPr>
              <w:rFonts w:hint="eastAsia" w:ascii="宋体" w:hAnsi="宋体" w:cs="宋体"/>
              <w:sz w:val="28"/>
              <w:szCs w:val="28"/>
            </w:rPr>
            <w:t>31</w:t>
          </w:r>
          <w:r>
            <w:rPr>
              <w:rFonts w:hint="eastAsia" w:ascii="宋体" w:hAnsi="宋体" w:cs="宋体"/>
              <w:sz w:val="28"/>
              <w:szCs w:val="28"/>
            </w:rPr>
            <w:fldChar w:fldCharType="end"/>
          </w:r>
          <w:r>
            <w:rPr>
              <w:rFonts w:hint="eastAsia" w:ascii="宋体" w:hAnsi="宋体" w:cs="宋体"/>
              <w:sz w:val="28"/>
              <w:szCs w:val="28"/>
            </w:rPr>
            <w:fldChar w:fldCharType="end"/>
          </w:r>
        </w:p>
        <w:p>
          <w:pPr>
            <w:pStyle w:val="25"/>
            <w:pageBreakBefore w:val="0"/>
            <w:tabs>
              <w:tab w:val="right" w:leader="dot" w:pos="8305"/>
            </w:tabs>
            <w:topLinePunct w:val="0"/>
            <w:bidi w:val="0"/>
            <w:spacing w:line="360" w:lineRule="auto"/>
            <w:rPr>
              <w:rFonts w:ascii="宋体" w:hAnsi="宋体" w:cs="宋体"/>
            </w:rPr>
          </w:pPr>
          <w:r>
            <w:fldChar w:fldCharType="begin"/>
          </w:r>
          <w:r>
            <w:instrText xml:space="preserve"> HYPERLINK \l "_Toc14408" </w:instrText>
          </w:r>
          <w:r>
            <w:fldChar w:fldCharType="separate"/>
          </w:r>
          <w:r>
            <w:rPr>
              <w:rFonts w:hint="eastAsia" w:ascii="宋体" w:hAnsi="宋体" w:cs="宋体"/>
              <w:bCs/>
              <w:kern w:val="44"/>
              <w:sz w:val="28"/>
              <w:szCs w:val="28"/>
            </w:rPr>
            <w:t>第六章 投标文件格式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_Toc14408 \h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sz w:val="28"/>
              <w:szCs w:val="28"/>
            </w:rPr>
            <w:fldChar w:fldCharType="end"/>
          </w:r>
        </w:p>
        <w:p>
          <w:pPr>
            <w:pageBreakBefore w:val="0"/>
            <w:topLinePunct w:val="0"/>
            <w:bidi w:val="0"/>
            <w:spacing w:line="360" w:lineRule="auto"/>
            <w:rPr>
              <w:rFonts w:ascii="宋体" w:hAnsi="宋体" w:cs="宋体"/>
            </w:rPr>
          </w:pPr>
          <w:r>
            <w:rPr>
              <w:rFonts w:hint="eastAsia" w:ascii="宋体" w:hAnsi="宋体" w:cs="宋体"/>
              <w:szCs w:val="30"/>
            </w:rPr>
            <w:fldChar w:fldCharType="end"/>
          </w:r>
        </w:p>
      </w:sdtContent>
    </w:sdt>
    <w:p>
      <w:pPr>
        <w:pStyle w:val="12"/>
        <w:pageBreakBefore w:val="0"/>
        <w:tabs>
          <w:tab w:val="left" w:pos="0"/>
          <w:tab w:val="left" w:pos="3165"/>
          <w:tab w:val="center" w:pos="4153"/>
        </w:tabs>
        <w:topLinePunct w:val="0"/>
        <w:autoSpaceDE w:val="0"/>
        <w:autoSpaceDN w:val="0"/>
        <w:bidi w:val="0"/>
        <w:adjustRightInd w:val="0"/>
        <w:spacing w:before="0" w:after="0" w:line="360" w:lineRule="auto"/>
        <w:jc w:val="center"/>
        <w:rPr>
          <w:rFonts w:ascii="宋体" w:hAnsi="宋体" w:cs="宋体"/>
          <w:sz w:val="32"/>
          <w:szCs w:val="32"/>
        </w:rPr>
        <w:sectPr>
          <w:footerReference r:id="rId3" w:type="first"/>
          <w:pgSz w:w="11911" w:h="16838"/>
          <w:pgMar w:top="1440" w:right="1080" w:bottom="1440" w:left="1080" w:header="0" w:footer="1406" w:gutter="0"/>
          <w:cols w:space="720" w:num="1"/>
          <w:docGrid w:linePitch="312" w:charSpace="0"/>
        </w:sectPr>
      </w:pPr>
      <w:bookmarkStart w:id="0" w:name="_Toc35393789"/>
      <w:bookmarkStart w:id="1" w:name="_Toc28359001"/>
    </w:p>
    <w:bookmarkEnd w:id="0"/>
    <w:bookmarkEnd w:id="1"/>
    <w:p>
      <w:pPr>
        <w:pStyle w:val="17"/>
        <w:pageBreakBefore w:val="0"/>
        <w:kinsoku w:val="0"/>
        <w:overflowPunct w:val="0"/>
        <w:topLinePunct w:val="0"/>
        <w:bidi w:val="0"/>
        <w:spacing w:line="360" w:lineRule="auto"/>
        <w:jc w:val="center"/>
        <w:outlineLvl w:val="0"/>
        <w:rPr>
          <w:sz w:val="36"/>
          <w:szCs w:val="36"/>
        </w:rPr>
      </w:pPr>
      <w:bookmarkStart w:id="2" w:name="_Toc16763"/>
      <w:bookmarkStart w:id="3" w:name="_Toc31445"/>
      <w:bookmarkStart w:id="4" w:name="_Toc10032"/>
      <w:r>
        <w:rPr>
          <w:rFonts w:hint="eastAsia"/>
          <w:b/>
          <w:bCs/>
          <w:kern w:val="0"/>
          <w:sz w:val="36"/>
          <w:szCs w:val="36"/>
        </w:rPr>
        <w:t>第一章 招标公告</w:t>
      </w:r>
      <w:bookmarkEnd w:id="2"/>
      <w:bookmarkEnd w:id="3"/>
      <w:bookmarkEnd w:id="4"/>
    </w:p>
    <w:p>
      <w:pPr>
        <w:pageBreakBefore w:val="0"/>
        <w:pBdr>
          <w:top w:val="single" w:color="auto" w:sz="4" w:space="1"/>
          <w:left w:val="single" w:color="auto" w:sz="4" w:space="4"/>
          <w:bottom w:val="single" w:color="auto" w:sz="4" w:space="1"/>
          <w:right w:val="single" w:color="auto" w:sz="4" w:space="4"/>
        </w:pBdr>
        <w:topLinePunct w:val="0"/>
        <w:bidi w:val="0"/>
        <w:spacing w:line="360" w:lineRule="auto"/>
        <w:ind w:firstLine="480" w:firstLineChars="200"/>
        <w:rPr>
          <w:rFonts w:ascii="宋体" w:hAnsi="宋体" w:cs="宋体"/>
          <w:sz w:val="24"/>
          <w:szCs w:val="24"/>
        </w:rPr>
      </w:pPr>
      <w:bookmarkStart w:id="5" w:name="_Toc28359002"/>
      <w:bookmarkStart w:id="6" w:name="_Toc35393621"/>
      <w:bookmarkStart w:id="7" w:name="_Toc35393790"/>
      <w:bookmarkStart w:id="8" w:name="_Toc28359079"/>
      <w:bookmarkStart w:id="9" w:name="_Hlk24379207"/>
      <w:r>
        <w:rPr>
          <w:rFonts w:hint="eastAsia" w:ascii="宋体" w:hAnsi="宋体" w:cs="宋体"/>
          <w:sz w:val="24"/>
          <w:szCs w:val="24"/>
        </w:rPr>
        <w:t>项目概况</w:t>
      </w:r>
    </w:p>
    <w:p>
      <w:pPr>
        <w:pageBreakBefore w:val="0"/>
        <w:pBdr>
          <w:top w:val="single" w:color="auto" w:sz="4" w:space="1"/>
          <w:left w:val="single" w:color="auto" w:sz="4" w:space="4"/>
          <w:bottom w:val="single" w:color="auto" w:sz="4" w:space="1"/>
          <w:right w:val="single" w:color="auto" w:sz="4" w:space="4"/>
        </w:pBdr>
        <w:topLinePunct w:val="0"/>
        <w:bidi w:val="0"/>
        <w:spacing w:line="360" w:lineRule="auto"/>
        <w:ind w:firstLine="480" w:firstLineChars="200"/>
        <w:rPr>
          <w:rFonts w:ascii="宋体" w:hAnsi="宋体" w:cs="宋体"/>
          <w:sz w:val="24"/>
          <w:szCs w:val="24"/>
        </w:rPr>
      </w:pPr>
      <w:r>
        <w:rPr>
          <w:rFonts w:hint="eastAsia" w:ascii="宋体" w:hAnsi="宋体" w:cs="宋体"/>
          <w:sz w:val="24"/>
          <w:szCs w:val="24"/>
          <w:u w:val="single"/>
        </w:rPr>
        <w:t>中国药科大学江宁校区学院实验楼二期北侧细胞房净化空调及配套项目</w:t>
      </w:r>
      <w:r>
        <w:rPr>
          <w:rFonts w:hint="eastAsia" w:ascii="宋体" w:hAnsi="宋体" w:cs="宋体"/>
          <w:sz w:val="24"/>
          <w:szCs w:val="24"/>
        </w:rPr>
        <w:t>招标项目的潜在供应商应在</w:t>
      </w:r>
      <w:r>
        <w:rPr>
          <w:rFonts w:hint="eastAsia" w:ascii="宋体" w:hAnsi="宋体" w:cs="宋体"/>
          <w:sz w:val="24"/>
          <w:szCs w:val="24"/>
          <w:u w:val="single"/>
        </w:rPr>
        <w:t>南京金鼎工程造价评估有限责任公司（南京市鼓楼区虎踞北路41号）</w:t>
      </w:r>
      <w:r>
        <w:rPr>
          <w:rFonts w:hint="eastAsia" w:ascii="宋体" w:hAnsi="宋体" w:cs="宋体"/>
          <w:sz w:val="24"/>
          <w:szCs w:val="24"/>
        </w:rPr>
        <w:t>获取招标文件，并于</w:t>
      </w:r>
      <w:r>
        <w:rPr>
          <w:rFonts w:hint="eastAsia" w:ascii="宋体" w:hAnsi="宋体" w:cs="宋体"/>
          <w:sz w:val="24"/>
          <w:szCs w:val="24"/>
          <w:u w:val="single"/>
        </w:rPr>
        <w:t>2022年月日9点30分</w:t>
      </w:r>
      <w:r>
        <w:rPr>
          <w:rFonts w:hint="eastAsia" w:ascii="宋体" w:hAnsi="宋体" w:cs="宋体"/>
          <w:bCs/>
          <w:sz w:val="24"/>
          <w:szCs w:val="24"/>
        </w:rPr>
        <w:t>（北京时间）前递交投标文件</w:t>
      </w:r>
      <w:r>
        <w:rPr>
          <w:rFonts w:hint="eastAsia" w:ascii="宋体" w:hAnsi="宋体" w:cs="宋体"/>
          <w:sz w:val="24"/>
          <w:szCs w:val="24"/>
        </w:rPr>
        <w:t>。</w:t>
      </w:r>
    </w:p>
    <w:p>
      <w:pPr>
        <w:pStyle w:val="5"/>
        <w:pageBreakBefore w:val="0"/>
        <w:topLinePunct w:val="0"/>
        <w:bidi w:val="0"/>
        <w:spacing w:before="0" w:after="0" w:line="360" w:lineRule="auto"/>
        <w:rPr>
          <w:rFonts w:ascii="宋体" w:hAnsi="宋体" w:eastAsia="宋体" w:cs="宋体"/>
          <w:sz w:val="24"/>
          <w:szCs w:val="24"/>
        </w:rPr>
      </w:pPr>
    </w:p>
    <w:p>
      <w:pPr>
        <w:pStyle w:val="5"/>
        <w:pageBreakBefore w:val="0"/>
        <w:topLinePunct w:val="0"/>
        <w:bidi w:val="0"/>
        <w:spacing w:before="0" w:after="0" w:line="360" w:lineRule="auto"/>
        <w:rPr>
          <w:rFonts w:ascii="宋体" w:hAnsi="宋体" w:eastAsia="宋体" w:cs="宋体"/>
          <w:sz w:val="24"/>
          <w:szCs w:val="24"/>
        </w:rPr>
      </w:pPr>
      <w:r>
        <w:rPr>
          <w:rFonts w:hint="eastAsia" w:ascii="宋体" w:hAnsi="宋体" w:eastAsia="宋体" w:cs="宋体"/>
          <w:sz w:val="24"/>
          <w:szCs w:val="24"/>
        </w:rPr>
        <w:t>一、项目基本情况</w:t>
      </w:r>
      <w:bookmarkEnd w:id="5"/>
      <w:bookmarkEnd w:id="6"/>
      <w:bookmarkEnd w:id="7"/>
      <w:bookmarkEnd w:id="8"/>
    </w:p>
    <w:p>
      <w:pPr>
        <w:pageBreakBefore w:val="0"/>
        <w:topLinePunct w:val="0"/>
        <w:bidi w:val="0"/>
        <w:spacing w:line="360" w:lineRule="auto"/>
        <w:ind w:firstLine="480" w:firstLineChars="200"/>
        <w:rPr>
          <w:rFonts w:ascii="宋体" w:hAnsi="宋体" w:cs="宋体"/>
          <w:sz w:val="28"/>
          <w:szCs w:val="28"/>
        </w:rPr>
      </w:pPr>
      <w:r>
        <w:rPr>
          <w:rFonts w:hint="eastAsia" w:ascii="宋体" w:hAnsi="宋体" w:cs="宋体"/>
          <w:sz w:val="24"/>
          <w:szCs w:val="24"/>
        </w:rPr>
        <w:t>1、项目编号：DCHGZB025220121（校方编号）</w:t>
      </w:r>
    </w:p>
    <w:p>
      <w:pPr>
        <w:pageBreakBefore w:val="0"/>
        <w:topLinePunct w:val="0"/>
        <w:bidi w:val="0"/>
        <w:spacing w:line="360" w:lineRule="auto"/>
        <w:ind w:firstLine="2160" w:firstLineChars="900"/>
        <w:rPr>
          <w:rFonts w:ascii="宋体" w:hAnsi="宋体" w:cs="宋体"/>
          <w:sz w:val="24"/>
          <w:szCs w:val="24"/>
        </w:rPr>
      </w:pPr>
      <w:r>
        <w:rPr>
          <w:rFonts w:hint="eastAsia" w:ascii="宋体" w:hAnsi="宋体" w:cs="宋体"/>
          <w:sz w:val="24"/>
          <w:szCs w:val="24"/>
        </w:rPr>
        <w:t>JD-ZB-22060（代理机构编号）</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2、项目名称：</w:t>
      </w:r>
      <w:bookmarkEnd w:id="9"/>
      <w:r>
        <w:rPr>
          <w:rFonts w:hint="eastAsia" w:ascii="宋体" w:hAnsi="宋体" w:cs="宋体"/>
          <w:sz w:val="24"/>
          <w:szCs w:val="24"/>
        </w:rPr>
        <w:t>中国药科大学江宁校区学院实验楼二期北侧细胞房净化空调及配套项目</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3、预算金额：198.00万元</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4、最高限价：19</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750289</w:t>
      </w:r>
      <w:r>
        <w:rPr>
          <w:rFonts w:hint="eastAsia" w:ascii="宋体" w:hAnsi="宋体" w:cs="宋体"/>
          <w:sz w:val="24"/>
          <w:szCs w:val="24"/>
        </w:rPr>
        <w:t>万元</w:t>
      </w:r>
    </w:p>
    <w:p>
      <w:pPr>
        <w:pageBreakBefore w:val="0"/>
        <w:topLinePunct w:val="0"/>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5、采购需求：</w:t>
      </w:r>
      <w:r>
        <w:rPr>
          <w:rFonts w:hint="eastAsia" w:ascii="宋体" w:hAnsi="宋体" w:cs="宋体"/>
          <w:sz w:val="24"/>
        </w:rPr>
        <w:t>净化通风设备、送回风管道系统、排风管道系统及配套工程等，详见设计文件</w:t>
      </w:r>
      <w:r>
        <w:rPr>
          <w:rFonts w:hint="eastAsia" w:ascii="宋体" w:hAnsi="宋体" w:cs="宋体"/>
          <w:sz w:val="24"/>
          <w:szCs w:val="24"/>
          <w:lang w:eastAsia="zh-CN"/>
        </w:rPr>
        <w:t>。</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6、采购方式：公开招标</w:t>
      </w:r>
    </w:p>
    <w:p>
      <w:pPr>
        <w:pageBreakBefore w:val="0"/>
        <w:topLinePunct w:val="0"/>
        <w:bidi w:val="0"/>
        <w:spacing w:line="360" w:lineRule="auto"/>
        <w:ind w:firstLine="480" w:firstLineChars="200"/>
        <w:rPr>
          <w:rFonts w:ascii="宋体" w:hAnsi="宋体" w:cs="宋体"/>
          <w:sz w:val="24"/>
          <w:szCs w:val="24"/>
          <w:u w:val="single"/>
        </w:rPr>
      </w:pPr>
      <w:r>
        <w:rPr>
          <w:rFonts w:hint="eastAsia" w:ascii="宋体" w:hAnsi="宋体" w:cs="宋体"/>
          <w:sz w:val="24"/>
          <w:szCs w:val="24"/>
        </w:rPr>
        <w:t>7、合同履行期限：</w:t>
      </w:r>
      <w:r>
        <w:rPr>
          <w:rFonts w:hint="eastAsia" w:ascii="宋体" w:hAnsi="宋体" w:cs="宋体"/>
          <w:sz w:val="24"/>
          <w:szCs w:val="24"/>
          <w:lang w:val="en-US" w:eastAsia="zh-CN"/>
        </w:rPr>
        <w:t>45日历</w:t>
      </w:r>
      <w:r>
        <w:rPr>
          <w:rFonts w:hint="eastAsia" w:ascii="宋体" w:hAnsi="宋体" w:cs="宋体"/>
          <w:sz w:val="24"/>
          <w:szCs w:val="24"/>
          <w:lang w:eastAsia="zh-CN"/>
        </w:rPr>
        <w:t>天（</w:t>
      </w:r>
      <w:r>
        <w:rPr>
          <w:rFonts w:hint="eastAsia" w:ascii="宋体" w:hAnsi="宋体" w:cs="宋体"/>
          <w:sz w:val="24"/>
          <w:szCs w:val="24"/>
        </w:rPr>
        <w:t>签订合同后20日历天内完成备货，接到采购人进场通知后5日历天内货到现场(至甲方指定位置)，20日历天内完成安装、调试并验收合格交付甲方使用。</w:t>
      </w:r>
      <w:r>
        <w:rPr>
          <w:rFonts w:hint="eastAsia" w:ascii="宋体" w:hAnsi="宋体" w:cs="宋体"/>
          <w:sz w:val="24"/>
          <w:szCs w:val="24"/>
          <w:lang w:eastAsia="zh-CN"/>
        </w:rPr>
        <w:t>）</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8、本项目不接受联合体投标</w:t>
      </w:r>
    </w:p>
    <w:p>
      <w:pPr>
        <w:pStyle w:val="5"/>
        <w:pageBreakBefore w:val="0"/>
        <w:topLinePunct w:val="0"/>
        <w:bidi w:val="0"/>
        <w:spacing w:before="0" w:after="0" w:line="360" w:lineRule="auto"/>
        <w:rPr>
          <w:rFonts w:ascii="宋体" w:hAnsi="宋体" w:eastAsia="宋体" w:cs="宋体"/>
          <w:sz w:val="24"/>
          <w:szCs w:val="24"/>
        </w:rPr>
      </w:pPr>
      <w:bookmarkStart w:id="10" w:name="_Toc28359003"/>
      <w:bookmarkStart w:id="11" w:name="_Toc35393791"/>
      <w:bookmarkStart w:id="12" w:name="_Toc35393622"/>
      <w:bookmarkStart w:id="13" w:name="_Toc28359080"/>
      <w:r>
        <w:rPr>
          <w:rFonts w:hint="eastAsia" w:ascii="宋体" w:hAnsi="宋体" w:eastAsia="宋体" w:cs="宋体"/>
          <w:sz w:val="24"/>
          <w:szCs w:val="24"/>
        </w:rPr>
        <w:t>二、申请人的资格要求：</w:t>
      </w:r>
      <w:bookmarkEnd w:id="10"/>
      <w:bookmarkEnd w:id="11"/>
      <w:bookmarkEnd w:id="12"/>
      <w:bookmarkEnd w:id="13"/>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1.满足《中华人民共和国政府采购法》第二十二条规定，并依照政府采购法实施条例第十七条规定提供材料：</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（1）具有独立承担民事责任的能力（提供法人或者其他组织的营业执照，自然人的身份证）；</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（2）具有良好的商业信誉和健全的财务会计制度（提供参加本次政府采购活动前的会计报表）；</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（3）具有履行合同所必需的设备和专业技术能力（根据项目需求提供履行合同所必需的设备和专业技术能力的证明材料）；</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（4）有依法缴纳税收和社会保障资金的良好记录（提供参加本次政府采购活动前半年内（至少一个月）依法缴纳税收和社会保障资金的相关材料）；</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（5）参加政府采购活动前三年内，在经营活动中没有重大违法记录（提供参加本次政府采购活动前3年内在经营活动中没有重大违法记录的书面声明，格式自拟）；</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（6）法律、行政法规规定的其他条件（提供项目实施所必须的许可资质证明材料）：无。</w:t>
      </w:r>
    </w:p>
    <w:p>
      <w:pPr>
        <w:pageBreakBefore w:val="0"/>
        <w:topLinePunct w:val="0"/>
        <w:bidi w:val="0"/>
        <w:spacing w:line="360" w:lineRule="auto"/>
        <w:ind w:firstLine="480" w:firstLineChars="200"/>
        <w:rPr>
          <w:rFonts w:ascii="宋体" w:hAnsi="宋体" w:cs="宋体"/>
          <w:sz w:val="24"/>
          <w:szCs w:val="24"/>
          <w:highlight w:val="red"/>
          <w:u w:val="single"/>
        </w:rPr>
      </w:pPr>
      <w:bookmarkStart w:id="14" w:name="_Toc28359081"/>
      <w:bookmarkStart w:id="15" w:name="_Toc28359004"/>
      <w:r>
        <w:rPr>
          <w:rFonts w:hint="eastAsia" w:ascii="宋体" w:hAnsi="宋体" w:cs="宋体"/>
          <w:sz w:val="24"/>
          <w:szCs w:val="24"/>
        </w:rPr>
        <w:t>2.落实政府采购政策需满足的资格要求：无。</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3.本项目的特定资格要求：</w:t>
      </w:r>
      <w:bookmarkStart w:id="16" w:name="_Toc35393623"/>
      <w:bookmarkStart w:id="17" w:name="_Toc35393792"/>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（1）投标人具有专业承包建筑机电安装工程三级(含)以上资质（提供资质证书复印件并加盖公章）。</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2）提供投标人法定代表人授权委托书；并提供被授权人与投标人签订的劳动合同；提供社保机构出具近半年投标人为被授权人缴纳的养老保险金缴费证明材料(并加盖社保中心章或社保中心参保缴费证明电子专用章)。</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（3）投标人具备安全生产许可证（疫情期间建筑业企业资质证书延期遵循《住房和城乡建设部办公厅关于建设工程企业资质延续有关事项的通知》相关规定）。</w:t>
      </w:r>
    </w:p>
    <w:p>
      <w:pPr>
        <w:pStyle w:val="2"/>
        <w:pageBreakBefore w:val="0"/>
        <w:topLinePunct w:val="0"/>
        <w:bidi w:val="0"/>
        <w:spacing w:line="360" w:lineRule="auto"/>
        <w:ind w:left="0" w:leftChars="0" w:firstLine="480" w:firstLineChars="200"/>
        <w:rPr>
          <w:rFonts w:ascii="宋体" w:hAnsi="宋体" w:cs="宋体"/>
        </w:rPr>
      </w:pPr>
      <w:r>
        <w:rPr>
          <w:rFonts w:hint="eastAsia" w:ascii="宋体" w:hAnsi="宋体" w:cs="宋体"/>
          <w:sz w:val="24"/>
          <w:szCs w:val="24"/>
        </w:rPr>
        <w:t>（4）疫情防控期间建设工程企业资质证书有效期延期和注册执业人员注册证书（含安全生产考核合格证书B类）有效期延期执行国家及省、市相关文件规定。</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4、拒绝下述条件的供应商参加本次采购活动：</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（1）单位负责人为同一人或者存在直接控股、管理关系的不同供应商，不得参加同一合同项下的政府采购活动（提供承诺书加盖公章）；</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（2）为采购项目提供整体设计、规范编制、项目实施单位或者项目管理、监理等服务的供应商，不得再参加该采购项目的其他采购活动；</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（3）拒绝列入失信被执行人、重大税收违法案件当事人名单、政府采购严重违法失信行为记录名单的供应商参与政府采购活动。采购代理机构在供应商购买采购文件时，通过“信用中国”网站(</w:t>
      </w:r>
      <w:r>
        <w:rPr>
          <w:rFonts w:hint="eastAsia" w:ascii="宋体" w:hAnsi="宋体" w:cs="宋体"/>
          <w:sz w:val="24"/>
          <w:szCs w:val="24"/>
        </w:rPr>
        <w:fldChar w:fldCharType="begin"/>
      </w:r>
      <w:r>
        <w:rPr>
          <w:rFonts w:hint="eastAsia" w:ascii="宋体" w:hAnsi="宋体" w:cs="宋体"/>
          <w:sz w:val="24"/>
          <w:szCs w:val="24"/>
        </w:rPr>
        <w:instrText xml:space="preserve">INCLUDEPICTURE \d "C:\\Users\\Administrator\\AppData\\Roaming\\Tencent\\QQTempSys\\%W@GJ$ACOF(TYDYECOKVDYB.png" \* MERGEFORMATINET </w:instrText>
      </w:r>
      <w:r>
        <w:rPr>
          <w:rFonts w:hint="eastAsia" w:ascii="宋体" w:hAnsi="宋体" w:cs="宋体"/>
          <w:sz w:val="24"/>
          <w:szCs w:val="24"/>
        </w:rPr>
        <w:fldChar w:fldCharType="separate"/>
      </w:r>
      <w:r>
        <w:rPr>
          <w:rFonts w:hint="eastAsia" w:ascii="宋体" w:hAnsi="宋体" w:cs="宋体"/>
          <w:sz w:val="24"/>
          <w:szCs w:val="24"/>
        </w:rPr>
        <w:drawing>
          <wp:inline distT="0" distB="0" distL="114300" distR="114300">
            <wp:extent cx="190500" cy="142875"/>
            <wp:effectExtent l="0" t="0" r="0" b="9525"/>
            <wp:docPr id="6"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7"/>
                    <pic:cNvPicPr>
                      <a:picLocks noChangeAspect="1"/>
                    </pic:cNvPicPr>
                  </pic:nvPicPr>
                  <pic:blipFill>
                    <a:blip r:embed="rId11" cstate="prin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 w:val="24"/>
          <w:szCs w:val="24"/>
        </w:rPr>
        <w:fldChar w:fldCharType="end"/>
      </w:r>
      <w:r>
        <w:rPr>
          <w:rFonts w:hint="eastAsia" w:ascii="宋体" w:hAnsi="宋体" w:cs="宋体"/>
          <w:sz w:val="24"/>
          <w:szCs w:val="24"/>
        </w:rPr>
        <w:t>www.creditchina.gov.cn)、中国政府采购网(</w:t>
      </w:r>
      <w:r>
        <w:rPr>
          <w:rFonts w:hint="eastAsia" w:ascii="宋体" w:hAnsi="宋体" w:cs="宋体"/>
          <w:sz w:val="24"/>
          <w:szCs w:val="24"/>
        </w:rPr>
        <w:fldChar w:fldCharType="begin"/>
      </w:r>
      <w:r>
        <w:rPr>
          <w:rFonts w:hint="eastAsia" w:ascii="宋体" w:hAnsi="宋体" w:cs="宋体"/>
          <w:sz w:val="24"/>
          <w:szCs w:val="24"/>
        </w:rPr>
        <w:instrText xml:space="preserve">INCLUDEPICTURE \d "C:\\Users\\Administrator\\AppData\\Roaming\\Tencent\\QQTempSys\\%W@GJ$ACOF(TYDYECOKVDYB.png" \* MERGEFORMATINET </w:instrText>
      </w:r>
      <w:r>
        <w:rPr>
          <w:rFonts w:hint="eastAsia" w:ascii="宋体" w:hAnsi="宋体" w:cs="宋体"/>
          <w:sz w:val="24"/>
          <w:szCs w:val="24"/>
        </w:rPr>
        <w:fldChar w:fldCharType="separate"/>
      </w:r>
      <w:r>
        <w:rPr>
          <w:rFonts w:hint="eastAsia" w:ascii="宋体" w:hAnsi="宋体" w:cs="宋体"/>
          <w:sz w:val="24"/>
          <w:szCs w:val="24"/>
        </w:rPr>
        <w:drawing>
          <wp:inline distT="0" distB="0" distL="114300" distR="114300">
            <wp:extent cx="190500" cy="142875"/>
            <wp:effectExtent l="0" t="0" r="0" b="9525"/>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11" cstate="prin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 w:val="24"/>
          <w:szCs w:val="24"/>
        </w:rPr>
        <w:fldChar w:fldCharType="end"/>
      </w:r>
      <w:r>
        <w:rPr>
          <w:rFonts w:hint="eastAsia" w:ascii="宋体" w:hAnsi="宋体" w:cs="宋体"/>
          <w:sz w:val="24"/>
          <w:szCs w:val="24"/>
        </w:rPr>
        <w:t>www.ccgp.gov.cn) 等渠道查询供应商在采购公告发布之日前的信用记录并保存。</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5、是否接受进口产品：否</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6、本次项目不接受联合体投标。</w:t>
      </w:r>
    </w:p>
    <w:p>
      <w:pPr>
        <w:pStyle w:val="5"/>
        <w:pageBreakBefore w:val="0"/>
        <w:topLinePunct w:val="0"/>
        <w:bidi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三、获取招标文件</w:t>
      </w:r>
      <w:bookmarkEnd w:id="14"/>
      <w:bookmarkEnd w:id="15"/>
      <w:bookmarkEnd w:id="16"/>
      <w:bookmarkEnd w:id="17"/>
    </w:p>
    <w:p>
      <w:pPr>
        <w:pageBreakBefore w:val="0"/>
        <w:topLinePunct w:val="0"/>
        <w:bidi w:val="0"/>
        <w:spacing w:line="360" w:lineRule="auto"/>
        <w:ind w:firstLine="540"/>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2022年</w:t>
      </w:r>
      <w:r>
        <w:rPr>
          <w:rFonts w:hint="eastAsia" w:ascii="宋体" w:hAnsi="宋体" w:cs="宋体"/>
          <w:sz w:val="24"/>
          <w:szCs w:val="24"/>
          <w:u w:val="single"/>
          <w:lang w:val="en-US" w:eastAsia="zh-CN"/>
        </w:rPr>
        <w:t>7</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日</w:t>
      </w:r>
      <w:r>
        <w:rPr>
          <w:rFonts w:hint="eastAsia" w:ascii="宋体" w:hAnsi="宋体" w:cs="宋体"/>
          <w:sz w:val="24"/>
          <w:szCs w:val="24"/>
        </w:rPr>
        <w:t>至</w:t>
      </w:r>
      <w:r>
        <w:rPr>
          <w:rFonts w:hint="eastAsia" w:ascii="宋体" w:hAnsi="宋体" w:cs="宋体"/>
          <w:sz w:val="24"/>
          <w:szCs w:val="24"/>
          <w:u w:val="single"/>
        </w:rPr>
        <w:t>2022年</w:t>
      </w:r>
      <w:r>
        <w:rPr>
          <w:rFonts w:hint="eastAsia" w:ascii="宋体" w:hAnsi="宋体" w:cs="宋体"/>
          <w:sz w:val="24"/>
          <w:szCs w:val="24"/>
          <w:u w:val="single"/>
          <w:lang w:val="en-US" w:eastAsia="zh-CN"/>
        </w:rPr>
        <w:t>7</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日</w:t>
      </w:r>
      <w:r>
        <w:rPr>
          <w:rFonts w:hint="eastAsia" w:ascii="宋体" w:hAnsi="宋体" w:cs="宋体"/>
          <w:sz w:val="24"/>
          <w:szCs w:val="24"/>
        </w:rPr>
        <w:t>，每天上午9：00至11：30，下午14：00至17：00（北京时间，法定节假日除外）</w:t>
      </w:r>
    </w:p>
    <w:p>
      <w:pPr>
        <w:pageBreakBefore w:val="0"/>
        <w:topLinePunct w:val="0"/>
        <w:bidi w:val="0"/>
        <w:spacing w:line="360" w:lineRule="auto"/>
        <w:ind w:firstLine="540"/>
        <w:rPr>
          <w:rFonts w:ascii="宋体" w:hAnsi="宋体" w:cs="宋体"/>
          <w:sz w:val="24"/>
          <w:szCs w:val="24"/>
          <w:u w:val="single"/>
        </w:rPr>
      </w:pPr>
      <w:r>
        <w:rPr>
          <w:rFonts w:hint="eastAsia" w:ascii="宋体" w:hAnsi="宋体" w:cs="宋体"/>
          <w:sz w:val="24"/>
          <w:szCs w:val="24"/>
        </w:rPr>
        <w:t>地点：南京金鼎工程造价评估有限责任公司（南京市鼓楼区虎踞北路41号）</w:t>
      </w:r>
    </w:p>
    <w:p>
      <w:pPr>
        <w:pageBreakBefore w:val="0"/>
        <w:topLinePunct w:val="0"/>
        <w:bidi w:val="0"/>
        <w:spacing w:line="360" w:lineRule="auto"/>
        <w:ind w:firstLine="540"/>
        <w:rPr>
          <w:rFonts w:ascii="宋体" w:hAnsi="宋体" w:cs="宋体"/>
          <w:sz w:val="24"/>
          <w:szCs w:val="24"/>
          <w:u w:val="single"/>
        </w:rPr>
      </w:pPr>
      <w:r>
        <w:rPr>
          <w:rFonts w:hint="eastAsia" w:ascii="宋体" w:hAnsi="宋体" w:cs="宋体"/>
          <w:sz w:val="24"/>
          <w:szCs w:val="24"/>
        </w:rPr>
        <w:t>方式：凡有意向参加投标者，请持营业执照副本复印件、单位介绍信或法定代表人授权委托书、本人身份证原件前来购买招标文件，售后不退。</w:t>
      </w:r>
    </w:p>
    <w:p>
      <w:pPr>
        <w:pageBreakBefore w:val="0"/>
        <w:topLinePunct w:val="0"/>
        <w:bidi w:val="0"/>
        <w:spacing w:line="360" w:lineRule="auto"/>
        <w:ind w:firstLine="540"/>
        <w:rPr>
          <w:rFonts w:ascii="宋体" w:hAnsi="宋体" w:cs="宋体"/>
          <w:sz w:val="24"/>
          <w:szCs w:val="24"/>
        </w:rPr>
      </w:pPr>
      <w:r>
        <w:rPr>
          <w:rFonts w:hint="eastAsia" w:ascii="宋体" w:hAnsi="宋体" w:cs="宋体"/>
          <w:sz w:val="24"/>
          <w:szCs w:val="24"/>
        </w:rPr>
        <w:t>售价：500元/份（现金）。</w:t>
      </w:r>
    </w:p>
    <w:p>
      <w:pPr>
        <w:pStyle w:val="5"/>
        <w:pageBreakBefore w:val="0"/>
        <w:topLinePunct w:val="0"/>
        <w:bidi w:val="0"/>
        <w:spacing w:before="0" w:after="0" w:line="360" w:lineRule="auto"/>
        <w:rPr>
          <w:rFonts w:ascii="宋体" w:hAnsi="宋体" w:eastAsia="宋体" w:cs="宋体"/>
          <w:sz w:val="24"/>
          <w:szCs w:val="24"/>
        </w:rPr>
      </w:pPr>
      <w:bookmarkStart w:id="18" w:name="_Toc28359082"/>
      <w:bookmarkStart w:id="19" w:name="_Toc28359005"/>
      <w:bookmarkStart w:id="20" w:name="_Toc35393793"/>
      <w:bookmarkStart w:id="21" w:name="_Toc35393624"/>
      <w:r>
        <w:rPr>
          <w:rFonts w:hint="eastAsia" w:ascii="宋体" w:hAnsi="宋体" w:eastAsia="宋体" w:cs="宋体"/>
          <w:sz w:val="24"/>
          <w:szCs w:val="24"/>
        </w:rPr>
        <w:t>四、提交投标文件</w:t>
      </w:r>
      <w:bookmarkEnd w:id="18"/>
      <w:bookmarkEnd w:id="19"/>
      <w:r>
        <w:rPr>
          <w:rFonts w:hint="eastAsia" w:ascii="宋体" w:hAnsi="宋体" w:eastAsia="宋体" w:cs="宋体"/>
          <w:sz w:val="24"/>
          <w:szCs w:val="24"/>
        </w:rPr>
        <w:t>截止时间、开标时间和地点</w:t>
      </w:r>
      <w:bookmarkEnd w:id="20"/>
      <w:bookmarkEnd w:id="21"/>
    </w:p>
    <w:p>
      <w:pPr>
        <w:pageBreakBefore w:val="0"/>
        <w:topLinePunct w:val="0"/>
        <w:bidi w:val="0"/>
        <w:spacing w:line="360" w:lineRule="auto"/>
        <w:ind w:firstLine="480" w:firstLineChars="200"/>
        <w:rPr>
          <w:rFonts w:ascii="宋体" w:hAnsi="宋体" w:cs="宋体"/>
          <w:bCs/>
          <w:sz w:val="24"/>
          <w:szCs w:val="24"/>
        </w:rPr>
      </w:pPr>
      <w:r>
        <w:rPr>
          <w:rFonts w:hint="eastAsia" w:ascii="宋体" w:hAnsi="宋体" w:cs="宋体"/>
          <w:bCs/>
          <w:sz w:val="24"/>
          <w:szCs w:val="24"/>
        </w:rPr>
        <w:t>提交投标文件截止时间、开标时间：</w:t>
      </w:r>
      <w:r>
        <w:rPr>
          <w:rFonts w:hint="eastAsia" w:ascii="宋体" w:hAnsi="宋体" w:cs="宋体"/>
          <w:sz w:val="24"/>
          <w:szCs w:val="24"/>
        </w:rPr>
        <w:t>2022年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日09：30分</w:t>
      </w:r>
      <w:r>
        <w:rPr>
          <w:rFonts w:hint="eastAsia" w:ascii="宋体" w:hAnsi="宋体" w:cs="宋体"/>
          <w:bCs/>
          <w:sz w:val="24"/>
          <w:szCs w:val="24"/>
        </w:rPr>
        <w:t>（北京时间）</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投标地点及开标地点：南京市鼓楼区虎踞北路41号三楼南京金鼎工程造价评估有限责任公司会议室</w:t>
      </w:r>
    </w:p>
    <w:p>
      <w:pPr>
        <w:pageBreakBefore w:val="0"/>
        <w:topLinePunct w:val="0"/>
        <w:bidi w:val="0"/>
        <w:spacing w:line="360" w:lineRule="auto"/>
        <w:ind w:firstLine="482" w:firstLineChars="200"/>
        <w:rPr>
          <w:rFonts w:ascii="宋体" w:hAnsi="宋体" w:cs="宋体"/>
          <w:sz w:val="24"/>
          <w:szCs w:val="24"/>
        </w:rPr>
      </w:pPr>
      <w:r>
        <w:rPr>
          <w:rFonts w:hint="eastAsia" w:ascii="宋体" w:hAnsi="宋体" w:cs="宋体"/>
          <w:b/>
          <w:bCs/>
          <w:sz w:val="24"/>
          <w:szCs w:val="24"/>
        </w:rPr>
        <w:t>✮因疫情防控需要，参会人员须出示48小时核酸检测阴性结果，且苏康码与行程码须为绿码。若不满足上述条件导致不能参加开标会所产生的后果由投标人自行承担。</w:t>
      </w:r>
    </w:p>
    <w:p>
      <w:pPr>
        <w:pStyle w:val="5"/>
        <w:pageBreakBefore w:val="0"/>
        <w:topLinePunct w:val="0"/>
        <w:bidi w:val="0"/>
        <w:spacing w:before="0" w:after="0" w:line="360" w:lineRule="auto"/>
        <w:rPr>
          <w:rFonts w:ascii="宋体" w:hAnsi="宋体" w:eastAsia="宋体" w:cs="宋体"/>
          <w:sz w:val="24"/>
          <w:szCs w:val="24"/>
        </w:rPr>
      </w:pPr>
      <w:bookmarkStart w:id="22" w:name="_Toc28359084"/>
      <w:bookmarkStart w:id="23" w:name="_Toc35393625"/>
      <w:bookmarkStart w:id="24" w:name="_Toc28359007"/>
      <w:bookmarkStart w:id="25" w:name="_Toc35393794"/>
      <w:r>
        <w:rPr>
          <w:rFonts w:hint="eastAsia" w:ascii="宋体" w:hAnsi="宋体" w:eastAsia="宋体" w:cs="宋体"/>
          <w:sz w:val="24"/>
          <w:szCs w:val="24"/>
        </w:rPr>
        <w:t>五、公告期限</w:t>
      </w:r>
      <w:bookmarkEnd w:id="22"/>
      <w:bookmarkEnd w:id="23"/>
      <w:bookmarkEnd w:id="24"/>
      <w:bookmarkEnd w:id="25"/>
    </w:p>
    <w:p>
      <w:pPr>
        <w:pageBreakBefore w:val="0"/>
        <w:topLinePunct w:val="0"/>
        <w:bidi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pStyle w:val="5"/>
        <w:pageBreakBefore w:val="0"/>
        <w:numPr>
          <w:ilvl w:val="0"/>
          <w:numId w:val="1"/>
        </w:numPr>
        <w:topLinePunct w:val="0"/>
        <w:bidi w:val="0"/>
        <w:spacing w:before="0" w:after="0" w:line="360" w:lineRule="auto"/>
        <w:rPr>
          <w:rFonts w:ascii="宋体" w:hAnsi="宋体" w:eastAsia="宋体" w:cs="宋体"/>
          <w:sz w:val="24"/>
          <w:szCs w:val="24"/>
        </w:rPr>
      </w:pPr>
      <w:bookmarkStart w:id="26" w:name="_Toc35393626"/>
      <w:bookmarkStart w:id="27" w:name="_Toc35393795"/>
      <w:r>
        <w:rPr>
          <w:rFonts w:hint="eastAsia" w:ascii="宋体" w:hAnsi="宋体" w:eastAsia="宋体" w:cs="宋体"/>
          <w:sz w:val="24"/>
          <w:szCs w:val="24"/>
        </w:rPr>
        <w:t>其他补充事宜</w:t>
      </w:r>
      <w:bookmarkEnd w:id="26"/>
      <w:bookmarkEnd w:id="27"/>
    </w:p>
    <w:p>
      <w:pPr>
        <w:pageBreakBefore w:val="0"/>
        <w:topLinePunct w:val="0"/>
        <w:bidi w:val="0"/>
        <w:spacing w:line="360" w:lineRule="auto"/>
        <w:ind w:firstLine="480" w:firstLineChars="200"/>
        <w:rPr>
          <w:rFonts w:ascii="宋体" w:hAnsi="宋体" w:cs="宋体"/>
          <w:bCs/>
          <w:sz w:val="24"/>
          <w:szCs w:val="24"/>
        </w:rPr>
      </w:pPr>
      <w:r>
        <w:rPr>
          <w:rFonts w:hint="eastAsia" w:ascii="宋体" w:hAnsi="宋体" w:cs="宋体"/>
          <w:bCs/>
          <w:sz w:val="24"/>
          <w:szCs w:val="24"/>
        </w:rPr>
        <w:t>1、本公告在中国政府采购网、中国药科大学招投标办公室网站发布。</w:t>
      </w:r>
    </w:p>
    <w:p>
      <w:pPr>
        <w:pageBreakBefore w:val="0"/>
        <w:topLinePunct w:val="0"/>
        <w:bidi w:val="0"/>
        <w:spacing w:line="360" w:lineRule="auto"/>
        <w:ind w:firstLine="480" w:firstLineChars="200"/>
        <w:rPr>
          <w:rFonts w:ascii="宋体" w:hAnsi="宋体" w:cs="宋体"/>
          <w:bCs/>
          <w:sz w:val="24"/>
          <w:szCs w:val="24"/>
        </w:rPr>
      </w:pPr>
      <w:r>
        <w:rPr>
          <w:rFonts w:hint="eastAsia" w:ascii="宋体" w:hAnsi="宋体" w:cs="宋体"/>
          <w:bCs/>
          <w:sz w:val="24"/>
          <w:szCs w:val="24"/>
        </w:rPr>
        <w:t>2、采购项目需要落实的政府采购政策：节约能源、保护环境、扶持不发达地区和少数民族地区、促进中小企业发展、支持监狱企业发展、促进残疾人就业、政府采购信用担保等。</w:t>
      </w:r>
    </w:p>
    <w:p>
      <w:pPr>
        <w:pageBreakBefore w:val="0"/>
        <w:topLinePunct w:val="0"/>
        <w:bidi w:val="0"/>
        <w:spacing w:line="360" w:lineRule="auto"/>
        <w:ind w:firstLine="480" w:firstLineChars="200"/>
        <w:rPr>
          <w:rFonts w:ascii="宋体" w:hAnsi="宋体" w:cs="宋体"/>
          <w:bCs/>
          <w:sz w:val="24"/>
          <w:szCs w:val="24"/>
        </w:rPr>
      </w:pPr>
      <w:bookmarkStart w:id="28" w:name="_Toc28359008"/>
      <w:bookmarkStart w:id="29" w:name="_Toc35393627"/>
      <w:bookmarkStart w:id="30" w:name="_Toc35393796"/>
      <w:bookmarkStart w:id="31" w:name="_Toc28359085"/>
      <w:r>
        <w:rPr>
          <w:rFonts w:hint="eastAsia" w:ascii="宋体" w:hAnsi="宋体" w:cs="宋体"/>
          <w:bCs/>
          <w:sz w:val="24"/>
          <w:szCs w:val="24"/>
        </w:rPr>
        <w:t>3、以上公告内容若有变更将通过原招标公告媒体发布，投标申请人应在投标截止时间前关注原招标公告媒体有关本招标项目有无变更公告。如未及时关注本网站公告导致误投标，其责任由投标申请人自行承担。</w:t>
      </w:r>
    </w:p>
    <w:p>
      <w:pPr>
        <w:pStyle w:val="5"/>
        <w:pageBreakBefore w:val="0"/>
        <w:topLinePunct w:val="0"/>
        <w:bidi w:val="0"/>
        <w:spacing w:before="0" w:after="0" w:line="360" w:lineRule="auto"/>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28"/>
      <w:bookmarkEnd w:id="29"/>
      <w:bookmarkEnd w:id="30"/>
      <w:bookmarkEnd w:id="31"/>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1.采购人信息</w:t>
      </w:r>
    </w:p>
    <w:p>
      <w:pPr>
        <w:pageBreakBefore w:val="0"/>
        <w:topLinePunct w:val="0"/>
        <w:bidi w:val="0"/>
        <w:spacing w:line="360" w:lineRule="auto"/>
        <w:jc w:val="left"/>
        <w:rPr>
          <w:rFonts w:ascii="宋体" w:hAnsi="宋体" w:cs="宋体"/>
          <w:sz w:val="24"/>
          <w:szCs w:val="24"/>
        </w:rPr>
      </w:pPr>
      <w:r>
        <w:rPr>
          <w:rFonts w:hint="eastAsia" w:ascii="宋体" w:hAnsi="宋体" w:cs="宋体"/>
          <w:sz w:val="24"/>
          <w:szCs w:val="24"/>
        </w:rPr>
        <w:t>名    称：中国药科大学</w:t>
      </w:r>
    </w:p>
    <w:p>
      <w:pPr>
        <w:pageBreakBefore w:val="0"/>
        <w:topLinePunct w:val="0"/>
        <w:bidi w:val="0"/>
        <w:spacing w:line="360" w:lineRule="auto"/>
        <w:jc w:val="left"/>
        <w:rPr>
          <w:rFonts w:ascii="宋体" w:hAnsi="宋体" w:cs="宋体"/>
          <w:sz w:val="24"/>
          <w:szCs w:val="24"/>
        </w:rPr>
      </w:pPr>
      <w:r>
        <w:rPr>
          <w:rFonts w:hint="eastAsia" w:ascii="宋体" w:hAnsi="宋体" w:cs="宋体"/>
          <w:sz w:val="24"/>
          <w:szCs w:val="24"/>
        </w:rPr>
        <w:t>地    址：南京市江宁区龙眠大道639号</w:t>
      </w:r>
    </w:p>
    <w:p>
      <w:pPr>
        <w:pageBreakBefore w:val="0"/>
        <w:topLinePunct w:val="0"/>
        <w:bidi w:val="0"/>
        <w:spacing w:line="360" w:lineRule="auto"/>
        <w:jc w:val="left"/>
        <w:rPr>
          <w:rFonts w:ascii="宋体" w:hAnsi="宋体" w:cs="宋体"/>
          <w:sz w:val="24"/>
          <w:szCs w:val="24"/>
          <w:u w:val="single"/>
        </w:rPr>
      </w:pPr>
      <w:r>
        <w:rPr>
          <w:rFonts w:hint="eastAsia" w:ascii="宋体" w:hAnsi="宋体" w:cs="宋体"/>
          <w:sz w:val="24"/>
          <w:szCs w:val="24"/>
        </w:rPr>
        <w:t>联系方式：</w:t>
      </w:r>
      <w:bookmarkStart w:id="32" w:name="_Toc28359009"/>
      <w:bookmarkStart w:id="33" w:name="_Toc28359086"/>
      <w:r>
        <w:rPr>
          <w:rFonts w:hint="eastAsia" w:ascii="宋体" w:hAnsi="宋体" w:cs="宋体"/>
          <w:sz w:val="24"/>
          <w:szCs w:val="24"/>
        </w:rPr>
        <w:t>陆老师，025-86185387</w:t>
      </w:r>
    </w:p>
    <w:p>
      <w:pPr>
        <w:pageBreakBefore w:val="0"/>
        <w:topLinePunct w:val="0"/>
        <w:bidi w:val="0"/>
        <w:spacing w:line="360" w:lineRule="auto"/>
        <w:jc w:val="left"/>
        <w:rPr>
          <w:rFonts w:ascii="宋体" w:hAnsi="宋体" w:cs="宋体"/>
          <w:sz w:val="24"/>
          <w:szCs w:val="24"/>
        </w:rPr>
      </w:pPr>
      <w:r>
        <w:rPr>
          <w:rFonts w:hint="eastAsia" w:ascii="宋体" w:hAnsi="宋体" w:cs="宋体"/>
          <w:sz w:val="24"/>
          <w:szCs w:val="24"/>
        </w:rPr>
        <w:t>2.采购代理机构信息</w:t>
      </w:r>
      <w:bookmarkEnd w:id="32"/>
      <w:bookmarkEnd w:id="33"/>
    </w:p>
    <w:p>
      <w:pPr>
        <w:pageBreakBefore w:val="0"/>
        <w:topLinePunct w:val="0"/>
        <w:bidi w:val="0"/>
        <w:spacing w:line="360" w:lineRule="auto"/>
        <w:rPr>
          <w:rFonts w:ascii="宋体" w:hAnsi="宋体" w:cs="宋体"/>
          <w:sz w:val="24"/>
          <w:szCs w:val="24"/>
        </w:rPr>
      </w:pPr>
      <w:bookmarkStart w:id="34" w:name="_Toc28359010"/>
      <w:bookmarkStart w:id="35" w:name="_Toc28359087"/>
      <w:r>
        <w:rPr>
          <w:rFonts w:hint="eastAsia" w:ascii="宋体" w:hAnsi="宋体" w:cs="宋体"/>
          <w:sz w:val="24"/>
          <w:szCs w:val="24"/>
        </w:rPr>
        <w:t>名    称：南京金鼎工程造价评估有限责任公司</w:t>
      </w:r>
    </w:p>
    <w:p>
      <w:pPr>
        <w:pageBreakBefore w:val="0"/>
        <w:topLinePunct w:val="0"/>
        <w:bidi w:val="0"/>
        <w:spacing w:line="360" w:lineRule="auto"/>
        <w:rPr>
          <w:rFonts w:ascii="宋体" w:hAnsi="宋体" w:cs="宋体"/>
          <w:sz w:val="24"/>
          <w:szCs w:val="24"/>
        </w:rPr>
      </w:pPr>
      <w:r>
        <w:rPr>
          <w:rFonts w:hint="eastAsia" w:ascii="宋体" w:hAnsi="宋体" w:cs="宋体"/>
          <w:sz w:val="24"/>
          <w:szCs w:val="24"/>
        </w:rPr>
        <w:t>地    址：南京市鼓楼区虎踞北路41号</w:t>
      </w:r>
    </w:p>
    <w:p>
      <w:pPr>
        <w:pageBreakBefore w:val="0"/>
        <w:topLinePunct w:val="0"/>
        <w:bidi w:val="0"/>
        <w:spacing w:line="360" w:lineRule="auto"/>
        <w:rPr>
          <w:rFonts w:ascii="宋体" w:hAnsi="宋体" w:cs="宋体"/>
          <w:sz w:val="24"/>
          <w:szCs w:val="24"/>
        </w:rPr>
      </w:pPr>
      <w:r>
        <w:rPr>
          <w:rFonts w:hint="eastAsia" w:ascii="宋体" w:hAnsi="宋体" w:cs="宋体"/>
          <w:sz w:val="24"/>
          <w:szCs w:val="24"/>
        </w:rPr>
        <w:t>联系方式：王蓓，025-83476186</w:t>
      </w:r>
    </w:p>
    <w:p>
      <w:pPr>
        <w:pStyle w:val="14"/>
        <w:pageBreakBefore w:val="0"/>
        <w:topLinePunct w:val="0"/>
        <w:bidi w:val="0"/>
        <w:spacing w:before="0" w:after="0" w:line="360" w:lineRule="auto"/>
        <w:rPr>
          <w:rFonts w:ascii="宋体" w:hAnsi="宋体" w:eastAsia="宋体" w:cs="宋体"/>
          <w:b w:val="0"/>
          <w:bCs/>
          <w:sz w:val="24"/>
          <w:szCs w:val="24"/>
        </w:rPr>
      </w:pPr>
      <w:r>
        <w:rPr>
          <w:rFonts w:hint="eastAsia" w:ascii="宋体" w:hAnsi="宋体" w:eastAsia="宋体" w:cs="宋体"/>
          <w:b w:val="0"/>
          <w:bCs/>
          <w:sz w:val="24"/>
          <w:szCs w:val="24"/>
        </w:rPr>
        <w:t>邮编：210003</w:t>
      </w:r>
    </w:p>
    <w:p>
      <w:pPr>
        <w:pageBreakBefore w:val="0"/>
        <w:topLinePunct w:val="0"/>
        <w:bidi w:val="0"/>
        <w:spacing w:line="360" w:lineRule="auto"/>
        <w:rPr>
          <w:rFonts w:ascii="宋体" w:hAnsi="宋体" w:cs="宋体"/>
          <w:sz w:val="32"/>
          <w:szCs w:val="32"/>
        </w:rPr>
      </w:pPr>
      <w:r>
        <w:rPr>
          <w:rFonts w:hint="eastAsia" w:ascii="宋体" w:hAnsi="宋体" w:cs="宋体"/>
          <w:bCs/>
          <w:sz w:val="24"/>
          <w:szCs w:val="24"/>
        </w:rPr>
        <w:t>Email：121157234@qq.com</w:t>
      </w:r>
      <w:bookmarkEnd w:id="34"/>
      <w:bookmarkEnd w:id="35"/>
      <w:r>
        <w:rPr>
          <w:rFonts w:hint="eastAsia" w:ascii="宋体" w:hAnsi="宋体" w:cs="宋体"/>
          <w:sz w:val="32"/>
          <w:szCs w:val="32"/>
        </w:rPr>
        <w:br w:type="page"/>
      </w:r>
    </w:p>
    <w:p>
      <w:pPr>
        <w:pStyle w:val="12"/>
        <w:pageBreakBefore w:val="0"/>
        <w:tabs>
          <w:tab w:val="left" w:pos="0"/>
          <w:tab w:val="left" w:pos="3165"/>
          <w:tab w:val="center" w:pos="4153"/>
        </w:tabs>
        <w:topLinePunct w:val="0"/>
        <w:autoSpaceDE w:val="0"/>
        <w:autoSpaceDN w:val="0"/>
        <w:bidi w:val="0"/>
        <w:adjustRightInd w:val="0"/>
        <w:spacing w:before="0" w:after="0" w:line="360" w:lineRule="auto"/>
        <w:jc w:val="center"/>
        <w:rPr>
          <w:rFonts w:ascii="宋体" w:hAnsi="宋体" w:cs="宋体"/>
          <w:sz w:val="32"/>
          <w:szCs w:val="32"/>
        </w:rPr>
      </w:pPr>
      <w:bookmarkStart w:id="36" w:name="_Toc30756"/>
      <w:r>
        <w:rPr>
          <w:rFonts w:hint="eastAsia" w:ascii="宋体" w:hAnsi="宋体" w:cs="宋体"/>
          <w:sz w:val="32"/>
          <w:szCs w:val="32"/>
        </w:rPr>
        <w:t>第二章 供应商须知</w:t>
      </w:r>
      <w:bookmarkEnd w:id="36"/>
    </w:p>
    <w:p>
      <w:pPr>
        <w:pStyle w:val="6"/>
        <w:pageBreakBefore w:val="0"/>
        <w:topLinePunct w:val="0"/>
        <w:bidi w:val="0"/>
        <w:spacing w:line="360" w:lineRule="auto"/>
        <w:ind w:left="0" w:firstLine="0"/>
        <w:jc w:val="both"/>
        <w:rPr>
          <w:rFonts w:ascii="宋体" w:hAnsi="宋体" w:cs="宋体"/>
          <w:kern w:val="0"/>
          <w:sz w:val="24"/>
          <w:szCs w:val="24"/>
        </w:rPr>
      </w:pPr>
      <w:r>
        <w:rPr>
          <w:rFonts w:hint="eastAsia" w:ascii="宋体" w:hAnsi="宋体" w:cs="宋体"/>
          <w:kern w:val="0"/>
          <w:sz w:val="24"/>
          <w:szCs w:val="24"/>
        </w:rPr>
        <w:t>供应商须知前附表与正文内容相抵触的，以正文为准。</w:t>
      </w:r>
    </w:p>
    <w:tbl>
      <w:tblPr>
        <w:tblStyle w:val="2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750"/>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ageBreakBefore w:val="0"/>
              <w:topLinePunct w:val="0"/>
              <w:bidi w:val="0"/>
              <w:spacing w:line="360" w:lineRule="auto"/>
              <w:jc w:val="center"/>
              <w:rPr>
                <w:rFonts w:ascii="宋体" w:hAnsi="宋体" w:cs="宋体"/>
                <w:b/>
                <w:sz w:val="24"/>
                <w:szCs w:val="24"/>
              </w:rPr>
            </w:pPr>
            <w:r>
              <w:rPr>
                <w:rFonts w:hint="eastAsia" w:ascii="宋体" w:hAnsi="宋体" w:cs="宋体"/>
                <w:b/>
                <w:sz w:val="24"/>
                <w:szCs w:val="24"/>
              </w:rPr>
              <w:t>序号</w:t>
            </w:r>
          </w:p>
        </w:tc>
        <w:tc>
          <w:tcPr>
            <w:tcW w:w="1750" w:type="dxa"/>
            <w:vAlign w:val="center"/>
          </w:tcPr>
          <w:p>
            <w:pPr>
              <w:pageBreakBefore w:val="0"/>
              <w:topLinePunct w:val="0"/>
              <w:bidi w:val="0"/>
              <w:spacing w:line="360" w:lineRule="auto"/>
              <w:jc w:val="center"/>
              <w:rPr>
                <w:rFonts w:ascii="宋体" w:hAnsi="宋体" w:cs="宋体"/>
                <w:b/>
                <w:sz w:val="24"/>
                <w:szCs w:val="24"/>
              </w:rPr>
            </w:pPr>
            <w:r>
              <w:rPr>
                <w:rFonts w:hint="eastAsia" w:ascii="宋体" w:hAnsi="宋体" w:cs="宋体"/>
                <w:b/>
                <w:sz w:val="24"/>
                <w:szCs w:val="24"/>
              </w:rPr>
              <w:t>名称</w:t>
            </w:r>
          </w:p>
        </w:tc>
        <w:tc>
          <w:tcPr>
            <w:tcW w:w="7032" w:type="dxa"/>
            <w:vAlign w:val="center"/>
          </w:tcPr>
          <w:p>
            <w:pPr>
              <w:pageBreakBefore w:val="0"/>
              <w:topLinePunct w:val="0"/>
              <w:bidi w:val="0"/>
              <w:spacing w:line="360" w:lineRule="auto"/>
              <w:jc w:val="center"/>
              <w:rPr>
                <w:rFonts w:ascii="宋体" w:hAnsi="宋体" w:cs="宋体"/>
                <w:b/>
                <w:sz w:val="24"/>
                <w:szCs w:val="24"/>
              </w:rPr>
            </w:pPr>
            <w:r>
              <w:rPr>
                <w:rFonts w:hint="eastAsia" w:ascii="宋体" w:hAnsi="宋体" w:cs="宋体"/>
                <w:b/>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1</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采购人</w:t>
            </w:r>
          </w:p>
        </w:tc>
        <w:tc>
          <w:tcPr>
            <w:tcW w:w="7032" w:type="dxa"/>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名  称：中国药科大学</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地  址：南京市江宁区龙眠大道639号</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联系人：陆老师</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电  话：025-86185387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823"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2</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采购代理机构</w:t>
            </w:r>
          </w:p>
        </w:tc>
        <w:tc>
          <w:tcPr>
            <w:tcW w:w="7032" w:type="dxa"/>
            <w:vAlign w:val="center"/>
          </w:tcPr>
          <w:p>
            <w:pPr>
              <w:pageBreakBefore w:val="0"/>
              <w:widowControl/>
              <w:topLinePunct w:val="0"/>
              <w:bidi w:val="0"/>
              <w:spacing w:line="360" w:lineRule="auto"/>
              <w:rPr>
                <w:rFonts w:ascii="宋体" w:hAnsi="宋体" w:cs="宋体"/>
                <w:sz w:val="24"/>
                <w:szCs w:val="24"/>
              </w:rPr>
            </w:pPr>
            <w:r>
              <w:rPr>
                <w:rFonts w:hint="eastAsia" w:ascii="宋体" w:hAnsi="宋体" w:cs="宋体"/>
                <w:sz w:val="24"/>
                <w:szCs w:val="24"/>
              </w:rPr>
              <w:t>名  称：南京金鼎工程造价评估有限责任公司</w:t>
            </w:r>
          </w:p>
          <w:p>
            <w:pPr>
              <w:pageBreakBefore w:val="0"/>
              <w:widowControl/>
              <w:topLinePunct w:val="0"/>
              <w:bidi w:val="0"/>
              <w:spacing w:line="360" w:lineRule="auto"/>
              <w:rPr>
                <w:rFonts w:ascii="宋体" w:hAnsi="宋体" w:cs="宋体"/>
                <w:sz w:val="24"/>
                <w:szCs w:val="24"/>
              </w:rPr>
            </w:pPr>
            <w:r>
              <w:rPr>
                <w:rFonts w:hint="eastAsia" w:ascii="宋体" w:hAnsi="宋体" w:cs="宋体"/>
                <w:sz w:val="24"/>
                <w:szCs w:val="24"/>
              </w:rPr>
              <w:t>地  址：南京市鼓楼区虎踞北路41号</w:t>
            </w:r>
          </w:p>
          <w:p>
            <w:pPr>
              <w:pageBreakBefore w:val="0"/>
              <w:widowControl/>
              <w:topLinePunct w:val="0"/>
              <w:bidi w:val="0"/>
              <w:spacing w:line="360" w:lineRule="auto"/>
              <w:rPr>
                <w:rFonts w:ascii="宋体" w:hAnsi="宋体" w:cs="宋体"/>
                <w:sz w:val="24"/>
                <w:szCs w:val="24"/>
              </w:rPr>
            </w:pPr>
            <w:r>
              <w:rPr>
                <w:rFonts w:hint="eastAsia" w:ascii="宋体" w:hAnsi="宋体" w:cs="宋体"/>
                <w:sz w:val="24"/>
                <w:szCs w:val="24"/>
              </w:rPr>
              <w:t>联系人：王蓓</w:t>
            </w:r>
          </w:p>
          <w:p>
            <w:pPr>
              <w:pageBreakBefore w:val="0"/>
              <w:widowControl/>
              <w:topLinePunct w:val="0"/>
              <w:bidi w:val="0"/>
              <w:spacing w:line="360" w:lineRule="auto"/>
              <w:rPr>
                <w:rFonts w:ascii="宋体" w:hAnsi="宋体" w:cs="宋体"/>
                <w:sz w:val="24"/>
                <w:szCs w:val="24"/>
              </w:rPr>
            </w:pPr>
            <w:r>
              <w:rPr>
                <w:rFonts w:hint="eastAsia" w:ascii="宋体" w:hAnsi="宋体" w:cs="宋体"/>
                <w:sz w:val="24"/>
                <w:szCs w:val="24"/>
              </w:rPr>
              <w:t>电  话：025-83476186</w:t>
            </w:r>
          </w:p>
          <w:p>
            <w:pPr>
              <w:pageBreakBefore w:val="0"/>
              <w:widowControl/>
              <w:topLinePunct w:val="0"/>
              <w:bidi w:val="0"/>
              <w:spacing w:line="360" w:lineRule="auto"/>
              <w:rPr>
                <w:rFonts w:ascii="宋体" w:hAnsi="宋体" w:cs="宋体"/>
                <w:sz w:val="24"/>
                <w:szCs w:val="24"/>
              </w:rPr>
            </w:pPr>
            <w:r>
              <w:rPr>
                <w:rFonts w:hint="eastAsia" w:ascii="宋体" w:hAnsi="宋体" w:cs="宋体"/>
                <w:sz w:val="24"/>
                <w:szCs w:val="24"/>
              </w:rPr>
              <w:t>邮  箱：121157234@qq.com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3" w:type="dxa"/>
            <w:vAlign w:val="bottom"/>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3</w:t>
            </w:r>
          </w:p>
        </w:tc>
        <w:tc>
          <w:tcPr>
            <w:tcW w:w="1750" w:type="dxa"/>
            <w:vAlign w:val="bottom"/>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采购项目名称</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中国药科大学江宁校区学院实验楼二期北侧细胞房净化空调及配套项目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23" w:type="dxa"/>
            <w:vAlign w:val="bottom"/>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4</w:t>
            </w:r>
          </w:p>
        </w:tc>
        <w:tc>
          <w:tcPr>
            <w:tcW w:w="1750" w:type="dxa"/>
            <w:vAlign w:val="bottom"/>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资金来源</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3"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5</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项目实施地点</w:t>
            </w:r>
          </w:p>
        </w:tc>
        <w:tc>
          <w:tcPr>
            <w:tcW w:w="7032" w:type="dxa"/>
            <w:vAlign w:val="center"/>
          </w:tcPr>
          <w:p>
            <w:pPr>
              <w:pageBreakBefore w:val="0"/>
              <w:widowControl/>
              <w:topLinePunct w:val="0"/>
              <w:bidi w:val="0"/>
              <w:spacing w:line="360" w:lineRule="auto"/>
              <w:rPr>
                <w:rFonts w:ascii="宋体" w:hAnsi="宋体" w:cs="宋体"/>
                <w:sz w:val="24"/>
                <w:szCs w:val="24"/>
              </w:rPr>
            </w:pPr>
            <w:r>
              <w:rPr>
                <w:rFonts w:hint="eastAsia" w:ascii="宋体" w:hAnsi="宋体" w:cs="宋体"/>
                <w:sz w:val="24"/>
                <w:szCs w:val="24"/>
              </w:rPr>
              <w:t>中国药科大学江宁校区内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3"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6</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质量要求</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符合国家现行质量验收标准（GB50300-2013）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7</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投标有效期</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提交投标文件截止之日起90日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8</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踏勘现场</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本工程位于中国药科大学江宁校区,因疫情防控原因本项目不组织现场踏勘。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ageBreakBefore w:val="0"/>
              <w:widowControl/>
              <w:topLinePunct w:val="0"/>
              <w:bidi w:val="0"/>
              <w:spacing w:line="360" w:lineRule="auto"/>
              <w:ind w:firstLine="240" w:firstLineChars="100"/>
              <w:jc w:val="left"/>
              <w:rPr>
                <w:rFonts w:ascii="宋体" w:hAnsi="宋体" w:cs="宋体"/>
                <w:sz w:val="24"/>
                <w:szCs w:val="24"/>
              </w:rPr>
            </w:pPr>
            <w:r>
              <w:rPr>
                <w:rFonts w:hint="eastAsia" w:ascii="宋体" w:hAnsi="宋体" w:cs="宋体"/>
                <w:sz w:val="24"/>
                <w:szCs w:val="24"/>
              </w:rPr>
              <w:t>9</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投标答疑或澄清文件</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供应商在收到招标文件和踏勘现场后,若有疑问需要澄清,应在2022年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12时00分前以电子邮件形式向招标代理机构提出。招标人将在投标截止时间前3日内提供给所有供应商，由此而产生的对招标文件内容的修改，以修改通知的方式发出。该澄清答疑内容为招标文件的组成部分，逾期提出问题将不予澄清。潜在供应商因未能及时了解相关信息所引起的投标失误责任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ageBreakBefore w:val="0"/>
              <w:widowControl/>
              <w:topLinePunct w:val="0"/>
              <w:bidi w:val="0"/>
              <w:spacing w:line="360" w:lineRule="auto"/>
              <w:ind w:firstLine="240" w:firstLineChars="100"/>
              <w:jc w:val="left"/>
              <w:rPr>
                <w:rFonts w:ascii="宋体" w:hAnsi="宋体" w:cs="宋体"/>
                <w:sz w:val="24"/>
                <w:szCs w:val="24"/>
              </w:rPr>
            </w:pPr>
            <w:r>
              <w:rPr>
                <w:rFonts w:hint="eastAsia" w:ascii="宋体" w:hAnsi="宋体" w:cs="宋体"/>
                <w:sz w:val="24"/>
                <w:szCs w:val="24"/>
              </w:rPr>
              <w:t>10</w:t>
            </w:r>
          </w:p>
        </w:tc>
        <w:tc>
          <w:tcPr>
            <w:tcW w:w="1750" w:type="dxa"/>
            <w:vAlign w:val="center"/>
          </w:tcPr>
          <w:p>
            <w:pPr>
              <w:pageBreakBefore w:val="0"/>
              <w:widowControl/>
              <w:topLinePunct w:val="0"/>
              <w:bidi w:val="0"/>
              <w:spacing w:line="360" w:lineRule="auto"/>
              <w:ind w:firstLine="240" w:firstLineChars="100"/>
              <w:jc w:val="left"/>
              <w:rPr>
                <w:rFonts w:ascii="宋体" w:hAnsi="宋体" w:cs="宋体"/>
                <w:sz w:val="24"/>
                <w:szCs w:val="24"/>
              </w:rPr>
            </w:pPr>
            <w:r>
              <w:rPr>
                <w:rFonts w:hint="eastAsia" w:ascii="宋体" w:hAnsi="宋体" w:cs="宋体"/>
                <w:sz w:val="24"/>
                <w:szCs w:val="24"/>
              </w:rPr>
              <w:t>投标保证金</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投标保证金的形式：电汇或网上银行支付。</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投标保证金的金额：人民币贰万元整（¥20000）</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投标保证金接受单位：南京金鼎工程造价评估有限责任公司</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开户行：光大银行中山北路支行</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帐  号：76470188000107238</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投标保证金在投标截止时间应当从供应商的基本账户前转出；投标保证金汇款备注中务必注明项目名称，否则可能导致的废标责任由供应商承担。</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注意事项：</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1.投标保证金应当从供应商的基本账户转出。</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2.中标人的投标保证金将在合同签订后5个工作日内无息退还至供应商基本存款账户。未中标供应商的投标保证金在中标公示后5个工作日内无息退还。</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3.各供应商开标时间前持开户许可证复印件加盖公章、授权委托书、授权委托人身份证复印件加盖公章和保证金支付凭证至代理公司换取收据。（退还保证金联系电话：025-58838051）</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注：收据原件仅用于退保证金使用，开标时随投标文件一并递交。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ageBreakBefore w:val="0"/>
              <w:widowControl/>
              <w:topLinePunct w:val="0"/>
              <w:bidi w:val="0"/>
              <w:spacing w:line="360" w:lineRule="auto"/>
              <w:ind w:firstLine="240" w:firstLineChars="100"/>
              <w:jc w:val="left"/>
              <w:rPr>
                <w:rFonts w:ascii="宋体" w:hAnsi="宋体" w:cs="宋体"/>
                <w:sz w:val="24"/>
                <w:szCs w:val="24"/>
              </w:rPr>
            </w:pPr>
            <w:r>
              <w:rPr>
                <w:rFonts w:hint="eastAsia" w:ascii="宋体" w:hAnsi="宋体" w:cs="宋体"/>
                <w:sz w:val="24"/>
                <w:szCs w:val="24"/>
              </w:rPr>
              <w:t>11</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履约保证金</w:t>
            </w:r>
          </w:p>
        </w:tc>
        <w:tc>
          <w:tcPr>
            <w:tcW w:w="7032" w:type="dxa"/>
            <w:vAlign w:val="center"/>
          </w:tcPr>
          <w:p>
            <w:pPr>
              <w:pageBreakBefore w:val="0"/>
              <w:topLinePunct w:val="0"/>
              <w:autoSpaceDE w:val="0"/>
              <w:autoSpaceDN w:val="0"/>
              <w:bidi w:val="0"/>
              <w:spacing w:line="360" w:lineRule="auto"/>
              <w:rPr>
                <w:rFonts w:hint="default" w:ascii="宋体" w:hAnsi="宋体" w:eastAsia="宋体" w:cs="宋体"/>
                <w:sz w:val="24"/>
                <w:szCs w:val="24"/>
                <w:lang w:val="en-US" w:eastAsia="zh-CN"/>
              </w:rPr>
            </w:pPr>
            <w:r>
              <w:rPr>
                <w:rFonts w:hint="eastAsia" w:ascii="宋体" w:hAnsi="宋体" w:cs="宋体"/>
                <w:sz w:val="24"/>
                <w:szCs w:val="24"/>
                <w:lang w:bidi="zh-CN"/>
              </w:rPr>
              <w:t>本工程中标人在签订合同前需按合同金额的5%以现金、银行保函、银行本票、汇票、支票或电子汇款（出具保函的银行级别为国有商业银行或股份制商业银行分行及其以上银行）等形式缴纳履约保证金作为履约担保，</w:t>
            </w:r>
            <w:r>
              <w:rPr>
                <w:rFonts w:hint="eastAsia" w:ascii="宋体" w:hAnsi="宋体" w:cs="宋体"/>
                <w:sz w:val="24"/>
                <w:szCs w:val="24"/>
                <w:lang w:val="en-US" w:eastAsia="zh-CN" w:bidi="zh-CN"/>
              </w:rPr>
              <w:t>履约保证金在</w:t>
            </w:r>
            <w:r>
              <w:rPr>
                <w:rFonts w:hint="eastAsia" w:ascii="宋体" w:hAnsi="宋体" w:cs="宋体"/>
                <w:sz w:val="24"/>
                <w:szCs w:val="24"/>
                <w:lang w:bidi="zh-CN"/>
              </w:rPr>
              <w:t>质保期满后无息退还。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ageBreakBefore w:val="0"/>
              <w:widowControl/>
              <w:topLinePunct w:val="0"/>
              <w:bidi w:val="0"/>
              <w:spacing w:line="360" w:lineRule="auto"/>
              <w:ind w:firstLine="240" w:firstLineChars="100"/>
              <w:jc w:val="left"/>
              <w:rPr>
                <w:rFonts w:ascii="宋体" w:hAnsi="宋体" w:cs="宋体"/>
                <w:sz w:val="24"/>
                <w:szCs w:val="24"/>
              </w:rPr>
            </w:pPr>
            <w:r>
              <w:rPr>
                <w:rFonts w:hint="eastAsia" w:ascii="宋体" w:hAnsi="宋体" w:cs="宋体"/>
                <w:sz w:val="24"/>
                <w:szCs w:val="24"/>
              </w:rPr>
              <w:t>12</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供应商企业信用信息</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（1）查询人：采购代理机构或采购人</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（2）查询渠道：“信用中国”网站（www.creditchina.gov.cn）、“中国政府采购网”网站（www.ccgp.gov.cn）；</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（3）查询截止时间：投标截止时间前三个日历日内；</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（4）查询记录留存方式：由采购代理机构负责将供应商各网站信用记录截图打印保存，并作为本项目档案资料留存；</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（5）查询结果处理：对具有失信记录的供应商进行书面或电子邮箱形式通知，并要求拒绝其参加本次采购活动。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ageBreakBefore w:val="0"/>
              <w:widowControl/>
              <w:topLinePunct w:val="0"/>
              <w:bidi w:val="0"/>
              <w:spacing w:line="360" w:lineRule="auto"/>
              <w:ind w:firstLine="240" w:firstLineChars="100"/>
              <w:jc w:val="left"/>
              <w:rPr>
                <w:rFonts w:ascii="宋体" w:hAnsi="宋体" w:cs="宋体"/>
                <w:sz w:val="24"/>
                <w:szCs w:val="24"/>
              </w:rPr>
            </w:pPr>
            <w:r>
              <w:rPr>
                <w:rFonts w:hint="eastAsia" w:ascii="宋体" w:hAnsi="宋体" w:cs="宋体"/>
                <w:sz w:val="24"/>
                <w:szCs w:val="24"/>
              </w:rPr>
              <w:t>13</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投标文件拒收情形</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（1）被“信用中国”</w:t>
            </w:r>
            <w:r>
              <w:fldChar w:fldCharType="begin"/>
            </w:r>
            <w:r>
              <w:instrText xml:space="preserve"> HYPERLINK "http://www.creditchina.gov.cn/" \h </w:instrText>
            </w:r>
            <w:r>
              <w:fldChar w:fldCharType="separate"/>
            </w:r>
            <w:r>
              <w:rPr>
                <w:rFonts w:hint="eastAsia" w:ascii="宋体" w:hAnsi="宋体" w:cs="宋体"/>
                <w:sz w:val="24"/>
                <w:szCs w:val="24"/>
              </w:rPr>
              <w:t>网站（www.creditchina.gov.cn</w:t>
            </w:r>
            <w:r>
              <w:rPr>
                <w:rFonts w:hint="eastAsia" w:ascii="宋体" w:hAnsi="宋体" w:cs="宋体"/>
                <w:sz w:val="24"/>
                <w:szCs w:val="24"/>
              </w:rPr>
              <w:fldChar w:fldCharType="end"/>
            </w:r>
            <w:r>
              <w:rPr>
                <w:rFonts w:hint="eastAsia" w:ascii="宋体" w:hAnsi="宋体" w:cs="宋体"/>
                <w:sz w:val="24"/>
                <w:szCs w:val="24"/>
              </w:rPr>
              <w:t>）、“中国政府采购网”(www.ccgp.gov.cn)列入失信被执行人、重大违法行为当事人名单、政府采购严重违法失信行为记录名单的；</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（2）逾期送达或者未按照招标文件要求密封的投标文件的。</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（3）未按招标文件规定的数额和办法交纳投标保证金的（若有）。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ageBreakBefore w:val="0"/>
              <w:widowControl/>
              <w:topLinePunct w:val="0"/>
              <w:bidi w:val="0"/>
              <w:spacing w:line="360" w:lineRule="auto"/>
              <w:ind w:firstLine="240" w:firstLineChars="100"/>
              <w:jc w:val="left"/>
              <w:rPr>
                <w:rFonts w:ascii="宋体" w:hAnsi="宋体" w:cs="宋体"/>
                <w:sz w:val="24"/>
                <w:szCs w:val="24"/>
              </w:rPr>
            </w:pPr>
            <w:r>
              <w:rPr>
                <w:rFonts w:hint="eastAsia" w:ascii="宋体" w:hAnsi="宋体" w:cs="宋体"/>
                <w:sz w:val="24"/>
                <w:szCs w:val="24"/>
              </w:rPr>
              <w:t>14</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供应商参加开标会要求</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参加开标会人员以及携带资料要求：</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☑授权委托人需携带本人身份证原件、法人授权委托书原件（手持）在投标截止时间前到达开标现场，否则视为自动放弃投标</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参加开标会时间要求：</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投标截止时间前到达，授权委托人身份证原件由代理机构在开标现场进行核验，其他资料在投标截止时间前递交至代理机构（资格审查资料和评标要求提供的证书原件（业绩合同必须提供原件），可以为电子证书或复印件，必须加盖供应商印章，电子证书或复印件必须有有效验证码，保证网上可查，网上无法查证按未提供证据处理，供应商资格审查不通过或评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ageBreakBefore w:val="0"/>
              <w:widowControl/>
              <w:topLinePunct w:val="0"/>
              <w:bidi w:val="0"/>
              <w:spacing w:line="360" w:lineRule="auto"/>
              <w:ind w:firstLine="240" w:firstLineChars="100"/>
              <w:jc w:val="left"/>
              <w:rPr>
                <w:rFonts w:ascii="宋体" w:hAnsi="宋体" w:cs="宋体"/>
                <w:sz w:val="24"/>
                <w:szCs w:val="24"/>
              </w:rPr>
            </w:pPr>
            <w:r>
              <w:rPr>
                <w:rFonts w:hint="eastAsia" w:ascii="宋体" w:hAnsi="宋体" w:cs="宋体"/>
                <w:sz w:val="24"/>
                <w:szCs w:val="24"/>
              </w:rPr>
              <w:t>15</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投标文件份数及相关要求</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（1）投标文件应一式伍份（正本壹份、副本肆份），采用胶装装订成册并加盖骑缝章。</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2）提供与标书文件内容完全一致的U盘一份：电子U盘应包括投标文件的全部内容，包括已标价工程量清单的软件版，单独封装一份随投标文件一起递交，封装时加贴标签注明“工程名称、标段编号、供应商名称”，无论是否中标，U盘不退。若供应商未提交电子U盘，开标现场将拒收其所有投标相关资料及文件，电子U盘内容不完整或与投标文件不一致的，供应商后果自负（各供应商需将投标文件（应当包含投标文件的全部内容，包括已标价的工程量清单软件版）存入U盘，U盘形式单独密封后随投标文件一起递交，当电子版文件和纸质正本文件不一致时，以纸质正本文件为准。电子版文件用于辅助评标和项目存档，供应商需承担前述不一致造成的不利后果）。</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（3）投标文件正本、U盘单独密封，所有副本一起密封。</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4）封袋上应写明项目名称、标段名称、供应商名称、法定代表人签字或法定代表人签章和投标人公章，注明开标前不得开封，并在封袋上注明“正本”、“副本”，封袋的粘缝均须加盖单位公章和法定代表人签字或法定代表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ageBreakBefore w:val="0"/>
              <w:widowControl/>
              <w:topLinePunct w:val="0"/>
              <w:bidi w:val="0"/>
              <w:spacing w:line="360" w:lineRule="auto"/>
              <w:ind w:firstLine="240" w:firstLineChars="100"/>
              <w:jc w:val="left"/>
              <w:rPr>
                <w:rFonts w:ascii="宋体" w:hAnsi="宋体" w:cs="宋体"/>
                <w:sz w:val="24"/>
                <w:szCs w:val="24"/>
              </w:rPr>
            </w:pPr>
            <w:r>
              <w:rPr>
                <w:rFonts w:hint="eastAsia" w:ascii="宋体" w:hAnsi="宋体" w:cs="宋体"/>
                <w:sz w:val="24"/>
                <w:szCs w:val="24"/>
              </w:rPr>
              <w:t>16</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盖章要求</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供应商投标文件中加盖的公章仅能使用与供应商名称一致的标准公章，不得使用其他形式（如带有“专用章”、“合同章”、“财务章”、“业务章”等字样）的印章；否则，按无效投标处理。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ageBreakBefore w:val="0"/>
              <w:widowControl/>
              <w:topLinePunct w:val="0"/>
              <w:bidi w:val="0"/>
              <w:spacing w:line="360" w:lineRule="auto"/>
              <w:ind w:firstLine="240" w:firstLineChars="100"/>
              <w:jc w:val="left"/>
              <w:rPr>
                <w:rFonts w:ascii="宋体" w:hAnsi="宋体" w:cs="宋体"/>
                <w:sz w:val="24"/>
                <w:szCs w:val="24"/>
              </w:rPr>
            </w:pPr>
            <w:r>
              <w:rPr>
                <w:rFonts w:hint="eastAsia" w:ascii="宋体" w:hAnsi="宋体" w:cs="宋体"/>
                <w:sz w:val="24"/>
                <w:szCs w:val="24"/>
              </w:rPr>
              <w:t>17</w:t>
            </w:r>
          </w:p>
        </w:tc>
        <w:tc>
          <w:tcPr>
            <w:tcW w:w="1750" w:type="dxa"/>
            <w:vAlign w:val="center"/>
          </w:tcPr>
          <w:p>
            <w:pPr>
              <w:pageBreakBefore w:val="0"/>
              <w:widowControl/>
              <w:topLinePunct w:val="0"/>
              <w:bidi w:val="0"/>
              <w:spacing w:line="360" w:lineRule="auto"/>
              <w:jc w:val="center"/>
              <w:rPr>
                <w:rFonts w:ascii="宋体" w:hAnsi="宋体" w:cs="宋体"/>
                <w:sz w:val="24"/>
                <w:szCs w:val="24"/>
              </w:rPr>
            </w:pPr>
            <w:r>
              <w:rPr>
                <w:rFonts w:hint="eastAsia" w:ascii="宋体" w:hAnsi="宋体" w:cs="宋体"/>
                <w:sz w:val="24"/>
                <w:szCs w:val="24"/>
              </w:rPr>
              <w:t>代理服务费</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代理服务费按计价[2002]1980号文规定的收费标准的40%收取，由中标人支付招标代理服务费。供应商仅需对提供的单次服务的代理服务费进行报价，报价包含与评标相关的所有费用（如专家费等）。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ageBreakBefore w:val="0"/>
              <w:widowControl/>
              <w:topLinePunct w:val="0"/>
              <w:bidi w:val="0"/>
              <w:spacing w:line="360" w:lineRule="auto"/>
              <w:ind w:firstLine="240" w:firstLineChars="100"/>
              <w:jc w:val="left"/>
              <w:rPr>
                <w:rFonts w:ascii="宋体" w:hAnsi="宋体" w:cs="宋体"/>
                <w:sz w:val="24"/>
                <w:szCs w:val="24"/>
              </w:rPr>
            </w:pPr>
            <w:r>
              <w:rPr>
                <w:rFonts w:hint="eastAsia" w:ascii="宋体" w:hAnsi="宋体" w:cs="宋体"/>
                <w:sz w:val="24"/>
                <w:szCs w:val="24"/>
              </w:rPr>
              <w:t>18</w:t>
            </w:r>
          </w:p>
        </w:tc>
        <w:tc>
          <w:tcPr>
            <w:tcW w:w="1750" w:type="dxa"/>
            <w:vAlign w:val="center"/>
          </w:tcPr>
          <w:p>
            <w:pPr>
              <w:pageBreakBefore w:val="0"/>
              <w:widowControl/>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其他</w:t>
            </w:r>
          </w:p>
        </w:tc>
        <w:tc>
          <w:tcPr>
            <w:tcW w:w="7032" w:type="dxa"/>
            <w:vAlign w:val="center"/>
          </w:tcPr>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1.供应商参加本次招标活动应当符合《中华人民共和国政府采购法》的规定并符合本招标文件的规定。供应商应遵守《中华人民共和国政府采购法》、《中华人民共和国民法典》和《中华人民共和国反不正当竞争法》等有关法律、法规，如有违反，将视为不合格供应商，其投标文件无效。</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2.本工程现场不安排临时设施等用地，在校外安排生活设施等费用投标单位自行报价（该费用已由投标单位在投标时综合考虑并已考虑到投标报价中）；</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3.施工方按发包人提供的水、电接入点，自行挂表计量缴费或使用总包单位配电设备，同时必须承担线损摊销费用（摊销费用按各自的水、电用量比例计算确定）；从水、电接入点至施工现场的管线及安装所需的一切费用由施工方自行承担（该费用已由投标单位在投标时综合考虑并已考虑到投标报价中）；如因现场条件无法挂表，则水电费按工程审定额的千分之一点五扣除。</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4.中标单位需做好现场及成品保护工作（包含原有设备、建筑物、道路、绿化等该费用由投标单位在投标时综合考虑并已考虑到投标报价中）；</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5.拆除项目中垃圾、余土要求装袋、外运、填埋场地及无害化处理投标单位自行考虑报价，校园内不允许堆放任何垃圾（清单项目特征中不再重复描述），如有残值的材料必须经招标人确认后，供应商自行处理。</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6.所有材料检验、试验费用由中标人承担。</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7.与其他施工单位配合的费用。</w:t>
            </w:r>
          </w:p>
          <w:p>
            <w:pPr>
              <w:pageBreakBefore w:val="0"/>
              <w:topLinePunct w:val="0"/>
              <w:bidi w:val="0"/>
              <w:spacing w:line="360" w:lineRule="auto"/>
              <w:rPr>
                <w:rFonts w:ascii="宋体" w:hAnsi="宋体" w:cs="宋体"/>
                <w:sz w:val="24"/>
                <w:szCs w:val="24"/>
              </w:rPr>
            </w:pPr>
            <w:r>
              <w:rPr>
                <w:rFonts w:hint="eastAsia" w:ascii="宋体" w:hAnsi="宋体" w:cs="宋体"/>
                <w:sz w:val="24"/>
                <w:szCs w:val="24"/>
              </w:rPr>
              <w:t>8.施工期间，学校不提供食宿，自行解决，严禁施工人员到学校食堂用餐。</w:t>
            </w:r>
          </w:p>
          <w:p>
            <w:pPr>
              <w:pageBreakBefore w:val="0"/>
              <w:topLinePunct w:val="0"/>
              <w:bidi w:val="0"/>
              <w:spacing w:line="360" w:lineRule="auto"/>
              <w:rPr>
                <w:rFonts w:ascii="宋体" w:hAnsi="宋体" w:cs="宋体"/>
              </w:rPr>
            </w:pPr>
            <w:r>
              <w:rPr>
                <w:rFonts w:hint="eastAsia" w:ascii="宋体" w:hAnsi="宋体" w:cs="宋体"/>
                <w:sz w:val="24"/>
                <w:szCs w:val="24"/>
              </w:rPr>
              <w:t>9.须严格执行合同附件《中国药科大学校内工程疫情防控管理承诺书》，疫情期间承包人应就国家防疫政策应做好人员防疫工作，制定防疫方案、疫情应急处理机制，全面部署工地防疫工作，务必采取得力措施防范疫情发生，并将为满足防疫要求带来的费用增加（包括但不限于现场封闭围挡等措施费用，人工、建材价格上涨等成本费用，由疫情防护发生的物资费用和防护人员费用等）考虑到投标报价内，结算时将不再调整。对因不可抗力导致工期延误，合理顺延合同工期，对于停工期间或工期延误增加的费用承包人应考虑到投标报价中，结算时将不再调整。</w:t>
            </w:r>
          </w:p>
          <w:p>
            <w:pPr>
              <w:pageBreakBefore w:val="0"/>
              <w:widowControl/>
              <w:topLinePunct w:val="0"/>
              <w:bidi w:val="0"/>
              <w:spacing w:line="360" w:lineRule="auto"/>
              <w:jc w:val="left"/>
              <w:rPr>
                <w:rFonts w:ascii="宋体" w:hAnsi="宋体" w:cs="宋体"/>
                <w:sz w:val="24"/>
                <w:szCs w:val="24"/>
              </w:rPr>
            </w:pPr>
            <w:r>
              <w:rPr>
                <w:rFonts w:hint="eastAsia" w:ascii="宋体" w:hAnsi="宋体" w:cs="宋体"/>
                <w:sz w:val="24"/>
                <w:szCs w:val="24"/>
              </w:rPr>
              <w:t>10.现场满足环保及政府相关要求。</w:t>
            </w:r>
          </w:p>
          <w:p>
            <w:pPr>
              <w:pageBreakBefore w:val="0"/>
              <w:widowControl/>
              <w:topLinePunct w:val="0"/>
              <w:bidi w:val="0"/>
              <w:spacing w:line="360" w:lineRule="auto"/>
              <w:jc w:val="left"/>
              <w:rPr>
                <w:rFonts w:ascii="宋体" w:hAnsi="宋体" w:cs="宋体"/>
              </w:rPr>
            </w:pPr>
            <w:r>
              <w:rPr>
                <w:rFonts w:hint="eastAsia" w:ascii="宋体" w:hAnsi="宋体" w:cs="宋体"/>
                <w:sz w:val="24"/>
                <w:szCs w:val="24"/>
              </w:rPr>
              <w:t>11.供应商对招标文件中项目需求的技术标准与商务条款逐项作出应答，并提供依据和证明材料，如未提供评标委员会有权予以否决或做负偏离处理。</w:t>
            </w:r>
          </w:p>
        </w:tc>
      </w:tr>
    </w:tbl>
    <w:p>
      <w:pPr>
        <w:pageBreakBefore w:val="0"/>
        <w:topLinePunct w:val="0"/>
        <w:bidi w:val="0"/>
        <w:spacing w:line="360" w:lineRule="auto"/>
        <w:rPr>
          <w:rFonts w:ascii="宋体" w:hAnsi="宋体" w:cs="宋体"/>
          <w:b/>
          <w:sz w:val="28"/>
          <w:szCs w:val="28"/>
        </w:rPr>
      </w:pPr>
      <w:r>
        <w:rPr>
          <w:rFonts w:hint="eastAsia" w:ascii="宋体" w:hAnsi="宋体" w:cs="宋体"/>
          <w:b/>
          <w:sz w:val="28"/>
          <w:szCs w:val="28"/>
        </w:rPr>
        <w:br w:type="page"/>
      </w:r>
    </w:p>
    <w:p>
      <w:pPr>
        <w:pageBreakBefore w:val="0"/>
        <w:tabs>
          <w:tab w:val="left" w:pos="2118"/>
        </w:tabs>
        <w:topLinePunct w:val="0"/>
        <w:bidi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一、总则</w:t>
      </w:r>
    </w:p>
    <w:p>
      <w:pPr>
        <w:pageBreakBefore w:val="0"/>
        <w:topLinePunct w:val="0"/>
        <w:bidi w:val="0"/>
        <w:spacing w:line="360" w:lineRule="auto"/>
        <w:ind w:firstLine="482" w:firstLineChars="200"/>
        <w:rPr>
          <w:rFonts w:ascii="宋体" w:hAnsi="宋体" w:cs="宋体"/>
          <w:b/>
          <w:sz w:val="24"/>
          <w:szCs w:val="24"/>
        </w:rPr>
      </w:pPr>
      <w:r>
        <w:rPr>
          <w:rFonts w:hint="eastAsia" w:ascii="宋体" w:hAnsi="宋体" w:cs="宋体"/>
          <w:b/>
          <w:sz w:val="24"/>
          <w:szCs w:val="24"/>
        </w:rPr>
        <w:t>1、适用法律</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1.1《中华人民共和国政府采购法》、《中华人民共和国政府采购法实施条例》、《政府采购货物和服务招标投标管理办法》等有关法律、规章和规定等。</w:t>
      </w:r>
    </w:p>
    <w:p>
      <w:pPr>
        <w:pageBreakBefore w:val="0"/>
        <w:topLinePunct w:val="0"/>
        <w:bidi w:val="0"/>
        <w:spacing w:line="360" w:lineRule="auto"/>
        <w:ind w:firstLine="482" w:firstLineChars="200"/>
        <w:rPr>
          <w:rFonts w:ascii="宋体" w:hAnsi="宋体" w:cs="宋体"/>
          <w:b/>
          <w:sz w:val="24"/>
          <w:szCs w:val="24"/>
        </w:rPr>
      </w:pPr>
      <w:r>
        <w:rPr>
          <w:rFonts w:hint="eastAsia" w:ascii="宋体" w:hAnsi="宋体" w:cs="宋体"/>
          <w:b/>
          <w:sz w:val="24"/>
          <w:szCs w:val="24"/>
        </w:rPr>
        <w:t>2、定义</w:t>
      </w:r>
    </w:p>
    <w:p>
      <w:pPr>
        <w:pStyle w:val="43"/>
        <w:pageBreakBefore w:val="0"/>
        <w:tabs>
          <w:tab w:val="left" w:pos="1335"/>
        </w:tabs>
        <w:topLinePunct w:val="0"/>
        <w:bidi w:val="0"/>
        <w:spacing w:line="360" w:lineRule="auto"/>
        <w:ind w:firstLine="480"/>
        <w:rPr>
          <w:rFonts w:ascii="宋体" w:hAnsi="宋体" w:cs="宋体"/>
          <w:sz w:val="24"/>
          <w:szCs w:val="24"/>
        </w:rPr>
      </w:pPr>
      <w:r>
        <w:rPr>
          <w:rFonts w:hint="eastAsia" w:ascii="宋体" w:hAnsi="宋体" w:cs="宋体"/>
          <w:sz w:val="24"/>
          <w:szCs w:val="24"/>
        </w:rPr>
        <w:t>2.1“供应商”、“投标人”是指参加投标竞争，并符合招标文件规定资格条件的法人、其他组织或者自然人。</w:t>
      </w:r>
    </w:p>
    <w:p>
      <w:pPr>
        <w:pageBreakBefore w:val="0"/>
        <w:tabs>
          <w:tab w:val="left" w:pos="1335"/>
        </w:tabs>
        <w:topLinePunct w:val="0"/>
        <w:bidi w:val="0"/>
        <w:spacing w:line="360" w:lineRule="auto"/>
        <w:ind w:firstLine="476" w:firstLineChars="200"/>
        <w:rPr>
          <w:rFonts w:ascii="宋体" w:hAnsi="宋体" w:cs="宋体"/>
          <w:sz w:val="24"/>
          <w:szCs w:val="24"/>
        </w:rPr>
      </w:pPr>
      <w:r>
        <w:rPr>
          <w:rFonts w:hint="eastAsia" w:ascii="宋体" w:hAnsi="宋体" w:cs="宋体"/>
          <w:spacing w:val="-1"/>
          <w:sz w:val="24"/>
          <w:szCs w:val="24"/>
        </w:rPr>
        <w:t>2.2“服务”指本招标文件中所述产品及相关服务。</w:t>
      </w:r>
    </w:p>
    <w:p>
      <w:pPr>
        <w:pageBreakBefore w:val="0"/>
        <w:tabs>
          <w:tab w:val="left" w:pos="1335"/>
        </w:tabs>
        <w:topLinePunct w:val="0"/>
        <w:bidi w:val="0"/>
        <w:spacing w:line="360" w:lineRule="auto"/>
        <w:ind w:firstLine="472" w:firstLineChars="200"/>
        <w:rPr>
          <w:rFonts w:ascii="宋体" w:hAnsi="宋体" w:cs="宋体"/>
          <w:sz w:val="24"/>
          <w:szCs w:val="24"/>
        </w:rPr>
      </w:pPr>
      <w:r>
        <w:rPr>
          <w:rFonts w:hint="eastAsia" w:ascii="宋体" w:hAnsi="宋体" w:cs="宋体"/>
          <w:spacing w:val="-2"/>
          <w:sz w:val="24"/>
          <w:szCs w:val="24"/>
        </w:rPr>
        <w:t>2.3“用户或使用单位”是指使用货物、服务的单位。</w:t>
      </w:r>
    </w:p>
    <w:p>
      <w:pPr>
        <w:pageBreakBefore w:val="0"/>
        <w:topLinePunct w:val="0"/>
        <w:bidi w:val="0"/>
        <w:spacing w:line="360" w:lineRule="auto"/>
        <w:ind w:firstLine="482" w:firstLineChars="200"/>
        <w:rPr>
          <w:rFonts w:ascii="宋体" w:hAnsi="宋体" w:cs="宋体"/>
        </w:rPr>
      </w:pPr>
      <w:r>
        <w:rPr>
          <w:rFonts w:hint="eastAsia" w:ascii="宋体" w:hAnsi="宋体" w:cs="宋体"/>
          <w:b/>
          <w:sz w:val="24"/>
          <w:szCs w:val="24"/>
        </w:rPr>
        <w:t>3、政策功能</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3.1本项目为专门面向中小企业采购的项目，供应商须为中小微企业、监狱企业、残疾人福利性单位（须提供中小企业或残疾人福利性、监狱单位证明原件）。非中小型企业参与本项目投标，将做无效标处理。</w:t>
      </w:r>
    </w:p>
    <w:p>
      <w:pPr>
        <w:pStyle w:val="43"/>
        <w:pageBreakBefore w:val="0"/>
        <w:tabs>
          <w:tab w:val="left" w:pos="1335"/>
        </w:tabs>
        <w:topLinePunct w:val="0"/>
        <w:bidi w:val="0"/>
        <w:spacing w:line="360" w:lineRule="auto"/>
        <w:ind w:firstLine="480"/>
        <w:rPr>
          <w:rFonts w:ascii="宋体" w:hAnsi="宋体" w:cs="宋体"/>
          <w:sz w:val="24"/>
          <w:szCs w:val="24"/>
        </w:rPr>
      </w:pPr>
      <w:r>
        <w:rPr>
          <w:rFonts w:hint="eastAsia" w:ascii="宋体" w:hAnsi="宋体" w:cs="宋体"/>
          <w:sz w:val="24"/>
          <w:szCs w:val="24"/>
        </w:rPr>
        <w:t>3.2强制采购节能产品、信息安全产品，优先采购环境标志产品。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pPr>
        <w:pStyle w:val="43"/>
        <w:pageBreakBefore w:val="0"/>
        <w:tabs>
          <w:tab w:val="left" w:pos="1335"/>
        </w:tabs>
        <w:topLinePunct w:val="0"/>
        <w:bidi w:val="0"/>
        <w:spacing w:line="360" w:lineRule="auto"/>
        <w:ind w:firstLine="480"/>
        <w:rPr>
          <w:rFonts w:ascii="宋体" w:hAnsi="宋体" w:cs="宋体"/>
          <w:sz w:val="24"/>
          <w:szCs w:val="24"/>
        </w:rPr>
      </w:pPr>
      <w:r>
        <w:rPr>
          <w:rFonts w:hint="eastAsia" w:ascii="宋体" w:hAnsi="宋体" w:cs="宋体"/>
          <w:sz w:val="24"/>
          <w:szCs w:val="24"/>
        </w:rPr>
        <w:t>3.3提供的产品属于信息安全产品的，供应商应当选择经国家认证的信息安全产品，并提供由中国信息安全认证中心按国家标准认证颁发的有效认证证书复印件。</w:t>
      </w:r>
    </w:p>
    <w:p>
      <w:pPr>
        <w:pStyle w:val="43"/>
        <w:pageBreakBefore w:val="0"/>
        <w:tabs>
          <w:tab w:val="left" w:pos="1335"/>
        </w:tabs>
        <w:topLinePunct w:val="0"/>
        <w:bidi w:val="0"/>
        <w:spacing w:line="360" w:lineRule="auto"/>
        <w:ind w:firstLine="480"/>
        <w:rPr>
          <w:rFonts w:ascii="宋体" w:hAnsi="宋体" w:cs="宋体"/>
          <w:sz w:val="24"/>
          <w:szCs w:val="24"/>
        </w:rPr>
      </w:pPr>
      <w:r>
        <w:rPr>
          <w:rFonts w:hint="eastAsia" w:ascii="宋体" w:hAnsi="宋体" w:cs="宋体"/>
          <w:sz w:val="24"/>
          <w:szCs w:val="24"/>
        </w:rPr>
        <w:t>3.4提供的产品属于政府强制采购节能产品的，供应商应当选择《节能产品政府采购清单》中的产品，并提供有效的节能产品认证证书复印件。</w:t>
      </w:r>
    </w:p>
    <w:p>
      <w:pPr>
        <w:pStyle w:val="43"/>
        <w:pageBreakBefore w:val="0"/>
        <w:tabs>
          <w:tab w:val="left" w:pos="1335"/>
        </w:tabs>
        <w:topLinePunct w:val="0"/>
        <w:bidi w:val="0"/>
        <w:spacing w:line="360" w:lineRule="auto"/>
        <w:ind w:firstLine="480"/>
        <w:rPr>
          <w:rFonts w:ascii="宋体" w:hAnsi="宋体" w:cs="宋体"/>
          <w:sz w:val="24"/>
          <w:szCs w:val="24"/>
        </w:rPr>
      </w:pPr>
      <w:r>
        <w:rPr>
          <w:rFonts w:hint="eastAsia" w:ascii="宋体" w:hAnsi="宋体" w:cs="宋体"/>
          <w:sz w:val="24"/>
          <w:szCs w:val="24"/>
        </w:rPr>
        <w:t>3.5提供的产品属于环境标志产品的,供应商应当选择《环境标志产品政府采购清单》中的,且经过认证的环境标志产品投标,并提供有效的环境标志产品认证证书复印件。</w:t>
      </w:r>
    </w:p>
    <w:p>
      <w:pPr>
        <w:pageBreakBefore w:val="0"/>
        <w:topLinePunct w:val="0"/>
        <w:bidi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二、招标文件</w:t>
      </w:r>
    </w:p>
    <w:p>
      <w:pPr>
        <w:pStyle w:val="17"/>
        <w:pageBreakBefore w:val="0"/>
        <w:topLinePunct w:val="0"/>
        <w:bidi w:val="0"/>
        <w:spacing w:line="360" w:lineRule="auto"/>
        <w:ind w:firstLine="482" w:firstLineChars="200"/>
        <w:rPr>
          <w:b/>
        </w:rPr>
      </w:pPr>
      <w:r>
        <w:rPr>
          <w:rFonts w:hint="eastAsia"/>
          <w:b/>
        </w:rPr>
        <w:t>4、招标文件组成</w:t>
      </w:r>
    </w:p>
    <w:p>
      <w:pPr>
        <w:pStyle w:val="43"/>
        <w:pageBreakBefore w:val="0"/>
        <w:tabs>
          <w:tab w:val="left" w:pos="1335"/>
        </w:tabs>
        <w:topLinePunct w:val="0"/>
        <w:bidi w:val="0"/>
        <w:spacing w:line="360" w:lineRule="auto"/>
        <w:ind w:firstLine="480"/>
        <w:rPr>
          <w:rFonts w:ascii="宋体" w:hAnsi="宋体" w:cs="宋体"/>
          <w:sz w:val="24"/>
          <w:szCs w:val="24"/>
        </w:rPr>
      </w:pPr>
      <w:r>
        <w:rPr>
          <w:rFonts w:hint="eastAsia" w:ascii="宋体" w:hAnsi="宋体" w:cs="宋体"/>
          <w:sz w:val="24"/>
          <w:szCs w:val="24"/>
        </w:rPr>
        <w:t>4.1招标文件组成：招标公告、供应商须知、供应商应当提交的资格和资信证明文件、投标报价要求、投标文件编制要求和投标保证金缴纳方式、招标项目的服务要求和数量、合同主要条款及合同签订方式、提供服务的时间、付款条件、评标方法、评标标准、无效投标和废标条款、附件等。</w:t>
      </w:r>
    </w:p>
    <w:p>
      <w:pPr>
        <w:pStyle w:val="43"/>
        <w:pageBreakBefore w:val="0"/>
        <w:tabs>
          <w:tab w:val="left" w:pos="1335"/>
        </w:tabs>
        <w:topLinePunct w:val="0"/>
        <w:bidi w:val="0"/>
        <w:spacing w:line="360" w:lineRule="auto"/>
        <w:ind w:firstLine="480"/>
        <w:rPr>
          <w:rFonts w:ascii="宋体" w:hAnsi="宋体" w:cs="宋体"/>
          <w:sz w:val="24"/>
          <w:szCs w:val="24"/>
        </w:rPr>
      </w:pPr>
      <w:r>
        <w:rPr>
          <w:rFonts w:hint="eastAsia" w:ascii="宋体" w:hAnsi="宋体" w:cs="宋体"/>
          <w:sz w:val="24"/>
          <w:szCs w:val="24"/>
        </w:rPr>
        <w:t>4.2招标文件如果要求供应商提交备选投标方案的，供应商可以</w:t>
      </w:r>
      <w:r>
        <w:rPr>
          <w:rFonts w:hint="eastAsia" w:ascii="宋体" w:hAnsi="宋体" w:cs="宋体"/>
          <w:spacing w:val="-1"/>
          <w:sz w:val="24"/>
          <w:szCs w:val="24"/>
        </w:rPr>
        <w:t>提交备选方案；否则，备选方案将被拒绝。</w:t>
      </w:r>
    </w:p>
    <w:p>
      <w:pPr>
        <w:pageBreakBefore w:val="0"/>
        <w:topLinePunct w:val="0"/>
        <w:bidi w:val="0"/>
        <w:spacing w:line="360" w:lineRule="auto"/>
        <w:ind w:firstLine="482" w:firstLineChars="200"/>
        <w:rPr>
          <w:rFonts w:ascii="宋体" w:hAnsi="宋体" w:cs="宋体"/>
          <w:b/>
          <w:sz w:val="24"/>
          <w:szCs w:val="24"/>
        </w:rPr>
      </w:pPr>
      <w:r>
        <w:rPr>
          <w:rFonts w:hint="eastAsia" w:ascii="宋体" w:hAnsi="宋体" w:cs="宋体"/>
          <w:b/>
          <w:sz w:val="24"/>
          <w:szCs w:val="24"/>
        </w:rPr>
        <w:t>5、招标文件的澄清、修改</w:t>
      </w:r>
    </w:p>
    <w:p>
      <w:pPr>
        <w:pStyle w:val="43"/>
        <w:pageBreakBefore w:val="0"/>
        <w:tabs>
          <w:tab w:val="left" w:pos="1335"/>
        </w:tabs>
        <w:topLinePunct w:val="0"/>
        <w:bidi w:val="0"/>
        <w:spacing w:line="360" w:lineRule="auto"/>
        <w:ind w:firstLine="480"/>
        <w:rPr>
          <w:rFonts w:ascii="宋体" w:hAnsi="宋体" w:cs="宋体"/>
          <w:sz w:val="24"/>
          <w:szCs w:val="24"/>
        </w:rPr>
      </w:pPr>
      <w:r>
        <w:rPr>
          <w:rFonts w:hint="eastAsia" w:ascii="宋体" w:hAnsi="宋体" w:cs="宋体"/>
          <w:sz w:val="24"/>
          <w:szCs w:val="24"/>
        </w:rPr>
        <w:t>5.1代理机构对已发出的招标文件进行必要澄清或者修改的，将在招标文件要求提交投标文件截止时间</w:t>
      </w:r>
      <w:r>
        <w:rPr>
          <w:rFonts w:hint="eastAsia" w:ascii="宋体" w:hAnsi="宋体" w:cs="宋体"/>
          <w:b/>
          <w:spacing w:val="5"/>
          <w:sz w:val="24"/>
          <w:szCs w:val="24"/>
          <w:u w:val="single"/>
        </w:rPr>
        <w:t>十五日</w:t>
      </w:r>
      <w:r>
        <w:rPr>
          <w:rFonts w:hint="eastAsia" w:ascii="宋体" w:hAnsi="宋体" w:cs="宋体"/>
          <w:sz w:val="24"/>
          <w:szCs w:val="24"/>
        </w:rPr>
        <w:t>前，在原招标公告媒</w:t>
      </w:r>
      <w:r>
        <w:rPr>
          <w:rFonts w:hint="eastAsia" w:ascii="宋体" w:hAnsi="宋体" w:cs="宋体"/>
          <w:spacing w:val="-1"/>
          <w:sz w:val="24"/>
          <w:szCs w:val="24"/>
        </w:rPr>
        <w:t>体发布更正公告，该澄清或者修改的内容为招标文件的组成部分。</w:t>
      </w:r>
    </w:p>
    <w:p>
      <w:pPr>
        <w:pStyle w:val="43"/>
        <w:pageBreakBefore w:val="0"/>
        <w:tabs>
          <w:tab w:val="left" w:pos="1335"/>
        </w:tabs>
        <w:topLinePunct w:val="0"/>
        <w:bidi w:val="0"/>
        <w:spacing w:line="360" w:lineRule="auto"/>
        <w:ind w:firstLine="480"/>
        <w:rPr>
          <w:rFonts w:ascii="宋体" w:hAnsi="宋体" w:cs="宋体"/>
          <w:sz w:val="24"/>
          <w:szCs w:val="24"/>
        </w:rPr>
      </w:pPr>
      <w:r>
        <w:rPr>
          <w:rFonts w:hint="eastAsia" w:ascii="宋体" w:hAnsi="宋体" w:cs="宋体"/>
          <w:sz w:val="24"/>
          <w:szCs w:val="24"/>
        </w:rPr>
        <w:t>5.2代理机构在招标文件要求提交投标文件截止时间前，有权决定延长投标截止时间和开标时间，并在原采购信息发布媒体上发布变更公告。</w:t>
      </w:r>
    </w:p>
    <w:p>
      <w:pPr>
        <w:pStyle w:val="43"/>
        <w:pageBreakBefore w:val="0"/>
        <w:tabs>
          <w:tab w:val="left" w:pos="1335"/>
        </w:tabs>
        <w:topLinePunct w:val="0"/>
        <w:bidi w:val="0"/>
        <w:spacing w:line="360" w:lineRule="auto"/>
        <w:ind w:firstLine="480"/>
        <w:rPr>
          <w:rFonts w:ascii="宋体" w:hAnsi="宋体" w:cs="宋体"/>
          <w:sz w:val="24"/>
          <w:szCs w:val="24"/>
        </w:rPr>
      </w:pPr>
      <w:r>
        <w:rPr>
          <w:rFonts w:hint="eastAsia" w:ascii="宋体" w:hAnsi="宋体" w:cs="宋体"/>
          <w:sz w:val="24"/>
          <w:szCs w:val="24"/>
        </w:rPr>
        <w:t>5.3供应商应在投标截止时间前关注原采购信息发布媒体上有关本招标项目有无变更公告。</w:t>
      </w:r>
    </w:p>
    <w:p>
      <w:pPr>
        <w:pageBreakBefore w:val="0"/>
        <w:topLinePunct w:val="0"/>
        <w:bidi w:val="0"/>
        <w:spacing w:line="360" w:lineRule="auto"/>
        <w:ind w:firstLine="482" w:firstLineChars="200"/>
        <w:jc w:val="left"/>
        <w:outlineLvl w:val="1"/>
        <w:rPr>
          <w:rFonts w:ascii="宋体" w:hAnsi="宋体" w:cs="宋体"/>
          <w:b/>
          <w:sz w:val="24"/>
          <w:szCs w:val="24"/>
        </w:rPr>
      </w:pPr>
      <w:r>
        <w:rPr>
          <w:rFonts w:hint="eastAsia" w:ascii="宋体" w:hAnsi="宋体" w:cs="宋体"/>
          <w:b/>
          <w:sz w:val="24"/>
          <w:szCs w:val="24"/>
        </w:rPr>
        <w:t>三、投标</w:t>
      </w:r>
    </w:p>
    <w:p>
      <w:pPr>
        <w:pStyle w:val="43"/>
        <w:pageBreakBefore w:val="0"/>
        <w:topLinePunct w:val="0"/>
        <w:bidi w:val="0"/>
        <w:spacing w:line="360" w:lineRule="auto"/>
        <w:ind w:left="420" w:leftChars="200" w:firstLine="0" w:firstLineChars="0"/>
        <w:jc w:val="left"/>
        <w:rPr>
          <w:rFonts w:ascii="宋体" w:hAnsi="宋体" w:cs="宋体"/>
          <w:b/>
          <w:sz w:val="24"/>
          <w:szCs w:val="24"/>
        </w:rPr>
      </w:pPr>
      <w:r>
        <w:rPr>
          <w:rFonts w:hint="eastAsia" w:ascii="宋体" w:hAnsi="宋体" w:cs="宋体"/>
          <w:b/>
          <w:sz w:val="24"/>
          <w:szCs w:val="24"/>
        </w:rPr>
        <w:t>6、投标文件的语言、计量单位、货币和编制</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6.1供应商提交的投标文件、技术文件和资料，包括图纸中的说明。投标文件中若有英文或其他语言文字的资料，应提供相应的中文翻译资料。对不同文本投标文件的解释发生异议的，以中文文本为准。</w:t>
      </w:r>
    </w:p>
    <w:p>
      <w:pPr>
        <w:pageBreakBefore w:val="0"/>
        <w:topLinePunct w:val="0"/>
        <w:bidi w:val="0"/>
        <w:spacing w:line="360" w:lineRule="auto"/>
        <w:ind w:firstLine="476" w:firstLineChars="200"/>
        <w:rPr>
          <w:rFonts w:ascii="宋体" w:hAnsi="宋体" w:cs="宋体"/>
          <w:sz w:val="24"/>
          <w:szCs w:val="24"/>
        </w:rPr>
      </w:pPr>
      <w:r>
        <w:rPr>
          <w:rFonts w:hint="eastAsia" w:ascii="宋体" w:hAnsi="宋体" w:cs="宋体"/>
          <w:spacing w:val="-1"/>
          <w:sz w:val="24"/>
          <w:szCs w:val="24"/>
        </w:rPr>
        <w:t>6.2供应商所使用的计量单位应为国家法定计量单位。</w:t>
      </w:r>
    </w:p>
    <w:p>
      <w:pPr>
        <w:pageBreakBefore w:val="0"/>
        <w:topLinePunct w:val="0"/>
        <w:bidi w:val="0"/>
        <w:spacing w:line="360" w:lineRule="auto"/>
        <w:ind w:firstLine="476" w:firstLineChars="200"/>
        <w:rPr>
          <w:rFonts w:ascii="宋体" w:hAnsi="宋体" w:cs="宋体"/>
          <w:sz w:val="24"/>
          <w:szCs w:val="24"/>
        </w:rPr>
      </w:pPr>
      <w:r>
        <w:rPr>
          <w:rFonts w:hint="eastAsia" w:ascii="宋体" w:hAnsi="宋体" w:cs="宋体"/>
          <w:spacing w:val="-1"/>
          <w:sz w:val="24"/>
          <w:szCs w:val="24"/>
        </w:rPr>
        <w:t>6.3供应商应用人民币报价。</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6.4投标文件应字迹清楚、内容齐全、不得涂改。如有修改，修</w:t>
      </w:r>
      <w:r>
        <w:rPr>
          <w:rFonts w:hint="eastAsia" w:ascii="宋体" w:hAnsi="宋体" w:cs="宋体"/>
          <w:spacing w:val="-1"/>
          <w:sz w:val="24"/>
          <w:szCs w:val="24"/>
        </w:rPr>
        <w:t>改处须有供应商公章和法定代表人或其授权的供应商代表签字。</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6.5投标文件应按照招标文件规定的顺序，统一用A4规格幅面打印、胶装成册并编制目录，由于编排混乱导致投标文件被误读或查找不到，责任由供应商承担。投标文件应逐页编码，不得跳页（包括但不限于授权、证明材料、声明及产品介绍、彩页等）。</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6.6供应商应在投标文件中写清相应的项目编号、项目名称、供应商全称、地址、电话、传真等。</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7、投标费用</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7.1供应商应自行承担所有与准备和参加投标有关的费用。代理服务费按计价[2002]1980号文规定的收费标准的40%收取，由中标人支付招标代理服务费。投标人仅需对提供的单次服务的代理服务费进行报价，报价包含与评标相关的所有费用（如专家费等）。</w:t>
      </w:r>
    </w:p>
    <w:p>
      <w:pPr>
        <w:pStyle w:val="43"/>
        <w:pageBreakBefore w:val="0"/>
        <w:topLinePunct w:val="0"/>
        <w:bidi w:val="0"/>
        <w:spacing w:line="360" w:lineRule="auto"/>
        <w:ind w:left="420" w:leftChars="200" w:firstLine="0" w:firstLineChars="0"/>
        <w:jc w:val="left"/>
        <w:rPr>
          <w:rFonts w:ascii="宋体" w:hAnsi="宋体" w:cs="宋体"/>
          <w:b/>
          <w:sz w:val="24"/>
          <w:szCs w:val="24"/>
        </w:rPr>
      </w:pPr>
      <w:r>
        <w:rPr>
          <w:rFonts w:hint="eastAsia" w:ascii="宋体" w:hAnsi="宋体" w:cs="宋体"/>
          <w:b/>
          <w:sz w:val="24"/>
          <w:szCs w:val="24"/>
        </w:rPr>
        <w:t>8、投标文件组成</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8.1供应商应当根据招标文件要求编制投标文件，投标文件应对招标文件提出的要求和条件作出实质性响应，并在《商务条款偏离</w:t>
      </w:r>
      <w:r>
        <w:rPr>
          <w:rFonts w:hint="eastAsia" w:ascii="宋体" w:hAnsi="宋体" w:cs="宋体"/>
          <w:spacing w:val="-7"/>
          <w:sz w:val="24"/>
          <w:szCs w:val="24"/>
        </w:rPr>
        <w:t>表》等处逐条标明满足与否。</w:t>
      </w:r>
    </w:p>
    <w:p>
      <w:pPr>
        <w:pStyle w:val="17"/>
        <w:pageBreakBefore w:val="0"/>
        <w:topLinePunct w:val="0"/>
        <w:bidi w:val="0"/>
        <w:spacing w:line="360" w:lineRule="auto"/>
        <w:ind w:firstLine="480" w:firstLineChars="200"/>
        <w:jc w:val="left"/>
      </w:pPr>
      <w:r>
        <w:rPr>
          <w:rFonts w:hint="eastAsia"/>
        </w:rPr>
        <w:t>8.2供应商根据招标文件载明的标的采购项目实际情况，拟在中标后将中标项目的非主体、非关键性工作交由他人完成的，应当在投标文件中载明。</w:t>
      </w:r>
    </w:p>
    <w:p>
      <w:pPr>
        <w:pStyle w:val="43"/>
        <w:pageBreakBefore w:val="0"/>
        <w:tabs>
          <w:tab w:val="left" w:pos="1335"/>
        </w:tabs>
        <w:topLinePunct w:val="0"/>
        <w:bidi w:val="0"/>
        <w:spacing w:line="360" w:lineRule="auto"/>
        <w:ind w:firstLine="480"/>
        <w:jc w:val="left"/>
        <w:rPr>
          <w:rFonts w:ascii="宋体" w:hAnsi="宋体" w:cs="宋体"/>
          <w:sz w:val="24"/>
          <w:szCs w:val="24"/>
        </w:rPr>
      </w:pPr>
      <w:r>
        <w:rPr>
          <w:rFonts w:hint="eastAsia" w:ascii="宋体" w:hAnsi="宋体" w:cs="宋体"/>
          <w:sz w:val="24"/>
          <w:szCs w:val="24"/>
        </w:rPr>
        <w:t>8.3投标文件由商务部分、技术部分、价格部分，以及其他部分组成。</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9、投标文件的商务部分</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9.1商务部分是证明供应商有资格参加投标和中标后有能力履行合同的文件，这些文件应能满足招标的要求，包括但不限于下列文件，其中加</w:t>
      </w:r>
      <w:r>
        <w:rPr>
          <w:rFonts w:hint="eastAsia" w:ascii="宋体" w:hAnsi="宋体" w:cs="宋体"/>
          <w:b/>
          <w:sz w:val="24"/>
          <w:szCs w:val="24"/>
        </w:rPr>
        <w:t>“★”</w:t>
      </w:r>
      <w:r>
        <w:rPr>
          <w:rFonts w:hint="eastAsia" w:ascii="宋体" w:hAnsi="宋体" w:cs="宋体"/>
          <w:sz w:val="24"/>
          <w:szCs w:val="24"/>
        </w:rPr>
        <w:t>项目不得有缺失或无效。</w:t>
      </w:r>
    </w:p>
    <w:p>
      <w:pPr>
        <w:pageBreakBefore w:val="0"/>
        <w:topLinePunct w:val="0"/>
        <w:bidi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（1）★投标函（投标申请及声明）；</w:t>
      </w:r>
    </w:p>
    <w:p>
      <w:pPr>
        <w:pageBreakBefore w:val="0"/>
        <w:topLinePunct w:val="0"/>
        <w:bidi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（2）★法定代表人授权委托书及委托代理人的身份证复印件；</w:t>
      </w:r>
    </w:p>
    <w:p>
      <w:pPr>
        <w:pageBreakBefore w:val="0"/>
        <w:topLinePunct w:val="0"/>
        <w:bidi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（3）★法人</w:t>
      </w:r>
      <w:r>
        <w:rPr>
          <w:rFonts w:hint="eastAsia" w:ascii="宋体" w:hAnsi="宋体" w:cs="宋体"/>
          <w:b/>
          <w:bCs/>
          <w:spacing w:val="-8"/>
          <w:sz w:val="24"/>
          <w:szCs w:val="24"/>
        </w:rPr>
        <w:t>、其他组织的营业执照</w:t>
      </w:r>
      <w:r>
        <w:rPr>
          <w:rFonts w:hint="eastAsia" w:ascii="宋体" w:hAnsi="宋体" w:cs="宋体"/>
          <w:b/>
          <w:bCs/>
          <w:sz w:val="24"/>
          <w:szCs w:val="24"/>
        </w:rPr>
        <w:t>（副本</w:t>
      </w:r>
      <w:r>
        <w:rPr>
          <w:rFonts w:hint="eastAsia" w:ascii="宋体" w:hAnsi="宋体" w:cs="宋体"/>
          <w:b/>
          <w:bCs/>
          <w:spacing w:val="-28"/>
          <w:sz w:val="24"/>
          <w:szCs w:val="24"/>
        </w:rPr>
        <w:t>）</w:t>
      </w:r>
      <w:r>
        <w:rPr>
          <w:rFonts w:hint="eastAsia" w:ascii="宋体" w:hAnsi="宋体" w:cs="宋体"/>
          <w:b/>
          <w:bCs/>
          <w:spacing w:val="-6"/>
          <w:sz w:val="24"/>
          <w:szCs w:val="24"/>
        </w:rPr>
        <w:t>复印件；投标人是自然人的，提供自然人的身份证明（复印件）；</w:t>
      </w:r>
    </w:p>
    <w:p>
      <w:pPr>
        <w:pageBreakBefore w:val="0"/>
        <w:topLinePunct w:val="0"/>
        <w:bidi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（4）★第一章招标公告中《中华人民共和国政府采购法》规定的资格条件证明文件；</w:t>
      </w:r>
    </w:p>
    <w:p>
      <w:pPr>
        <w:pageBreakBefore w:val="0"/>
        <w:topLinePunct w:val="0"/>
        <w:bidi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（5）★第一章招标公告中采购人根据采购项目的特殊要求规定的特定条件证明文件；</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（6）《商务条款偏离表》；</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（7）合同条款</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（8）供应商认为需要提供的其他资格证明文件和商务资料等。</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10、投标文件的技术部分</w:t>
      </w:r>
    </w:p>
    <w:p>
      <w:pPr>
        <w:pStyle w:val="43"/>
        <w:pageBreakBefore w:val="0"/>
        <w:tabs>
          <w:tab w:val="left" w:pos="1491"/>
        </w:tabs>
        <w:topLinePunct w:val="0"/>
        <w:bidi w:val="0"/>
        <w:spacing w:line="360" w:lineRule="auto"/>
        <w:ind w:firstLine="448"/>
        <w:jc w:val="left"/>
        <w:rPr>
          <w:rFonts w:ascii="宋体" w:hAnsi="宋体" w:cs="宋体"/>
          <w:sz w:val="24"/>
          <w:szCs w:val="24"/>
        </w:rPr>
      </w:pPr>
      <w:r>
        <w:rPr>
          <w:rFonts w:hint="eastAsia" w:ascii="宋体" w:hAnsi="宋体" w:cs="宋体"/>
          <w:spacing w:val="-8"/>
          <w:sz w:val="24"/>
          <w:szCs w:val="24"/>
        </w:rPr>
        <w:t>10.1技术部分是证明供应商提供的技术服务是合格的、并符合招标文</w:t>
      </w:r>
      <w:r>
        <w:rPr>
          <w:rFonts w:hint="eastAsia" w:ascii="宋体" w:hAnsi="宋体" w:cs="宋体"/>
          <w:sz w:val="24"/>
          <w:szCs w:val="24"/>
        </w:rPr>
        <w:t>件要求的证明文件，以及对投标报价表中的</w:t>
      </w:r>
      <w:r>
        <w:rPr>
          <w:rFonts w:hint="eastAsia" w:ascii="宋体" w:hAnsi="宋体" w:cs="宋体"/>
          <w:spacing w:val="-8"/>
          <w:sz w:val="24"/>
          <w:szCs w:val="24"/>
        </w:rPr>
        <w:t>技术</w:t>
      </w:r>
      <w:r>
        <w:rPr>
          <w:rFonts w:hint="eastAsia" w:ascii="宋体" w:hAnsi="宋体" w:cs="宋体"/>
          <w:sz w:val="24"/>
          <w:szCs w:val="24"/>
        </w:rPr>
        <w:t>服务的</w:t>
      </w:r>
      <w:r>
        <w:rPr>
          <w:rFonts w:hint="eastAsia" w:ascii="宋体" w:hAnsi="宋体" w:cs="宋体"/>
          <w:b/>
          <w:spacing w:val="5"/>
          <w:sz w:val="24"/>
          <w:szCs w:val="24"/>
        </w:rPr>
        <w:t>★</w:t>
      </w:r>
      <w:r>
        <w:rPr>
          <w:rFonts w:hint="eastAsia" w:ascii="宋体" w:hAnsi="宋体" w:cs="宋体"/>
          <w:sz w:val="24"/>
          <w:szCs w:val="24"/>
        </w:rPr>
        <w:t>详细说明，这些文件可以是文字资料、图纸和数据等。</w:t>
      </w:r>
    </w:p>
    <w:p>
      <w:pPr>
        <w:pStyle w:val="43"/>
        <w:pageBreakBefore w:val="0"/>
        <w:tabs>
          <w:tab w:val="left" w:pos="1491"/>
        </w:tabs>
        <w:topLinePunct w:val="0"/>
        <w:bidi w:val="0"/>
        <w:spacing w:line="360" w:lineRule="auto"/>
        <w:ind w:firstLine="448"/>
        <w:jc w:val="left"/>
        <w:rPr>
          <w:rFonts w:ascii="宋体" w:hAnsi="宋体" w:cs="宋体"/>
          <w:sz w:val="24"/>
          <w:szCs w:val="24"/>
        </w:rPr>
      </w:pPr>
      <w:r>
        <w:rPr>
          <w:rFonts w:hint="eastAsia" w:ascii="宋体" w:hAnsi="宋体" w:cs="宋体"/>
          <w:spacing w:val="-8"/>
          <w:sz w:val="24"/>
          <w:szCs w:val="24"/>
        </w:rPr>
        <w:t>10.2若提供的技术服务如与招标文件要求有不符之处，应说明其差别</w:t>
      </w:r>
      <w:r>
        <w:rPr>
          <w:rFonts w:hint="eastAsia" w:ascii="宋体" w:hAnsi="宋体" w:cs="宋体"/>
          <w:spacing w:val="-6"/>
          <w:sz w:val="24"/>
          <w:szCs w:val="24"/>
        </w:rPr>
        <w:t>之所在。</w:t>
      </w:r>
    </w:p>
    <w:p>
      <w:pPr>
        <w:pStyle w:val="43"/>
        <w:pageBreakBefore w:val="0"/>
        <w:tabs>
          <w:tab w:val="left" w:pos="1491"/>
        </w:tabs>
        <w:topLinePunct w:val="0"/>
        <w:bidi w:val="0"/>
        <w:spacing w:line="360" w:lineRule="auto"/>
        <w:ind w:firstLine="448"/>
        <w:jc w:val="left"/>
        <w:rPr>
          <w:rFonts w:ascii="宋体" w:hAnsi="宋体" w:cs="宋体"/>
          <w:sz w:val="24"/>
          <w:szCs w:val="24"/>
        </w:rPr>
      </w:pPr>
      <w:r>
        <w:rPr>
          <w:rFonts w:hint="eastAsia" w:ascii="宋体" w:hAnsi="宋体" w:cs="宋体"/>
          <w:spacing w:val="-8"/>
          <w:sz w:val="24"/>
          <w:szCs w:val="24"/>
        </w:rPr>
        <w:t>10.3投标文件应按照招标文件要求提供技术服务说明，技术资料、文件和有关证明，包括但不限于以下内容</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pacing w:val="-8"/>
          <w:sz w:val="24"/>
          <w:szCs w:val="24"/>
        </w:rPr>
        <w:t>技术</w:t>
      </w:r>
      <w:r>
        <w:rPr>
          <w:rFonts w:hint="eastAsia" w:ascii="宋体" w:hAnsi="宋体" w:cs="宋体"/>
          <w:sz w:val="24"/>
          <w:szCs w:val="24"/>
        </w:rPr>
        <w:t>服务内容的详细说明；</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（2）项目实施方案；</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（3）项目验收标准；</w:t>
      </w:r>
    </w:p>
    <w:p>
      <w:pPr>
        <w:pStyle w:val="17"/>
        <w:pageBreakBefore w:val="0"/>
        <w:topLinePunct w:val="0"/>
        <w:bidi w:val="0"/>
        <w:spacing w:line="360" w:lineRule="auto"/>
        <w:ind w:firstLine="480" w:firstLineChars="200"/>
        <w:jc w:val="left"/>
      </w:pPr>
      <w:r>
        <w:rPr>
          <w:rFonts w:hint="eastAsia"/>
        </w:rPr>
        <w:t>（4）服务承诺；</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（5）供应商认为需要提供的其他技术资料。</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11、投标文件的价格部分</w:t>
      </w:r>
    </w:p>
    <w:p>
      <w:pPr>
        <w:pageBreakBefore w:val="0"/>
        <w:tabs>
          <w:tab w:val="left" w:pos="1491"/>
        </w:tabs>
        <w:topLinePunct w:val="0"/>
        <w:bidi w:val="0"/>
        <w:spacing w:line="360" w:lineRule="auto"/>
        <w:ind w:firstLine="444" w:firstLineChars="200"/>
        <w:jc w:val="left"/>
        <w:rPr>
          <w:rFonts w:ascii="宋体" w:hAnsi="宋体" w:cs="宋体"/>
          <w:sz w:val="24"/>
          <w:szCs w:val="24"/>
        </w:rPr>
      </w:pPr>
      <w:r>
        <w:rPr>
          <w:rFonts w:hint="eastAsia" w:ascii="宋体" w:hAnsi="宋体" w:cs="宋体"/>
          <w:spacing w:val="-9"/>
          <w:sz w:val="24"/>
          <w:szCs w:val="24"/>
        </w:rPr>
        <w:t>11.1价格部分是对投标服务价格构成的说明，每一项服务仅接受一个价格。</w:t>
      </w:r>
    </w:p>
    <w:p>
      <w:pPr>
        <w:pageBreakBefore w:val="0"/>
        <w:tabs>
          <w:tab w:val="left" w:pos="1671"/>
        </w:tabs>
        <w:topLinePunct w:val="0"/>
        <w:bidi w:val="0"/>
        <w:spacing w:line="360" w:lineRule="auto"/>
        <w:ind w:firstLine="480" w:firstLineChars="200"/>
        <w:jc w:val="left"/>
        <w:rPr>
          <w:rFonts w:ascii="宋体" w:hAnsi="宋体" w:cs="宋体"/>
          <w:b/>
          <w:sz w:val="24"/>
          <w:szCs w:val="24"/>
        </w:rPr>
      </w:pPr>
      <w:r>
        <w:rPr>
          <w:rFonts w:hint="eastAsia" w:ascii="宋体" w:hAnsi="宋体" w:cs="宋体"/>
          <w:sz w:val="24"/>
          <w:szCs w:val="24"/>
        </w:rPr>
        <w:t>11.2报价应包含完成本服务项目发生的所有含税费用、支付给员工的工资和国家强制缴纳的各种社会保障资金，以及供应商认为需要的其他费用等</w:t>
      </w:r>
      <w:r>
        <w:rPr>
          <w:rFonts w:hint="eastAsia" w:ascii="宋体" w:hAnsi="宋体" w:cs="宋体"/>
          <w:b/>
          <w:sz w:val="24"/>
          <w:szCs w:val="24"/>
        </w:rPr>
        <w:t>。</w:t>
      </w:r>
    </w:p>
    <w:p>
      <w:pPr>
        <w:pageBreakBefore w:val="0"/>
        <w:tabs>
          <w:tab w:val="left" w:pos="1705"/>
        </w:tabs>
        <w:topLinePunct w:val="0"/>
        <w:bidi w:val="0"/>
        <w:spacing w:line="360" w:lineRule="auto"/>
        <w:ind w:firstLine="420" w:firstLineChars="200"/>
        <w:jc w:val="left"/>
        <w:rPr>
          <w:rFonts w:ascii="宋体" w:hAnsi="宋体" w:cs="宋体"/>
          <w:sz w:val="24"/>
          <w:szCs w:val="24"/>
        </w:rPr>
      </w:pPr>
      <w:r>
        <w:rPr>
          <w:rFonts w:hint="eastAsia" w:ascii="宋体" w:hAnsi="宋体" w:cs="宋体"/>
          <w:spacing w:val="-15"/>
          <w:sz w:val="24"/>
          <w:szCs w:val="24"/>
        </w:rPr>
        <w:t>11.3供应商的任何错漏、优惠、竞争性报价不得作为减轻责任、减少服务、增加收费、降低质量的理由。</w:t>
      </w:r>
    </w:p>
    <w:p>
      <w:pPr>
        <w:pageBreakBefore w:val="0"/>
        <w:tabs>
          <w:tab w:val="left" w:pos="1335"/>
        </w:tabs>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11.4供应商系小企业（含小型、微型企业），并由本企业提供服务，须在投标报价表中注明,供应商应当如实申报,否则评标委员会</w:t>
      </w:r>
      <w:r>
        <w:rPr>
          <w:rFonts w:hint="eastAsia" w:ascii="宋体" w:hAnsi="宋体" w:cs="宋体"/>
          <w:spacing w:val="-1"/>
          <w:sz w:val="24"/>
          <w:szCs w:val="24"/>
        </w:rPr>
        <w:t>有权取消其小微企业优惠政策。</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12、投标文件的其他部分</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12.1其他部分由供应商根据编制投标文件需要提供的其他相关文件。</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13、投标保证金：见供应商须知前附表</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14、投标有效期</w:t>
      </w:r>
    </w:p>
    <w:p>
      <w:pPr>
        <w:pageBreakBefore w:val="0"/>
        <w:tabs>
          <w:tab w:val="left" w:pos="1491"/>
        </w:tabs>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自开标之日起</w:t>
      </w:r>
      <w:r>
        <w:rPr>
          <w:rFonts w:hint="eastAsia" w:ascii="宋体" w:hAnsi="宋体" w:cs="宋体"/>
          <w:b/>
          <w:sz w:val="24"/>
          <w:szCs w:val="24"/>
        </w:rPr>
        <w:t>90日</w:t>
      </w:r>
      <w:r>
        <w:rPr>
          <w:rFonts w:hint="eastAsia" w:ascii="宋体" w:hAnsi="宋体" w:cs="宋体"/>
          <w:sz w:val="24"/>
          <w:szCs w:val="24"/>
        </w:rPr>
        <w:t>内投标有效。</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15、投标文件的份数、签署</w:t>
      </w:r>
    </w:p>
    <w:p>
      <w:pPr>
        <w:pageBreakBefore w:val="0"/>
        <w:tabs>
          <w:tab w:val="left" w:pos="1491"/>
        </w:tabs>
        <w:topLinePunct w:val="0"/>
        <w:bidi w:val="0"/>
        <w:spacing w:line="360" w:lineRule="auto"/>
        <w:ind w:firstLine="452" w:firstLineChars="200"/>
        <w:jc w:val="left"/>
        <w:rPr>
          <w:rFonts w:ascii="宋体" w:hAnsi="宋体" w:cs="宋体"/>
          <w:sz w:val="24"/>
          <w:szCs w:val="24"/>
        </w:rPr>
      </w:pPr>
      <w:r>
        <w:rPr>
          <w:rFonts w:hint="eastAsia" w:ascii="宋体" w:hAnsi="宋体" w:cs="宋体"/>
          <w:spacing w:val="-7"/>
          <w:sz w:val="24"/>
          <w:szCs w:val="24"/>
        </w:rPr>
        <w:t>15.1投标人应严格按照招标文件要求的份数准备投标文件，每份</w:t>
      </w:r>
      <w:r>
        <w:rPr>
          <w:rFonts w:hint="eastAsia" w:ascii="宋体" w:hAnsi="宋体" w:cs="宋体"/>
          <w:sz w:val="24"/>
          <w:szCs w:val="24"/>
        </w:rPr>
        <w:t>投标文件须清楚地标明“正本”或“副本”字样。一旦正本和副本不符，以正本为准。</w:t>
      </w:r>
    </w:p>
    <w:p>
      <w:pPr>
        <w:pageBreakBefore w:val="0"/>
        <w:tabs>
          <w:tab w:val="left" w:pos="1491"/>
        </w:tabs>
        <w:topLinePunct w:val="0"/>
        <w:bidi w:val="0"/>
        <w:spacing w:line="360" w:lineRule="auto"/>
        <w:ind w:firstLine="436" w:firstLineChars="200"/>
        <w:jc w:val="left"/>
        <w:rPr>
          <w:rFonts w:ascii="宋体" w:hAnsi="宋体" w:cs="宋体"/>
          <w:sz w:val="24"/>
          <w:szCs w:val="24"/>
        </w:rPr>
      </w:pPr>
      <w:r>
        <w:rPr>
          <w:rFonts w:hint="eastAsia" w:ascii="宋体" w:hAnsi="宋体" w:cs="宋体"/>
          <w:spacing w:val="-11"/>
          <w:sz w:val="24"/>
          <w:szCs w:val="24"/>
        </w:rPr>
        <w:t>15.2投标文件正本中，除招标文件规定的可提交复印件外，其他</w:t>
      </w:r>
      <w:r>
        <w:rPr>
          <w:rFonts w:hint="eastAsia" w:ascii="宋体" w:hAnsi="宋体" w:cs="宋体"/>
          <w:sz w:val="24"/>
          <w:szCs w:val="24"/>
        </w:rPr>
        <w:t>文件均须提交原件，文字材料需打印或用不褪色墨水书写。投标文件的正本须经法定代表人或经正式授权并对供应商有约束力的委托代理人签字和加盖投标人公章。本招标文件所表述（</w:t>
      </w:r>
      <w:r>
        <w:rPr>
          <w:rFonts w:hint="eastAsia" w:ascii="宋体" w:hAnsi="宋体" w:cs="宋体"/>
          <w:spacing w:val="1"/>
          <w:sz w:val="24"/>
          <w:szCs w:val="24"/>
        </w:rPr>
        <w:t>指定</w:t>
      </w:r>
      <w:r>
        <w:rPr>
          <w:rFonts w:hint="eastAsia" w:ascii="宋体" w:hAnsi="宋体" w:cs="宋体"/>
          <w:spacing w:val="5"/>
          <w:sz w:val="24"/>
          <w:szCs w:val="24"/>
        </w:rPr>
        <w:t>）</w:t>
      </w:r>
      <w:r>
        <w:rPr>
          <w:rFonts w:hint="eastAsia" w:ascii="宋体" w:hAnsi="宋体" w:cs="宋体"/>
          <w:sz w:val="24"/>
          <w:szCs w:val="24"/>
        </w:rPr>
        <w:t>的公章是指法定名称章，不包括合同专用章、业务专用章等印章。</w:t>
      </w:r>
    </w:p>
    <w:p>
      <w:pPr>
        <w:pageBreakBefore w:val="0"/>
        <w:tabs>
          <w:tab w:val="left" w:pos="1491"/>
        </w:tabs>
        <w:topLinePunct w:val="0"/>
        <w:bidi w:val="0"/>
        <w:spacing w:line="360" w:lineRule="auto"/>
        <w:ind w:firstLine="448" w:firstLineChars="200"/>
        <w:jc w:val="left"/>
        <w:rPr>
          <w:rFonts w:ascii="宋体" w:hAnsi="宋体" w:cs="宋体"/>
          <w:sz w:val="24"/>
          <w:szCs w:val="24"/>
        </w:rPr>
      </w:pPr>
      <w:r>
        <w:rPr>
          <w:rFonts w:hint="eastAsia" w:ascii="宋体" w:hAnsi="宋体" w:cs="宋体"/>
          <w:spacing w:val="-8"/>
          <w:sz w:val="24"/>
          <w:szCs w:val="24"/>
        </w:rPr>
        <w:t>15.3除投标人对错处做必要修改外，投标文件不得行间插字、涂改或增删。如有修改错漏处，必须由投标文件签署人签字或盖章。</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16、投标文件的密封和递交</w:t>
      </w:r>
    </w:p>
    <w:p>
      <w:pPr>
        <w:pageBreakBefore w:val="0"/>
        <w:tabs>
          <w:tab w:val="left" w:pos="1491"/>
        </w:tabs>
        <w:topLinePunct w:val="0"/>
        <w:bidi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16.1供应商应当将投标文件密封；</w:t>
      </w:r>
    </w:p>
    <w:p>
      <w:pPr>
        <w:pageBreakBefore w:val="0"/>
        <w:tabs>
          <w:tab w:val="left" w:pos="1491"/>
        </w:tabs>
        <w:topLinePunct w:val="0"/>
        <w:bidi w:val="0"/>
        <w:adjustRightInd w:val="0"/>
        <w:snapToGrid w:val="0"/>
        <w:spacing w:line="360" w:lineRule="auto"/>
        <w:ind w:firstLine="452" w:firstLineChars="200"/>
        <w:jc w:val="left"/>
        <w:rPr>
          <w:rFonts w:ascii="宋体" w:hAnsi="宋体" w:cs="宋体"/>
          <w:sz w:val="24"/>
          <w:szCs w:val="24"/>
        </w:rPr>
      </w:pPr>
      <w:r>
        <w:rPr>
          <w:rFonts w:hint="eastAsia" w:ascii="宋体" w:hAnsi="宋体" w:cs="宋体"/>
          <w:spacing w:val="-7"/>
          <w:sz w:val="24"/>
          <w:szCs w:val="24"/>
        </w:rPr>
        <w:t>16.2供应商应当在招标文件要求提交投标文件的截止时间前，将密封的投标文件送达投标地点。</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17、有下列情形之一的投标文件将拒收：</w:t>
      </w:r>
    </w:p>
    <w:p>
      <w:pPr>
        <w:pageBreakBefore w:val="0"/>
        <w:tabs>
          <w:tab w:val="left" w:pos="1491"/>
        </w:tabs>
        <w:topLinePunct w:val="0"/>
        <w:bidi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17.1未按招标文件规定的数额和办法交纳投标保证金的（若有）；</w:t>
      </w:r>
    </w:p>
    <w:p>
      <w:pPr>
        <w:pageBreakBefore w:val="0"/>
        <w:tabs>
          <w:tab w:val="left" w:pos="1491"/>
        </w:tabs>
        <w:topLinePunct w:val="0"/>
        <w:bidi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17.2在招标文件要求提交投标文件的截止时间之后送达的；</w:t>
      </w:r>
    </w:p>
    <w:p>
      <w:pPr>
        <w:pageBreakBefore w:val="0"/>
        <w:tabs>
          <w:tab w:val="left" w:pos="1491"/>
        </w:tabs>
        <w:topLinePunct w:val="0"/>
        <w:bidi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17.3其他详见供应商须知前附表；</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18、投标文件的修改和撤回</w:t>
      </w:r>
    </w:p>
    <w:p>
      <w:pPr>
        <w:pageBreakBefore w:val="0"/>
        <w:tabs>
          <w:tab w:val="left" w:pos="1491"/>
        </w:tabs>
        <w:topLinePunct w:val="0"/>
        <w:bidi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18.1供应商在投标截止时间前，可以对所递交的投标文件进行补充、修改或撤回，并书面通知。补充、修改的内容应当按照招标文件要求签署、盖章，并作为投标文件的组成部分。</w:t>
      </w:r>
    </w:p>
    <w:p>
      <w:pPr>
        <w:pageBreakBefore w:val="0"/>
        <w:tabs>
          <w:tab w:val="left" w:pos="1491"/>
        </w:tabs>
        <w:topLinePunct w:val="0"/>
        <w:bidi w:val="0"/>
        <w:adjustRightInd w:val="0"/>
        <w:snapToGrid w:val="0"/>
        <w:spacing w:line="360" w:lineRule="auto"/>
        <w:ind w:firstLine="480" w:firstLineChars="200"/>
        <w:jc w:val="left"/>
        <w:rPr>
          <w:rFonts w:ascii="宋体" w:hAnsi="宋体" w:cs="宋体"/>
          <w:b/>
          <w:sz w:val="24"/>
          <w:szCs w:val="24"/>
        </w:rPr>
      </w:pPr>
      <w:r>
        <w:rPr>
          <w:rFonts w:hint="eastAsia" w:ascii="宋体" w:hAnsi="宋体" w:cs="宋体"/>
          <w:sz w:val="24"/>
          <w:szCs w:val="24"/>
        </w:rPr>
        <w:t>18.2投标截止时间之后，投标文件不得撤回；</w:t>
      </w:r>
    </w:p>
    <w:p>
      <w:pPr>
        <w:pageBreakBefore w:val="0"/>
        <w:topLinePunct w:val="0"/>
        <w:bidi w:val="0"/>
        <w:spacing w:line="360" w:lineRule="auto"/>
        <w:ind w:firstLine="482" w:firstLineChars="200"/>
        <w:jc w:val="left"/>
        <w:outlineLvl w:val="1"/>
        <w:rPr>
          <w:rFonts w:ascii="宋体" w:hAnsi="宋体" w:cs="宋体"/>
          <w:b/>
          <w:sz w:val="24"/>
          <w:szCs w:val="24"/>
        </w:rPr>
      </w:pPr>
      <w:r>
        <w:rPr>
          <w:rFonts w:hint="eastAsia" w:ascii="宋体" w:hAnsi="宋体" w:cs="宋体"/>
          <w:b/>
          <w:sz w:val="24"/>
          <w:szCs w:val="24"/>
        </w:rPr>
        <w:t>四、开标、评标与确定中标供应商</w:t>
      </w:r>
    </w:p>
    <w:p>
      <w:pPr>
        <w:pageBreakBefore w:val="0"/>
        <w:topLinePunct w:val="0"/>
        <w:bidi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19、开标</w:t>
      </w:r>
    </w:p>
    <w:p>
      <w:pPr>
        <w:pageBreakBefore w:val="0"/>
        <w:tabs>
          <w:tab w:val="left" w:pos="1491"/>
        </w:tabs>
        <w:topLinePunct w:val="0"/>
        <w:bidi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招标代理将在招标文件确定的时间和地点进行公开开标。供应商应委派代表准时参加，参加开标的代表须签名报到以证明其出席。</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19.1开标时，招标代理将邀请供应商代表检查投标文件的密封情况，经确认无误后，由招标代理工作人员当众拆封，宣读供应商名称、投标价格、招标文件允许提供的备选投标方案和投标文件规定的其他主要内容。</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19.2未宣读的投标价格和招标文件允许提供的备选投标方案等实质性内容，评标时不予承认。</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19.3投标文件（报价表）中报价的大写金额与小写金额不一致的，以大写金额为准。</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19.4单价金额小数点或者百分比有明显错位的，以（报价表）的总价为准，并修改单价；</w:t>
      </w:r>
    </w:p>
    <w:p>
      <w:pPr>
        <w:pStyle w:val="17"/>
        <w:pageBreakBefore w:val="0"/>
        <w:topLinePunct w:val="0"/>
        <w:bidi w:val="0"/>
        <w:spacing w:line="360" w:lineRule="auto"/>
        <w:ind w:firstLine="452" w:firstLineChars="200"/>
        <w:jc w:val="left"/>
      </w:pPr>
      <w:r>
        <w:rPr>
          <w:rFonts w:hint="eastAsia"/>
          <w:spacing w:val="-7"/>
        </w:rPr>
        <w:t>19.5</w:t>
      </w:r>
      <w:r>
        <w:rPr>
          <w:rFonts w:hint="eastAsia"/>
        </w:rPr>
        <w:t>总价金额与按单价汇总金额不一致的，以单价金额计算结果为准；</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19.6同时出现19.4-19.6中两种以上不一致的,按照19.4-19.6的顺序修正。修正后的报价由法定代表人或其授权的代表签字确认后产生约束力，投标人不确认的，投标无效。</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19.7对不同文字文本投标文件的解释发生异议的，以中文文本为准。</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19.8投标截止时间结束后参加投标的供应商不足三家的，不予开标。</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公开招标数额标准以上的采购项目，投标截止后投标人不足3家或者通过资格审查或符合性审查的投标人不足3家的，除采购任务取消情形外，按照以下方式处理：</w:t>
      </w:r>
    </w:p>
    <w:p>
      <w:pPr>
        <w:pStyle w:val="43"/>
        <w:pageBreakBefore w:val="0"/>
        <w:topLinePunct w:val="0"/>
        <w:bidi w:val="0"/>
        <w:spacing w:line="360" w:lineRule="auto"/>
        <w:ind w:firstLine="480"/>
        <w:jc w:val="left"/>
        <w:rPr>
          <w:rFonts w:ascii="宋体" w:hAnsi="宋体" w:cs="宋体"/>
          <w:sz w:val="24"/>
          <w:szCs w:val="24"/>
        </w:rPr>
      </w:pPr>
      <w:r>
        <w:rPr>
          <w:rFonts w:hint="eastAsia" w:ascii="宋体" w:hAnsi="宋体" w:cs="宋体"/>
          <w:sz w:val="24"/>
          <w:szCs w:val="24"/>
        </w:rPr>
        <w:t>（1）招标文件存在不合理条款或者招标程序不符合规定的，采购人、采购代理机构改正后依法重新招标；</w:t>
      </w:r>
    </w:p>
    <w:p>
      <w:pPr>
        <w:pStyle w:val="43"/>
        <w:pageBreakBefore w:val="0"/>
        <w:topLinePunct w:val="0"/>
        <w:bidi w:val="0"/>
        <w:spacing w:line="360" w:lineRule="auto"/>
        <w:ind w:firstLine="480"/>
        <w:jc w:val="left"/>
        <w:rPr>
          <w:rFonts w:ascii="宋体" w:hAnsi="宋体" w:cs="宋体"/>
          <w:sz w:val="24"/>
          <w:szCs w:val="24"/>
        </w:rPr>
      </w:pPr>
      <w:r>
        <w:rPr>
          <w:rFonts w:hint="eastAsia" w:ascii="宋体" w:hAnsi="宋体" w:cs="宋体"/>
          <w:sz w:val="24"/>
          <w:szCs w:val="24"/>
        </w:rPr>
        <w:t>（2）招标文件没有不合理条款、招标程序符合规定，需要采用其他采购方式采购的，采购人依法报财政部门批准。</w:t>
      </w:r>
    </w:p>
    <w:p>
      <w:pPr>
        <w:pStyle w:val="43"/>
        <w:pageBreakBefore w:val="0"/>
        <w:topLinePunct w:val="0"/>
        <w:bidi w:val="0"/>
        <w:spacing w:line="360" w:lineRule="auto"/>
        <w:ind w:left="420" w:leftChars="200" w:firstLine="0" w:firstLineChars="0"/>
        <w:jc w:val="left"/>
        <w:rPr>
          <w:rFonts w:ascii="宋体" w:hAnsi="宋体" w:cs="宋体"/>
          <w:b/>
          <w:sz w:val="24"/>
          <w:szCs w:val="24"/>
        </w:rPr>
      </w:pPr>
      <w:r>
        <w:rPr>
          <w:rFonts w:hint="eastAsia" w:ascii="宋体" w:hAnsi="宋体" w:cs="宋体"/>
          <w:b/>
          <w:sz w:val="24"/>
          <w:szCs w:val="24"/>
        </w:rPr>
        <w:t>20、评标</w:t>
      </w:r>
    </w:p>
    <w:p>
      <w:pPr>
        <w:pageBreakBefore w:val="0"/>
        <w:topLinePunct w:val="0"/>
        <w:bidi w:val="0"/>
        <w:spacing w:line="360" w:lineRule="auto"/>
        <w:ind w:firstLine="482" w:firstLineChars="200"/>
        <w:rPr>
          <w:rFonts w:ascii="宋体" w:hAnsi="宋体" w:cs="宋体"/>
          <w:b/>
          <w:sz w:val="24"/>
          <w:szCs w:val="24"/>
        </w:rPr>
      </w:pPr>
      <w:r>
        <w:rPr>
          <w:rFonts w:hint="eastAsia" w:ascii="宋体" w:hAnsi="宋体" w:cs="宋体"/>
          <w:b/>
          <w:sz w:val="24"/>
          <w:szCs w:val="24"/>
        </w:rPr>
        <w:t>20.1评标组织</w:t>
      </w:r>
    </w:p>
    <w:p>
      <w:pPr>
        <w:pageBreakBefore w:val="0"/>
        <w:topLinePunct w:val="0"/>
        <w:bidi w:val="0"/>
        <w:spacing w:line="360" w:lineRule="auto"/>
        <w:ind w:firstLine="472" w:firstLineChars="200"/>
        <w:jc w:val="left"/>
        <w:rPr>
          <w:rFonts w:ascii="宋体" w:hAnsi="宋体" w:cs="宋体"/>
          <w:sz w:val="24"/>
          <w:szCs w:val="24"/>
        </w:rPr>
      </w:pPr>
      <w:r>
        <w:rPr>
          <w:rFonts w:hint="eastAsia" w:ascii="宋体" w:hAnsi="宋体" w:cs="宋体"/>
          <w:spacing w:val="-2"/>
          <w:sz w:val="24"/>
          <w:szCs w:val="24"/>
        </w:rPr>
        <w:t>20.1.1评标工作由招标代理负责组织，具体评标事务由依法组</w:t>
      </w:r>
      <w:r>
        <w:rPr>
          <w:rFonts w:hint="eastAsia" w:ascii="宋体" w:hAnsi="宋体" w:cs="宋体"/>
          <w:spacing w:val="-3"/>
          <w:sz w:val="24"/>
          <w:szCs w:val="24"/>
        </w:rPr>
        <w:t>建的评标委员会负责，并独立履行下列职责：</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（1）审查、评价投标文件是否符合招标文件的商务、技术等实质性要求；</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（2）要求投标人对投标文件有关事项作出澄清或者说明；</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（3）对投标文件进行比较和评价；</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（4）根据采购人委托协议直接确定中标人；</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（5）向采购人、财政部门报告评标中发现的违法行为。</w:t>
      </w:r>
    </w:p>
    <w:p>
      <w:pPr>
        <w:pageBreakBefore w:val="0"/>
        <w:topLinePunct w:val="0"/>
        <w:bidi w:val="0"/>
        <w:spacing w:line="360" w:lineRule="auto"/>
        <w:ind w:firstLine="440" w:firstLineChars="200"/>
        <w:jc w:val="left"/>
        <w:rPr>
          <w:rFonts w:ascii="宋体" w:hAnsi="宋体" w:cs="宋体"/>
          <w:sz w:val="24"/>
          <w:szCs w:val="24"/>
        </w:rPr>
      </w:pPr>
      <w:r>
        <w:rPr>
          <w:rFonts w:hint="eastAsia" w:ascii="宋体" w:hAnsi="宋体" w:cs="宋体"/>
          <w:spacing w:val="-10"/>
          <w:sz w:val="24"/>
          <w:szCs w:val="24"/>
        </w:rPr>
        <w:t>20.1.2评标委员会由采购人代表和有关技术、经济等方面的专家组成，独立开展评审工作。</w:t>
      </w:r>
    </w:p>
    <w:p>
      <w:pPr>
        <w:pageBreakBefore w:val="0"/>
        <w:topLinePunct w:val="0"/>
        <w:bidi w:val="0"/>
        <w:spacing w:line="360" w:lineRule="auto"/>
        <w:ind w:firstLine="482" w:firstLineChars="200"/>
        <w:rPr>
          <w:rFonts w:ascii="宋体" w:hAnsi="宋体" w:cs="宋体"/>
          <w:b/>
          <w:sz w:val="24"/>
          <w:szCs w:val="24"/>
        </w:rPr>
      </w:pPr>
      <w:r>
        <w:rPr>
          <w:rFonts w:hint="eastAsia" w:ascii="宋体" w:hAnsi="宋体" w:cs="宋体"/>
          <w:b/>
          <w:sz w:val="24"/>
          <w:szCs w:val="24"/>
        </w:rPr>
        <w:t>20.2评标程序</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20.2.1投标文件的资格审查。</w:t>
      </w:r>
    </w:p>
    <w:p>
      <w:pPr>
        <w:pageBreakBefore w:val="0"/>
        <w:topLinePunct w:val="0"/>
        <w:bidi w:val="0"/>
        <w:spacing w:line="360" w:lineRule="auto"/>
        <w:ind w:firstLine="472" w:firstLineChars="200"/>
        <w:jc w:val="left"/>
        <w:rPr>
          <w:rFonts w:ascii="宋体" w:hAnsi="宋体" w:cs="宋体"/>
          <w:sz w:val="24"/>
          <w:szCs w:val="24"/>
        </w:rPr>
      </w:pPr>
      <w:r>
        <w:rPr>
          <w:rFonts w:hint="eastAsia" w:ascii="宋体" w:hAnsi="宋体" w:cs="宋体"/>
          <w:spacing w:val="-2"/>
          <w:sz w:val="24"/>
          <w:szCs w:val="24"/>
        </w:rPr>
        <w:t>20.2.1.1采购人代表将依法对投标人的资格进行审查。</w:t>
      </w:r>
    </w:p>
    <w:p>
      <w:pPr>
        <w:pageBreakBefore w:val="0"/>
        <w:topLinePunct w:val="0"/>
        <w:bidi w:val="0"/>
        <w:spacing w:line="360" w:lineRule="auto"/>
        <w:ind w:firstLine="452" w:firstLineChars="200"/>
        <w:jc w:val="left"/>
        <w:rPr>
          <w:rFonts w:ascii="宋体" w:hAnsi="宋体" w:cs="宋体"/>
          <w:sz w:val="24"/>
          <w:szCs w:val="24"/>
        </w:rPr>
      </w:pPr>
      <w:r>
        <w:rPr>
          <w:rFonts w:hint="eastAsia" w:ascii="宋体" w:hAnsi="宋体" w:cs="宋体"/>
          <w:spacing w:val="-7"/>
          <w:sz w:val="24"/>
          <w:szCs w:val="24"/>
        </w:rPr>
        <w:t>20.2.1.2资格性审查：依据法律法规和招标文件的规定，对投标</w:t>
      </w:r>
      <w:r>
        <w:rPr>
          <w:rFonts w:hint="eastAsia" w:ascii="宋体" w:hAnsi="宋体" w:cs="宋体"/>
          <w:sz w:val="24"/>
          <w:szCs w:val="24"/>
        </w:rPr>
        <w:t>文件中的资格证明文件、投标保证金等进行审查，以确定投标供应商是否具备投标资格。</w:t>
      </w:r>
      <w:r>
        <w:rPr>
          <w:rFonts w:hint="eastAsia" w:ascii="宋体" w:hAnsi="宋体" w:cs="宋体"/>
          <w:spacing w:val="7"/>
          <w:sz w:val="24"/>
          <w:szCs w:val="24"/>
        </w:rPr>
        <w:t>在进行资</w:t>
      </w:r>
      <w:r>
        <w:rPr>
          <w:rFonts w:hint="eastAsia" w:ascii="宋体" w:hAnsi="宋体" w:cs="宋体"/>
          <w:spacing w:val="-7"/>
          <w:sz w:val="24"/>
          <w:szCs w:val="24"/>
        </w:rPr>
        <w:t>格性审查的同时，将在“信用中国”网站（</w:t>
      </w:r>
      <w:r>
        <w:fldChar w:fldCharType="begin"/>
      </w:r>
      <w:r>
        <w:instrText xml:space="preserve"> HYPERLINK "http://www.creditchina.gov.cn/" \h </w:instrText>
      </w:r>
      <w:r>
        <w:fldChar w:fldCharType="separate"/>
      </w:r>
      <w:r>
        <w:rPr>
          <w:rFonts w:hint="eastAsia" w:ascii="宋体" w:hAnsi="宋体" w:cs="宋体"/>
          <w:spacing w:val="-7"/>
          <w:sz w:val="24"/>
          <w:szCs w:val="24"/>
        </w:rPr>
        <w:t>www.creditchina.gov.cn</w:t>
      </w:r>
      <w:r>
        <w:rPr>
          <w:rFonts w:hint="eastAsia" w:ascii="宋体" w:hAnsi="宋体" w:cs="宋体"/>
          <w:spacing w:val="-7"/>
          <w:sz w:val="24"/>
          <w:szCs w:val="24"/>
        </w:rPr>
        <w:fldChar w:fldCharType="end"/>
      </w:r>
      <w:r>
        <w:rPr>
          <w:rFonts w:hint="eastAsia" w:ascii="宋体" w:hAnsi="宋体" w:cs="宋体"/>
          <w:spacing w:val="-7"/>
          <w:sz w:val="24"/>
          <w:szCs w:val="24"/>
        </w:rPr>
        <w:t>）、“中国政府采购网”(www.ccgp.gov.cn)对投标人是否被列入失信被执行人、重大税收违法案件当事人名单、政府采购严重违法失信</w:t>
      </w:r>
      <w:r>
        <w:rPr>
          <w:rFonts w:hint="eastAsia" w:ascii="宋体" w:hAnsi="宋体" w:cs="宋体"/>
          <w:sz w:val="24"/>
          <w:szCs w:val="24"/>
        </w:rPr>
        <w:t>行为记录名单的情况进行查询，以确定投标供应商是否具备投标资格。查询结果将以网页打印的形式留存并归档。</w:t>
      </w:r>
    </w:p>
    <w:p>
      <w:pPr>
        <w:pageBreakBefore w:val="0"/>
        <w:topLinePunct w:val="0"/>
        <w:bidi w:val="0"/>
        <w:spacing w:line="360" w:lineRule="auto"/>
        <w:ind w:firstLine="436" w:firstLineChars="200"/>
        <w:jc w:val="left"/>
        <w:rPr>
          <w:rFonts w:ascii="宋体" w:hAnsi="宋体" w:cs="宋体"/>
          <w:sz w:val="24"/>
          <w:szCs w:val="24"/>
        </w:rPr>
      </w:pPr>
      <w:r>
        <w:rPr>
          <w:rFonts w:hint="eastAsia" w:ascii="宋体" w:hAnsi="宋体" w:cs="宋体"/>
          <w:spacing w:val="-11"/>
          <w:sz w:val="24"/>
          <w:szCs w:val="24"/>
        </w:rPr>
        <w:t>20.2.1.3投标文件有下列情况之一的，在资格性审查时按照无效投标处理：</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（1）未按招标文件规定的数额和办法交纳投标保证金的（若有）；</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（2）不具备招标文件中规定资格条件的；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（3）供应商被“信用中国”网站（</w:t>
      </w:r>
      <w:r>
        <w:fldChar w:fldCharType="begin"/>
      </w:r>
      <w:r>
        <w:instrText xml:space="preserve"> HYPERLINK "http://www.creditchina.gov.cn/" \h </w:instrText>
      </w:r>
      <w:r>
        <w:fldChar w:fldCharType="separate"/>
      </w:r>
      <w:r>
        <w:rPr>
          <w:rFonts w:hint="eastAsia" w:ascii="宋体" w:hAnsi="宋体" w:cs="宋体"/>
          <w:sz w:val="24"/>
          <w:szCs w:val="24"/>
        </w:rPr>
        <w:t>www.creditchina.gov.cn</w:t>
      </w:r>
      <w:r>
        <w:rPr>
          <w:rFonts w:hint="eastAsia" w:ascii="宋体" w:hAnsi="宋体" w:cs="宋体"/>
          <w:sz w:val="24"/>
          <w:szCs w:val="24"/>
        </w:rPr>
        <w:fldChar w:fldCharType="end"/>
      </w:r>
      <w:r>
        <w:rPr>
          <w:rFonts w:hint="eastAsia" w:ascii="宋体" w:hAnsi="宋体" w:cs="宋体"/>
          <w:sz w:val="24"/>
          <w:szCs w:val="24"/>
        </w:rPr>
        <w:t>）、</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中国政府采购网"(www.ccgp.gov.cn)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w:t>
      </w:r>
    </w:p>
    <w:p>
      <w:pPr>
        <w:pageBreakBefore w:val="0"/>
        <w:topLinePunct w:val="0"/>
        <w:bidi w:val="0"/>
        <w:spacing w:line="360" w:lineRule="auto"/>
        <w:ind w:firstLine="478" w:firstLineChars="200"/>
        <w:rPr>
          <w:rFonts w:ascii="宋体" w:hAnsi="宋体" w:cs="宋体"/>
          <w:b/>
          <w:sz w:val="24"/>
          <w:szCs w:val="24"/>
        </w:rPr>
      </w:pPr>
      <w:r>
        <w:rPr>
          <w:rFonts w:hint="eastAsia" w:ascii="宋体" w:hAnsi="宋体" w:cs="宋体"/>
          <w:b/>
          <w:spacing w:val="-1"/>
          <w:sz w:val="24"/>
          <w:szCs w:val="24"/>
        </w:rPr>
        <w:t>20.2.2投标文件的符合性审查。</w:t>
      </w:r>
    </w:p>
    <w:p>
      <w:pPr>
        <w:pageBreakBefore w:val="0"/>
        <w:topLinePunct w:val="0"/>
        <w:bidi w:val="0"/>
        <w:spacing w:line="360" w:lineRule="auto"/>
        <w:ind w:firstLine="478" w:firstLineChars="200"/>
        <w:jc w:val="left"/>
        <w:rPr>
          <w:rFonts w:ascii="宋体" w:hAnsi="宋体" w:cs="宋体"/>
          <w:sz w:val="24"/>
          <w:szCs w:val="24"/>
        </w:rPr>
      </w:pPr>
      <w:r>
        <w:rPr>
          <w:rFonts w:hint="eastAsia" w:ascii="宋体" w:hAnsi="宋体" w:cs="宋体"/>
          <w:b/>
          <w:spacing w:val="-1"/>
          <w:sz w:val="24"/>
          <w:szCs w:val="24"/>
        </w:rPr>
        <w:t>20.2.2.1</w:t>
      </w:r>
      <w:r>
        <w:rPr>
          <w:rFonts w:hint="eastAsia" w:ascii="宋体" w:hAnsi="宋体" w:cs="宋体"/>
          <w:spacing w:val="-1"/>
          <w:sz w:val="24"/>
          <w:szCs w:val="24"/>
        </w:rPr>
        <w:t>评标委员会将依据法律法规和招标文件的规定，对投</w:t>
      </w:r>
      <w:r>
        <w:rPr>
          <w:rFonts w:hint="eastAsia" w:ascii="宋体" w:hAnsi="宋体" w:cs="宋体"/>
          <w:sz w:val="24"/>
          <w:szCs w:val="24"/>
        </w:rPr>
        <w:t>标文件的有效性、完整性和对招标文件的响应程度进行审查，以确</w:t>
      </w:r>
      <w:r>
        <w:rPr>
          <w:rFonts w:hint="eastAsia" w:ascii="宋体" w:hAnsi="宋体" w:cs="宋体"/>
          <w:spacing w:val="-1"/>
          <w:sz w:val="24"/>
          <w:szCs w:val="24"/>
        </w:rPr>
        <w:t>定是否对招标文件的实质性要求作出响应。</w:t>
      </w:r>
    </w:p>
    <w:p>
      <w:pPr>
        <w:pageBreakBefore w:val="0"/>
        <w:topLinePunct w:val="0"/>
        <w:bidi w:val="0"/>
        <w:spacing w:line="360" w:lineRule="auto"/>
        <w:ind w:firstLine="470" w:firstLineChars="200"/>
        <w:jc w:val="left"/>
        <w:rPr>
          <w:rFonts w:ascii="宋体" w:hAnsi="宋体" w:cs="宋体"/>
          <w:sz w:val="24"/>
          <w:szCs w:val="24"/>
        </w:rPr>
      </w:pPr>
      <w:r>
        <w:rPr>
          <w:rFonts w:hint="eastAsia" w:ascii="宋体" w:hAnsi="宋体" w:cs="宋体"/>
          <w:b/>
          <w:spacing w:val="-3"/>
          <w:sz w:val="24"/>
          <w:szCs w:val="24"/>
        </w:rPr>
        <w:t>20.2.2.2</w:t>
      </w:r>
      <w:r>
        <w:rPr>
          <w:rFonts w:hint="eastAsia" w:ascii="宋体" w:hAnsi="宋体" w:cs="宋体"/>
          <w:spacing w:val="-3"/>
          <w:sz w:val="24"/>
          <w:szCs w:val="24"/>
        </w:rPr>
        <w:t>实质性要求是指本招标文件中用带星号</w:t>
      </w:r>
      <w:r>
        <w:rPr>
          <w:rFonts w:hint="eastAsia" w:ascii="宋体" w:hAnsi="宋体" w:cs="宋体"/>
          <w:spacing w:val="-6"/>
          <w:sz w:val="24"/>
          <w:szCs w:val="24"/>
        </w:rPr>
        <w:t>（“★”）</w:t>
      </w:r>
      <w:r>
        <w:rPr>
          <w:rFonts w:hint="eastAsia" w:ascii="宋体" w:hAnsi="宋体" w:cs="宋体"/>
          <w:sz w:val="24"/>
          <w:szCs w:val="24"/>
        </w:rPr>
        <w:t>的</w:t>
      </w:r>
      <w:r>
        <w:rPr>
          <w:rFonts w:hint="eastAsia" w:ascii="宋体" w:hAnsi="宋体" w:cs="宋体"/>
          <w:spacing w:val="-1"/>
          <w:sz w:val="24"/>
          <w:szCs w:val="24"/>
        </w:rPr>
        <w:t>商务和服务要求或文件中作出特别说明的其他要求。</w:t>
      </w:r>
    </w:p>
    <w:p>
      <w:pPr>
        <w:pageBreakBefore w:val="0"/>
        <w:topLinePunct w:val="0"/>
        <w:bidi w:val="0"/>
        <w:spacing w:line="360" w:lineRule="auto"/>
        <w:ind w:firstLine="470" w:firstLineChars="200"/>
        <w:jc w:val="left"/>
        <w:rPr>
          <w:rFonts w:ascii="宋体" w:hAnsi="宋体" w:cs="宋体"/>
          <w:sz w:val="24"/>
          <w:szCs w:val="24"/>
        </w:rPr>
      </w:pPr>
      <w:r>
        <w:rPr>
          <w:rFonts w:hint="eastAsia" w:ascii="宋体" w:hAnsi="宋体" w:cs="宋体"/>
          <w:b/>
          <w:spacing w:val="-3"/>
          <w:sz w:val="24"/>
          <w:szCs w:val="24"/>
        </w:rPr>
        <w:t>20.2.2.3</w:t>
      </w:r>
      <w:r>
        <w:rPr>
          <w:rFonts w:hint="eastAsia" w:ascii="宋体" w:hAnsi="宋体" w:cs="宋体"/>
          <w:spacing w:val="-5"/>
          <w:sz w:val="24"/>
          <w:szCs w:val="24"/>
        </w:rPr>
        <w:t>如果投标文件实质上没有响应招标文件的要求，评标</w:t>
      </w:r>
      <w:r>
        <w:rPr>
          <w:rFonts w:hint="eastAsia" w:ascii="宋体" w:hAnsi="宋体" w:cs="宋体"/>
          <w:sz w:val="24"/>
          <w:szCs w:val="24"/>
        </w:rPr>
        <w:t>委员会将予以拒绝，投标人不得通过修改或撤销不合要求的偏离或</w:t>
      </w:r>
      <w:r>
        <w:rPr>
          <w:rFonts w:hint="eastAsia" w:ascii="宋体" w:hAnsi="宋体" w:cs="宋体"/>
          <w:spacing w:val="-1"/>
          <w:sz w:val="24"/>
          <w:szCs w:val="24"/>
        </w:rPr>
        <w:t>保留而使其投标成为实质性响应的投标。</w:t>
      </w:r>
    </w:p>
    <w:p>
      <w:pPr>
        <w:pageBreakBefore w:val="0"/>
        <w:topLinePunct w:val="0"/>
        <w:bidi w:val="0"/>
        <w:spacing w:line="360" w:lineRule="auto"/>
        <w:ind w:firstLine="470" w:firstLineChars="200"/>
        <w:jc w:val="left"/>
        <w:rPr>
          <w:rFonts w:ascii="宋体" w:hAnsi="宋体" w:cs="宋体"/>
          <w:sz w:val="24"/>
          <w:szCs w:val="24"/>
        </w:rPr>
      </w:pPr>
      <w:r>
        <w:rPr>
          <w:rFonts w:hint="eastAsia" w:ascii="宋体" w:hAnsi="宋体" w:cs="宋体"/>
          <w:b/>
          <w:spacing w:val="-3"/>
          <w:sz w:val="24"/>
          <w:szCs w:val="24"/>
        </w:rPr>
        <w:t>20.2.2.4</w:t>
      </w:r>
      <w:r>
        <w:rPr>
          <w:rFonts w:hint="eastAsia" w:ascii="宋体" w:hAnsi="宋体" w:cs="宋体"/>
          <w:spacing w:val="-4"/>
          <w:sz w:val="24"/>
          <w:szCs w:val="24"/>
        </w:rPr>
        <w:t>投标文件有下列情况之一的，在符合性审查时按照</w:t>
      </w:r>
      <w:r>
        <w:rPr>
          <w:rFonts w:hint="eastAsia" w:ascii="宋体" w:hAnsi="宋体" w:cs="宋体"/>
          <w:b/>
          <w:sz w:val="24"/>
          <w:szCs w:val="24"/>
        </w:rPr>
        <w:t>无效投标处理</w:t>
      </w:r>
      <w:r>
        <w:rPr>
          <w:rFonts w:hint="eastAsia" w:ascii="宋体" w:hAnsi="宋体" w:cs="宋体"/>
          <w:sz w:val="24"/>
          <w:szCs w:val="24"/>
        </w:rPr>
        <w:t>：</w:t>
      </w:r>
    </w:p>
    <w:p>
      <w:pPr>
        <w:pageBreakBefore w:val="0"/>
        <w:topLinePunct w:val="0"/>
        <w:bidi w:val="0"/>
        <w:spacing w:line="360" w:lineRule="auto"/>
        <w:ind w:firstLine="432" w:firstLineChars="200"/>
        <w:jc w:val="left"/>
        <w:rPr>
          <w:rFonts w:ascii="宋体" w:hAnsi="宋体" w:cs="宋体"/>
          <w:sz w:val="24"/>
          <w:szCs w:val="24"/>
        </w:rPr>
      </w:pPr>
      <w:r>
        <w:rPr>
          <w:rFonts w:hint="eastAsia" w:ascii="宋体" w:hAnsi="宋体" w:cs="宋体"/>
          <w:spacing w:val="-12"/>
          <w:sz w:val="24"/>
          <w:szCs w:val="24"/>
        </w:rPr>
        <w:t>（1）</w:t>
      </w:r>
      <w:r>
        <w:rPr>
          <w:rFonts w:hint="eastAsia" w:ascii="宋体" w:hAnsi="宋体" w:cs="宋体"/>
          <w:spacing w:val="-7"/>
          <w:sz w:val="24"/>
          <w:szCs w:val="24"/>
        </w:rPr>
        <w:t>未按照招标文件规定要求密封、签署、盖章的，提交投标文件份数及电子件的；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（2）不具备招标文件中规定的资格要求的；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（3）投标总价超出采购预算金额或者最高限价的；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（4）不同投标人的投标文件由同一单位或者个人编制；</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（5）不同投标人委托同一单位或者个人办理投标事宜；</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（6）不同投标人的投标文件载明的项目管理成员或者联系人员为同一人；</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（7）不同投标人的投标文件异常一致或者投标报价呈规律性差异；</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（8）不同投标人的投标文件相互混装；</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（9）不同投标人的投标保证金从同一单位或者个人的账户转出；</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（10）不同供应商的法定代表人或委托代理人有夫妻、直系血亲关系的；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（11）不同供应商的负责人为同一人或者存在控股、管理关系的；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（12）没有详细做出各项服务响应，而是直接拷贝招标文件服务内容及要求的；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（13）不同供应</w:t>
      </w:r>
      <w:r>
        <w:rPr>
          <w:rFonts w:hint="eastAsia" w:ascii="宋体" w:hAnsi="宋体" w:cs="宋体"/>
          <w:spacing w:val="-6"/>
          <w:sz w:val="24"/>
          <w:szCs w:val="24"/>
        </w:rPr>
        <w:t>商的委托代理人(或法定代表人、项目经理、项目</w:t>
      </w:r>
      <w:r>
        <w:rPr>
          <w:rFonts w:hint="eastAsia" w:ascii="宋体" w:hAnsi="宋体" w:cs="宋体"/>
          <w:spacing w:val="-7"/>
          <w:sz w:val="24"/>
          <w:szCs w:val="24"/>
        </w:rPr>
        <w:t>总监、项目负责人等)在采购文件发布日上月至投标截止日当月在同一单位缴纳社会保险的；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（14）服务承诺和付款条件未响应招标要求的；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（15）投标文件含有采购人不能接受的附加条件的；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（16）与招标文件提供的工程量清单中的项目编码、项目名称、项目特征、计量单位、工程量不一致的；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（17）与招标文件规定的暂估价、暂列金额及甲供材料价格不一致的；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（18）与招标文件明确列出的不可竞争费用项目或费率或计算基础不一致的；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（19）与招标文件提供的工程量清单中的项目编码、项目名称、项目特征、计量单位、工程量不一致的；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20）评标委员会认为投标人的报价低于完成本服务项目发生的所有含税费用、支付给员工的工资（不得低于供应商所在地最低工资标准）和国家强制缴纳的各种社会保障资金、公积金，以及供应商认为需要的其他费用等。或投标人的报价明显低于其他通过符合性审查投标人的报价，有可能影响服务质量或者不能诚信履约的，未在评标现场合理的时间内提供书面说明或相关证明材料，不能证明其报价合理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（21）不同投标人的投标文件以及投标文件制作过程出现异常雷同的情况；</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（22）不符合法律、法规和招标文件规定的其他无效情形。</w:t>
      </w:r>
    </w:p>
    <w:p>
      <w:pPr>
        <w:pageBreakBefore w:val="0"/>
        <w:topLinePunct w:val="0"/>
        <w:bidi w:val="0"/>
        <w:spacing w:line="360" w:lineRule="auto"/>
        <w:ind w:firstLine="470" w:firstLineChars="200"/>
        <w:jc w:val="left"/>
        <w:rPr>
          <w:rFonts w:ascii="宋体" w:hAnsi="宋体" w:cs="宋体"/>
          <w:sz w:val="24"/>
          <w:szCs w:val="24"/>
        </w:rPr>
      </w:pPr>
      <w:r>
        <w:rPr>
          <w:rFonts w:hint="eastAsia" w:ascii="宋体" w:hAnsi="宋体" w:cs="宋体"/>
          <w:b/>
          <w:spacing w:val="-3"/>
          <w:sz w:val="24"/>
          <w:szCs w:val="24"/>
        </w:rPr>
        <w:t>20.2.2.4</w:t>
      </w:r>
      <w:r>
        <w:rPr>
          <w:rFonts w:hint="eastAsia" w:ascii="宋体" w:hAnsi="宋体" w:cs="宋体"/>
          <w:spacing w:val="-12"/>
          <w:sz w:val="24"/>
          <w:szCs w:val="24"/>
        </w:rPr>
        <w:t>在评标期间，出现符合专业条件的供应商或者对招标文</w:t>
      </w:r>
      <w:r>
        <w:rPr>
          <w:rFonts w:hint="eastAsia" w:ascii="宋体" w:hAnsi="宋体" w:cs="宋体"/>
          <w:spacing w:val="-15"/>
          <w:sz w:val="24"/>
          <w:szCs w:val="24"/>
        </w:rPr>
        <w:t>件作出实质性响应的供应商不足三家情形的，比照</w:t>
      </w:r>
      <w:r>
        <w:rPr>
          <w:rFonts w:hint="eastAsia" w:ascii="宋体" w:hAnsi="宋体" w:cs="宋体"/>
          <w:sz w:val="24"/>
          <w:szCs w:val="24"/>
        </w:rPr>
        <w:t>19.8</w:t>
      </w:r>
      <w:r>
        <w:rPr>
          <w:rFonts w:hint="eastAsia" w:ascii="宋体" w:hAnsi="宋体" w:cs="宋体"/>
          <w:spacing w:val="-16"/>
          <w:sz w:val="24"/>
          <w:szCs w:val="24"/>
        </w:rPr>
        <w:t>款执行。</w:t>
      </w:r>
    </w:p>
    <w:p>
      <w:pPr>
        <w:pageBreakBefore w:val="0"/>
        <w:topLinePunct w:val="0"/>
        <w:bidi w:val="0"/>
        <w:spacing w:line="360" w:lineRule="auto"/>
        <w:ind w:firstLine="470" w:firstLineChars="200"/>
        <w:jc w:val="left"/>
        <w:rPr>
          <w:rFonts w:ascii="宋体" w:hAnsi="宋体" w:cs="宋体"/>
          <w:sz w:val="24"/>
          <w:szCs w:val="24"/>
        </w:rPr>
      </w:pPr>
      <w:r>
        <w:rPr>
          <w:rFonts w:hint="eastAsia" w:ascii="宋体" w:hAnsi="宋体" w:cs="宋体"/>
          <w:b/>
          <w:spacing w:val="-3"/>
          <w:sz w:val="24"/>
          <w:szCs w:val="24"/>
        </w:rPr>
        <w:t>20.2.2.5</w:t>
      </w:r>
      <w:r>
        <w:rPr>
          <w:rFonts w:hint="eastAsia" w:ascii="宋体" w:hAnsi="宋体" w:cs="宋体"/>
          <w:sz w:val="24"/>
          <w:szCs w:val="24"/>
        </w:rPr>
        <w:t>有下列情形之一的予以</w:t>
      </w:r>
      <w:r>
        <w:rPr>
          <w:rFonts w:hint="eastAsia" w:ascii="宋体" w:hAnsi="宋体" w:cs="宋体"/>
          <w:b/>
          <w:spacing w:val="5"/>
          <w:sz w:val="24"/>
          <w:szCs w:val="24"/>
        </w:rPr>
        <w:t>废标</w:t>
      </w:r>
      <w:r>
        <w:rPr>
          <w:rFonts w:hint="eastAsia" w:ascii="宋体" w:hAnsi="宋体" w:cs="宋体"/>
          <w:spacing w:val="2"/>
          <w:sz w:val="24"/>
          <w:szCs w:val="24"/>
        </w:rPr>
        <w:t>，同时将废标理由通知所有供应商：</w:t>
      </w:r>
    </w:p>
    <w:p>
      <w:pPr>
        <w:pStyle w:val="17"/>
        <w:pageBreakBefore w:val="0"/>
        <w:topLinePunct w:val="0"/>
        <w:bidi w:val="0"/>
        <w:spacing w:line="360" w:lineRule="auto"/>
        <w:ind w:firstLine="480" w:firstLineChars="200"/>
        <w:jc w:val="left"/>
      </w:pPr>
      <w:r>
        <w:rPr>
          <w:rFonts w:hint="eastAsia"/>
        </w:rPr>
        <w:t>（1）符合专业条件的供应商或者对招标文件作实质性响应的供应商不足三家的；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（2）出现影响采购公正的违法、违规行为的；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（3）供应商的报价均超过了采购预算或最高限价的，采购人不能支付的；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（4）因重大变故，采购任务取消的；</w:t>
      </w:r>
    </w:p>
    <w:p>
      <w:pPr>
        <w:pageBreakBefore w:val="0"/>
        <w:topLinePunct w:val="0"/>
        <w:bidi w:val="0"/>
        <w:spacing w:line="360" w:lineRule="auto"/>
        <w:ind w:firstLine="416" w:firstLineChars="200"/>
        <w:jc w:val="left"/>
        <w:rPr>
          <w:rFonts w:ascii="宋体" w:hAnsi="宋体" w:cs="宋体"/>
          <w:sz w:val="24"/>
          <w:szCs w:val="24"/>
        </w:rPr>
      </w:pPr>
      <w:r>
        <w:rPr>
          <w:rFonts w:hint="eastAsia" w:ascii="宋体" w:hAnsi="宋体" w:cs="宋体"/>
          <w:spacing w:val="-16"/>
          <w:sz w:val="24"/>
          <w:szCs w:val="24"/>
        </w:rPr>
        <w:t>（5）</w:t>
      </w:r>
      <w:r>
        <w:rPr>
          <w:rFonts w:hint="eastAsia" w:ascii="宋体" w:hAnsi="宋体" w:cs="宋体"/>
          <w:spacing w:val="-8"/>
          <w:sz w:val="24"/>
          <w:szCs w:val="24"/>
        </w:rPr>
        <w:t>投标文件存在歧义、重大缺陷，或者招标文件内容违反国家有关强制性规定的。</w:t>
      </w:r>
    </w:p>
    <w:p>
      <w:pPr>
        <w:pageBreakBefore w:val="0"/>
        <w:topLinePunct w:val="0"/>
        <w:bidi w:val="0"/>
        <w:spacing w:line="360" w:lineRule="auto"/>
        <w:ind w:firstLine="478" w:firstLineChars="200"/>
        <w:rPr>
          <w:rFonts w:ascii="宋体" w:hAnsi="宋体" w:cs="宋体"/>
          <w:b/>
          <w:sz w:val="24"/>
          <w:szCs w:val="24"/>
        </w:rPr>
      </w:pPr>
      <w:r>
        <w:rPr>
          <w:rFonts w:hint="eastAsia" w:ascii="宋体" w:hAnsi="宋体" w:cs="宋体"/>
          <w:b/>
          <w:spacing w:val="-1"/>
          <w:sz w:val="24"/>
          <w:szCs w:val="24"/>
        </w:rPr>
        <w:t>20.2.3投标文件的进一步评审。</w:t>
      </w:r>
    </w:p>
    <w:p>
      <w:pPr>
        <w:pageBreakBefore w:val="0"/>
        <w:topLinePunct w:val="0"/>
        <w:bidi w:val="0"/>
        <w:spacing w:line="360" w:lineRule="auto"/>
        <w:ind w:firstLine="478" w:firstLineChars="200"/>
        <w:jc w:val="left"/>
        <w:rPr>
          <w:rFonts w:ascii="宋体" w:hAnsi="宋体" w:cs="宋体"/>
          <w:sz w:val="24"/>
          <w:szCs w:val="24"/>
        </w:rPr>
      </w:pPr>
      <w:r>
        <w:rPr>
          <w:rFonts w:hint="eastAsia" w:ascii="宋体" w:hAnsi="宋体" w:cs="宋体"/>
          <w:b/>
          <w:spacing w:val="-1"/>
          <w:sz w:val="24"/>
          <w:szCs w:val="24"/>
        </w:rPr>
        <w:t>20.2.3.1</w:t>
      </w:r>
      <w:r>
        <w:rPr>
          <w:rFonts w:hint="eastAsia" w:ascii="宋体" w:hAnsi="宋体" w:cs="宋体"/>
          <w:sz w:val="24"/>
          <w:szCs w:val="24"/>
        </w:rPr>
        <w:t>评标委员会将对确定为实质性响应的投标文件进行进一步评审，看其是否有计算上或累加上的算术错误，修正错误的原</w:t>
      </w:r>
      <w:r>
        <w:rPr>
          <w:rFonts w:hint="eastAsia" w:ascii="宋体" w:hAnsi="宋体" w:cs="宋体"/>
          <w:spacing w:val="-1"/>
          <w:sz w:val="24"/>
          <w:szCs w:val="24"/>
        </w:rPr>
        <w:t>则如下：</w:t>
      </w:r>
    </w:p>
    <w:p>
      <w:pPr>
        <w:pStyle w:val="17"/>
        <w:pageBreakBefore w:val="0"/>
        <w:topLinePunct w:val="0"/>
        <w:bidi w:val="0"/>
        <w:spacing w:line="360" w:lineRule="auto"/>
        <w:ind w:firstLine="480" w:firstLineChars="200"/>
        <w:jc w:val="left"/>
      </w:pPr>
      <w:r>
        <w:rPr>
          <w:rFonts w:hint="eastAsia"/>
        </w:rPr>
        <w:t>如果用数字表示的金额和用文字表示的金额不一致时，应以文字表示的金额为准进行修正；</w:t>
      </w:r>
    </w:p>
    <w:p>
      <w:pPr>
        <w:pStyle w:val="17"/>
        <w:pageBreakBefore w:val="0"/>
        <w:topLinePunct w:val="0"/>
        <w:bidi w:val="0"/>
        <w:spacing w:line="360" w:lineRule="auto"/>
        <w:ind w:firstLine="480" w:firstLineChars="200"/>
        <w:jc w:val="left"/>
        <w:rPr>
          <w:spacing w:val="-1"/>
        </w:rPr>
      </w:pPr>
      <w:r>
        <w:rPr>
          <w:rFonts w:hint="eastAsia"/>
        </w:rPr>
        <w:t>当单价与数量的乘积和总价不一致时，以单价为准进行修正。只有在评委会认为单价有明显的小数点错误时，才能以标出的</w:t>
      </w:r>
      <w:r>
        <w:rPr>
          <w:rFonts w:hint="eastAsia"/>
          <w:spacing w:val="-1"/>
        </w:rPr>
        <w:t>总价为准，并修改单价。</w:t>
      </w:r>
    </w:p>
    <w:p>
      <w:pPr>
        <w:pStyle w:val="17"/>
        <w:pageBreakBefore w:val="0"/>
        <w:topLinePunct w:val="0"/>
        <w:bidi w:val="0"/>
        <w:spacing w:line="360" w:lineRule="auto"/>
        <w:ind w:firstLine="478" w:firstLineChars="200"/>
        <w:jc w:val="left"/>
      </w:pPr>
      <w:r>
        <w:rPr>
          <w:rFonts w:hint="eastAsia"/>
          <w:b/>
          <w:spacing w:val="-1"/>
        </w:rPr>
        <w:t>20.2.3.2</w:t>
      </w:r>
      <w:r>
        <w:rPr>
          <w:rFonts w:hint="eastAsia"/>
          <w:spacing w:val="8"/>
        </w:rPr>
        <w:t>评标委员会将按上述修正错误的方法调整投标文件</w:t>
      </w:r>
      <w:r>
        <w:rPr>
          <w:rFonts w:hint="eastAsia"/>
        </w:rPr>
        <w:t>中的投标价，调整后的价格应对投标人具有约束力。如果投标人不</w:t>
      </w:r>
      <w:r>
        <w:rPr>
          <w:rFonts w:hint="eastAsia"/>
          <w:spacing w:val="-1"/>
        </w:rPr>
        <w:t>接受修正后的价格，则其投标将被拒绝，其投标保证金不予退还。</w:t>
      </w:r>
    </w:p>
    <w:p>
      <w:pPr>
        <w:pageBreakBefore w:val="0"/>
        <w:topLinePunct w:val="0"/>
        <w:bidi w:val="0"/>
        <w:spacing w:line="360" w:lineRule="auto"/>
        <w:ind w:firstLine="478" w:firstLineChars="200"/>
        <w:jc w:val="left"/>
        <w:rPr>
          <w:rFonts w:ascii="宋体" w:hAnsi="宋体" w:cs="宋体"/>
          <w:sz w:val="24"/>
          <w:szCs w:val="24"/>
        </w:rPr>
      </w:pPr>
      <w:r>
        <w:rPr>
          <w:rFonts w:hint="eastAsia" w:ascii="宋体" w:hAnsi="宋体" w:cs="宋体"/>
          <w:b/>
          <w:spacing w:val="-1"/>
          <w:sz w:val="24"/>
          <w:szCs w:val="24"/>
        </w:rPr>
        <w:t>20.2.3.3</w:t>
      </w:r>
      <w:r>
        <w:rPr>
          <w:rFonts w:hint="eastAsia" w:ascii="宋体" w:hAnsi="宋体" w:cs="宋体"/>
          <w:spacing w:val="-4"/>
          <w:sz w:val="24"/>
          <w:szCs w:val="24"/>
        </w:rPr>
        <w:t>评委会将允许修正投标文件中不构成重大偏离的、微</w:t>
      </w:r>
      <w:r>
        <w:rPr>
          <w:rFonts w:hint="eastAsia" w:ascii="宋体" w:hAnsi="宋体" w:cs="宋体"/>
          <w:sz w:val="24"/>
          <w:szCs w:val="24"/>
        </w:rPr>
        <w:t>小的、非正规的、不一致的或不规则的地方，但这些修改不能影响任何投标人相应的名次排列。</w:t>
      </w:r>
    </w:p>
    <w:p>
      <w:pPr>
        <w:pageBreakBefore w:val="0"/>
        <w:topLinePunct w:val="0"/>
        <w:bidi w:val="0"/>
        <w:spacing w:line="360" w:lineRule="auto"/>
        <w:ind w:firstLine="478" w:firstLineChars="200"/>
        <w:jc w:val="left"/>
        <w:rPr>
          <w:rFonts w:ascii="宋体" w:hAnsi="宋体" w:cs="宋体"/>
          <w:sz w:val="24"/>
          <w:szCs w:val="24"/>
        </w:rPr>
      </w:pPr>
      <w:r>
        <w:rPr>
          <w:rFonts w:hint="eastAsia" w:ascii="宋体" w:hAnsi="宋体" w:cs="宋体"/>
          <w:b/>
          <w:spacing w:val="-1"/>
          <w:sz w:val="24"/>
          <w:szCs w:val="24"/>
        </w:rPr>
        <w:t>20.2.3.4</w:t>
      </w:r>
      <w:r>
        <w:rPr>
          <w:rFonts w:hint="eastAsia" w:ascii="宋体" w:hAnsi="宋体" w:cs="宋体"/>
          <w:b/>
          <w:sz w:val="24"/>
          <w:szCs w:val="24"/>
        </w:rPr>
        <w:t>澄清有关问题</w:t>
      </w:r>
      <w:r>
        <w:rPr>
          <w:rFonts w:hint="eastAsia" w:ascii="宋体" w:hAnsi="宋体" w:cs="宋体"/>
          <w:spacing w:val="-14"/>
          <w:sz w:val="24"/>
          <w:szCs w:val="24"/>
        </w:rPr>
        <w:t>。对投标文件中含义不明确、同类问题表</w:t>
      </w:r>
      <w:r>
        <w:rPr>
          <w:rFonts w:hint="eastAsia" w:ascii="宋体" w:hAnsi="宋体" w:cs="宋体"/>
          <w:sz w:val="24"/>
          <w:szCs w:val="24"/>
        </w:rPr>
        <w:t>述不一致或者明显文字错误的内容，评标委员会可以要求供应商作出必要的澄清、说明或者补正。供应商的澄清、说明、补正应当采用书面形式，由其授权代表签字，但不得超出投标文件的范围或者改变投标文件的实质性内容。</w:t>
      </w:r>
    </w:p>
    <w:p>
      <w:pPr>
        <w:pageBreakBefore w:val="0"/>
        <w:topLinePunct w:val="0"/>
        <w:bidi w:val="0"/>
        <w:spacing w:line="360" w:lineRule="auto"/>
        <w:ind w:firstLine="478" w:firstLineChars="200"/>
        <w:jc w:val="left"/>
        <w:rPr>
          <w:rFonts w:ascii="宋体" w:hAnsi="宋体" w:cs="宋体"/>
          <w:sz w:val="24"/>
          <w:szCs w:val="24"/>
        </w:rPr>
      </w:pPr>
      <w:r>
        <w:rPr>
          <w:rFonts w:hint="eastAsia" w:ascii="宋体" w:hAnsi="宋体" w:cs="宋体"/>
          <w:b/>
          <w:spacing w:val="-1"/>
          <w:sz w:val="24"/>
          <w:szCs w:val="24"/>
        </w:rPr>
        <w:t>20.2.3.5</w:t>
      </w:r>
      <w:r>
        <w:rPr>
          <w:rFonts w:hint="eastAsia" w:ascii="宋体" w:hAnsi="宋体" w:cs="宋体"/>
          <w:b/>
          <w:sz w:val="24"/>
          <w:szCs w:val="24"/>
        </w:rPr>
        <w:t>比较与评价。</w:t>
      </w:r>
      <w:r>
        <w:rPr>
          <w:rFonts w:hint="eastAsia" w:ascii="宋体" w:hAnsi="宋体" w:cs="宋体"/>
          <w:spacing w:val="-1"/>
          <w:sz w:val="24"/>
          <w:szCs w:val="24"/>
        </w:rPr>
        <w:t>按照招标文件中规定的评标方法和标准，</w:t>
      </w:r>
      <w:r>
        <w:rPr>
          <w:rFonts w:hint="eastAsia" w:ascii="宋体" w:hAnsi="宋体" w:cs="宋体"/>
          <w:sz w:val="24"/>
          <w:szCs w:val="24"/>
        </w:rPr>
        <w:t>对资格性检查和符合性检查合格的投标文件进行商务和技术评估，</w:t>
      </w:r>
      <w:r>
        <w:rPr>
          <w:rFonts w:hint="eastAsia" w:ascii="宋体" w:hAnsi="宋体" w:cs="宋体"/>
          <w:spacing w:val="-1"/>
          <w:sz w:val="24"/>
          <w:szCs w:val="24"/>
        </w:rPr>
        <w:t>综合比较与评价。</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20.3评标方法和标准</w:t>
      </w:r>
    </w:p>
    <w:p>
      <w:pPr>
        <w:pageBreakBefore w:val="0"/>
        <w:topLinePunct w:val="0"/>
        <w:bidi w:val="0"/>
        <w:spacing w:line="360" w:lineRule="auto"/>
        <w:ind w:firstLine="482" w:firstLineChars="200"/>
        <w:jc w:val="left"/>
        <w:rPr>
          <w:rFonts w:ascii="宋体" w:hAnsi="宋体" w:cs="宋体"/>
          <w:sz w:val="24"/>
          <w:szCs w:val="24"/>
        </w:rPr>
      </w:pPr>
      <w:r>
        <w:rPr>
          <w:rFonts w:hint="eastAsia" w:ascii="宋体" w:hAnsi="宋体" w:cs="宋体"/>
          <w:b/>
          <w:sz w:val="24"/>
          <w:szCs w:val="24"/>
        </w:rPr>
        <w:t>20.3.1</w:t>
      </w:r>
      <w:r>
        <w:rPr>
          <w:rFonts w:hint="eastAsia" w:ascii="宋体" w:hAnsi="宋体" w:cs="宋体"/>
          <w:b/>
          <w:spacing w:val="-16"/>
          <w:sz w:val="24"/>
          <w:szCs w:val="24"/>
        </w:rPr>
        <w:t>采用综合评分法。</w:t>
      </w:r>
      <w:r>
        <w:rPr>
          <w:rFonts w:hint="eastAsia" w:ascii="宋体" w:hAnsi="宋体" w:cs="宋体"/>
          <w:spacing w:val="-1"/>
          <w:sz w:val="24"/>
          <w:szCs w:val="24"/>
        </w:rPr>
        <w:t>即在投标文件满足招标文件全部实质性</w:t>
      </w:r>
      <w:r>
        <w:rPr>
          <w:rFonts w:hint="eastAsia" w:ascii="宋体" w:hAnsi="宋体" w:cs="宋体"/>
          <w:spacing w:val="-2"/>
          <w:sz w:val="24"/>
          <w:szCs w:val="24"/>
        </w:rPr>
        <w:t>要求且评审得分最高的投标人为排名第一的中标候选人。</w:t>
      </w:r>
    </w:p>
    <w:p>
      <w:pPr>
        <w:pageBreakBefore w:val="0"/>
        <w:topLinePunct w:val="0"/>
        <w:bidi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21、确定中标供应商</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21.1中标供应商确定之日起2个工作日内，将在财政部门指定的政府采购信息发布媒体上公告，中标供应商及时到代理机构领取《中标通知书》。</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21.2中标通知书对采购人和中标供应商具有同等法律效力。</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21.3中标通知书发出后，中标供应商无正当理由不与采购人签订合同的，投标保证金不予退还；情节严重的，由财政部门将其列入不良行为记录名单，并予以通报。</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21.4招标代理和评标委员会对未中标的供应商不作未中标原因的解释。</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21.5所有投标文件都将作为档案保存，不论中标与否，招标代理均不退回。</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21.6招标人将根据评委会的推荐排名确定第一名中标侯选人为中标单位。如第一名中标侯选人放弃中标或因不可抗力提出不能履行合同时，则招标人可以确定排名第二的中标侯选人作为中标单位或重新招标；如第二名中标侯选人放弃中标或因不可抗力提出不能履行合同时，则招标人可以确定排名第三的中标侯选人作为中标单位或重新招标。</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确定中标单位后，招标人向中标单位发出中标通知书。中标通知书将成为合同的组成部分。</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中标单位收到中标通知书后，应在15日内与招标人签订施工合同。中标人不与招标人订立合同的，应当对招标人的损失承担赔偿责任。</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中标通知书发出后，除不可抗力情况外，中标人出现下列情形之一的，招标人必须取消其中标资格：（1）放弃中标项目的；（2）拒不按照招标文件的要求提交履约保证金的；（3）不与招标人签订合同的，或者在签订合同时向招标人提出附加条件或者更改合同实质性内容要求的。</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在投标有效期结束前，因排名在前的中标候选人或中标人放弃中标的，其投标保证金不予退还。重新招标的，放弃中标的中标人不得参加该项目的投标。</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22、编写评标报告</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22.1评标委员会根据全体评标成员签字的原始评标记录和评标结果编写评标报告。</w:t>
      </w:r>
    </w:p>
    <w:p>
      <w:pPr>
        <w:pStyle w:val="43"/>
        <w:pageBreakBefore w:val="0"/>
        <w:topLinePunct w:val="0"/>
        <w:bidi w:val="0"/>
        <w:spacing w:line="360" w:lineRule="auto"/>
        <w:ind w:left="420" w:leftChars="200" w:firstLine="0" w:firstLineChars="0"/>
        <w:jc w:val="left"/>
        <w:rPr>
          <w:rFonts w:ascii="宋体" w:hAnsi="宋体" w:cs="宋体"/>
          <w:b/>
          <w:sz w:val="24"/>
          <w:szCs w:val="24"/>
        </w:rPr>
      </w:pPr>
      <w:r>
        <w:rPr>
          <w:rFonts w:hint="eastAsia" w:ascii="宋体" w:hAnsi="宋体" w:cs="宋体"/>
          <w:b/>
          <w:sz w:val="24"/>
          <w:szCs w:val="24"/>
        </w:rPr>
        <w:t>23、评标过程的保密性</w:t>
      </w:r>
    </w:p>
    <w:p>
      <w:pPr>
        <w:pageBreakBefore w:val="0"/>
        <w:topLinePunct w:val="0"/>
        <w:bidi w:val="0"/>
        <w:spacing w:line="360" w:lineRule="auto"/>
        <w:ind w:firstLine="432" w:firstLineChars="200"/>
        <w:jc w:val="left"/>
        <w:rPr>
          <w:rFonts w:ascii="宋体" w:hAnsi="宋体" w:cs="宋体"/>
          <w:sz w:val="24"/>
          <w:szCs w:val="24"/>
        </w:rPr>
      </w:pPr>
      <w:r>
        <w:rPr>
          <w:rFonts w:hint="eastAsia" w:ascii="宋体" w:hAnsi="宋体" w:cs="宋体"/>
          <w:spacing w:val="-12"/>
          <w:sz w:val="24"/>
          <w:szCs w:val="24"/>
        </w:rPr>
        <w:t>23.1招标代理将采取必要措施，保证评标在严格保密的情况下进行。</w:t>
      </w:r>
    </w:p>
    <w:p>
      <w:pPr>
        <w:pageBreakBefore w:val="0"/>
        <w:topLinePunct w:val="0"/>
        <w:bidi w:val="0"/>
        <w:spacing w:line="360" w:lineRule="auto"/>
        <w:ind w:firstLine="448" w:firstLineChars="200"/>
        <w:jc w:val="left"/>
        <w:rPr>
          <w:rFonts w:ascii="宋体" w:hAnsi="宋体" w:cs="宋体"/>
          <w:sz w:val="24"/>
          <w:szCs w:val="24"/>
        </w:rPr>
      </w:pPr>
      <w:r>
        <w:rPr>
          <w:rFonts w:hint="eastAsia" w:ascii="宋体" w:hAnsi="宋体" w:cs="宋体"/>
          <w:spacing w:val="-8"/>
          <w:sz w:val="24"/>
          <w:szCs w:val="24"/>
        </w:rPr>
        <w:t>23.2任何单位和个人不得非法干预、影响评标办法的确定，以及</w:t>
      </w:r>
      <w:r>
        <w:rPr>
          <w:rFonts w:hint="eastAsia" w:ascii="宋体" w:hAnsi="宋体" w:cs="宋体"/>
          <w:spacing w:val="-7"/>
          <w:sz w:val="24"/>
          <w:szCs w:val="24"/>
        </w:rPr>
        <w:t>评标过程和结果。</w:t>
      </w:r>
    </w:p>
    <w:p>
      <w:pPr>
        <w:pageBreakBefore w:val="0"/>
        <w:topLinePunct w:val="0"/>
        <w:bidi w:val="0"/>
        <w:spacing w:line="360" w:lineRule="auto"/>
        <w:ind w:firstLine="432" w:firstLineChars="200"/>
        <w:jc w:val="left"/>
        <w:rPr>
          <w:rFonts w:ascii="宋体" w:hAnsi="宋体" w:cs="宋体"/>
          <w:sz w:val="24"/>
          <w:szCs w:val="24"/>
        </w:rPr>
      </w:pPr>
      <w:r>
        <w:rPr>
          <w:rFonts w:hint="eastAsia" w:ascii="宋体" w:hAnsi="宋体" w:cs="宋体"/>
          <w:spacing w:val="-12"/>
          <w:sz w:val="24"/>
          <w:szCs w:val="24"/>
        </w:rPr>
        <w:t>23.3凡是与审查、澄清、评价和比较投标的有关资料等，均不向供应商及与评标无关的其他人员透露。</w:t>
      </w:r>
    </w:p>
    <w:p>
      <w:pPr>
        <w:pStyle w:val="43"/>
        <w:pageBreakBefore w:val="0"/>
        <w:topLinePunct w:val="0"/>
        <w:bidi w:val="0"/>
        <w:spacing w:line="360" w:lineRule="auto"/>
        <w:ind w:left="420" w:leftChars="200" w:firstLine="0" w:firstLineChars="0"/>
        <w:jc w:val="left"/>
        <w:outlineLvl w:val="1"/>
        <w:rPr>
          <w:rFonts w:ascii="宋体" w:hAnsi="宋体" w:cs="宋体"/>
          <w:b/>
          <w:sz w:val="24"/>
          <w:szCs w:val="24"/>
        </w:rPr>
      </w:pPr>
      <w:r>
        <w:rPr>
          <w:rFonts w:hint="eastAsia" w:ascii="宋体" w:hAnsi="宋体" w:cs="宋体"/>
          <w:b/>
          <w:sz w:val="24"/>
          <w:szCs w:val="24"/>
        </w:rPr>
        <w:t>五、签订合同</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24、签订合同</w:t>
      </w:r>
    </w:p>
    <w:p>
      <w:pPr>
        <w:pageBreakBefore w:val="0"/>
        <w:topLinePunct w:val="0"/>
        <w:bidi w:val="0"/>
        <w:spacing w:line="360" w:lineRule="auto"/>
        <w:ind w:firstLine="476" w:firstLineChars="200"/>
        <w:jc w:val="left"/>
        <w:rPr>
          <w:rFonts w:ascii="宋体" w:hAnsi="宋体" w:cs="宋体"/>
          <w:sz w:val="24"/>
          <w:szCs w:val="24"/>
        </w:rPr>
      </w:pPr>
      <w:r>
        <w:rPr>
          <w:rFonts w:hint="eastAsia" w:ascii="宋体" w:hAnsi="宋体" w:cs="宋体"/>
          <w:spacing w:val="-1"/>
          <w:sz w:val="24"/>
          <w:szCs w:val="24"/>
        </w:rPr>
        <w:t>24.1采购人应当自中标通知书发出之日起</w:t>
      </w:r>
      <w:r>
        <w:rPr>
          <w:rFonts w:hint="eastAsia" w:ascii="宋体" w:hAnsi="宋体" w:cs="宋体"/>
          <w:sz w:val="24"/>
          <w:szCs w:val="24"/>
        </w:rPr>
        <w:t>30</w:t>
      </w:r>
      <w:r>
        <w:rPr>
          <w:rFonts w:hint="eastAsia" w:ascii="宋体" w:hAnsi="宋体" w:cs="宋体"/>
          <w:spacing w:val="-16"/>
          <w:sz w:val="24"/>
          <w:szCs w:val="24"/>
        </w:rPr>
        <w:t>日内，按照招标文件</w:t>
      </w:r>
      <w:r>
        <w:rPr>
          <w:rFonts w:hint="eastAsia" w:ascii="宋体" w:hAnsi="宋体" w:cs="宋体"/>
          <w:sz w:val="24"/>
          <w:szCs w:val="24"/>
        </w:rPr>
        <w:t>和中标人投标文件的规定与中标人签订书面合同。所签订的合同不</w:t>
      </w:r>
      <w:r>
        <w:rPr>
          <w:rFonts w:hint="eastAsia" w:ascii="宋体" w:hAnsi="宋体" w:cs="宋体"/>
          <w:spacing w:val="-1"/>
          <w:sz w:val="24"/>
          <w:szCs w:val="24"/>
        </w:rPr>
        <w:t>得对招标文件确定事项和中标人投标文件作实质性修改。</w:t>
      </w:r>
    </w:p>
    <w:p>
      <w:pPr>
        <w:pageBreakBefore w:val="0"/>
        <w:topLinePunct w:val="0"/>
        <w:bidi w:val="0"/>
        <w:spacing w:line="360" w:lineRule="auto"/>
        <w:ind w:firstLine="476" w:firstLineChars="200"/>
        <w:jc w:val="left"/>
        <w:rPr>
          <w:rFonts w:ascii="宋体" w:hAnsi="宋体" w:cs="宋体"/>
          <w:sz w:val="24"/>
          <w:szCs w:val="24"/>
        </w:rPr>
      </w:pPr>
      <w:r>
        <w:rPr>
          <w:rFonts w:hint="eastAsia" w:ascii="宋体" w:hAnsi="宋体" w:cs="宋体"/>
          <w:spacing w:val="-1"/>
          <w:sz w:val="24"/>
          <w:szCs w:val="24"/>
        </w:rPr>
        <w:t>24.2采购人不得向中标人提出任何不合理的要求作为签订合同的条件，不得与中标人私下订立背离合同实质性内容的协议。</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24.3中标人拒绝与采购人签订合同，或因不可抗力或者自身原因不能履行政府采购合同的，采购人可以按照评审报告中的得分高低顺序，确定下一顺序投标人为中标人，也可以重新开展政府采购活动。</w:t>
      </w:r>
    </w:p>
    <w:p>
      <w:pPr>
        <w:pageBreakBefore w:val="0"/>
        <w:topLinePunct w:val="0"/>
        <w:bidi w:val="0"/>
        <w:spacing w:line="360" w:lineRule="auto"/>
        <w:ind w:firstLine="482" w:firstLineChars="200"/>
        <w:jc w:val="left"/>
        <w:outlineLvl w:val="1"/>
        <w:rPr>
          <w:rFonts w:ascii="宋体" w:hAnsi="宋体" w:cs="宋体"/>
          <w:b/>
          <w:sz w:val="24"/>
          <w:szCs w:val="24"/>
        </w:rPr>
      </w:pPr>
      <w:r>
        <w:rPr>
          <w:rFonts w:hint="eastAsia" w:ascii="宋体" w:hAnsi="宋体" w:cs="宋体"/>
          <w:b/>
          <w:sz w:val="24"/>
          <w:szCs w:val="24"/>
        </w:rPr>
        <w:t>六、询问、质疑、投诉和诚实信用</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25、询问</w:t>
      </w:r>
    </w:p>
    <w:p>
      <w:pPr>
        <w:pageBreakBefore w:val="0"/>
        <w:topLinePunct w:val="0"/>
        <w:bidi w:val="0"/>
        <w:spacing w:line="360" w:lineRule="auto"/>
        <w:ind w:firstLine="480" w:firstLineChars="200"/>
        <w:jc w:val="left"/>
        <w:rPr>
          <w:rFonts w:ascii="宋体" w:hAnsi="宋体" w:cs="宋体"/>
          <w:b/>
          <w:sz w:val="24"/>
          <w:szCs w:val="24"/>
        </w:rPr>
      </w:pPr>
      <w:r>
        <w:rPr>
          <w:rFonts w:hint="eastAsia" w:ascii="宋体" w:hAnsi="宋体" w:cs="宋体"/>
          <w:sz w:val="24"/>
          <w:szCs w:val="24"/>
        </w:rPr>
        <w:t>25.1</w:t>
      </w:r>
      <w:r>
        <w:rPr>
          <w:rFonts w:hint="eastAsia" w:ascii="宋体" w:hAnsi="宋体" w:cs="宋体"/>
          <w:spacing w:val="-10"/>
          <w:sz w:val="24"/>
          <w:szCs w:val="24"/>
        </w:rPr>
        <w:t>供应商对招标活动事项有疑问的，可以向招标代理或采购人</w:t>
      </w:r>
      <w:r>
        <w:rPr>
          <w:rFonts w:hint="eastAsia" w:ascii="宋体" w:hAnsi="宋体" w:cs="宋体"/>
          <w:sz w:val="24"/>
          <w:szCs w:val="24"/>
        </w:rPr>
        <w:t>提出询问，招标代理或采购人将在两个工作日内作出答复，但答复的内容不涉及商业秘密</w:t>
      </w:r>
      <w:r>
        <w:rPr>
          <w:rFonts w:hint="eastAsia" w:ascii="宋体" w:hAnsi="宋体" w:cs="宋体"/>
          <w:b/>
          <w:sz w:val="24"/>
          <w:szCs w:val="24"/>
        </w:rPr>
        <w:t>。</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26、质疑</w:t>
      </w:r>
    </w:p>
    <w:p>
      <w:pPr>
        <w:pageBreakBefore w:val="0"/>
        <w:topLinePunct w:val="0"/>
        <w:bidi w:val="0"/>
        <w:spacing w:line="360" w:lineRule="auto"/>
        <w:ind w:firstLine="432" w:firstLineChars="200"/>
        <w:jc w:val="left"/>
        <w:rPr>
          <w:rFonts w:ascii="宋体" w:hAnsi="宋体" w:cs="宋体"/>
          <w:sz w:val="24"/>
          <w:szCs w:val="24"/>
        </w:rPr>
      </w:pPr>
      <w:r>
        <w:rPr>
          <w:rFonts w:hint="eastAsia" w:ascii="宋体" w:hAnsi="宋体" w:cs="宋体"/>
          <w:spacing w:val="-12"/>
          <w:sz w:val="24"/>
          <w:szCs w:val="24"/>
        </w:rPr>
        <w:t>26.1供应商认为采购文件、采购过程和中标结果使自己的合法权</w:t>
      </w:r>
      <w:r>
        <w:rPr>
          <w:rFonts w:hint="eastAsia" w:ascii="宋体" w:hAnsi="宋体" w:cs="宋体"/>
          <w:sz w:val="24"/>
          <w:szCs w:val="24"/>
        </w:rPr>
        <w:t>益受到损害的，可以在知道或者应当知道其权益受到损害之日起七个工作日内，将质疑文件原件以书面形式送达招标代理。</w:t>
      </w:r>
    </w:p>
    <w:p>
      <w:pPr>
        <w:pageBreakBefore w:val="0"/>
        <w:topLinePunct w:val="0"/>
        <w:bidi w:val="0"/>
        <w:spacing w:line="360" w:lineRule="auto"/>
        <w:ind w:firstLine="472" w:firstLineChars="200"/>
        <w:jc w:val="left"/>
        <w:rPr>
          <w:rFonts w:ascii="宋体" w:hAnsi="宋体" w:cs="宋体"/>
          <w:sz w:val="24"/>
          <w:szCs w:val="24"/>
        </w:rPr>
      </w:pPr>
      <w:r>
        <w:rPr>
          <w:rFonts w:hint="eastAsia" w:ascii="宋体" w:hAnsi="宋体" w:cs="宋体"/>
          <w:spacing w:val="-2"/>
          <w:sz w:val="24"/>
          <w:szCs w:val="24"/>
        </w:rPr>
        <w:t>a)质疑供应商是指直接参加本次投标活动的供应商，未参加</w:t>
      </w:r>
      <w:r>
        <w:rPr>
          <w:rFonts w:hint="eastAsia" w:ascii="宋体" w:hAnsi="宋体" w:cs="宋体"/>
          <w:sz w:val="24"/>
          <w:szCs w:val="24"/>
        </w:rPr>
        <w:t>投标活动的供应商或在投标活动中自身权益未受到损害的供应商所</w:t>
      </w:r>
      <w:r>
        <w:rPr>
          <w:rFonts w:hint="eastAsia" w:ascii="宋体" w:hAnsi="宋体" w:cs="宋体"/>
          <w:spacing w:val="-1"/>
          <w:sz w:val="24"/>
          <w:szCs w:val="24"/>
        </w:rPr>
        <w:t>提出的质疑不予受理。</w:t>
      </w:r>
    </w:p>
    <w:p>
      <w:pPr>
        <w:pageBreakBefore w:val="0"/>
        <w:topLinePunct w:val="0"/>
        <w:bidi w:val="0"/>
        <w:spacing w:line="360" w:lineRule="auto"/>
        <w:ind w:firstLine="452" w:firstLineChars="200"/>
        <w:jc w:val="left"/>
        <w:rPr>
          <w:rFonts w:ascii="宋体" w:hAnsi="宋体" w:cs="宋体"/>
          <w:sz w:val="24"/>
          <w:szCs w:val="24"/>
        </w:rPr>
      </w:pPr>
      <w:r>
        <w:rPr>
          <w:rFonts w:hint="eastAsia" w:ascii="宋体" w:hAnsi="宋体" w:cs="宋体"/>
          <w:spacing w:val="-7"/>
          <w:sz w:val="24"/>
          <w:szCs w:val="24"/>
        </w:rPr>
        <w:t>b)质疑必须以参加投标供应商法定代表人或授权代表</w:t>
      </w:r>
      <w:r>
        <w:rPr>
          <w:rFonts w:hint="eastAsia" w:ascii="宋体" w:hAnsi="宋体" w:cs="宋体"/>
          <w:sz w:val="24"/>
          <w:szCs w:val="24"/>
        </w:rPr>
        <w:t>（投标文件中所确定的</w:t>
      </w:r>
      <w:r>
        <w:rPr>
          <w:rFonts w:hint="eastAsia" w:ascii="宋体" w:hAnsi="宋体" w:cs="宋体"/>
          <w:spacing w:val="5"/>
          <w:sz w:val="24"/>
          <w:szCs w:val="24"/>
        </w:rPr>
        <w:t>）</w:t>
      </w:r>
      <w:r>
        <w:rPr>
          <w:rFonts w:hint="eastAsia" w:ascii="宋体" w:hAnsi="宋体" w:cs="宋体"/>
          <w:sz w:val="24"/>
          <w:szCs w:val="24"/>
        </w:rPr>
        <w:t>原件送达的方式提交，否则，招标代理有权不予受理。</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c)上述应知其权益受到损害之日是指：</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（1）对招标文件提出质疑的，为招标公告期限届满之日起计算；</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（2）对采购过程提出质疑的，自采购程序环节结束之日起计算；</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（3）对中标结果提出质疑的，自中标结果公告期限届满之日起计算。</w:t>
      </w:r>
    </w:p>
    <w:p>
      <w:pPr>
        <w:pageBreakBefore w:val="0"/>
        <w:topLinePunct w:val="0"/>
        <w:bidi w:val="0"/>
        <w:spacing w:line="360" w:lineRule="auto"/>
        <w:ind w:firstLine="512" w:firstLineChars="200"/>
        <w:jc w:val="left"/>
        <w:rPr>
          <w:rFonts w:ascii="宋体" w:hAnsi="宋体" w:cs="宋体"/>
          <w:sz w:val="24"/>
          <w:szCs w:val="24"/>
        </w:rPr>
      </w:pPr>
      <w:r>
        <w:rPr>
          <w:rFonts w:hint="eastAsia" w:ascii="宋体" w:hAnsi="宋体" w:cs="宋体"/>
          <w:spacing w:val="8"/>
          <w:sz w:val="24"/>
          <w:szCs w:val="24"/>
        </w:rPr>
        <w:t>d)质疑文件应包括以下主要内容，并按照“谁主张、谁举</w:t>
      </w:r>
      <w:r>
        <w:rPr>
          <w:rFonts w:hint="eastAsia" w:ascii="宋体" w:hAnsi="宋体" w:cs="宋体"/>
          <w:sz w:val="24"/>
          <w:szCs w:val="24"/>
        </w:rPr>
        <w:t>证”的原则，附上相关证明材料。否则，招标代理或采购人不予受理：</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（1）质疑项目名称、项目编号、招标公告发布时间、开标时间；</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（2）提起质疑的日期、具体的质疑事项及事实根据（具体条款）；</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3）认为自己合法权益受到损害或可能受到损害的相关证据材料。质疑相关证明材料中如涉及到产品功能或技术指标的，应出具相关制造商的证明文件（供应商全部产品线中没有满足技术需求要求的产品才可以对招标产品提出质疑，并提出修改理由和修改建议）；</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（4）质疑供应商名称、地址、邮编、联系人、联系电话（包括座机、手机、传真号码等）；</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（5）质疑文件应当署名，质疑人为自然人的，应当由本人签字并附有效身份证明；质疑人为法人或其他组织的，应当由法定代表人签字并加盖单位公章。</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（6）供应商委托代理质疑的，应当向被质疑人提交授权委托书，并载明委托代理的具体权限和事项。</w:t>
      </w:r>
    </w:p>
    <w:p>
      <w:pPr>
        <w:pageBreakBefore w:val="0"/>
        <w:topLinePunct w:val="0"/>
        <w:bidi w:val="0"/>
        <w:spacing w:line="360" w:lineRule="auto"/>
        <w:ind w:firstLine="476" w:firstLineChars="200"/>
        <w:jc w:val="left"/>
        <w:rPr>
          <w:rFonts w:ascii="宋体" w:hAnsi="宋体" w:cs="宋体"/>
          <w:sz w:val="24"/>
          <w:szCs w:val="24"/>
        </w:rPr>
      </w:pPr>
      <w:r>
        <w:rPr>
          <w:rFonts w:hint="eastAsia" w:ascii="宋体" w:hAnsi="宋体" w:cs="宋体"/>
          <w:spacing w:val="-1"/>
          <w:sz w:val="24"/>
          <w:szCs w:val="24"/>
        </w:rPr>
        <w:t>e)招标代理在收到供应商的书面质疑后将及时组织调查核实，</w:t>
      </w:r>
      <w:r>
        <w:rPr>
          <w:rFonts w:hint="eastAsia" w:ascii="宋体" w:hAnsi="宋体" w:cs="宋体"/>
          <w:sz w:val="24"/>
          <w:szCs w:val="24"/>
        </w:rPr>
        <w:t>在七个工作日内作出答复，并以书面或在网站公告形式通知质疑供应商和其他有关供应商，答复的内容不涉及商业秘密。招标代理遵</w:t>
      </w:r>
      <w:r>
        <w:rPr>
          <w:rFonts w:hint="eastAsia" w:ascii="宋体" w:hAnsi="宋体" w:cs="宋体"/>
          <w:spacing w:val="-1"/>
          <w:sz w:val="24"/>
          <w:szCs w:val="24"/>
        </w:rPr>
        <w:t>循“谁过错谁负担”的原则，有过错的一方承担调查论证费用。</w:t>
      </w:r>
    </w:p>
    <w:p>
      <w:pPr>
        <w:pageBreakBefore w:val="0"/>
        <w:topLinePunct w:val="0"/>
        <w:bidi w:val="0"/>
        <w:spacing w:line="360" w:lineRule="auto"/>
        <w:ind w:firstLine="482" w:firstLineChars="200"/>
        <w:jc w:val="left"/>
        <w:rPr>
          <w:rFonts w:ascii="宋体" w:hAnsi="宋体" w:cs="宋体"/>
          <w:b/>
          <w:sz w:val="24"/>
          <w:szCs w:val="24"/>
        </w:rPr>
      </w:pPr>
      <w:r>
        <w:rPr>
          <w:rFonts w:hint="eastAsia" w:ascii="宋体" w:hAnsi="宋体" w:cs="宋体"/>
          <w:b/>
          <w:sz w:val="24"/>
          <w:szCs w:val="24"/>
        </w:rPr>
        <w:t>27、投诉</w:t>
      </w:r>
    </w:p>
    <w:p>
      <w:pPr>
        <w:pageBreakBefore w:val="0"/>
        <w:topLinePunct w:val="0"/>
        <w:bidi w:val="0"/>
        <w:spacing w:line="360" w:lineRule="auto"/>
        <w:ind w:firstLine="480" w:firstLineChars="200"/>
        <w:jc w:val="left"/>
        <w:rPr>
          <w:rFonts w:ascii="宋体" w:hAnsi="宋体" w:cs="宋体"/>
          <w:sz w:val="24"/>
          <w:szCs w:val="24"/>
        </w:rPr>
      </w:pPr>
      <w:r>
        <w:rPr>
          <w:rFonts w:hint="eastAsia" w:ascii="宋体" w:hAnsi="宋体" w:cs="宋体"/>
          <w:sz w:val="24"/>
          <w:szCs w:val="24"/>
        </w:rPr>
        <w:t>27.1</w:t>
      </w:r>
      <w:r>
        <w:rPr>
          <w:rFonts w:hint="eastAsia" w:ascii="宋体" w:hAnsi="宋体" w:cs="宋体"/>
          <w:spacing w:val="-8"/>
          <w:sz w:val="24"/>
          <w:szCs w:val="24"/>
        </w:rPr>
        <w:t>质疑供应商对招标代理的答复不满意，或招标代理未在规定</w:t>
      </w:r>
      <w:r>
        <w:rPr>
          <w:rFonts w:hint="eastAsia" w:ascii="宋体" w:hAnsi="宋体" w:cs="宋体"/>
          <w:sz w:val="24"/>
          <w:szCs w:val="24"/>
        </w:rPr>
        <w:t>的时间内作出答复的，可以在答复期满后</w:t>
      </w:r>
      <w:r>
        <w:rPr>
          <w:rFonts w:hint="eastAsia" w:ascii="宋体" w:hAnsi="宋体" w:cs="宋体"/>
          <w:b/>
          <w:spacing w:val="5"/>
          <w:sz w:val="24"/>
          <w:szCs w:val="24"/>
        </w:rPr>
        <w:t>十五个工作日内</w:t>
      </w:r>
      <w:r>
        <w:rPr>
          <w:rFonts w:hint="eastAsia" w:ascii="宋体" w:hAnsi="宋体" w:cs="宋体"/>
          <w:sz w:val="24"/>
          <w:szCs w:val="24"/>
        </w:rPr>
        <w:t>向采购项目同级财政部门投诉。</w:t>
      </w:r>
    </w:p>
    <w:p>
      <w:pPr>
        <w:pStyle w:val="43"/>
        <w:pageBreakBefore w:val="0"/>
        <w:topLinePunct w:val="0"/>
        <w:bidi w:val="0"/>
        <w:spacing w:line="360" w:lineRule="auto"/>
        <w:ind w:left="420" w:leftChars="200" w:firstLine="0" w:firstLineChars="0"/>
        <w:jc w:val="left"/>
        <w:rPr>
          <w:rFonts w:ascii="宋体" w:hAnsi="宋体" w:cs="宋体"/>
          <w:b/>
          <w:sz w:val="24"/>
          <w:szCs w:val="24"/>
        </w:rPr>
      </w:pPr>
      <w:r>
        <w:rPr>
          <w:rFonts w:hint="eastAsia" w:ascii="宋体" w:hAnsi="宋体" w:cs="宋体"/>
          <w:b/>
          <w:sz w:val="24"/>
          <w:szCs w:val="24"/>
        </w:rPr>
        <w:t>28、诚实信用</w:t>
      </w:r>
    </w:p>
    <w:p>
      <w:pPr>
        <w:pageBreakBefore w:val="0"/>
        <w:topLinePunct w:val="0"/>
        <w:bidi w:val="0"/>
        <w:spacing w:line="360" w:lineRule="auto"/>
        <w:ind w:firstLine="444" w:firstLineChars="200"/>
        <w:jc w:val="left"/>
        <w:rPr>
          <w:rFonts w:ascii="宋体" w:hAnsi="宋体" w:cs="宋体"/>
          <w:sz w:val="24"/>
          <w:szCs w:val="24"/>
        </w:rPr>
      </w:pPr>
      <w:r>
        <w:rPr>
          <w:rFonts w:hint="eastAsia" w:ascii="宋体" w:hAnsi="宋体" w:cs="宋体"/>
          <w:spacing w:val="-9"/>
          <w:sz w:val="24"/>
          <w:szCs w:val="24"/>
        </w:rPr>
        <w:t>28.1供应商之间不得相互串通投标报价，不得妨碍其他供应商的公平竞争，不得损害采购人和其他供应商的合法权益。</w:t>
      </w:r>
    </w:p>
    <w:p>
      <w:pPr>
        <w:pageBreakBefore w:val="0"/>
        <w:topLinePunct w:val="0"/>
        <w:bidi w:val="0"/>
        <w:spacing w:line="360" w:lineRule="auto"/>
        <w:ind w:firstLine="444" w:firstLineChars="200"/>
        <w:jc w:val="left"/>
        <w:rPr>
          <w:rFonts w:ascii="宋体" w:hAnsi="宋体" w:cs="宋体"/>
          <w:sz w:val="24"/>
          <w:szCs w:val="24"/>
        </w:rPr>
      </w:pPr>
      <w:r>
        <w:rPr>
          <w:rFonts w:hint="eastAsia" w:ascii="宋体" w:hAnsi="宋体" w:cs="宋体"/>
          <w:spacing w:val="-9"/>
          <w:sz w:val="24"/>
          <w:szCs w:val="24"/>
        </w:rPr>
        <w:t>28.2供应商不得以向招标代理工作人员、评标委员会成员行贿或</w:t>
      </w:r>
      <w:r>
        <w:rPr>
          <w:rFonts w:hint="eastAsia" w:ascii="宋体" w:hAnsi="宋体" w:cs="宋体"/>
          <w:sz w:val="24"/>
          <w:szCs w:val="24"/>
        </w:rPr>
        <w:t>者采取其他不正当手段谋取中标。经查实供应商有此行为的，政府</w:t>
      </w:r>
      <w:r>
        <w:rPr>
          <w:rFonts w:hint="eastAsia" w:ascii="宋体" w:hAnsi="宋体" w:cs="宋体"/>
          <w:spacing w:val="-3"/>
          <w:sz w:val="24"/>
          <w:szCs w:val="24"/>
        </w:rPr>
        <w:t>采购管理部门将供应商列入不良行为记录名单，按照《政府采购法》有关规定处理。</w:t>
      </w:r>
    </w:p>
    <w:p>
      <w:pPr>
        <w:pageBreakBefore w:val="0"/>
        <w:topLinePunct w:val="0"/>
        <w:bidi w:val="0"/>
        <w:spacing w:line="360" w:lineRule="auto"/>
        <w:ind w:firstLine="444" w:firstLineChars="200"/>
        <w:jc w:val="left"/>
        <w:rPr>
          <w:rFonts w:ascii="宋体" w:hAnsi="宋体" w:cs="宋体"/>
          <w:sz w:val="24"/>
          <w:szCs w:val="24"/>
        </w:rPr>
      </w:pPr>
      <w:r>
        <w:rPr>
          <w:rFonts w:hint="eastAsia" w:ascii="宋体" w:hAnsi="宋体" w:cs="宋体"/>
          <w:spacing w:val="-9"/>
          <w:sz w:val="24"/>
          <w:szCs w:val="24"/>
        </w:rPr>
        <w:t>28.3供应商提出书面质疑必须有理、有据，不得虚假质疑和恶意</w:t>
      </w:r>
      <w:r>
        <w:rPr>
          <w:rFonts w:hint="eastAsia" w:ascii="宋体" w:hAnsi="宋体" w:cs="宋体"/>
          <w:sz w:val="24"/>
          <w:szCs w:val="24"/>
        </w:rPr>
        <w:t>质疑，并对质疑内容的真实性承担责任。一经查实，招标代理有权依据政府采购的有关规定，报请政府采购监管部门对该投标人进行相应的行政处罚并在网站上予以公示。如果供应商或者其他利害关系人通过捏造事实、伪造证明材料等方式提出质疑，干扰政府采购活动正常进行的，属于严重不良行为，招标代理将提请财政部门将</w:t>
      </w:r>
      <w:r>
        <w:rPr>
          <w:rFonts w:hint="eastAsia" w:ascii="宋体" w:hAnsi="宋体" w:cs="宋体"/>
          <w:spacing w:val="-1"/>
          <w:sz w:val="24"/>
          <w:szCs w:val="24"/>
        </w:rPr>
        <w:t>其列入不良行为记录名单，并依法予以处罚。</w:t>
      </w:r>
    </w:p>
    <w:p>
      <w:pPr>
        <w:pageBreakBefore w:val="0"/>
        <w:topLinePunct w:val="0"/>
        <w:bidi w:val="0"/>
        <w:spacing w:line="360" w:lineRule="auto"/>
        <w:ind w:firstLine="464" w:firstLineChars="200"/>
        <w:jc w:val="left"/>
        <w:rPr>
          <w:rFonts w:ascii="宋体" w:hAnsi="宋体" w:cs="宋体"/>
          <w:sz w:val="24"/>
          <w:szCs w:val="24"/>
        </w:rPr>
      </w:pPr>
      <w:r>
        <w:rPr>
          <w:rFonts w:hint="eastAsia" w:ascii="宋体" w:hAnsi="宋体" w:cs="宋体"/>
          <w:spacing w:val="-4"/>
          <w:sz w:val="24"/>
          <w:szCs w:val="24"/>
        </w:rPr>
        <w:t>28.4供应商不得虚假承诺，否则，按照提供虚假材料谋取中标成交处理。</w:t>
      </w:r>
      <w:r>
        <w:rPr>
          <w:rFonts w:hint="eastAsia" w:ascii="宋体" w:hAnsi="宋体" w:cs="宋体"/>
          <w:spacing w:val="-16"/>
          <w:sz w:val="24"/>
          <w:szCs w:val="24"/>
        </w:rPr>
        <w:t>供应商应自觉遵守开标、评标纪律，扰乱开标评标现场秩序的，</w:t>
      </w:r>
      <w:r>
        <w:rPr>
          <w:rFonts w:hint="eastAsia" w:ascii="宋体" w:hAnsi="宋体" w:cs="宋体"/>
          <w:spacing w:val="-11"/>
          <w:sz w:val="24"/>
          <w:szCs w:val="24"/>
        </w:rPr>
        <w:t>属于失信行为，上报上级财政主管部门。</w:t>
      </w:r>
    </w:p>
    <w:p>
      <w:pPr>
        <w:pageBreakBefore w:val="0"/>
        <w:topLinePunct w:val="0"/>
        <w:bidi w:val="0"/>
        <w:spacing w:line="360" w:lineRule="auto"/>
        <w:rPr>
          <w:rFonts w:ascii="宋体" w:hAnsi="宋体" w:cs="宋体"/>
          <w:sz w:val="28"/>
          <w:szCs w:val="28"/>
        </w:rPr>
      </w:pPr>
      <w:r>
        <w:rPr>
          <w:rFonts w:hint="eastAsia" w:ascii="宋体" w:hAnsi="宋体" w:cs="宋体"/>
          <w:spacing w:val="-11"/>
          <w:sz w:val="28"/>
          <w:szCs w:val="28"/>
        </w:rPr>
        <w:br w:type="page"/>
      </w:r>
    </w:p>
    <w:p>
      <w:pPr>
        <w:pStyle w:val="43"/>
        <w:pageBreakBefore w:val="0"/>
        <w:numPr>
          <w:ilvl w:val="0"/>
          <w:numId w:val="2"/>
        </w:numPr>
        <w:topLinePunct w:val="0"/>
        <w:bidi w:val="0"/>
        <w:spacing w:line="360" w:lineRule="auto"/>
        <w:ind w:left="-420" w:leftChars="-200" w:right="272" w:firstLine="643"/>
        <w:jc w:val="center"/>
        <w:outlineLvl w:val="0"/>
        <w:rPr>
          <w:rFonts w:ascii="宋体" w:hAnsi="宋体" w:cs="宋体"/>
          <w:b/>
          <w:bCs/>
          <w:kern w:val="44"/>
          <w:sz w:val="32"/>
          <w:szCs w:val="32"/>
        </w:rPr>
      </w:pPr>
      <w:bookmarkStart w:id="37" w:name="_Toc10934"/>
      <w:r>
        <w:rPr>
          <w:rFonts w:hint="eastAsia" w:ascii="宋体" w:hAnsi="宋体" w:cs="宋体"/>
          <w:b/>
          <w:bCs/>
          <w:kern w:val="44"/>
          <w:sz w:val="32"/>
          <w:szCs w:val="32"/>
        </w:rPr>
        <w:t>评审标准</w:t>
      </w:r>
      <w:bookmarkEnd w:id="37"/>
    </w:p>
    <w:p>
      <w:pPr>
        <w:pStyle w:val="5"/>
        <w:pageBreakBefore w:val="0"/>
        <w:numPr>
          <w:ilvl w:val="0"/>
          <w:numId w:val="3"/>
        </w:numPr>
        <w:topLinePunct w:val="0"/>
        <w:bidi w:val="0"/>
        <w:spacing w:line="360" w:lineRule="auto"/>
        <w:rPr>
          <w:rFonts w:ascii="宋体" w:hAnsi="宋体" w:eastAsia="宋体" w:cs="宋体"/>
        </w:rPr>
      </w:pPr>
      <w:r>
        <w:rPr>
          <w:rFonts w:hint="eastAsia" w:ascii="宋体" w:hAnsi="宋体" w:eastAsia="宋体" w:cs="宋体"/>
          <w:sz w:val="28"/>
          <w:szCs w:val="28"/>
        </w:rPr>
        <w:t>资格性审查</w:t>
      </w:r>
    </w:p>
    <w:p>
      <w:pPr>
        <w:pageBreakBefore w:val="0"/>
        <w:topLinePunct w:val="0"/>
        <w:bidi w:val="0"/>
        <w:spacing w:line="360" w:lineRule="auto"/>
        <w:ind w:firstLine="480" w:firstLineChars="200"/>
        <w:jc w:val="left"/>
        <w:rPr>
          <w:rFonts w:ascii="宋体" w:hAnsi="宋体" w:cs="宋体"/>
        </w:rPr>
      </w:pPr>
      <w:r>
        <w:rPr>
          <w:rFonts w:hint="eastAsia" w:ascii="宋体" w:hAnsi="宋体" w:cs="宋体"/>
          <w:sz w:val="24"/>
          <w:szCs w:val="24"/>
        </w:rPr>
        <w:t>公开招标采购项目开标结束后，采购人或者采购代理机构将依法对供应商的资格进行审</w:t>
      </w:r>
      <w:r>
        <w:rPr>
          <w:rFonts w:hint="eastAsia" w:ascii="宋体" w:hAnsi="宋体" w:cs="宋体"/>
        </w:rPr>
        <w:t>查。</w:t>
      </w:r>
      <w:r>
        <w:rPr>
          <w:rFonts w:hint="eastAsia" w:ascii="宋体" w:hAnsi="宋体" w:cs="宋体"/>
          <w:sz w:val="24"/>
          <w:szCs w:val="24"/>
        </w:rPr>
        <w:t>资格审查记录表如下：</w:t>
      </w:r>
    </w:p>
    <w:tbl>
      <w:tblPr>
        <w:tblStyle w:val="29"/>
        <w:tblW w:w="9720" w:type="dxa"/>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9"/>
        <w:gridCol w:w="3156"/>
        <w:gridCol w:w="3210"/>
        <w:gridCol w:w="1005"/>
        <w:gridCol w:w="93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9" w:type="dxa"/>
            <w:vMerge w:val="restart"/>
            <w:vAlign w:val="center"/>
          </w:tcPr>
          <w:p>
            <w:pPr>
              <w:pStyle w:val="44"/>
              <w:pageBreakBefore w:val="0"/>
              <w:topLinePunct w:val="0"/>
              <w:bidi w:val="0"/>
              <w:spacing w:line="360" w:lineRule="auto"/>
              <w:ind w:right="-29"/>
              <w:jc w:val="center"/>
              <w:rPr>
                <w:szCs w:val="21"/>
              </w:rPr>
            </w:pPr>
            <w:r>
              <w:rPr>
                <w:rFonts w:hint="eastAsia"/>
                <w:szCs w:val="21"/>
              </w:rPr>
              <w:t>序号</w:t>
            </w:r>
          </w:p>
        </w:tc>
        <w:tc>
          <w:tcPr>
            <w:tcW w:w="3156" w:type="dxa"/>
            <w:vMerge w:val="restart"/>
            <w:vAlign w:val="center"/>
          </w:tcPr>
          <w:p>
            <w:pPr>
              <w:pStyle w:val="44"/>
              <w:pageBreakBefore w:val="0"/>
              <w:topLinePunct w:val="0"/>
              <w:bidi w:val="0"/>
              <w:spacing w:line="360" w:lineRule="auto"/>
              <w:jc w:val="center"/>
              <w:rPr>
                <w:szCs w:val="21"/>
              </w:rPr>
            </w:pPr>
            <w:r>
              <w:rPr>
                <w:rFonts w:hint="eastAsia"/>
                <w:szCs w:val="21"/>
              </w:rPr>
              <w:t>审查因素</w:t>
            </w:r>
          </w:p>
        </w:tc>
        <w:tc>
          <w:tcPr>
            <w:tcW w:w="3210" w:type="dxa"/>
            <w:vMerge w:val="restart"/>
            <w:vAlign w:val="center"/>
          </w:tcPr>
          <w:p>
            <w:pPr>
              <w:pStyle w:val="44"/>
              <w:pageBreakBefore w:val="0"/>
              <w:topLinePunct w:val="0"/>
              <w:bidi w:val="0"/>
              <w:spacing w:line="360" w:lineRule="auto"/>
              <w:jc w:val="center"/>
              <w:rPr>
                <w:szCs w:val="21"/>
              </w:rPr>
            </w:pPr>
            <w:r>
              <w:rPr>
                <w:rFonts w:hint="eastAsia"/>
                <w:szCs w:val="21"/>
              </w:rPr>
              <w:t>审查标准</w:t>
            </w:r>
          </w:p>
        </w:tc>
        <w:tc>
          <w:tcPr>
            <w:tcW w:w="2865" w:type="dxa"/>
            <w:gridSpan w:val="3"/>
            <w:vAlign w:val="center"/>
          </w:tcPr>
          <w:p>
            <w:pPr>
              <w:pStyle w:val="44"/>
              <w:pageBreakBefore w:val="0"/>
              <w:topLinePunct w:val="0"/>
              <w:bidi w:val="0"/>
              <w:spacing w:before="4" w:line="360" w:lineRule="auto"/>
              <w:jc w:val="center"/>
              <w:rPr>
                <w:szCs w:val="21"/>
              </w:rPr>
            </w:pPr>
            <w:r>
              <w:rPr>
                <w:rFonts w:hint="eastAsia"/>
                <w:szCs w:val="21"/>
              </w:rPr>
              <w:t>投标人名称及审查意见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9" w:type="dxa"/>
            <w:vMerge w:val="continue"/>
            <w:tcBorders>
              <w:top w:val="nil"/>
            </w:tcBorders>
            <w:vAlign w:val="center"/>
          </w:tcPr>
          <w:p>
            <w:pPr>
              <w:pageBreakBefore w:val="0"/>
              <w:topLinePunct w:val="0"/>
              <w:bidi w:val="0"/>
              <w:spacing w:line="360" w:lineRule="auto"/>
              <w:jc w:val="center"/>
              <w:rPr>
                <w:rFonts w:ascii="宋体" w:hAnsi="宋体" w:cs="宋体"/>
                <w:szCs w:val="21"/>
              </w:rPr>
            </w:pPr>
          </w:p>
        </w:tc>
        <w:tc>
          <w:tcPr>
            <w:tcW w:w="3156" w:type="dxa"/>
            <w:vMerge w:val="continue"/>
            <w:tcBorders>
              <w:top w:val="nil"/>
            </w:tcBorders>
            <w:vAlign w:val="center"/>
          </w:tcPr>
          <w:p>
            <w:pPr>
              <w:pageBreakBefore w:val="0"/>
              <w:topLinePunct w:val="0"/>
              <w:bidi w:val="0"/>
              <w:spacing w:line="360" w:lineRule="auto"/>
              <w:jc w:val="center"/>
              <w:rPr>
                <w:rFonts w:ascii="宋体" w:hAnsi="宋体" w:cs="宋体"/>
                <w:szCs w:val="21"/>
              </w:rPr>
            </w:pPr>
          </w:p>
        </w:tc>
        <w:tc>
          <w:tcPr>
            <w:tcW w:w="3210" w:type="dxa"/>
            <w:vMerge w:val="continue"/>
            <w:tcBorders>
              <w:top w:val="nil"/>
            </w:tcBorders>
            <w:vAlign w:val="center"/>
          </w:tcPr>
          <w:p>
            <w:pPr>
              <w:pageBreakBefore w:val="0"/>
              <w:topLinePunct w:val="0"/>
              <w:bidi w:val="0"/>
              <w:spacing w:line="360" w:lineRule="auto"/>
              <w:jc w:val="center"/>
              <w:rPr>
                <w:rFonts w:ascii="宋体" w:hAnsi="宋体" w:cs="宋体"/>
                <w:szCs w:val="21"/>
              </w:rPr>
            </w:pPr>
          </w:p>
        </w:tc>
        <w:tc>
          <w:tcPr>
            <w:tcW w:w="1005" w:type="dxa"/>
            <w:vAlign w:val="center"/>
          </w:tcPr>
          <w:p>
            <w:pPr>
              <w:pStyle w:val="44"/>
              <w:pageBreakBefore w:val="0"/>
              <w:topLinePunct w:val="0"/>
              <w:bidi w:val="0"/>
              <w:spacing w:before="4" w:line="360" w:lineRule="auto"/>
              <w:ind w:left="116"/>
              <w:jc w:val="center"/>
              <w:rPr>
                <w:szCs w:val="21"/>
              </w:rPr>
            </w:pPr>
          </w:p>
        </w:tc>
        <w:tc>
          <w:tcPr>
            <w:tcW w:w="930" w:type="dxa"/>
            <w:vAlign w:val="center"/>
          </w:tcPr>
          <w:p>
            <w:pPr>
              <w:pStyle w:val="44"/>
              <w:pageBreakBefore w:val="0"/>
              <w:topLinePunct w:val="0"/>
              <w:bidi w:val="0"/>
              <w:spacing w:before="4" w:line="360" w:lineRule="auto"/>
              <w:ind w:left="116"/>
              <w:jc w:val="center"/>
              <w:rPr>
                <w:szCs w:val="21"/>
              </w:rPr>
            </w:pPr>
          </w:p>
        </w:tc>
        <w:tc>
          <w:tcPr>
            <w:tcW w:w="930" w:type="dxa"/>
            <w:vAlign w:val="center"/>
          </w:tcPr>
          <w:p>
            <w:pPr>
              <w:pStyle w:val="44"/>
              <w:pageBreakBefore w:val="0"/>
              <w:topLinePunct w:val="0"/>
              <w:bidi w:val="0"/>
              <w:spacing w:before="4" w:line="360" w:lineRule="auto"/>
              <w:ind w:left="116"/>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89" w:type="dxa"/>
            <w:vAlign w:val="center"/>
          </w:tcPr>
          <w:p>
            <w:pPr>
              <w:pStyle w:val="44"/>
              <w:pageBreakBefore w:val="0"/>
              <w:topLinePunct w:val="0"/>
              <w:bidi w:val="0"/>
              <w:spacing w:before="163" w:line="360" w:lineRule="auto"/>
              <w:ind w:right="166"/>
              <w:jc w:val="center"/>
              <w:rPr>
                <w:szCs w:val="21"/>
              </w:rPr>
            </w:pPr>
            <w:r>
              <w:rPr>
                <w:rFonts w:hint="eastAsia"/>
                <w:szCs w:val="21"/>
              </w:rPr>
              <w:t>1</w:t>
            </w:r>
          </w:p>
        </w:tc>
        <w:tc>
          <w:tcPr>
            <w:tcW w:w="3156" w:type="dxa"/>
            <w:vAlign w:val="center"/>
          </w:tcPr>
          <w:p>
            <w:pPr>
              <w:pStyle w:val="44"/>
              <w:pageBreakBefore w:val="0"/>
              <w:topLinePunct w:val="0"/>
              <w:bidi w:val="0"/>
              <w:spacing w:before="6" w:line="360" w:lineRule="auto"/>
              <w:ind w:left="108" w:right="136"/>
              <w:jc w:val="center"/>
              <w:rPr>
                <w:szCs w:val="21"/>
              </w:rPr>
            </w:pPr>
            <w:r>
              <w:rPr>
                <w:rFonts w:hint="eastAsia"/>
                <w:szCs w:val="21"/>
              </w:rPr>
              <w:t>具有独立承担民事责任的能力</w:t>
            </w:r>
          </w:p>
        </w:tc>
        <w:tc>
          <w:tcPr>
            <w:tcW w:w="3210" w:type="dxa"/>
            <w:vAlign w:val="center"/>
          </w:tcPr>
          <w:p>
            <w:pPr>
              <w:pStyle w:val="44"/>
              <w:pageBreakBefore w:val="0"/>
              <w:topLinePunct w:val="0"/>
              <w:bidi w:val="0"/>
              <w:spacing w:before="6" w:line="360" w:lineRule="auto"/>
              <w:ind w:left="108" w:right="136"/>
              <w:jc w:val="center"/>
              <w:rPr>
                <w:szCs w:val="21"/>
              </w:rPr>
            </w:pPr>
            <w:r>
              <w:rPr>
                <w:rFonts w:hint="eastAsia"/>
                <w:szCs w:val="21"/>
              </w:rPr>
              <w:t>提供法人或者其他组织的营业执照，自然人的身份证</w:t>
            </w:r>
          </w:p>
        </w:tc>
        <w:tc>
          <w:tcPr>
            <w:tcW w:w="1005" w:type="dxa"/>
            <w:vAlign w:val="center"/>
          </w:tcPr>
          <w:p>
            <w:pPr>
              <w:pStyle w:val="44"/>
              <w:pageBreakBefore w:val="0"/>
              <w:topLinePunct w:val="0"/>
              <w:bidi w:val="0"/>
              <w:spacing w:before="163" w:line="360" w:lineRule="auto"/>
              <w:ind w:left="103"/>
              <w:jc w:val="center"/>
              <w:rPr>
                <w:szCs w:val="21"/>
              </w:rPr>
            </w:pPr>
          </w:p>
        </w:tc>
        <w:tc>
          <w:tcPr>
            <w:tcW w:w="930" w:type="dxa"/>
            <w:vAlign w:val="center"/>
          </w:tcPr>
          <w:p>
            <w:pPr>
              <w:pStyle w:val="44"/>
              <w:pageBreakBefore w:val="0"/>
              <w:topLinePunct w:val="0"/>
              <w:bidi w:val="0"/>
              <w:spacing w:before="163" w:line="360" w:lineRule="auto"/>
              <w:ind w:left="103"/>
              <w:jc w:val="center"/>
              <w:rPr>
                <w:szCs w:val="21"/>
              </w:rPr>
            </w:pPr>
          </w:p>
        </w:tc>
        <w:tc>
          <w:tcPr>
            <w:tcW w:w="930" w:type="dxa"/>
            <w:vAlign w:val="center"/>
          </w:tcPr>
          <w:p>
            <w:pPr>
              <w:pStyle w:val="44"/>
              <w:pageBreakBefore w:val="0"/>
              <w:topLinePunct w:val="0"/>
              <w:bidi w:val="0"/>
              <w:spacing w:before="163" w:line="360" w:lineRule="auto"/>
              <w:ind w:left="103"/>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89" w:type="dxa"/>
            <w:vAlign w:val="center"/>
          </w:tcPr>
          <w:p>
            <w:pPr>
              <w:pStyle w:val="44"/>
              <w:pageBreakBefore w:val="0"/>
              <w:topLinePunct w:val="0"/>
              <w:bidi w:val="0"/>
              <w:spacing w:before="163" w:line="360" w:lineRule="auto"/>
              <w:ind w:right="166"/>
              <w:jc w:val="center"/>
              <w:rPr>
                <w:szCs w:val="21"/>
              </w:rPr>
            </w:pPr>
            <w:r>
              <w:rPr>
                <w:rFonts w:hint="eastAsia"/>
                <w:szCs w:val="21"/>
              </w:rPr>
              <w:t>2</w:t>
            </w:r>
          </w:p>
        </w:tc>
        <w:tc>
          <w:tcPr>
            <w:tcW w:w="3156" w:type="dxa"/>
            <w:vAlign w:val="center"/>
          </w:tcPr>
          <w:p>
            <w:pPr>
              <w:pStyle w:val="44"/>
              <w:pageBreakBefore w:val="0"/>
              <w:topLinePunct w:val="0"/>
              <w:bidi w:val="0"/>
              <w:spacing w:before="6" w:line="360" w:lineRule="auto"/>
              <w:ind w:left="108" w:right="136"/>
              <w:jc w:val="center"/>
              <w:rPr>
                <w:szCs w:val="21"/>
              </w:rPr>
            </w:pPr>
            <w:r>
              <w:rPr>
                <w:rFonts w:hint="eastAsia"/>
                <w:szCs w:val="21"/>
              </w:rPr>
              <w:t>具有良好的商业信誉和健全的财务会计制度</w:t>
            </w:r>
          </w:p>
        </w:tc>
        <w:tc>
          <w:tcPr>
            <w:tcW w:w="3210" w:type="dxa"/>
            <w:vAlign w:val="center"/>
          </w:tcPr>
          <w:p>
            <w:pPr>
              <w:pStyle w:val="44"/>
              <w:pageBreakBefore w:val="0"/>
              <w:topLinePunct w:val="0"/>
              <w:bidi w:val="0"/>
              <w:spacing w:before="6" w:line="360" w:lineRule="auto"/>
              <w:ind w:left="108" w:right="136"/>
              <w:jc w:val="center"/>
              <w:rPr>
                <w:szCs w:val="21"/>
              </w:rPr>
            </w:pPr>
            <w:r>
              <w:rPr>
                <w:rFonts w:hint="eastAsia"/>
                <w:szCs w:val="21"/>
              </w:rPr>
              <w:t>提供参加本次政府采购活动前的会计报表</w:t>
            </w:r>
          </w:p>
        </w:tc>
        <w:tc>
          <w:tcPr>
            <w:tcW w:w="1005" w:type="dxa"/>
            <w:vAlign w:val="center"/>
          </w:tcPr>
          <w:p>
            <w:pPr>
              <w:pStyle w:val="44"/>
              <w:pageBreakBefore w:val="0"/>
              <w:topLinePunct w:val="0"/>
              <w:bidi w:val="0"/>
              <w:spacing w:before="163" w:line="360" w:lineRule="auto"/>
              <w:jc w:val="center"/>
              <w:rPr>
                <w:szCs w:val="21"/>
              </w:rPr>
            </w:pPr>
          </w:p>
        </w:tc>
        <w:tc>
          <w:tcPr>
            <w:tcW w:w="930" w:type="dxa"/>
            <w:vAlign w:val="center"/>
          </w:tcPr>
          <w:p>
            <w:pPr>
              <w:pStyle w:val="44"/>
              <w:pageBreakBefore w:val="0"/>
              <w:topLinePunct w:val="0"/>
              <w:bidi w:val="0"/>
              <w:spacing w:before="163" w:line="360" w:lineRule="auto"/>
              <w:ind w:left="103"/>
              <w:jc w:val="center"/>
              <w:rPr>
                <w:szCs w:val="21"/>
              </w:rPr>
            </w:pPr>
          </w:p>
        </w:tc>
        <w:tc>
          <w:tcPr>
            <w:tcW w:w="930" w:type="dxa"/>
            <w:vAlign w:val="center"/>
          </w:tcPr>
          <w:p>
            <w:pPr>
              <w:pStyle w:val="44"/>
              <w:pageBreakBefore w:val="0"/>
              <w:topLinePunct w:val="0"/>
              <w:bidi w:val="0"/>
              <w:spacing w:before="163" w:line="360" w:lineRule="auto"/>
              <w:ind w:left="103"/>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9" w:type="dxa"/>
            <w:vAlign w:val="center"/>
          </w:tcPr>
          <w:p>
            <w:pPr>
              <w:pStyle w:val="44"/>
              <w:pageBreakBefore w:val="0"/>
              <w:topLinePunct w:val="0"/>
              <w:bidi w:val="0"/>
              <w:spacing w:before="162" w:line="360" w:lineRule="auto"/>
              <w:ind w:right="166"/>
              <w:jc w:val="center"/>
              <w:rPr>
                <w:szCs w:val="21"/>
              </w:rPr>
            </w:pPr>
            <w:r>
              <w:rPr>
                <w:rFonts w:hint="eastAsia"/>
                <w:szCs w:val="21"/>
              </w:rPr>
              <w:t>3</w:t>
            </w:r>
          </w:p>
        </w:tc>
        <w:tc>
          <w:tcPr>
            <w:tcW w:w="3156" w:type="dxa"/>
            <w:vAlign w:val="center"/>
          </w:tcPr>
          <w:p>
            <w:pPr>
              <w:pStyle w:val="44"/>
              <w:pageBreakBefore w:val="0"/>
              <w:topLinePunct w:val="0"/>
              <w:bidi w:val="0"/>
              <w:spacing w:before="6" w:line="360" w:lineRule="auto"/>
              <w:ind w:left="108" w:right="136"/>
              <w:jc w:val="center"/>
              <w:rPr>
                <w:szCs w:val="21"/>
              </w:rPr>
            </w:pPr>
            <w:r>
              <w:rPr>
                <w:rFonts w:hint="eastAsia"/>
                <w:szCs w:val="21"/>
              </w:rPr>
              <w:t>具有履行合同所必需的设备和专业技术能力</w:t>
            </w:r>
          </w:p>
        </w:tc>
        <w:tc>
          <w:tcPr>
            <w:tcW w:w="3210" w:type="dxa"/>
            <w:vAlign w:val="center"/>
          </w:tcPr>
          <w:p>
            <w:pPr>
              <w:pStyle w:val="44"/>
              <w:pageBreakBefore w:val="0"/>
              <w:topLinePunct w:val="0"/>
              <w:bidi w:val="0"/>
              <w:spacing w:before="6" w:line="360" w:lineRule="auto"/>
              <w:ind w:left="108" w:right="136"/>
              <w:jc w:val="center"/>
              <w:rPr>
                <w:szCs w:val="21"/>
              </w:rPr>
            </w:pPr>
            <w:r>
              <w:rPr>
                <w:rFonts w:hint="eastAsia"/>
                <w:szCs w:val="21"/>
              </w:rPr>
              <w:t>根据项目需求提供履行合同所必需的设备和专业技术能力的证明材料</w:t>
            </w:r>
          </w:p>
        </w:tc>
        <w:tc>
          <w:tcPr>
            <w:tcW w:w="1005" w:type="dxa"/>
            <w:vAlign w:val="center"/>
          </w:tcPr>
          <w:p>
            <w:pPr>
              <w:pStyle w:val="44"/>
              <w:pageBreakBefore w:val="0"/>
              <w:topLinePunct w:val="0"/>
              <w:bidi w:val="0"/>
              <w:spacing w:before="158" w:line="360" w:lineRule="auto"/>
              <w:ind w:left="103"/>
              <w:jc w:val="center"/>
              <w:rPr>
                <w:szCs w:val="21"/>
              </w:rPr>
            </w:pPr>
          </w:p>
        </w:tc>
        <w:tc>
          <w:tcPr>
            <w:tcW w:w="930" w:type="dxa"/>
            <w:vAlign w:val="center"/>
          </w:tcPr>
          <w:p>
            <w:pPr>
              <w:pStyle w:val="44"/>
              <w:pageBreakBefore w:val="0"/>
              <w:topLinePunct w:val="0"/>
              <w:bidi w:val="0"/>
              <w:spacing w:before="158" w:line="360" w:lineRule="auto"/>
              <w:ind w:left="103"/>
              <w:jc w:val="center"/>
              <w:rPr>
                <w:szCs w:val="21"/>
              </w:rPr>
            </w:pPr>
          </w:p>
        </w:tc>
        <w:tc>
          <w:tcPr>
            <w:tcW w:w="930" w:type="dxa"/>
            <w:vAlign w:val="center"/>
          </w:tcPr>
          <w:p>
            <w:pPr>
              <w:pStyle w:val="44"/>
              <w:pageBreakBefore w:val="0"/>
              <w:topLinePunct w:val="0"/>
              <w:bidi w:val="0"/>
              <w:spacing w:before="158" w:line="360" w:lineRule="auto"/>
              <w:ind w:left="103"/>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9" w:type="dxa"/>
            <w:vAlign w:val="center"/>
          </w:tcPr>
          <w:p>
            <w:pPr>
              <w:pStyle w:val="44"/>
              <w:pageBreakBefore w:val="0"/>
              <w:topLinePunct w:val="0"/>
              <w:bidi w:val="0"/>
              <w:spacing w:line="360" w:lineRule="auto"/>
              <w:ind w:right="166"/>
              <w:jc w:val="center"/>
              <w:rPr>
                <w:szCs w:val="21"/>
              </w:rPr>
            </w:pPr>
            <w:r>
              <w:rPr>
                <w:rFonts w:hint="eastAsia"/>
                <w:szCs w:val="21"/>
              </w:rPr>
              <w:t>4</w:t>
            </w:r>
          </w:p>
        </w:tc>
        <w:tc>
          <w:tcPr>
            <w:tcW w:w="3156" w:type="dxa"/>
            <w:vAlign w:val="center"/>
          </w:tcPr>
          <w:p>
            <w:pPr>
              <w:pStyle w:val="44"/>
              <w:pageBreakBefore w:val="0"/>
              <w:topLinePunct w:val="0"/>
              <w:bidi w:val="0"/>
              <w:spacing w:before="6" w:line="360" w:lineRule="auto"/>
              <w:ind w:left="108" w:right="136"/>
              <w:jc w:val="center"/>
              <w:rPr>
                <w:szCs w:val="21"/>
              </w:rPr>
            </w:pPr>
            <w:r>
              <w:rPr>
                <w:rFonts w:hint="eastAsia"/>
                <w:szCs w:val="21"/>
              </w:rPr>
              <w:t>有依法缴纳税收和社会保障资金的良好记录</w:t>
            </w:r>
          </w:p>
        </w:tc>
        <w:tc>
          <w:tcPr>
            <w:tcW w:w="3210" w:type="dxa"/>
            <w:vAlign w:val="center"/>
          </w:tcPr>
          <w:p>
            <w:pPr>
              <w:pStyle w:val="44"/>
              <w:pageBreakBefore w:val="0"/>
              <w:topLinePunct w:val="0"/>
              <w:bidi w:val="0"/>
              <w:spacing w:before="6" w:line="360" w:lineRule="auto"/>
              <w:ind w:left="108" w:right="136"/>
              <w:jc w:val="center"/>
              <w:rPr>
                <w:szCs w:val="21"/>
              </w:rPr>
            </w:pPr>
            <w:r>
              <w:rPr>
                <w:rFonts w:hint="eastAsia"/>
                <w:szCs w:val="21"/>
              </w:rPr>
              <w:t>提供参加本次政府采购活动前半年内（至少一个月）依法缴纳税收和社会保障资金的相关材料</w:t>
            </w:r>
          </w:p>
        </w:tc>
        <w:tc>
          <w:tcPr>
            <w:tcW w:w="1005" w:type="dxa"/>
            <w:vAlign w:val="center"/>
          </w:tcPr>
          <w:p>
            <w:pPr>
              <w:pStyle w:val="44"/>
              <w:pageBreakBefore w:val="0"/>
              <w:topLinePunct w:val="0"/>
              <w:bidi w:val="0"/>
              <w:spacing w:line="360" w:lineRule="auto"/>
              <w:ind w:left="103"/>
              <w:jc w:val="center"/>
              <w:rPr>
                <w:szCs w:val="21"/>
              </w:rPr>
            </w:pPr>
          </w:p>
        </w:tc>
        <w:tc>
          <w:tcPr>
            <w:tcW w:w="930" w:type="dxa"/>
            <w:vAlign w:val="center"/>
          </w:tcPr>
          <w:p>
            <w:pPr>
              <w:pStyle w:val="44"/>
              <w:pageBreakBefore w:val="0"/>
              <w:topLinePunct w:val="0"/>
              <w:bidi w:val="0"/>
              <w:spacing w:line="360" w:lineRule="auto"/>
              <w:ind w:left="103"/>
              <w:jc w:val="center"/>
              <w:rPr>
                <w:szCs w:val="21"/>
              </w:rPr>
            </w:pPr>
          </w:p>
        </w:tc>
        <w:tc>
          <w:tcPr>
            <w:tcW w:w="930" w:type="dxa"/>
            <w:vAlign w:val="center"/>
          </w:tcPr>
          <w:p>
            <w:pPr>
              <w:pStyle w:val="44"/>
              <w:pageBreakBefore w:val="0"/>
              <w:topLinePunct w:val="0"/>
              <w:bidi w:val="0"/>
              <w:spacing w:line="360" w:lineRule="auto"/>
              <w:ind w:left="103"/>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489" w:type="dxa"/>
            <w:vAlign w:val="center"/>
          </w:tcPr>
          <w:p>
            <w:pPr>
              <w:pStyle w:val="44"/>
              <w:pageBreakBefore w:val="0"/>
              <w:topLinePunct w:val="0"/>
              <w:bidi w:val="0"/>
              <w:spacing w:before="162" w:line="360" w:lineRule="auto"/>
              <w:ind w:right="166"/>
              <w:jc w:val="center"/>
              <w:rPr>
                <w:szCs w:val="21"/>
              </w:rPr>
            </w:pPr>
            <w:r>
              <w:rPr>
                <w:rFonts w:hint="eastAsia"/>
                <w:szCs w:val="21"/>
              </w:rPr>
              <w:t>5</w:t>
            </w:r>
          </w:p>
        </w:tc>
        <w:tc>
          <w:tcPr>
            <w:tcW w:w="3156" w:type="dxa"/>
            <w:vAlign w:val="center"/>
          </w:tcPr>
          <w:p>
            <w:pPr>
              <w:pStyle w:val="44"/>
              <w:pageBreakBefore w:val="0"/>
              <w:topLinePunct w:val="0"/>
              <w:bidi w:val="0"/>
              <w:spacing w:before="6" w:line="360" w:lineRule="auto"/>
              <w:ind w:left="108" w:right="136"/>
              <w:jc w:val="center"/>
              <w:rPr>
                <w:szCs w:val="21"/>
              </w:rPr>
            </w:pPr>
            <w:r>
              <w:rPr>
                <w:rFonts w:hint="eastAsia"/>
                <w:szCs w:val="21"/>
              </w:rPr>
              <w:t>参加政府采购活动前三年内，在经营活动中没有重大违法记录</w:t>
            </w:r>
          </w:p>
        </w:tc>
        <w:tc>
          <w:tcPr>
            <w:tcW w:w="3210" w:type="dxa"/>
            <w:vAlign w:val="center"/>
          </w:tcPr>
          <w:p>
            <w:pPr>
              <w:pStyle w:val="44"/>
              <w:pageBreakBefore w:val="0"/>
              <w:topLinePunct w:val="0"/>
              <w:bidi w:val="0"/>
              <w:spacing w:before="6" w:line="360" w:lineRule="auto"/>
              <w:ind w:left="108" w:right="136"/>
              <w:jc w:val="center"/>
              <w:rPr>
                <w:szCs w:val="21"/>
              </w:rPr>
            </w:pPr>
            <w:r>
              <w:rPr>
                <w:rFonts w:hint="eastAsia"/>
                <w:szCs w:val="21"/>
              </w:rPr>
              <w:t>提供参加本次政府采购活动前3年内在经营活动中没有重大违法记录的书面声明</w:t>
            </w:r>
          </w:p>
        </w:tc>
        <w:tc>
          <w:tcPr>
            <w:tcW w:w="1005" w:type="dxa"/>
            <w:vAlign w:val="center"/>
          </w:tcPr>
          <w:p>
            <w:pPr>
              <w:pStyle w:val="44"/>
              <w:pageBreakBefore w:val="0"/>
              <w:topLinePunct w:val="0"/>
              <w:bidi w:val="0"/>
              <w:spacing w:before="162" w:line="360" w:lineRule="auto"/>
              <w:rPr>
                <w:szCs w:val="21"/>
              </w:rPr>
            </w:pPr>
          </w:p>
        </w:tc>
        <w:tc>
          <w:tcPr>
            <w:tcW w:w="930" w:type="dxa"/>
            <w:vAlign w:val="center"/>
          </w:tcPr>
          <w:p>
            <w:pPr>
              <w:pStyle w:val="44"/>
              <w:pageBreakBefore w:val="0"/>
              <w:topLinePunct w:val="0"/>
              <w:bidi w:val="0"/>
              <w:spacing w:before="162" w:line="360" w:lineRule="auto"/>
              <w:ind w:left="103"/>
              <w:jc w:val="center"/>
              <w:rPr>
                <w:szCs w:val="21"/>
              </w:rPr>
            </w:pPr>
          </w:p>
        </w:tc>
        <w:tc>
          <w:tcPr>
            <w:tcW w:w="930" w:type="dxa"/>
            <w:vAlign w:val="center"/>
          </w:tcPr>
          <w:p>
            <w:pPr>
              <w:pStyle w:val="44"/>
              <w:pageBreakBefore w:val="0"/>
              <w:topLinePunct w:val="0"/>
              <w:bidi w:val="0"/>
              <w:spacing w:before="162" w:line="360" w:lineRule="auto"/>
              <w:ind w:left="103"/>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89" w:type="dxa"/>
            <w:vAlign w:val="center"/>
          </w:tcPr>
          <w:p>
            <w:pPr>
              <w:pStyle w:val="44"/>
              <w:pageBreakBefore w:val="0"/>
              <w:topLinePunct w:val="0"/>
              <w:bidi w:val="0"/>
              <w:spacing w:line="360" w:lineRule="auto"/>
              <w:ind w:right="166"/>
              <w:jc w:val="center"/>
              <w:rPr>
                <w:szCs w:val="21"/>
              </w:rPr>
            </w:pPr>
            <w:r>
              <w:rPr>
                <w:rFonts w:hint="eastAsia"/>
                <w:szCs w:val="21"/>
              </w:rPr>
              <w:t>6</w:t>
            </w:r>
          </w:p>
        </w:tc>
        <w:tc>
          <w:tcPr>
            <w:tcW w:w="3156" w:type="dxa"/>
            <w:vAlign w:val="center"/>
          </w:tcPr>
          <w:p>
            <w:pPr>
              <w:pStyle w:val="44"/>
              <w:pageBreakBefore w:val="0"/>
              <w:topLinePunct w:val="0"/>
              <w:bidi w:val="0"/>
              <w:spacing w:before="6" w:line="360" w:lineRule="auto"/>
              <w:ind w:left="108" w:right="136"/>
              <w:jc w:val="center"/>
              <w:rPr>
                <w:szCs w:val="21"/>
              </w:rPr>
            </w:pPr>
            <w:r>
              <w:rPr>
                <w:rFonts w:hint="eastAsia"/>
                <w:szCs w:val="21"/>
              </w:rPr>
              <w:t>投标人具有专业承包建筑机电安装工程三级(含)以上资质</w:t>
            </w:r>
          </w:p>
        </w:tc>
        <w:tc>
          <w:tcPr>
            <w:tcW w:w="3210" w:type="dxa"/>
            <w:vAlign w:val="center"/>
          </w:tcPr>
          <w:p>
            <w:pPr>
              <w:pStyle w:val="44"/>
              <w:pageBreakBefore w:val="0"/>
              <w:topLinePunct w:val="0"/>
              <w:bidi w:val="0"/>
              <w:spacing w:before="6" w:line="360" w:lineRule="auto"/>
              <w:ind w:left="108" w:right="136"/>
              <w:jc w:val="center"/>
              <w:rPr>
                <w:szCs w:val="21"/>
              </w:rPr>
            </w:pPr>
            <w:r>
              <w:rPr>
                <w:rFonts w:hint="eastAsia"/>
                <w:szCs w:val="21"/>
              </w:rPr>
              <w:t>提供资质证书复印件并加盖公章</w:t>
            </w:r>
          </w:p>
        </w:tc>
        <w:tc>
          <w:tcPr>
            <w:tcW w:w="1005" w:type="dxa"/>
            <w:vAlign w:val="center"/>
          </w:tcPr>
          <w:p>
            <w:pPr>
              <w:pStyle w:val="44"/>
              <w:pageBreakBefore w:val="0"/>
              <w:topLinePunct w:val="0"/>
              <w:bidi w:val="0"/>
              <w:spacing w:line="360" w:lineRule="auto"/>
              <w:jc w:val="center"/>
              <w:rPr>
                <w:szCs w:val="21"/>
              </w:rPr>
            </w:pPr>
          </w:p>
          <w:p>
            <w:pPr>
              <w:pStyle w:val="44"/>
              <w:pageBreakBefore w:val="0"/>
              <w:topLinePunct w:val="0"/>
              <w:bidi w:val="0"/>
              <w:spacing w:line="360" w:lineRule="auto"/>
              <w:ind w:left="103"/>
              <w:jc w:val="center"/>
              <w:rPr>
                <w:szCs w:val="21"/>
              </w:rPr>
            </w:pPr>
          </w:p>
        </w:tc>
        <w:tc>
          <w:tcPr>
            <w:tcW w:w="930" w:type="dxa"/>
            <w:vAlign w:val="center"/>
          </w:tcPr>
          <w:p>
            <w:pPr>
              <w:pStyle w:val="44"/>
              <w:pageBreakBefore w:val="0"/>
              <w:topLinePunct w:val="0"/>
              <w:bidi w:val="0"/>
              <w:spacing w:line="360" w:lineRule="auto"/>
              <w:ind w:left="103"/>
              <w:jc w:val="center"/>
              <w:rPr>
                <w:szCs w:val="21"/>
              </w:rPr>
            </w:pPr>
          </w:p>
        </w:tc>
        <w:tc>
          <w:tcPr>
            <w:tcW w:w="930" w:type="dxa"/>
            <w:vAlign w:val="center"/>
          </w:tcPr>
          <w:p>
            <w:pPr>
              <w:pStyle w:val="44"/>
              <w:pageBreakBefore w:val="0"/>
              <w:topLinePunct w:val="0"/>
              <w:bidi w:val="0"/>
              <w:spacing w:line="360" w:lineRule="auto"/>
              <w:ind w:left="103"/>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trPr>
        <w:tc>
          <w:tcPr>
            <w:tcW w:w="489" w:type="dxa"/>
            <w:vAlign w:val="center"/>
          </w:tcPr>
          <w:p>
            <w:pPr>
              <w:pStyle w:val="44"/>
              <w:pageBreakBefore w:val="0"/>
              <w:topLinePunct w:val="0"/>
              <w:bidi w:val="0"/>
              <w:spacing w:line="360" w:lineRule="auto"/>
              <w:ind w:right="166"/>
              <w:jc w:val="center"/>
              <w:rPr>
                <w:szCs w:val="21"/>
              </w:rPr>
            </w:pPr>
            <w:r>
              <w:rPr>
                <w:rFonts w:hint="eastAsia"/>
                <w:szCs w:val="21"/>
              </w:rPr>
              <w:t>7</w:t>
            </w:r>
          </w:p>
        </w:tc>
        <w:tc>
          <w:tcPr>
            <w:tcW w:w="3156" w:type="dxa"/>
            <w:vAlign w:val="center"/>
          </w:tcPr>
          <w:p>
            <w:pPr>
              <w:pStyle w:val="44"/>
              <w:pageBreakBefore w:val="0"/>
              <w:topLinePunct w:val="0"/>
              <w:bidi w:val="0"/>
              <w:spacing w:before="6" w:line="360" w:lineRule="auto"/>
              <w:ind w:left="108" w:right="136"/>
              <w:jc w:val="center"/>
              <w:rPr>
                <w:szCs w:val="21"/>
              </w:rPr>
            </w:pPr>
            <w:r>
              <w:rPr>
                <w:rFonts w:hint="eastAsia"/>
                <w:szCs w:val="21"/>
              </w:rPr>
              <w:t>提供投标人法定代表人授权委托书；并提供被授权人与投标人签订的劳动合同；提供社保机构出具近半年投标人为被授权人缴纳的养老保险金缴费证明材料(并加盖社保中心章或社保中心参保缴费证明电子专用章)</w:t>
            </w:r>
          </w:p>
        </w:tc>
        <w:tc>
          <w:tcPr>
            <w:tcW w:w="3210" w:type="dxa"/>
            <w:vAlign w:val="center"/>
          </w:tcPr>
          <w:p>
            <w:pPr>
              <w:pStyle w:val="44"/>
              <w:pageBreakBefore w:val="0"/>
              <w:topLinePunct w:val="0"/>
              <w:bidi w:val="0"/>
              <w:spacing w:before="162" w:line="360" w:lineRule="auto"/>
              <w:ind w:right="138"/>
              <w:jc w:val="center"/>
              <w:rPr>
                <w:szCs w:val="21"/>
              </w:rPr>
            </w:pPr>
            <w:r>
              <w:rPr>
                <w:rFonts w:hint="eastAsia"/>
                <w:szCs w:val="21"/>
              </w:rPr>
              <w:t>提供相关证明材料</w:t>
            </w:r>
          </w:p>
        </w:tc>
        <w:tc>
          <w:tcPr>
            <w:tcW w:w="1005" w:type="dxa"/>
            <w:vAlign w:val="center"/>
          </w:tcPr>
          <w:p>
            <w:pPr>
              <w:pStyle w:val="44"/>
              <w:pageBreakBefore w:val="0"/>
              <w:topLinePunct w:val="0"/>
              <w:bidi w:val="0"/>
              <w:spacing w:line="360" w:lineRule="auto"/>
              <w:rPr>
                <w:szCs w:val="21"/>
              </w:rPr>
            </w:pPr>
          </w:p>
        </w:tc>
        <w:tc>
          <w:tcPr>
            <w:tcW w:w="930" w:type="dxa"/>
            <w:vAlign w:val="center"/>
          </w:tcPr>
          <w:p>
            <w:pPr>
              <w:pStyle w:val="44"/>
              <w:pageBreakBefore w:val="0"/>
              <w:topLinePunct w:val="0"/>
              <w:bidi w:val="0"/>
              <w:spacing w:line="360" w:lineRule="auto"/>
              <w:ind w:left="103"/>
              <w:rPr>
                <w:szCs w:val="21"/>
              </w:rPr>
            </w:pPr>
          </w:p>
        </w:tc>
        <w:tc>
          <w:tcPr>
            <w:tcW w:w="930" w:type="dxa"/>
            <w:vAlign w:val="center"/>
          </w:tcPr>
          <w:p>
            <w:pPr>
              <w:pStyle w:val="44"/>
              <w:pageBreakBefore w:val="0"/>
              <w:topLinePunct w:val="0"/>
              <w:bidi w:val="0"/>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9" w:type="dxa"/>
            <w:vAlign w:val="center"/>
          </w:tcPr>
          <w:p>
            <w:pPr>
              <w:pStyle w:val="44"/>
              <w:pageBreakBefore w:val="0"/>
              <w:topLinePunct w:val="0"/>
              <w:bidi w:val="0"/>
              <w:spacing w:line="360" w:lineRule="auto"/>
              <w:ind w:right="166"/>
              <w:jc w:val="center"/>
              <w:rPr>
                <w:szCs w:val="21"/>
              </w:rPr>
            </w:pPr>
            <w:r>
              <w:rPr>
                <w:rFonts w:hint="eastAsia"/>
                <w:szCs w:val="21"/>
              </w:rPr>
              <w:t>8</w:t>
            </w:r>
          </w:p>
        </w:tc>
        <w:tc>
          <w:tcPr>
            <w:tcW w:w="3156" w:type="dxa"/>
            <w:vAlign w:val="center"/>
          </w:tcPr>
          <w:p>
            <w:pPr>
              <w:pStyle w:val="44"/>
              <w:pageBreakBefore w:val="0"/>
              <w:topLinePunct w:val="0"/>
              <w:bidi w:val="0"/>
              <w:spacing w:before="6" w:line="360" w:lineRule="auto"/>
              <w:ind w:left="108" w:right="136"/>
              <w:jc w:val="center"/>
              <w:rPr>
                <w:szCs w:val="21"/>
              </w:rPr>
            </w:pPr>
            <w:r>
              <w:rPr>
                <w:rFonts w:hint="eastAsia"/>
                <w:szCs w:val="21"/>
              </w:rPr>
              <w:t>投标人具备安全生产许可证</w:t>
            </w:r>
          </w:p>
        </w:tc>
        <w:tc>
          <w:tcPr>
            <w:tcW w:w="3210" w:type="dxa"/>
            <w:vAlign w:val="center"/>
          </w:tcPr>
          <w:p>
            <w:pPr>
              <w:pStyle w:val="44"/>
              <w:pageBreakBefore w:val="0"/>
              <w:topLinePunct w:val="0"/>
              <w:bidi w:val="0"/>
              <w:spacing w:before="6" w:line="360" w:lineRule="auto"/>
              <w:ind w:left="108" w:right="136"/>
              <w:jc w:val="center"/>
              <w:rPr>
                <w:szCs w:val="21"/>
              </w:rPr>
            </w:pPr>
            <w:r>
              <w:rPr>
                <w:rFonts w:hint="eastAsia"/>
                <w:szCs w:val="21"/>
              </w:rPr>
              <w:t>疫情期间建筑业企业资质证书延期遵循《住房和城乡建设部办公厅关于建设工程企业资质延续有关事项的通知》相关规定</w:t>
            </w:r>
          </w:p>
        </w:tc>
        <w:tc>
          <w:tcPr>
            <w:tcW w:w="1005"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3"/>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9" w:type="dxa"/>
            <w:vAlign w:val="center"/>
          </w:tcPr>
          <w:p>
            <w:pPr>
              <w:pStyle w:val="44"/>
              <w:pageBreakBefore w:val="0"/>
              <w:topLinePunct w:val="0"/>
              <w:bidi w:val="0"/>
              <w:spacing w:line="360" w:lineRule="auto"/>
              <w:ind w:right="166"/>
              <w:jc w:val="center"/>
              <w:rPr>
                <w:szCs w:val="21"/>
              </w:rPr>
            </w:pPr>
            <w:r>
              <w:rPr>
                <w:rFonts w:hint="eastAsia"/>
                <w:szCs w:val="21"/>
              </w:rPr>
              <w:t>9</w:t>
            </w:r>
          </w:p>
        </w:tc>
        <w:tc>
          <w:tcPr>
            <w:tcW w:w="3156" w:type="dxa"/>
            <w:vAlign w:val="center"/>
          </w:tcPr>
          <w:p>
            <w:pPr>
              <w:pStyle w:val="44"/>
              <w:pageBreakBefore w:val="0"/>
              <w:topLinePunct w:val="0"/>
              <w:bidi w:val="0"/>
              <w:spacing w:before="6" w:line="360" w:lineRule="auto"/>
              <w:ind w:left="108" w:right="136"/>
              <w:jc w:val="center"/>
              <w:rPr>
                <w:szCs w:val="21"/>
              </w:rPr>
            </w:pPr>
            <w:r>
              <w:rPr>
                <w:rFonts w:hint="eastAsia"/>
                <w:szCs w:val="21"/>
              </w:rPr>
              <w:t>疫情防控期间建设工程企业资质证书有效期延期和注册执业人员注册证书（含安全生产考核合格证书B类）有效期延期执行国家及省、市相关文件规定</w:t>
            </w:r>
          </w:p>
        </w:tc>
        <w:tc>
          <w:tcPr>
            <w:tcW w:w="3210" w:type="dxa"/>
            <w:vAlign w:val="center"/>
          </w:tcPr>
          <w:p>
            <w:pPr>
              <w:pStyle w:val="44"/>
              <w:pageBreakBefore w:val="0"/>
              <w:topLinePunct w:val="0"/>
              <w:bidi w:val="0"/>
              <w:spacing w:before="6" w:line="360" w:lineRule="auto"/>
              <w:ind w:left="108" w:right="136"/>
              <w:jc w:val="center"/>
              <w:rPr>
                <w:szCs w:val="21"/>
              </w:rPr>
            </w:pPr>
            <w:r>
              <w:rPr>
                <w:rFonts w:hint="eastAsia"/>
                <w:szCs w:val="21"/>
              </w:rPr>
              <w:t>有效期延期执行国家及省、市相关文件规定</w:t>
            </w:r>
          </w:p>
        </w:tc>
        <w:tc>
          <w:tcPr>
            <w:tcW w:w="1005"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3"/>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9" w:type="dxa"/>
            <w:vAlign w:val="center"/>
          </w:tcPr>
          <w:p>
            <w:pPr>
              <w:pStyle w:val="44"/>
              <w:pageBreakBefore w:val="0"/>
              <w:topLinePunct w:val="0"/>
              <w:bidi w:val="0"/>
              <w:spacing w:line="360" w:lineRule="auto"/>
              <w:ind w:right="166"/>
              <w:jc w:val="center"/>
              <w:rPr>
                <w:szCs w:val="21"/>
              </w:rPr>
            </w:pPr>
            <w:r>
              <w:rPr>
                <w:rFonts w:hint="eastAsia"/>
                <w:szCs w:val="21"/>
              </w:rPr>
              <w:t>10</w:t>
            </w:r>
          </w:p>
        </w:tc>
        <w:tc>
          <w:tcPr>
            <w:tcW w:w="3156" w:type="dxa"/>
            <w:vAlign w:val="center"/>
          </w:tcPr>
          <w:p>
            <w:pPr>
              <w:pageBreakBefore w:val="0"/>
              <w:topLinePunct w:val="0"/>
              <w:bidi w:val="0"/>
              <w:spacing w:line="360" w:lineRule="auto"/>
              <w:jc w:val="center"/>
              <w:rPr>
                <w:rFonts w:ascii="宋体" w:hAnsi="宋体" w:cs="宋体"/>
                <w:szCs w:val="21"/>
              </w:rPr>
            </w:pPr>
            <w:r>
              <w:rPr>
                <w:rFonts w:hint="eastAsia" w:ascii="宋体" w:hAnsi="宋体" w:cs="宋体"/>
                <w:szCs w:val="21"/>
              </w:rPr>
              <w:t>拒绝下述条件的供应商参加本次采购活动：</w:t>
            </w:r>
          </w:p>
        </w:tc>
        <w:tc>
          <w:tcPr>
            <w:tcW w:w="3210" w:type="dxa"/>
            <w:vAlign w:val="center"/>
          </w:tcPr>
          <w:p>
            <w:pPr>
              <w:pStyle w:val="44"/>
              <w:pageBreakBefore w:val="0"/>
              <w:topLinePunct w:val="0"/>
              <w:bidi w:val="0"/>
              <w:spacing w:before="6" w:line="360" w:lineRule="auto"/>
              <w:ind w:left="108" w:right="136"/>
              <w:jc w:val="center"/>
              <w:rPr>
                <w:szCs w:val="21"/>
              </w:rPr>
            </w:pPr>
            <w:r>
              <w:rPr>
                <w:rFonts w:hint="eastAsia"/>
                <w:szCs w:val="21"/>
              </w:rPr>
              <w:t>（1）单位负责人为同一人或者存在直接控股、管理关系的不同供应商，不得参加同一合同项下的政府采购活动；</w:t>
            </w:r>
          </w:p>
          <w:p>
            <w:pPr>
              <w:pStyle w:val="44"/>
              <w:pageBreakBefore w:val="0"/>
              <w:topLinePunct w:val="0"/>
              <w:bidi w:val="0"/>
              <w:spacing w:before="6" w:line="360" w:lineRule="auto"/>
              <w:ind w:left="108" w:right="136"/>
              <w:jc w:val="center"/>
              <w:rPr>
                <w:szCs w:val="21"/>
              </w:rPr>
            </w:pPr>
            <w:r>
              <w:rPr>
                <w:rFonts w:hint="eastAsia"/>
                <w:szCs w:val="21"/>
              </w:rPr>
              <w:t>（2）为采购项目提供整体设计、规范编制、项目实施单位或者项目管理、监理等服务的供应商，不得再参加该采购项目的其他采购活动；</w:t>
            </w:r>
          </w:p>
          <w:p>
            <w:pPr>
              <w:pStyle w:val="44"/>
              <w:pageBreakBefore w:val="0"/>
              <w:topLinePunct w:val="0"/>
              <w:bidi w:val="0"/>
              <w:spacing w:before="6" w:line="360" w:lineRule="auto"/>
              <w:ind w:left="108" w:right="136"/>
              <w:jc w:val="center"/>
              <w:rPr>
                <w:szCs w:val="21"/>
              </w:rPr>
            </w:pPr>
            <w:r>
              <w:rPr>
                <w:rFonts w:hint="eastAsia"/>
                <w:szCs w:val="21"/>
              </w:rPr>
              <w:t>（3）拒绝列入失信被执行人、重大税收违法案件当事人名单、政府采购严重违法失信行为记录名单的供应商参与政府采购活动。采购代理机构在供应商购买采购文件时，通过“信用中国”网站(</w:t>
            </w:r>
            <w:r>
              <w:rPr>
                <w:rFonts w:hint="eastAsia"/>
                <w:szCs w:val="21"/>
              </w:rPr>
              <w:fldChar w:fldCharType="begin"/>
            </w:r>
            <w:r>
              <w:rPr>
                <w:rFonts w:hint="eastAsia"/>
                <w:szCs w:val="21"/>
              </w:rPr>
              <w:instrText xml:space="preserve">INCLUDEPICTURE \d "C:\\Users\\Administrator\\AppData\\Roaming\\Tencent\\QQTempSys\\%W@GJ$ACOF(TYDYECOKVDYB.png" \* MERGEFORMATINET </w:instrText>
            </w:r>
            <w:r>
              <w:rPr>
                <w:rFonts w:hint="eastAsia"/>
                <w:szCs w:val="21"/>
              </w:rPr>
              <w:fldChar w:fldCharType="separate"/>
            </w:r>
            <w:r>
              <w:rPr>
                <w:rFonts w:hint="eastAsia"/>
                <w:szCs w:val="21"/>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1" cstate="print"/>
                          <a:stretch>
                            <a:fillRect/>
                          </a:stretch>
                        </pic:blipFill>
                        <pic:spPr>
                          <a:xfrm>
                            <a:off x="0" y="0"/>
                            <a:ext cx="190500" cy="142875"/>
                          </a:xfrm>
                          <a:prstGeom prst="rect">
                            <a:avLst/>
                          </a:prstGeom>
                          <a:noFill/>
                          <a:ln>
                            <a:noFill/>
                          </a:ln>
                        </pic:spPr>
                      </pic:pic>
                    </a:graphicData>
                  </a:graphic>
                </wp:inline>
              </w:drawing>
            </w:r>
            <w:r>
              <w:rPr>
                <w:rFonts w:hint="eastAsia"/>
                <w:szCs w:val="21"/>
              </w:rPr>
              <w:fldChar w:fldCharType="end"/>
            </w:r>
            <w:r>
              <w:rPr>
                <w:rFonts w:hint="eastAsia"/>
                <w:szCs w:val="21"/>
              </w:rPr>
              <w:t>www.creditchina.gov.cn)、中国政府采购网(</w:t>
            </w:r>
            <w:r>
              <w:rPr>
                <w:rFonts w:hint="eastAsia"/>
                <w:szCs w:val="21"/>
              </w:rPr>
              <w:fldChar w:fldCharType="begin"/>
            </w:r>
            <w:r>
              <w:rPr>
                <w:rFonts w:hint="eastAsia"/>
                <w:szCs w:val="21"/>
              </w:rPr>
              <w:instrText xml:space="preserve">INCLUDEPICTURE \d "C:\\Users\\Administrator\\AppData\\Roaming\\Tencent\\QQTempSys\\%W@GJ$ACOF(TYDYECOKVDYB.png" \* MERGEFORMATINET </w:instrText>
            </w:r>
            <w:r>
              <w:rPr>
                <w:rFonts w:hint="eastAsia"/>
                <w:szCs w:val="21"/>
              </w:rPr>
              <w:fldChar w:fldCharType="separate"/>
            </w:r>
            <w:r>
              <w:rPr>
                <w:rFonts w:hint="eastAsia"/>
                <w:szCs w:val="21"/>
              </w:rPr>
              <w:drawing>
                <wp:inline distT="0" distB="0" distL="114300" distR="114300">
                  <wp:extent cx="190500" cy="142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1" cstate="print"/>
                          <a:stretch>
                            <a:fillRect/>
                          </a:stretch>
                        </pic:blipFill>
                        <pic:spPr>
                          <a:xfrm>
                            <a:off x="0" y="0"/>
                            <a:ext cx="190500" cy="142875"/>
                          </a:xfrm>
                          <a:prstGeom prst="rect">
                            <a:avLst/>
                          </a:prstGeom>
                          <a:noFill/>
                          <a:ln>
                            <a:noFill/>
                          </a:ln>
                        </pic:spPr>
                      </pic:pic>
                    </a:graphicData>
                  </a:graphic>
                </wp:inline>
              </w:drawing>
            </w:r>
            <w:r>
              <w:rPr>
                <w:rFonts w:hint="eastAsia"/>
                <w:szCs w:val="21"/>
              </w:rPr>
              <w:fldChar w:fldCharType="end"/>
            </w:r>
            <w:r>
              <w:rPr>
                <w:rFonts w:hint="eastAsia"/>
                <w:szCs w:val="21"/>
              </w:rPr>
              <w:t>www.ccgp.gov.cn) 等渠道查询供应商在采购公告发布之日前的信用记录并保存。</w:t>
            </w:r>
          </w:p>
        </w:tc>
        <w:tc>
          <w:tcPr>
            <w:tcW w:w="1005"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3"/>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9" w:type="dxa"/>
            <w:vAlign w:val="center"/>
          </w:tcPr>
          <w:p>
            <w:pPr>
              <w:pStyle w:val="44"/>
              <w:pageBreakBefore w:val="0"/>
              <w:topLinePunct w:val="0"/>
              <w:bidi w:val="0"/>
              <w:spacing w:line="360" w:lineRule="auto"/>
              <w:ind w:right="166"/>
              <w:jc w:val="center"/>
              <w:rPr>
                <w:szCs w:val="21"/>
              </w:rPr>
            </w:pPr>
            <w:r>
              <w:rPr>
                <w:rFonts w:hint="eastAsia"/>
                <w:szCs w:val="21"/>
              </w:rPr>
              <w:t>11</w:t>
            </w:r>
          </w:p>
        </w:tc>
        <w:tc>
          <w:tcPr>
            <w:tcW w:w="3156" w:type="dxa"/>
            <w:vAlign w:val="center"/>
          </w:tcPr>
          <w:p>
            <w:pPr>
              <w:pageBreakBefore w:val="0"/>
              <w:topLinePunct w:val="0"/>
              <w:bidi w:val="0"/>
              <w:spacing w:line="360" w:lineRule="auto"/>
              <w:jc w:val="center"/>
              <w:rPr>
                <w:rFonts w:ascii="宋体" w:hAnsi="宋体" w:cs="宋体"/>
                <w:szCs w:val="21"/>
              </w:rPr>
            </w:pPr>
            <w:r>
              <w:rPr>
                <w:rFonts w:hint="eastAsia" w:ascii="宋体" w:hAnsi="宋体" w:cs="宋体"/>
                <w:szCs w:val="21"/>
              </w:rPr>
              <w:t>是否接受进口产品</w:t>
            </w:r>
          </w:p>
        </w:tc>
        <w:tc>
          <w:tcPr>
            <w:tcW w:w="3210" w:type="dxa"/>
            <w:vAlign w:val="center"/>
          </w:tcPr>
          <w:p>
            <w:pPr>
              <w:pageBreakBefore w:val="0"/>
              <w:topLinePunct w:val="0"/>
              <w:bidi w:val="0"/>
              <w:spacing w:line="360" w:lineRule="auto"/>
              <w:jc w:val="center"/>
              <w:rPr>
                <w:rFonts w:ascii="宋体" w:hAnsi="宋体" w:cs="宋体"/>
                <w:szCs w:val="21"/>
              </w:rPr>
            </w:pPr>
            <w:r>
              <w:rPr>
                <w:rFonts w:hint="eastAsia" w:ascii="宋体" w:hAnsi="宋体" w:cs="宋体"/>
                <w:szCs w:val="21"/>
              </w:rPr>
              <w:t>否</w:t>
            </w:r>
          </w:p>
        </w:tc>
        <w:tc>
          <w:tcPr>
            <w:tcW w:w="1005"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3"/>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9" w:type="dxa"/>
            <w:vAlign w:val="center"/>
          </w:tcPr>
          <w:p>
            <w:pPr>
              <w:pStyle w:val="44"/>
              <w:pageBreakBefore w:val="0"/>
              <w:topLinePunct w:val="0"/>
              <w:bidi w:val="0"/>
              <w:spacing w:line="360" w:lineRule="auto"/>
              <w:ind w:right="166"/>
              <w:jc w:val="center"/>
              <w:rPr>
                <w:szCs w:val="21"/>
              </w:rPr>
            </w:pPr>
            <w:r>
              <w:rPr>
                <w:rFonts w:hint="eastAsia"/>
                <w:szCs w:val="21"/>
              </w:rPr>
              <w:t>12</w:t>
            </w:r>
          </w:p>
        </w:tc>
        <w:tc>
          <w:tcPr>
            <w:tcW w:w="3156" w:type="dxa"/>
            <w:vAlign w:val="center"/>
          </w:tcPr>
          <w:p>
            <w:pPr>
              <w:pageBreakBefore w:val="0"/>
              <w:topLinePunct w:val="0"/>
              <w:bidi w:val="0"/>
              <w:spacing w:line="360" w:lineRule="auto"/>
              <w:jc w:val="center"/>
              <w:rPr>
                <w:rFonts w:ascii="宋体" w:hAnsi="宋体" w:cs="宋体"/>
                <w:szCs w:val="21"/>
              </w:rPr>
            </w:pPr>
            <w:r>
              <w:rPr>
                <w:rFonts w:hint="eastAsia" w:ascii="宋体" w:hAnsi="宋体" w:cs="宋体"/>
                <w:szCs w:val="21"/>
              </w:rPr>
              <w:t>是否接受联合体投标</w:t>
            </w:r>
          </w:p>
        </w:tc>
        <w:tc>
          <w:tcPr>
            <w:tcW w:w="3210" w:type="dxa"/>
            <w:vAlign w:val="center"/>
          </w:tcPr>
          <w:p>
            <w:pPr>
              <w:pageBreakBefore w:val="0"/>
              <w:topLinePunct w:val="0"/>
              <w:bidi w:val="0"/>
              <w:spacing w:line="360" w:lineRule="auto"/>
              <w:jc w:val="center"/>
              <w:rPr>
                <w:rFonts w:ascii="宋体" w:hAnsi="宋体" w:cs="宋体"/>
                <w:szCs w:val="21"/>
              </w:rPr>
            </w:pPr>
            <w:r>
              <w:rPr>
                <w:rFonts w:hint="eastAsia" w:ascii="宋体" w:hAnsi="宋体" w:cs="宋体"/>
                <w:szCs w:val="21"/>
              </w:rPr>
              <w:t>本次项目不接受联合体投标</w:t>
            </w:r>
          </w:p>
        </w:tc>
        <w:tc>
          <w:tcPr>
            <w:tcW w:w="1005"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3"/>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489" w:type="dxa"/>
            <w:vAlign w:val="center"/>
          </w:tcPr>
          <w:p>
            <w:pPr>
              <w:pStyle w:val="44"/>
              <w:pageBreakBefore w:val="0"/>
              <w:topLinePunct w:val="0"/>
              <w:bidi w:val="0"/>
              <w:spacing w:line="360" w:lineRule="auto"/>
              <w:ind w:right="166"/>
              <w:jc w:val="center"/>
              <w:rPr>
                <w:szCs w:val="21"/>
              </w:rPr>
            </w:pPr>
            <w:r>
              <w:rPr>
                <w:rFonts w:hint="eastAsia"/>
                <w:szCs w:val="21"/>
              </w:rPr>
              <w:t>13</w:t>
            </w:r>
          </w:p>
        </w:tc>
        <w:tc>
          <w:tcPr>
            <w:tcW w:w="3156" w:type="dxa"/>
            <w:vAlign w:val="center"/>
          </w:tcPr>
          <w:p>
            <w:pPr>
              <w:pStyle w:val="44"/>
              <w:pageBreakBefore w:val="0"/>
              <w:topLinePunct w:val="0"/>
              <w:bidi w:val="0"/>
              <w:spacing w:before="6" w:line="360" w:lineRule="auto"/>
              <w:ind w:left="108" w:right="136"/>
              <w:jc w:val="center"/>
              <w:rPr>
                <w:szCs w:val="21"/>
              </w:rPr>
            </w:pPr>
            <w:r>
              <w:rPr>
                <w:rFonts w:hint="eastAsia"/>
                <w:szCs w:val="21"/>
              </w:rPr>
              <w:t>投标保证金</w:t>
            </w:r>
          </w:p>
        </w:tc>
        <w:tc>
          <w:tcPr>
            <w:tcW w:w="3210" w:type="dxa"/>
            <w:vAlign w:val="center"/>
          </w:tcPr>
          <w:p>
            <w:pPr>
              <w:pStyle w:val="44"/>
              <w:pageBreakBefore w:val="0"/>
              <w:topLinePunct w:val="0"/>
              <w:bidi w:val="0"/>
              <w:spacing w:before="6" w:line="360" w:lineRule="auto"/>
              <w:ind w:left="108" w:right="136"/>
              <w:jc w:val="center"/>
              <w:rPr>
                <w:szCs w:val="21"/>
              </w:rPr>
            </w:pPr>
            <w:r>
              <w:rPr>
                <w:rFonts w:hint="eastAsia"/>
                <w:szCs w:val="21"/>
              </w:rPr>
              <w:t>符合第二章供应商须知第10项要求</w:t>
            </w:r>
          </w:p>
        </w:tc>
        <w:tc>
          <w:tcPr>
            <w:tcW w:w="1005"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3"/>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855" w:type="dxa"/>
            <w:gridSpan w:val="3"/>
            <w:vAlign w:val="center"/>
          </w:tcPr>
          <w:p>
            <w:pPr>
              <w:pStyle w:val="44"/>
              <w:pageBreakBefore w:val="0"/>
              <w:topLinePunct w:val="0"/>
              <w:bidi w:val="0"/>
              <w:spacing w:before="162" w:line="360" w:lineRule="auto"/>
              <w:ind w:left="109" w:right="138"/>
              <w:jc w:val="center"/>
              <w:rPr>
                <w:spacing w:val="-16"/>
                <w:szCs w:val="21"/>
              </w:rPr>
            </w:pPr>
            <w:r>
              <w:rPr>
                <w:rFonts w:hint="eastAsia"/>
                <w:b/>
                <w:szCs w:val="21"/>
              </w:rPr>
              <w:t>资格审查结论</w:t>
            </w:r>
          </w:p>
        </w:tc>
        <w:tc>
          <w:tcPr>
            <w:tcW w:w="1005"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4"/>
              <w:jc w:val="center"/>
              <w:rPr>
                <w:szCs w:val="21"/>
              </w:rPr>
            </w:pPr>
          </w:p>
        </w:tc>
        <w:tc>
          <w:tcPr>
            <w:tcW w:w="930" w:type="dxa"/>
            <w:vAlign w:val="center"/>
          </w:tcPr>
          <w:p>
            <w:pPr>
              <w:pStyle w:val="44"/>
              <w:pageBreakBefore w:val="0"/>
              <w:topLinePunct w:val="0"/>
              <w:bidi w:val="0"/>
              <w:spacing w:line="360" w:lineRule="auto"/>
              <w:ind w:left="103"/>
              <w:jc w:val="center"/>
              <w:rPr>
                <w:szCs w:val="21"/>
              </w:rPr>
            </w:pPr>
          </w:p>
        </w:tc>
      </w:tr>
    </w:tbl>
    <w:p>
      <w:pPr>
        <w:pStyle w:val="43"/>
        <w:pageBreakBefore w:val="0"/>
        <w:topLinePunct w:val="0"/>
        <w:bidi w:val="0"/>
        <w:spacing w:line="360" w:lineRule="auto"/>
        <w:ind w:left="223" w:right="272" w:firstLine="0" w:firstLineChars="0"/>
        <w:rPr>
          <w:rFonts w:ascii="宋体" w:hAnsi="宋体" w:cs="宋体"/>
        </w:rPr>
      </w:pPr>
      <w:r>
        <w:rPr>
          <w:rFonts w:hint="eastAsia" w:ascii="宋体" w:hAnsi="宋体" w:cs="宋体"/>
        </w:rPr>
        <w:t>说明：采购人或者采购代理机构对投标人提交的资格证明材料进行审查，并在对应的审查意见一栏记录审查意见：通过资格审查标注为√；未通过资格审查标注为×。</w:t>
      </w:r>
    </w:p>
    <w:p>
      <w:pPr>
        <w:pageBreakBefore w:val="0"/>
        <w:topLinePunct w:val="0"/>
        <w:bidi w:val="0"/>
        <w:spacing w:line="360" w:lineRule="auto"/>
        <w:rPr>
          <w:rFonts w:ascii="宋体" w:hAnsi="宋体" w:cs="宋体"/>
        </w:rPr>
      </w:pPr>
      <w:r>
        <w:rPr>
          <w:rFonts w:hint="eastAsia" w:ascii="宋体" w:hAnsi="宋体" w:cs="宋体"/>
        </w:rPr>
        <w:br w:type="page"/>
      </w:r>
    </w:p>
    <w:p>
      <w:pPr>
        <w:pStyle w:val="5"/>
        <w:pageBreakBefore w:val="0"/>
        <w:numPr>
          <w:ilvl w:val="0"/>
          <w:numId w:val="3"/>
        </w:numPr>
        <w:topLinePunct w:val="0"/>
        <w:bidi w:val="0"/>
        <w:spacing w:line="360" w:lineRule="auto"/>
        <w:rPr>
          <w:rFonts w:ascii="宋体" w:hAnsi="宋体" w:eastAsia="宋体" w:cs="宋体"/>
          <w:sz w:val="28"/>
          <w:szCs w:val="28"/>
        </w:rPr>
      </w:pPr>
      <w:r>
        <w:rPr>
          <w:rFonts w:hint="eastAsia" w:ascii="宋体" w:hAnsi="宋体" w:eastAsia="宋体" w:cs="宋体"/>
          <w:sz w:val="28"/>
          <w:szCs w:val="28"/>
        </w:rPr>
        <w:t>符合性审查</w:t>
      </w:r>
    </w:p>
    <w:tbl>
      <w:tblPr>
        <w:tblStyle w:val="29"/>
        <w:tblW w:w="9735" w:type="dxa"/>
        <w:tblInd w:w="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8"/>
        <w:gridCol w:w="3000"/>
        <w:gridCol w:w="1262"/>
        <w:gridCol w:w="1695"/>
        <w:gridCol w:w="2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48" w:type="dxa"/>
            <w:vAlign w:val="center"/>
          </w:tcPr>
          <w:p>
            <w:pPr>
              <w:pStyle w:val="44"/>
              <w:pageBreakBefore w:val="0"/>
              <w:topLinePunct w:val="0"/>
              <w:bidi w:val="0"/>
              <w:spacing w:before="38" w:line="360" w:lineRule="auto"/>
              <w:ind w:left="200" w:right="66"/>
              <w:jc w:val="center"/>
              <w:rPr>
                <w:sz w:val="24"/>
              </w:rPr>
            </w:pPr>
            <w:r>
              <w:rPr>
                <w:rFonts w:hint="eastAsia"/>
                <w:sz w:val="24"/>
              </w:rPr>
              <w:t>序号</w:t>
            </w:r>
          </w:p>
        </w:tc>
        <w:tc>
          <w:tcPr>
            <w:tcW w:w="3000" w:type="dxa"/>
            <w:vAlign w:val="center"/>
          </w:tcPr>
          <w:p>
            <w:pPr>
              <w:pStyle w:val="44"/>
              <w:pageBreakBefore w:val="0"/>
              <w:topLinePunct w:val="0"/>
              <w:bidi w:val="0"/>
              <w:spacing w:before="38" w:line="360" w:lineRule="auto"/>
              <w:jc w:val="center"/>
              <w:rPr>
                <w:sz w:val="24"/>
              </w:rPr>
            </w:pPr>
            <w:r>
              <w:rPr>
                <w:rFonts w:hint="eastAsia"/>
                <w:sz w:val="24"/>
              </w:rPr>
              <w:t>项目内容</w:t>
            </w:r>
          </w:p>
        </w:tc>
        <w:tc>
          <w:tcPr>
            <w:tcW w:w="1262" w:type="dxa"/>
            <w:vAlign w:val="center"/>
          </w:tcPr>
          <w:p>
            <w:pPr>
              <w:pStyle w:val="44"/>
              <w:pageBreakBefore w:val="0"/>
              <w:topLinePunct w:val="0"/>
              <w:bidi w:val="0"/>
              <w:spacing w:before="38" w:line="360" w:lineRule="auto"/>
              <w:ind w:right="311"/>
              <w:jc w:val="center"/>
              <w:rPr>
                <w:sz w:val="24"/>
              </w:rPr>
            </w:pPr>
            <w:r>
              <w:rPr>
                <w:rFonts w:hint="eastAsia"/>
                <w:sz w:val="24"/>
              </w:rPr>
              <w:t>合格</w:t>
            </w:r>
          </w:p>
        </w:tc>
        <w:tc>
          <w:tcPr>
            <w:tcW w:w="1695" w:type="dxa"/>
            <w:vAlign w:val="center"/>
          </w:tcPr>
          <w:p>
            <w:pPr>
              <w:pStyle w:val="44"/>
              <w:pageBreakBefore w:val="0"/>
              <w:topLinePunct w:val="0"/>
              <w:bidi w:val="0"/>
              <w:spacing w:before="38" w:line="360" w:lineRule="auto"/>
              <w:jc w:val="center"/>
              <w:rPr>
                <w:sz w:val="24"/>
              </w:rPr>
            </w:pPr>
            <w:r>
              <w:rPr>
                <w:rFonts w:hint="eastAsia"/>
                <w:sz w:val="24"/>
              </w:rPr>
              <w:t>不合格</w:t>
            </w:r>
          </w:p>
        </w:tc>
        <w:tc>
          <w:tcPr>
            <w:tcW w:w="2730" w:type="dxa"/>
            <w:vAlign w:val="center"/>
          </w:tcPr>
          <w:p>
            <w:pPr>
              <w:pStyle w:val="44"/>
              <w:pageBreakBefore w:val="0"/>
              <w:topLinePunct w:val="0"/>
              <w:bidi w:val="0"/>
              <w:spacing w:before="38" w:line="360" w:lineRule="auto"/>
              <w:jc w:val="center"/>
              <w:rPr>
                <w:sz w:val="24"/>
              </w:rPr>
            </w:pPr>
            <w:r>
              <w:rPr>
                <w:rFonts w:hint="eastAsia"/>
                <w:sz w:val="24"/>
              </w:rPr>
              <w:t>不合格理由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48" w:type="dxa"/>
            <w:vAlign w:val="center"/>
          </w:tcPr>
          <w:p>
            <w:pPr>
              <w:pStyle w:val="44"/>
              <w:pageBreakBefore w:val="0"/>
              <w:topLinePunct w:val="0"/>
              <w:bidi w:val="0"/>
              <w:spacing w:before="38" w:line="360" w:lineRule="auto"/>
              <w:ind w:left="195" w:right="66"/>
              <w:jc w:val="center"/>
              <w:rPr>
                <w:sz w:val="24"/>
              </w:rPr>
            </w:pPr>
            <w:r>
              <w:rPr>
                <w:rFonts w:hint="eastAsia"/>
                <w:sz w:val="24"/>
              </w:rPr>
              <w:t>1</w:t>
            </w:r>
          </w:p>
        </w:tc>
        <w:tc>
          <w:tcPr>
            <w:tcW w:w="3000" w:type="dxa"/>
            <w:vAlign w:val="center"/>
          </w:tcPr>
          <w:p>
            <w:pPr>
              <w:pStyle w:val="44"/>
              <w:pageBreakBefore w:val="0"/>
              <w:topLinePunct w:val="0"/>
              <w:bidi w:val="0"/>
              <w:spacing w:before="38" w:line="360" w:lineRule="auto"/>
              <w:ind w:right="326"/>
              <w:jc w:val="center"/>
              <w:rPr>
                <w:sz w:val="24"/>
              </w:rPr>
            </w:pPr>
            <w:r>
              <w:rPr>
                <w:rFonts w:hint="eastAsia"/>
                <w:sz w:val="24"/>
              </w:rPr>
              <w:t>投标文件的有效性</w:t>
            </w:r>
          </w:p>
        </w:tc>
        <w:tc>
          <w:tcPr>
            <w:tcW w:w="1262" w:type="dxa"/>
            <w:vAlign w:val="center"/>
          </w:tcPr>
          <w:p>
            <w:pPr>
              <w:pStyle w:val="44"/>
              <w:pageBreakBefore w:val="0"/>
              <w:topLinePunct w:val="0"/>
              <w:bidi w:val="0"/>
              <w:spacing w:before="38" w:line="360" w:lineRule="auto"/>
              <w:ind w:right="311"/>
              <w:jc w:val="center"/>
              <w:rPr>
                <w:sz w:val="24"/>
              </w:rPr>
            </w:pPr>
          </w:p>
        </w:tc>
        <w:tc>
          <w:tcPr>
            <w:tcW w:w="1695" w:type="dxa"/>
            <w:vAlign w:val="center"/>
          </w:tcPr>
          <w:p>
            <w:pPr>
              <w:pStyle w:val="44"/>
              <w:pageBreakBefore w:val="0"/>
              <w:topLinePunct w:val="0"/>
              <w:bidi w:val="0"/>
              <w:spacing w:before="38" w:line="360" w:lineRule="auto"/>
              <w:ind w:left="1140"/>
              <w:jc w:val="center"/>
              <w:rPr>
                <w:sz w:val="24"/>
              </w:rPr>
            </w:pPr>
          </w:p>
        </w:tc>
        <w:tc>
          <w:tcPr>
            <w:tcW w:w="2730" w:type="dxa"/>
            <w:vAlign w:val="center"/>
          </w:tcPr>
          <w:p>
            <w:pPr>
              <w:pStyle w:val="44"/>
              <w:pageBreakBefore w:val="0"/>
              <w:topLinePunct w:val="0"/>
              <w:bidi w:val="0"/>
              <w:spacing w:before="38" w:line="360" w:lineRule="auto"/>
              <w:ind w:left="1275"/>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1048" w:type="dxa"/>
            <w:vAlign w:val="center"/>
          </w:tcPr>
          <w:p>
            <w:pPr>
              <w:pStyle w:val="44"/>
              <w:pageBreakBefore w:val="0"/>
              <w:topLinePunct w:val="0"/>
              <w:bidi w:val="0"/>
              <w:spacing w:before="33" w:line="360" w:lineRule="auto"/>
              <w:ind w:left="195" w:right="66"/>
              <w:jc w:val="center"/>
              <w:rPr>
                <w:sz w:val="24"/>
              </w:rPr>
            </w:pPr>
            <w:r>
              <w:rPr>
                <w:rFonts w:hint="eastAsia"/>
                <w:sz w:val="24"/>
              </w:rPr>
              <w:t>2</w:t>
            </w:r>
          </w:p>
        </w:tc>
        <w:tc>
          <w:tcPr>
            <w:tcW w:w="3000" w:type="dxa"/>
            <w:vAlign w:val="center"/>
          </w:tcPr>
          <w:p>
            <w:pPr>
              <w:pStyle w:val="44"/>
              <w:pageBreakBefore w:val="0"/>
              <w:topLinePunct w:val="0"/>
              <w:bidi w:val="0"/>
              <w:spacing w:before="33" w:line="360" w:lineRule="auto"/>
              <w:ind w:right="326"/>
              <w:jc w:val="center"/>
              <w:rPr>
                <w:sz w:val="24"/>
              </w:rPr>
            </w:pPr>
            <w:r>
              <w:rPr>
                <w:rFonts w:hint="eastAsia"/>
                <w:sz w:val="24"/>
              </w:rPr>
              <w:t>投标文件的完整性</w:t>
            </w:r>
          </w:p>
        </w:tc>
        <w:tc>
          <w:tcPr>
            <w:tcW w:w="1262" w:type="dxa"/>
            <w:vAlign w:val="center"/>
          </w:tcPr>
          <w:p>
            <w:pPr>
              <w:pStyle w:val="44"/>
              <w:pageBreakBefore w:val="0"/>
              <w:topLinePunct w:val="0"/>
              <w:bidi w:val="0"/>
              <w:spacing w:before="33" w:line="360" w:lineRule="auto"/>
              <w:ind w:right="311"/>
              <w:jc w:val="center"/>
              <w:rPr>
                <w:sz w:val="24"/>
              </w:rPr>
            </w:pPr>
          </w:p>
        </w:tc>
        <w:tc>
          <w:tcPr>
            <w:tcW w:w="1695" w:type="dxa"/>
            <w:vAlign w:val="center"/>
          </w:tcPr>
          <w:p>
            <w:pPr>
              <w:pStyle w:val="44"/>
              <w:pageBreakBefore w:val="0"/>
              <w:topLinePunct w:val="0"/>
              <w:bidi w:val="0"/>
              <w:spacing w:before="33" w:line="360" w:lineRule="auto"/>
              <w:ind w:left="1140"/>
              <w:jc w:val="center"/>
              <w:rPr>
                <w:sz w:val="24"/>
              </w:rPr>
            </w:pPr>
          </w:p>
        </w:tc>
        <w:tc>
          <w:tcPr>
            <w:tcW w:w="2730" w:type="dxa"/>
            <w:vAlign w:val="center"/>
          </w:tcPr>
          <w:p>
            <w:pPr>
              <w:pStyle w:val="44"/>
              <w:pageBreakBefore w:val="0"/>
              <w:topLinePunct w:val="0"/>
              <w:bidi w:val="0"/>
              <w:spacing w:before="33" w:line="360" w:lineRule="auto"/>
              <w:ind w:left="1275"/>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48" w:type="dxa"/>
            <w:vAlign w:val="center"/>
          </w:tcPr>
          <w:p>
            <w:pPr>
              <w:pStyle w:val="44"/>
              <w:pageBreakBefore w:val="0"/>
              <w:topLinePunct w:val="0"/>
              <w:bidi w:val="0"/>
              <w:spacing w:before="38" w:line="360" w:lineRule="auto"/>
              <w:ind w:left="195" w:right="66"/>
              <w:jc w:val="center"/>
              <w:rPr>
                <w:sz w:val="24"/>
              </w:rPr>
            </w:pPr>
            <w:r>
              <w:rPr>
                <w:rFonts w:hint="eastAsia"/>
                <w:sz w:val="24"/>
              </w:rPr>
              <w:t>3</w:t>
            </w:r>
          </w:p>
        </w:tc>
        <w:tc>
          <w:tcPr>
            <w:tcW w:w="3000" w:type="dxa"/>
            <w:vAlign w:val="center"/>
          </w:tcPr>
          <w:p>
            <w:pPr>
              <w:pStyle w:val="44"/>
              <w:pageBreakBefore w:val="0"/>
              <w:topLinePunct w:val="0"/>
              <w:bidi w:val="0"/>
              <w:spacing w:before="38" w:line="360" w:lineRule="auto"/>
              <w:ind w:right="326"/>
              <w:jc w:val="center"/>
              <w:rPr>
                <w:sz w:val="24"/>
              </w:rPr>
            </w:pPr>
            <w:r>
              <w:rPr>
                <w:rFonts w:hint="eastAsia"/>
                <w:sz w:val="24"/>
              </w:rPr>
              <w:t>对招标文件的响应程度</w:t>
            </w:r>
          </w:p>
        </w:tc>
        <w:tc>
          <w:tcPr>
            <w:tcW w:w="1262" w:type="dxa"/>
            <w:vAlign w:val="center"/>
          </w:tcPr>
          <w:p>
            <w:pPr>
              <w:pStyle w:val="44"/>
              <w:pageBreakBefore w:val="0"/>
              <w:topLinePunct w:val="0"/>
              <w:bidi w:val="0"/>
              <w:spacing w:before="38" w:line="360" w:lineRule="auto"/>
              <w:ind w:right="311"/>
              <w:jc w:val="center"/>
              <w:rPr>
                <w:sz w:val="24"/>
              </w:rPr>
            </w:pPr>
          </w:p>
        </w:tc>
        <w:tc>
          <w:tcPr>
            <w:tcW w:w="1695" w:type="dxa"/>
            <w:vAlign w:val="center"/>
          </w:tcPr>
          <w:p>
            <w:pPr>
              <w:pStyle w:val="44"/>
              <w:pageBreakBefore w:val="0"/>
              <w:topLinePunct w:val="0"/>
              <w:bidi w:val="0"/>
              <w:spacing w:before="38" w:line="360" w:lineRule="auto"/>
              <w:ind w:left="1140"/>
              <w:jc w:val="center"/>
              <w:rPr>
                <w:sz w:val="24"/>
              </w:rPr>
            </w:pPr>
          </w:p>
        </w:tc>
        <w:tc>
          <w:tcPr>
            <w:tcW w:w="2730" w:type="dxa"/>
            <w:vAlign w:val="center"/>
          </w:tcPr>
          <w:p>
            <w:pPr>
              <w:pStyle w:val="44"/>
              <w:pageBreakBefore w:val="0"/>
              <w:topLinePunct w:val="0"/>
              <w:bidi w:val="0"/>
              <w:spacing w:before="38" w:line="360" w:lineRule="auto"/>
              <w:ind w:left="1275"/>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48" w:type="dxa"/>
            <w:vAlign w:val="center"/>
          </w:tcPr>
          <w:p>
            <w:pPr>
              <w:pStyle w:val="44"/>
              <w:pageBreakBefore w:val="0"/>
              <w:topLinePunct w:val="0"/>
              <w:bidi w:val="0"/>
              <w:spacing w:before="38" w:line="360" w:lineRule="auto"/>
              <w:ind w:left="195" w:right="66"/>
              <w:jc w:val="center"/>
              <w:rPr>
                <w:sz w:val="24"/>
              </w:rPr>
            </w:pPr>
            <w:r>
              <w:rPr>
                <w:rFonts w:hint="eastAsia"/>
                <w:sz w:val="24"/>
              </w:rPr>
              <w:t>4</w:t>
            </w:r>
          </w:p>
        </w:tc>
        <w:tc>
          <w:tcPr>
            <w:tcW w:w="3000" w:type="dxa"/>
            <w:vAlign w:val="center"/>
          </w:tcPr>
          <w:p>
            <w:pPr>
              <w:pStyle w:val="44"/>
              <w:pageBreakBefore w:val="0"/>
              <w:topLinePunct w:val="0"/>
              <w:bidi w:val="0"/>
              <w:spacing w:before="38" w:line="360" w:lineRule="auto"/>
              <w:ind w:right="326"/>
              <w:jc w:val="center"/>
              <w:rPr>
                <w:sz w:val="24"/>
              </w:rPr>
            </w:pPr>
            <w:r>
              <w:rPr>
                <w:rFonts w:hint="eastAsia"/>
                <w:sz w:val="24"/>
              </w:rPr>
              <w:t>报价是否超过预算</w:t>
            </w:r>
          </w:p>
        </w:tc>
        <w:tc>
          <w:tcPr>
            <w:tcW w:w="1262" w:type="dxa"/>
            <w:vAlign w:val="center"/>
          </w:tcPr>
          <w:p>
            <w:pPr>
              <w:pStyle w:val="44"/>
              <w:pageBreakBefore w:val="0"/>
              <w:topLinePunct w:val="0"/>
              <w:bidi w:val="0"/>
              <w:spacing w:before="38" w:line="360" w:lineRule="auto"/>
              <w:ind w:right="311"/>
              <w:jc w:val="center"/>
              <w:rPr>
                <w:sz w:val="24"/>
              </w:rPr>
            </w:pPr>
          </w:p>
        </w:tc>
        <w:tc>
          <w:tcPr>
            <w:tcW w:w="1695" w:type="dxa"/>
            <w:vAlign w:val="center"/>
          </w:tcPr>
          <w:p>
            <w:pPr>
              <w:pStyle w:val="44"/>
              <w:pageBreakBefore w:val="0"/>
              <w:topLinePunct w:val="0"/>
              <w:bidi w:val="0"/>
              <w:spacing w:before="38" w:line="360" w:lineRule="auto"/>
              <w:ind w:left="1140"/>
              <w:jc w:val="center"/>
              <w:rPr>
                <w:sz w:val="24"/>
              </w:rPr>
            </w:pPr>
          </w:p>
        </w:tc>
        <w:tc>
          <w:tcPr>
            <w:tcW w:w="2730" w:type="dxa"/>
            <w:vAlign w:val="center"/>
          </w:tcPr>
          <w:p>
            <w:pPr>
              <w:pStyle w:val="44"/>
              <w:pageBreakBefore w:val="0"/>
              <w:topLinePunct w:val="0"/>
              <w:bidi w:val="0"/>
              <w:spacing w:before="38" w:line="360" w:lineRule="auto"/>
              <w:ind w:left="1275"/>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1048" w:type="dxa"/>
            <w:vAlign w:val="center"/>
          </w:tcPr>
          <w:p>
            <w:pPr>
              <w:pStyle w:val="44"/>
              <w:pageBreakBefore w:val="0"/>
              <w:topLinePunct w:val="0"/>
              <w:bidi w:val="0"/>
              <w:spacing w:before="43" w:line="360" w:lineRule="auto"/>
              <w:ind w:left="195" w:right="66"/>
              <w:jc w:val="center"/>
              <w:rPr>
                <w:sz w:val="24"/>
              </w:rPr>
            </w:pPr>
            <w:r>
              <w:rPr>
                <w:rFonts w:hint="eastAsia"/>
                <w:sz w:val="24"/>
              </w:rPr>
              <w:t>5</w:t>
            </w:r>
          </w:p>
        </w:tc>
        <w:tc>
          <w:tcPr>
            <w:tcW w:w="3000" w:type="dxa"/>
            <w:vAlign w:val="center"/>
          </w:tcPr>
          <w:p>
            <w:pPr>
              <w:pStyle w:val="44"/>
              <w:pageBreakBefore w:val="0"/>
              <w:topLinePunct w:val="0"/>
              <w:bidi w:val="0"/>
              <w:spacing w:before="43" w:line="360" w:lineRule="auto"/>
              <w:jc w:val="center"/>
              <w:rPr>
                <w:sz w:val="24"/>
              </w:rPr>
            </w:pPr>
            <w:r>
              <w:rPr>
                <w:rFonts w:hint="eastAsia"/>
                <w:sz w:val="24"/>
              </w:rPr>
              <w:t>雷同性审查</w:t>
            </w:r>
          </w:p>
        </w:tc>
        <w:tc>
          <w:tcPr>
            <w:tcW w:w="1262" w:type="dxa"/>
            <w:vAlign w:val="center"/>
          </w:tcPr>
          <w:p>
            <w:pPr>
              <w:pStyle w:val="44"/>
              <w:pageBreakBefore w:val="0"/>
              <w:topLinePunct w:val="0"/>
              <w:bidi w:val="0"/>
              <w:spacing w:before="43" w:line="360" w:lineRule="auto"/>
              <w:ind w:right="311"/>
              <w:jc w:val="center"/>
              <w:rPr>
                <w:sz w:val="24"/>
              </w:rPr>
            </w:pPr>
          </w:p>
        </w:tc>
        <w:tc>
          <w:tcPr>
            <w:tcW w:w="1695" w:type="dxa"/>
            <w:vAlign w:val="center"/>
          </w:tcPr>
          <w:p>
            <w:pPr>
              <w:pStyle w:val="44"/>
              <w:pageBreakBefore w:val="0"/>
              <w:topLinePunct w:val="0"/>
              <w:bidi w:val="0"/>
              <w:spacing w:before="43" w:line="360" w:lineRule="auto"/>
              <w:ind w:left="1140"/>
              <w:jc w:val="center"/>
              <w:rPr>
                <w:sz w:val="24"/>
              </w:rPr>
            </w:pPr>
          </w:p>
        </w:tc>
        <w:tc>
          <w:tcPr>
            <w:tcW w:w="2730" w:type="dxa"/>
            <w:vAlign w:val="center"/>
          </w:tcPr>
          <w:p>
            <w:pPr>
              <w:pStyle w:val="44"/>
              <w:pageBreakBefore w:val="0"/>
              <w:topLinePunct w:val="0"/>
              <w:bidi w:val="0"/>
              <w:spacing w:before="43" w:line="360" w:lineRule="auto"/>
              <w:ind w:left="1275"/>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48" w:type="dxa"/>
            <w:vAlign w:val="center"/>
          </w:tcPr>
          <w:p>
            <w:pPr>
              <w:pStyle w:val="44"/>
              <w:pageBreakBefore w:val="0"/>
              <w:topLinePunct w:val="0"/>
              <w:bidi w:val="0"/>
              <w:spacing w:before="38" w:line="360" w:lineRule="auto"/>
              <w:ind w:left="195" w:right="66"/>
              <w:jc w:val="center"/>
              <w:rPr>
                <w:sz w:val="24"/>
              </w:rPr>
            </w:pPr>
            <w:r>
              <w:rPr>
                <w:rFonts w:hint="eastAsia"/>
                <w:sz w:val="24"/>
              </w:rPr>
              <w:t>6</w:t>
            </w:r>
          </w:p>
        </w:tc>
        <w:tc>
          <w:tcPr>
            <w:tcW w:w="3000" w:type="dxa"/>
            <w:vAlign w:val="center"/>
          </w:tcPr>
          <w:p>
            <w:pPr>
              <w:pStyle w:val="44"/>
              <w:pageBreakBefore w:val="0"/>
              <w:topLinePunct w:val="0"/>
              <w:bidi w:val="0"/>
              <w:spacing w:before="38" w:line="360" w:lineRule="auto"/>
              <w:ind w:right="326"/>
              <w:jc w:val="center"/>
              <w:rPr>
                <w:sz w:val="24"/>
              </w:rPr>
            </w:pPr>
            <w:r>
              <w:rPr>
                <w:rFonts w:hint="eastAsia"/>
                <w:sz w:val="24"/>
              </w:rPr>
              <w:t>投标单位廉政承诺书</w:t>
            </w:r>
          </w:p>
        </w:tc>
        <w:tc>
          <w:tcPr>
            <w:tcW w:w="1262" w:type="dxa"/>
            <w:vAlign w:val="center"/>
          </w:tcPr>
          <w:p>
            <w:pPr>
              <w:pStyle w:val="44"/>
              <w:pageBreakBefore w:val="0"/>
              <w:topLinePunct w:val="0"/>
              <w:bidi w:val="0"/>
              <w:spacing w:before="38" w:line="360" w:lineRule="auto"/>
              <w:ind w:right="311"/>
              <w:jc w:val="center"/>
              <w:rPr>
                <w:sz w:val="24"/>
              </w:rPr>
            </w:pPr>
          </w:p>
        </w:tc>
        <w:tc>
          <w:tcPr>
            <w:tcW w:w="1695" w:type="dxa"/>
            <w:vAlign w:val="center"/>
          </w:tcPr>
          <w:p>
            <w:pPr>
              <w:pStyle w:val="44"/>
              <w:pageBreakBefore w:val="0"/>
              <w:topLinePunct w:val="0"/>
              <w:bidi w:val="0"/>
              <w:spacing w:before="38" w:line="360" w:lineRule="auto"/>
              <w:ind w:left="1140"/>
              <w:jc w:val="center"/>
              <w:rPr>
                <w:sz w:val="24"/>
              </w:rPr>
            </w:pPr>
          </w:p>
        </w:tc>
        <w:tc>
          <w:tcPr>
            <w:tcW w:w="2730" w:type="dxa"/>
            <w:vAlign w:val="center"/>
          </w:tcPr>
          <w:p>
            <w:pPr>
              <w:pStyle w:val="44"/>
              <w:pageBreakBefore w:val="0"/>
              <w:topLinePunct w:val="0"/>
              <w:bidi w:val="0"/>
              <w:spacing w:before="38" w:line="360" w:lineRule="auto"/>
              <w:ind w:left="1275"/>
              <w:jc w:val="center"/>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48" w:type="dxa"/>
            <w:vAlign w:val="center"/>
          </w:tcPr>
          <w:p>
            <w:pPr>
              <w:pStyle w:val="44"/>
              <w:pageBreakBefore w:val="0"/>
              <w:topLinePunct w:val="0"/>
              <w:bidi w:val="0"/>
              <w:spacing w:before="38" w:line="360" w:lineRule="auto"/>
              <w:ind w:left="195" w:right="66"/>
              <w:jc w:val="center"/>
              <w:rPr>
                <w:sz w:val="24"/>
              </w:rPr>
            </w:pPr>
            <w:r>
              <w:rPr>
                <w:rFonts w:hint="eastAsia"/>
                <w:sz w:val="24"/>
              </w:rPr>
              <w:t>7</w:t>
            </w:r>
          </w:p>
        </w:tc>
        <w:tc>
          <w:tcPr>
            <w:tcW w:w="3000" w:type="dxa"/>
            <w:vAlign w:val="center"/>
          </w:tcPr>
          <w:p>
            <w:pPr>
              <w:pStyle w:val="44"/>
              <w:pageBreakBefore w:val="0"/>
              <w:topLinePunct w:val="0"/>
              <w:bidi w:val="0"/>
              <w:spacing w:before="38" w:line="360" w:lineRule="auto"/>
              <w:ind w:right="446"/>
              <w:jc w:val="center"/>
              <w:rPr>
                <w:sz w:val="24"/>
              </w:rPr>
            </w:pPr>
            <w:r>
              <w:rPr>
                <w:rFonts w:hint="eastAsia"/>
                <w:sz w:val="24"/>
              </w:rPr>
              <w:t>其它实质性偏差</w:t>
            </w:r>
          </w:p>
        </w:tc>
        <w:tc>
          <w:tcPr>
            <w:tcW w:w="1262" w:type="dxa"/>
            <w:vAlign w:val="center"/>
          </w:tcPr>
          <w:p>
            <w:pPr>
              <w:pStyle w:val="44"/>
              <w:pageBreakBefore w:val="0"/>
              <w:topLinePunct w:val="0"/>
              <w:bidi w:val="0"/>
              <w:spacing w:before="38" w:line="360" w:lineRule="auto"/>
              <w:ind w:right="311"/>
              <w:jc w:val="center"/>
              <w:rPr>
                <w:sz w:val="24"/>
              </w:rPr>
            </w:pPr>
          </w:p>
        </w:tc>
        <w:tc>
          <w:tcPr>
            <w:tcW w:w="1695" w:type="dxa"/>
            <w:vAlign w:val="center"/>
          </w:tcPr>
          <w:p>
            <w:pPr>
              <w:pStyle w:val="44"/>
              <w:pageBreakBefore w:val="0"/>
              <w:topLinePunct w:val="0"/>
              <w:bidi w:val="0"/>
              <w:spacing w:before="38" w:line="360" w:lineRule="auto"/>
              <w:ind w:left="1140"/>
              <w:jc w:val="center"/>
              <w:rPr>
                <w:sz w:val="24"/>
              </w:rPr>
            </w:pPr>
          </w:p>
        </w:tc>
        <w:tc>
          <w:tcPr>
            <w:tcW w:w="2730" w:type="dxa"/>
            <w:vAlign w:val="center"/>
          </w:tcPr>
          <w:p>
            <w:pPr>
              <w:pStyle w:val="44"/>
              <w:pageBreakBefore w:val="0"/>
              <w:topLinePunct w:val="0"/>
              <w:bidi w:val="0"/>
              <w:spacing w:before="38" w:line="360" w:lineRule="auto"/>
              <w:ind w:left="1275"/>
              <w:jc w:val="center"/>
              <w:rPr>
                <w:sz w:val="24"/>
              </w:rPr>
            </w:pPr>
          </w:p>
        </w:tc>
      </w:tr>
    </w:tbl>
    <w:p>
      <w:pPr>
        <w:pageBreakBefore w:val="0"/>
        <w:topLinePunct w:val="0"/>
        <w:bidi w:val="0"/>
        <w:spacing w:line="360" w:lineRule="auto"/>
        <w:rPr>
          <w:rFonts w:ascii="宋体" w:hAnsi="宋体" w:cs="宋体"/>
        </w:rPr>
      </w:pPr>
    </w:p>
    <w:p>
      <w:pPr>
        <w:pageBreakBefore w:val="0"/>
        <w:topLinePunct w:val="0"/>
        <w:bidi w:val="0"/>
        <w:spacing w:line="360" w:lineRule="auto"/>
        <w:ind w:firstLine="420" w:firstLineChars="200"/>
        <w:rPr>
          <w:rFonts w:ascii="宋体" w:hAnsi="宋体" w:cs="宋体"/>
          <w:szCs w:val="24"/>
        </w:rPr>
      </w:pPr>
      <w:r>
        <w:rPr>
          <w:rFonts w:hint="eastAsia" w:ascii="宋体" w:hAnsi="宋体" w:cs="宋体"/>
          <w:szCs w:val="24"/>
        </w:rPr>
        <w:t>注：评标委员会根据招标文件第三章供应商须知第20.2.2的规定，对通过资格审查的合格投标人的投标文件进行符合性审查，未通过符合性审查的投标不进入详细评审。</w:t>
      </w:r>
    </w:p>
    <w:p>
      <w:pPr>
        <w:pStyle w:val="43"/>
        <w:pageBreakBefore w:val="0"/>
        <w:topLinePunct w:val="0"/>
        <w:bidi w:val="0"/>
        <w:spacing w:line="360" w:lineRule="auto"/>
        <w:ind w:left="223" w:right="272" w:firstLine="0" w:firstLineChars="0"/>
        <w:rPr>
          <w:rFonts w:ascii="宋体" w:hAnsi="宋体" w:cs="宋体"/>
        </w:rPr>
      </w:pPr>
    </w:p>
    <w:p>
      <w:pPr>
        <w:pageBreakBefore w:val="0"/>
        <w:topLinePunct w:val="0"/>
        <w:bidi w:val="0"/>
        <w:spacing w:line="360" w:lineRule="auto"/>
        <w:rPr>
          <w:rFonts w:ascii="宋体" w:hAnsi="宋体" w:cs="宋体"/>
          <w:b/>
          <w:sz w:val="28"/>
          <w:szCs w:val="28"/>
        </w:rPr>
      </w:pPr>
      <w:r>
        <w:rPr>
          <w:rFonts w:hint="eastAsia" w:ascii="宋体" w:hAnsi="宋体" w:cs="宋体"/>
          <w:b/>
          <w:sz w:val="28"/>
          <w:szCs w:val="28"/>
        </w:rPr>
        <w:br w:type="page"/>
      </w:r>
    </w:p>
    <w:p>
      <w:pPr>
        <w:pageBreakBefore w:val="0"/>
        <w:topLinePunct w:val="0"/>
        <w:bidi w:val="0"/>
        <w:spacing w:line="360" w:lineRule="auto"/>
        <w:ind w:firstLine="562" w:firstLineChars="200"/>
        <w:jc w:val="left"/>
        <w:outlineLvl w:val="1"/>
        <w:rPr>
          <w:rFonts w:ascii="宋体" w:hAnsi="宋体" w:cs="宋体"/>
          <w:b/>
          <w:sz w:val="28"/>
          <w:szCs w:val="28"/>
        </w:rPr>
      </w:pPr>
      <w:r>
        <w:rPr>
          <w:rFonts w:hint="eastAsia" w:ascii="宋体" w:hAnsi="宋体" w:cs="宋体"/>
          <w:b/>
          <w:sz w:val="28"/>
          <w:szCs w:val="28"/>
        </w:rPr>
        <w:t>三、评标方法与定标原则</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评标委员会将对确定为实质性响应招标文件要求的投标文件进行评价和比较，评标采用综合评分法。采用综合评分法的，评标结果按评审后得分由高到低顺序排列。得分相同的，按投标报价由低到高顺序排列。得分且投标报价相同的抽签决定。投标文件满足招标文件全部实质性要求，且评审得分最高的投标人为排名第一的中标候选人、得分次高的投标人为第二中标候选人，以此类推。</w:t>
      </w:r>
    </w:p>
    <w:p>
      <w:pPr>
        <w:pageBreakBefore w:val="0"/>
        <w:topLinePunct w:val="0"/>
        <w:bidi w:val="0"/>
        <w:spacing w:line="360" w:lineRule="auto"/>
        <w:ind w:firstLine="562" w:firstLineChars="200"/>
        <w:jc w:val="left"/>
        <w:outlineLvl w:val="1"/>
        <w:rPr>
          <w:rFonts w:ascii="宋体" w:hAnsi="宋体" w:cs="宋体"/>
          <w:b/>
          <w:sz w:val="28"/>
          <w:szCs w:val="28"/>
        </w:rPr>
      </w:pPr>
      <w:r>
        <w:rPr>
          <w:rFonts w:hint="eastAsia" w:ascii="宋体" w:hAnsi="宋体" w:cs="宋体"/>
          <w:b/>
          <w:sz w:val="28"/>
          <w:szCs w:val="28"/>
        </w:rPr>
        <w:t>四、评标标准</w:t>
      </w:r>
    </w:p>
    <w:p>
      <w:pPr>
        <w:pageBreakBefore w:val="0"/>
        <w:topLinePunct w:val="0"/>
        <w:bidi w:val="0"/>
        <w:spacing w:line="360" w:lineRule="auto"/>
        <w:ind w:firstLine="480" w:firstLineChars="200"/>
        <w:jc w:val="left"/>
        <w:rPr>
          <w:rFonts w:ascii="宋体" w:hAnsi="宋体" w:cs="宋体"/>
        </w:rPr>
      </w:pPr>
      <w:r>
        <w:rPr>
          <w:rFonts w:hint="eastAsia" w:ascii="宋体" w:hAnsi="宋体" w:cs="宋体"/>
          <w:sz w:val="24"/>
          <w:szCs w:val="24"/>
        </w:rPr>
        <w:t>本项目采用综合评分法确定中标候选人。评标委员会将按下列评分办法和标准进行评分，总分值为100分。</w:t>
      </w:r>
    </w:p>
    <w:p>
      <w:pPr>
        <w:pageBreakBefore w:val="0"/>
        <w:topLinePunct w:val="0"/>
        <w:bidi w:val="0"/>
        <w:spacing w:before="210" w:line="360" w:lineRule="auto"/>
        <w:ind w:right="271" w:firstLine="562" w:firstLineChars="200"/>
        <w:jc w:val="center"/>
        <w:rPr>
          <w:rFonts w:ascii="宋体" w:hAnsi="宋体" w:cs="宋体"/>
          <w:b/>
          <w:bCs/>
          <w:sz w:val="28"/>
          <w:szCs w:val="28"/>
        </w:rPr>
      </w:pPr>
      <w:r>
        <w:rPr>
          <w:rFonts w:hint="eastAsia" w:ascii="宋体" w:hAnsi="宋体" w:cs="宋体"/>
          <w:b/>
          <w:bCs/>
          <w:sz w:val="28"/>
          <w:szCs w:val="28"/>
        </w:rPr>
        <w:t>评标办法</w:t>
      </w:r>
    </w:p>
    <w:tbl>
      <w:tblPr>
        <w:tblStyle w:val="29"/>
        <w:tblW w:w="9705" w:type="dxa"/>
        <w:tblInd w:w="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5"/>
        <w:gridCol w:w="720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1425" w:type="dxa"/>
            <w:vAlign w:val="center"/>
          </w:tcPr>
          <w:p>
            <w:pPr>
              <w:pStyle w:val="44"/>
              <w:pageBreakBefore w:val="0"/>
              <w:topLinePunct w:val="0"/>
              <w:bidi w:val="0"/>
              <w:spacing w:line="360" w:lineRule="auto"/>
              <w:jc w:val="center"/>
              <w:rPr>
                <w:b/>
                <w:bCs/>
                <w:sz w:val="24"/>
                <w:szCs w:val="24"/>
              </w:rPr>
            </w:pPr>
            <w:r>
              <w:rPr>
                <w:rFonts w:hint="eastAsia"/>
                <w:b/>
                <w:bCs/>
                <w:sz w:val="24"/>
                <w:szCs w:val="24"/>
              </w:rPr>
              <w:t>类别</w:t>
            </w:r>
          </w:p>
        </w:tc>
        <w:tc>
          <w:tcPr>
            <w:tcW w:w="7200" w:type="dxa"/>
            <w:vAlign w:val="center"/>
          </w:tcPr>
          <w:p>
            <w:pPr>
              <w:pStyle w:val="44"/>
              <w:pageBreakBefore w:val="0"/>
              <w:topLinePunct w:val="0"/>
              <w:bidi w:val="0"/>
              <w:spacing w:line="360" w:lineRule="auto"/>
              <w:jc w:val="center"/>
              <w:rPr>
                <w:b/>
                <w:bCs/>
                <w:sz w:val="24"/>
                <w:szCs w:val="24"/>
              </w:rPr>
            </w:pPr>
            <w:r>
              <w:rPr>
                <w:rFonts w:hint="eastAsia"/>
                <w:b/>
                <w:bCs/>
                <w:sz w:val="24"/>
                <w:szCs w:val="24"/>
              </w:rPr>
              <w:t>评分依据</w:t>
            </w:r>
          </w:p>
        </w:tc>
        <w:tc>
          <w:tcPr>
            <w:tcW w:w="1080" w:type="dxa"/>
            <w:vAlign w:val="center"/>
          </w:tcPr>
          <w:p>
            <w:pPr>
              <w:pStyle w:val="44"/>
              <w:pageBreakBefore w:val="0"/>
              <w:topLinePunct w:val="0"/>
              <w:bidi w:val="0"/>
              <w:spacing w:before="153" w:line="360" w:lineRule="auto"/>
              <w:ind w:left="114" w:right="101"/>
              <w:jc w:val="center"/>
              <w:rPr>
                <w:b/>
                <w:sz w:val="24"/>
                <w:szCs w:val="24"/>
              </w:rPr>
            </w:pPr>
            <w:r>
              <w:rPr>
                <w:rFonts w:hint="eastAsia"/>
                <w:b/>
                <w:w w:val="105"/>
                <w:sz w:val="24"/>
                <w:szCs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1425" w:type="dxa"/>
            <w:vAlign w:val="center"/>
          </w:tcPr>
          <w:p>
            <w:pPr>
              <w:pStyle w:val="44"/>
              <w:pageBreakBefore w:val="0"/>
              <w:topLinePunct w:val="0"/>
              <w:bidi w:val="0"/>
              <w:spacing w:before="117" w:line="360" w:lineRule="auto"/>
              <w:ind w:right="87"/>
              <w:jc w:val="center"/>
              <w:rPr>
                <w:szCs w:val="21"/>
              </w:rPr>
            </w:pPr>
            <w:r>
              <w:rPr>
                <w:rFonts w:hint="eastAsia"/>
                <w:szCs w:val="21"/>
              </w:rPr>
              <w:t>价格</w:t>
            </w:r>
          </w:p>
          <w:p>
            <w:pPr>
              <w:pStyle w:val="44"/>
              <w:pageBreakBefore w:val="0"/>
              <w:topLinePunct w:val="0"/>
              <w:bidi w:val="0"/>
              <w:spacing w:before="117" w:line="360" w:lineRule="auto"/>
              <w:ind w:right="87"/>
              <w:jc w:val="center"/>
              <w:rPr>
                <w:szCs w:val="21"/>
              </w:rPr>
            </w:pPr>
            <w:r>
              <w:rPr>
                <w:rFonts w:hint="eastAsia"/>
                <w:szCs w:val="21"/>
              </w:rPr>
              <w:t>（</w:t>
            </w:r>
            <w:r>
              <w:rPr>
                <w:rFonts w:hint="eastAsia"/>
                <w:szCs w:val="21"/>
                <w:highlight w:val="yellow"/>
                <w:lang w:val="en-US" w:eastAsia="zh-CN"/>
              </w:rPr>
              <w:t>40</w:t>
            </w:r>
            <w:r>
              <w:rPr>
                <w:rFonts w:hint="eastAsia"/>
                <w:szCs w:val="21"/>
                <w:highlight w:val="yellow"/>
              </w:rPr>
              <w:t>分</w:t>
            </w:r>
            <w:r>
              <w:rPr>
                <w:rFonts w:hint="eastAsia"/>
                <w:szCs w:val="21"/>
              </w:rPr>
              <w:t>）</w:t>
            </w:r>
          </w:p>
        </w:tc>
        <w:tc>
          <w:tcPr>
            <w:tcW w:w="7200" w:type="dxa"/>
            <w:vAlign w:val="center"/>
          </w:tcPr>
          <w:p>
            <w:pPr>
              <w:pStyle w:val="44"/>
              <w:pageBreakBefore w:val="0"/>
              <w:topLinePunct w:val="0"/>
              <w:bidi w:val="0"/>
              <w:spacing w:before="117" w:line="360" w:lineRule="auto"/>
              <w:ind w:right="87"/>
              <w:jc w:val="left"/>
              <w:rPr>
                <w:szCs w:val="21"/>
              </w:rPr>
            </w:pPr>
            <w:r>
              <w:rPr>
                <w:rFonts w:hint="eastAsia"/>
                <w:kern w:val="0"/>
                <w:szCs w:val="21"/>
              </w:rPr>
              <w:t>采用低价优先法计算，即满足招标文件要求且投标价格低的投标报价为评标基准价，其价格分为满分。其他投标人的价格分按照下列公式计算（小数点保留两位）：投标报价得分=(评标基准价／投标报价)×</w:t>
            </w:r>
            <w:r>
              <w:rPr>
                <w:rFonts w:hint="eastAsia"/>
                <w:kern w:val="0"/>
                <w:szCs w:val="21"/>
                <w:highlight w:val="yellow"/>
                <w:lang w:val="en-US" w:eastAsia="zh-CN"/>
              </w:rPr>
              <w:t>40</w:t>
            </w:r>
            <w:r>
              <w:rPr>
                <w:rFonts w:hint="eastAsia"/>
                <w:kern w:val="0"/>
                <w:szCs w:val="21"/>
                <w:highlight w:val="yellow"/>
              </w:rPr>
              <w:t>分</w:t>
            </w:r>
          </w:p>
        </w:tc>
        <w:tc>
          <w:tcPr>
            <w:tcW w:w="1080" w:type="dxa"/>
            <w:vAlign w:val="center"/>
          </w:tcPr>
          <w:p>
            <w:pPr>
              <w:pStyle w:val="44"/>
              <w:pageBreakBefore w:val="0"/>
              <w:topLinePunct w:val="0"/>
              <w:bidi w:val="0"/>
              <w:spacing w:before="1" w:line="360" w:lineRule="auto"/>
              <w:ind w:right="101"/>
              <w:jc w:val="center"/>
              <w:rPr>
                <w:rFonts w:hint="default" w:eastAsia="宋体"/>
                <w:szCs w:val="21"/>
                <w:lang w:val="en-US" w:eastAsia="zh-CN"/>
              </w:rPr>
            </w:pPr>
            <w:r>
              <w:rPr>
                <w:rFonts w:hint="eastAsia"/>
                <w:szCs w:val="21"/>
                <w:highlight w:val="yellow"/>
                <w:lang w:val="en-US" w:eastAsia="zh-C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2" w:hRule="atLeast"/>
        </w:trPr>
        <w:tc>
          <w:tcPr>
            <w:tcW w:w="1425" w:type="dxa"/>
            <w:vAlign w:val="center"/>
          </w:tcPr>
          <w:p>
            <w:pPr>
              <w:pStyle w:val="44"/>
              <w:pageBreakBefore w:val="0"/>
              <w:topLinePunct w:val="0"/>
              <w:bidi w:val="0"/>
              <w:spacing w:before="117" w:line="360" w:lineRule="auto"/>
              <w:ind w:right="87"/>
              <w:jc w:val="center"/>
              <w:rPr>
                <w:szCs w:val="21"/>
                <w:highlight w:val="yellow"/>
              </w:rPr>
            </w:pPr>
            <w:r>
              <w:rPr>
                <w:rFonts w:hint="eastAsia"/>
                <w:szCs w:val="21"/>
                <w:highlight w:val="yellow"/>
              </w:rPr>
              <w:t>业绩</w:t>
            </w:r>
          </w:p>
          <w:p>
            <w:pPr>
              <w:pStyle w:val="44"/>
              <w:pageBreakBefore w:val="0"/>
              <w:topLinePunct w:val="0"/>
              <w:bidi w:val="0"/>
              <w:spacing w:before="117" w:line="360" w:lineRule="auto"/>
              <w:ind w:right="87"/>
              <w:jc w:val="center"/>
              <w:rPr>
                <w:szCs w:val="21"/>
                <w:highlight w:val="yellow"/>
              </w:rPr>
            </w:pPr>
            <w:r>
              <w:rPr>
                <w:rFonts w:hint="eastAsia"/>
                <w:szCs w:val="21"/>
                <w:highlight w:val="yellow"/>
              </w:rPr>
              <w:t>（</w:t>
            </w:r>
            <w:r>
              <w:rPr>
                <w:rFonts w:hint="eastAsia"/>
                <w:szCs w:val="21"/>
                <w:highlight w:val="yellow"/>
                <w:lang w:val="en-US" w:eastAsia="zh-CN"/>
              </w:rPr>
              <w:t>9</w:t>
            </w:r>
            <w:r>
              <w:rPr>
                <w:rFonts w:hint="eastAsia"/>
                <w:szCs w:val="21"/>
                <w:highlight w:val="yellow"/>
              </w:rPr>
              <w:t>分）</w:t>
            </w:r>
          </w:p>
        </w:tc>
        <w:tc>
          <w:tcPr>
            <w:tcW w:w="7200" w:type="dxa"/>
            <w:vAlign w:val="center"/>
          </w:tcPr>
          <w:p>
            <w:pPr>
              <w:pageBreakBefore w:val="0"/>
              <w:widowControl/>
              <w:topLinePunct w:val="0"/>
              <w:bidi w:val="0"/>
              <w:spacing w:line="360" w:lineRule="auto"/>
              <w:jc w:val="left"/>
              <w:rPr>
                <w:rFonts w:hint="default" w:ascii="宋体" w:hAnsi="宋体" w:cs="宋体"/>
                <w:kern w:val="0"/>
                <w:szCs w:val="21"/>
                <w:highlight w:val="yellow"/>
                <w:lang w:val="en-US"/>
              </w:rPr>
            </w:pPr>
            <w:r>
              <w:rPr>
                <w:rFonts w:hint="eastAsia" w:ascii="宋体" w:hAnsi="宋体" w:cs="宋体"/>
                <w:kern w:val="0"/>
                <w:szCs w:val="21"/>
                <w:highlight w:val="yellow"/>
              </w:rPr>
              <w:t>投标人须提供近三年（以2019年7月1日以后，以合同日期为准）以来</w:t>
            </w:r>
            <w:r>
              <w:rPr>
                <w:rFonts w:hint="eastAsia" w:ascii="宋体" w:hAnsi="宋体" w:cs="宋体"/>
                <w:kern w:val="0"/>
                <w:szCs w:val="21"/>
                <w:highlight w:val="yellow"/>
                <w:lang w:eastAsia="zh-CN"/>
              </w:rPr>
              <w:t>承担过</w:t>
            </w:r>
            <w:r>
              <w:rPr>
                <w:rFonts w:hint="eastAsia"/>
                <w:highlight w:val="yellow"/>
                <w:lang w:val="en-US" w:eastAsia="zh-CN"/>
              </w:rPr>
              <w:t>类似业绩的有一个得3分，满分9分。</w:t>
            </w:r>
          </w:p>
          <w:p>
            <w:pPr>
              <w:pStyle w:val="44"/>
              <w:pageBreakBefore w:val="0"/>
              <w:topLinePunct w:val="0"/>
              <w:bidi w:val="0"/>
              <w:spacing w:before="117" w:line="360" w:lineRule="auto"/>
              <w:ind w:right="87"/>
              <w:jc w:val="left"/>
              <w:rPr>
                <w:szCs w:val="21"/>
                <w:highlight w:val="yellow"/>
              </w:rPr>
            </w:pPr>
            <w:r>
              <w:rPr>
                <w:rFonts w:hint="eastAsia"/>
                <w:kern w:val="0"/>
                <w:szCs w:val="21"/>
                <w:highlight w:val="yellow"/>
              </w:rPr>
              <w:t>（提供合同复印件加盖公章，合同</w:t>
            </w:r>
            <w:r>
              <w:rPr>
                <w:rFonts w:hint="eastAsia"/>
                <w:kern w:val="0"/>
                <w:szCs w:val="21"/>
                <w:highlight w:val="yellow"/>
                <w:lang w:eastAsia="zh-CN"/>
              </w:rPr>
              <w:t>应</w:t>
            </w:r>
            <w:r>
              <w:rPr>
                <w:rFonts w:hint="eastAsia"/>
                <w:kern w:val="0"/>
                <w:szCs w:val="21"/>
                <w:highlight w:val="yellow"/>
              </w:rPr>
              <w:t>反映出相关内容，否则视为未提供）</w:t>
            </w:r>
          </w:p>
        </w:tc>
        <w:tc>
          <w:tcPr>
            <w:tcW w:w="1080" w:type="dxa"/>
            <w:vAlign w:val="center"/>
          </w:tcPr>
          <w:p>
            <w:pPr>
              <w:pStyle w:val="44"/>
              <w:pageBreakBefore w:val="0"/>
              <w:topLinePunct w:val="0"/>
              <w:bidi w:val="0"/>
              <w:spacing w:before="1" w:line="360" w:lineRule="auto"/>
              <w:ind w:right="101"/>
              <w:jc w:val="center"/>
              <w:rPr>
                <w:rFonts w:hint="eastAsia" w:eastAsia="宋体"/>
                <w:szCs w:val="21"/>
                <w:highlight w:val="yellow"/>
                <w:lang w:eastAsia="zh-CN"/>
              </w:rPr>
            </w:pPr>
            <w:r>
              <w:rPr>
                <w:rFonts w:hint="eastAsia"/>
                <w:szCs w:val="21"/>
                <w:highlight w:val="yellow"/>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25" w:type="dxa"/>
            <w:vAlign w:val="center"/>
          </w:tcPr>
          <w:p>
            <w:pPr>
              <w:pStyle w:val="44"/>
              <w:pageBreakBefore w:val="0"/>
              <w:topLinePunct w:val="0"/>
              <w:bidi w:val="0"/>
              <w:spacing w:before="117" w:line="360" w:lineRule="auto"/>
              <w:ind w:right="87"/>
              <w:jc w:val="center"/>
              <w:rPr>
                <w:szCs w:val="21"/>
              </w:rPr>
            </w:pPr>
            <w:r>
              <w:rPr>
                <w:rFonts w:hint="eastAsia"/>
                <w:szCs w:val="21"/>
              </w:rPr>
              <w:t>履约能力</w:t>
            </w:r>
          </w:p>
          <w:p>
            <w:pPr>
              <w:pStyle w:val="44"/>
              <w:pageBreakBefore w:val="0"/>
              <w:topLinePunct w:val="0"/>
              <w:bidi w:val="0"/>
              <w:spacing w:before="117" w:line="360" w:lineRule="auto"/>
              <w:ind w:right="87"/>
              <w:jc w:val="center"/>
              <w:rPr>
                <w:szCs w:val="21"/>
              </w:rPr>
            </w:pPr>
            <w:r>
              <w:rPr>
                <w:rFonts w:hint="eastAsia"/>
                <w:szCs w:val="21"/>
              </w:rPr>
              <w:t>（6分）</w:t>
            </w:r>
          </w:p>
        </w:tc>
        <w:tc>
          <w:tcPr>
            <w:tcW w:w="7200" w:type="dxa"/>
            <w:vAlign w:val="center"/>
          </w:tcPr>
          <w:p>
            <w:pPr>
              <w:pageBreakBefore w:val="0"/>
              <w:widowControl/>
              <w:topLinePunct w:val="0"/>
              <w:bidi w:val="0"/>
              <w:spacing w:line="360" w:lineRule="auto"/>
              <w:jc w:val="left"/>
              <w:rPr>
                <w:szCs w:val="21"/>
              </w:rPr>
            </w:pPr>
            <w:r>
              <w:rPr>
                <w:rFonts w:hint="eastAsia" w:ascii="宋体" w:hAnsi="宋体" w:cs="宋体"/>
                <w:kern w:val="0"/>
                <w:szCs w:val="21"/>
                <w:highlight w:val="yellow"/>
              </w:rPr>
              <w:t>投标人具有有效的质量管理体系（ISO9001）认证、环境管理体系（ISO14001）认证、职业健康安全管理体系（ISO45001）认证，每项得2分，满分6分，（上述证书须可在国家认证认可监督管理委员会官网查询，提供网页版查询记录截图及证书复印件并加盖单位公章，未提供或提供不全不得分）。</w:t>
            </w:r>
          </w:p>
        </w:tc>
        <w:tc>
          <w:tcPr>
            <w:tcW w:w="1080" w:type="dxa"/>
            <w:vAlign w:val="center"/>
          </w:tcPr>
          <w:p>
            <w:pPr>
              <w:pStyle w:val="44"/>
              <w:pageBreakBefore w:val="0"/>
              <w:topLinePunct w:val="0"/>
              <w:bidi w:val="0"/>
              <w:spacing w:line="360" w:lineRule="auto"/>
              <w:ind w:right="101"/>
              <w:jc w:val="center"/>
              <w:rPr>
                <w:szCs w:val="21"/>
              </w:rPr>
            </w:pPr>
            <w:r>
              <w:rPr>
                <w:rFonts w:hint="eastAsia"/>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25" w:type="dxa"/>
            <w:vAlign w:val="center"/>
          </w:tcPr>
          <w:p>
            <w:pPr>
              <w:pStyle w:val="44"/>
              <w:pageBreakBefore w:val="0"/>
              <w:topLinePunct w:val="0"/>
              <w:bidi w:val="0"/>
              <w:spacing w:before="117" w:line="360" w:lineRule="auto"/>
              <w:ind w:right="87"/>
              <w:jc w:val="center"/>
              <w:rPr>
                <w:rFonts w:hint="eastAsia"/>
                <w:szCs w:val="21"/>
                <w:highlight w:val="yellow"/>
                <w:lang w:eastAsia="zh-CN"/>
              </w:rPr>
            </w:pPr>
            <w:r>
              <w:rPr>
                <w:rFonts w:hint="eastAsia"/>
                <w:szCs w:val="21"/>
                <w:highlight w:val="yellow"/>
                <w:lang w:eastAsia="zh-CN"/>
              </w:rPr>
              <w:t>售后质保</w:t>
            </w:r>
          </w:p>
          <w:p>
            <w:pPr>
              <w:pStyle w:val="44"/>
              <w:pageBreakBefore w:val="0"/>
              <w:topLinePunct w:val="0"/>
              <w:bidi w:val="0"/>
              <w:spacing w:before="117" w:line="360" w:lineRule="auto"/>
              <w:ind w:right="87"/>
              <w:jc w:val="center"/>
              <w:rPr>
                <w:rFonts w:hint="eastAsia"/>
                <w:szCs w:val="21"/>
                <w:highlight w:val="yellow"/>
                <w:lang w:eastAsia="zh-CN"/>
              </w:rPr>
            </w:pPr>
            <w:r>
              <w:rPr>
                <w:rFonts w:hint="eastAsia"/>
                <w:szCs w:val="21"/>
                <w:highlight w:val="yellow"/>
                <w:lang w:eastAsia="zh-CN"/>
              </w:rPr>
              <w:t>（</w:t>
            </w:r>
            <w:r>
              <w:rPr>
                <w:rFonts w:hint="eastAsia"/>
                <w:szCs w:val="21"/>
                <w:highlight w:val="yellow"/>
                <w:lang w:val="en-US" w:eastAsia="zh-CN"/>
              </w:rPr>
              <w:t>3分</w:t>
            </w:r>
            <w:r>
              <w:rPr>
                <w:rFonts w:hint="eastAsia"/>
                <w:szCs w:val="21"/>
                <w:highlight w:val="yellow"/>
                <w:lang w:eastAsia="zh-CN"/>
              </w:rPr>
              <w:t>）</w:t>
            </w:r>
          </w:p>
        </w:tc>
        <w:tc>
          <w:tcPr>
            <w:tcW w:w="7200" w:type="dxa"/>
            <w:vAlign w:val="center"/>
          </w:tcPr>
          <w:p>
            <w:pPr>
              <w:pStyle w:val="44"/>
              <w:pageBreakBefore w:val="0"/>
              <w:topLinePunct w:val="0"/>
              <w:bidi w:val="0"/>
              <w:spacing w:before="117" w:line="360" w:lineRule="auto"/>
              <w:ind w:right="87"/>
              <w:jc w:val="left"/>
              <w:rPr>
                <w:rFonts w:hint="eastAsia"/>
                <w:highlight w:val="yellow"/>
                <w:lang w:val="en-US" w:eastAsia="zh-CN"/>
              </w:rPr>
            </w:pPr>
            <w:r>
              <w:rPr>
                <w:rFonts w:hint="eastAsia" w:ascii="宋体" w:hAnsi="宋体" w:cs="宋体"/>
                <w:kern w:val="0"/>
                <w:szCs w:val="21"/>
                <w:highlight w:val="yellow"/>
                <w:lang w:eastAsia="zh-CN"/>
              </w:rPr>
              <w:t>在满足招标文件质保期的基础上，</w:t>
            </w:r>
            <w:r>
              <w:rPr>
                <w:rFonts w:hint="eastAsia" w:cs="宋体"/>
                <w:kern w:val="0"/>
                <w:szCs w:val="21"/>
                <w:highlight w:val="yellow"/>
                <w:lang w:eastAsia="zh-CN"/>
              </w:rPr>
              <w:t>质保期每延长</w:t>
            </w:r>
            <w:r>
              <w:rPr>
                <w:rFonts w:hint="eastAsia" w:cs="宋体"/>
                <w:kern w:val="0"/>
                <w:szCs w:val="21"/>
                <w:highlight w:val="yellow"/>
                <w:lang w:val="en-US" w:eastAsia="zh-CN"/>
              </w:rPr>
              <w:t>1年，加1分，</w:t>
            </w:r>
            <w:r>
              <w:rPr>
                <w:rFonts w:hint="eastAsia"/>
                <w:highlight w:val="yellow"/>
                <w:lang w:val="en-US" w:eastAsia="zh-CN"/>
              </w:rPr>
              <w:t>满分3分。</w:t>
            </w:r>
          </w:p>
          <w:p>
            <w:pPr>
              <w:pStyle w:val="44"/>
              <w:pageBreakBefore w:val="0"/>
              <w:topLinePunct w:val="0"/>
              <w:bidi w:val="0"/>
              <w:spacing w:before="117" w:line="360" w:lineRule="auto"/>
              <w:ind w:right="87"/>
              <w:jc w:val="left"/>
              <w:rPr>
                <w:rFonts w:hint="eastAsia"/>
                <w:kern w:val="0"/>
                <w:szCs w:val="21"/>
                <w:highlight w:val="yellow"/>
              </w:rPr>
            </w:pPr>
            <w:r>
              <w:rPr>
                <w:rFonts w:hint="eastAsia"/>
                <w:highlight w:val="yellow"/>
                <w:lang w:val="en-US" w:eastAsia="zh-CN"/>
              </w:rPr>
              <w:t>（</w:t>
            </w:r>
            <w:r>
              <w:rPr>
                <w:rFonts w:hint="eastAsia" w:ascii="宋体" w:hAnsi="宋体" w:cs="宋体"/>
                <w:kern w:val="0"/>
                <w:szCs w:val="21"/>
                <w:highlight w:val="yellow"/>
              </w:rPr>
              <w:t>提供承诺书原件</w:t>
            </w:r>
            <w:r>
              <w:rPr>
                <w:rFonts w:hint="eastAsia" w:ascii="宋体" w:hAnsi="宋体" w:cs="宋体"/>
                <w:b/>
                <w:bCs/>
                <w:kern w:val="0"/>
                <w:szCs w:val="21"/>
                <w:highlight w:val="yellow"/>
              </w:rPr>
              <w:t>，不提供不得分</w:t>
            </w:r>
            <w:r>
              <w:rPr>
                <w:rFonts w:hint="eastAsia" w:ascii="宋体" w:hAnsi="宋体" w:cs="宋体"/>
                <w:kern w:val="0"/>
                <w:szCs w:val="21"/>
                <w:highlight w:val="yellow"/>
              </w:rPr>
              <w:t>。</w:t>
            </w:r>
            <w:r>
              <w:rPr>
                <w:rFonts w:hint="eastAsia"/>
                <w:highlight w:val="yellow"/>
                <w:lang w:val="en-US" w:eastAsia="zh-CN"/>
              </w:rPr>
              <w:t>）</w:t>
            </w:r>
          </w:p>
        </w:tc>
        <w:tc>
          <w:tcPr>
            <w:tcW w:w="1080" w:type="dxa"/>
            <w:vAlign w:val="center"/>
          </w:tcPr>
          <w:p>
            <w:pPr>
              <w:pStyle w:val="44"/>
              <w:pageBreakBefore w:val="0"/>
              <w:topLinePunct w:val="0"/>
              <w:bidi w:val="0"/>
              <w:spacing w:line="360" w:lineRule="auto"/>
              <w:ind w:right="101"/>
              <w:jc w:val="center"/>
              <w:rPr>
                <w:rFonts w:hint="eastAsia" w:eastAsia="宋体"/>
                <w:szCs w:val="21"/>
                <w:highlight w:val="yellow"/>
                <w:lang w:val="en-US" w:eastAsia="zh-CN"/>
              </w:rPr>
            </w:pPr>
            <w:r>
              <w:rPr>
                <w:rFonts w:hint="eastAsia"/>
                <w:szCs w:val="21"/>
                <w:highlight w:val="none"/>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1425" w:type="dxa"/>
            <w:vAlign w:val="center"/>
          </w:tcPr>
          <w:p>
            <w:pPr>
              <w:pStyle w:val="44"/>
              <w:pageBreakBefore w:val="0"/>
              <w:topLinePunct w:val="0"/>
              <w:bidi w:val="0"/>
              <w:spacing w:before="117" w:line="360" w:lineRule="auto"/>
              <w:ind w:right="87"/>
              <w:jc w:val="center"/>
              <w:rPr>
                <w:szCs w:val="21"/>
              </w:rPr>
            </w:pPr>
            <w:r>
              <w:rPr>
                <w:rFonts w:hint="eastAsia"/>
                <w:szCs w:val="21"/>
              </w:rPr>
              <w:t>技术参数</w:t>
            </w:r>
          </w:p>
          <w:p>
            <w:pPr>
              <w:pStyle w:val="44"/>
              <w:pageBreakBefore w:val="0"/>
              <w:topLinePunct w:val="0"/>
              <w:bidi w:val="0"/>
              <w:spacing w:before="117" w:line="360" w:lineRule="auto"/>
              <w:ind w:right="87"/>
              <w:jc w:val="center"/>
              <w:rPr>
                <w:szCs w:val="21"/>
              </w:rPr>
            </w:pPr>
            <w:r>
              <w:rPr>
                <w:rFonts w:hint="eastAsia"/>
                <w:szCs w:val="21"/>
                <w:highlight w:val="yellow"/>
              </w:rPr>
              <w:t>（3</w:t>
            </w:r>
            <w:r>
              <w:rPr>
                <w:rFonts w:hint="eastAsia"/>
                <w:szCs w:val="21"/>
                <w:highlight w:val="yellow"/>
                <w:lang w:val="en-US" w:eastAsia="zh-CN"/>
              </w:rPr>
              <w:t>5</w:t>
            </w:r>
            <w:r>
              <w:rPr>
                <w:rFonts w:hint="eastAsia"/>
                <w:szCs w:val="21"/>
                <w:highlight w:val="yellow"/>
              </w:rPr>
              <w:t>分</w:t>
            </w:r>
            <w:r>
              <w:rPr>
                <w:rFonts w:hint="eastAsia"/>
                <w:szCs w:val="21"/>
              </w:rPr>
              <w:t>）</w:t>
            </w:r>
          </w:p>
        </w:tc>
        <w:tc>
          <w:tcPr>
            <w:tcW w:w="7200" w:type="dxa"/>
            <w:vAlign w:val="center"/>
          </w:tcPr>
          <w:p>
            <w:pPr>
              <w:pageBreakBefore w:val="0"/>
              <w:widowControl/>
              <w:numPr>
                <w:ilvl w:val="0"/>
                <w:numId w:val="4"/>
              </w:numPr>
              <w:topLinePunct w:val="0"/>
              <w:bidi w:val="0"/>
              <w:spacing w:line="360" w:lineRule="auto"/>
              <w:rPr>
                <w:rFonts w:ascii="宋体" w:hAnsi="宋体" w:cs="宋体"/>
                <w:kern w:val="0"/>
                <w:szCs w:val="21"/>
              </w:rPr>
            </w:pPr>
            <w:r>
              <w:rPr>
                <w:rFonts w:hint="eastAsia" w:ascii="宋体" w:hAnsi="宋体" w:cs="宋体"/>
                <w:kern w:val="0"/>
                <w:szCs w:val="21"/>
              </w:rPr>
              <w:t>外机与内机的匹配度，匹配度很高</w:t>
            </w:r>
            <w:r>
              <w:rPr>
                <w:rFonts w:hint="eastAsia" w:ascii="宋体" w:hAnsi="宋体" w:cs="宋体"/>
                <w:kern w:val="0"/>
                <w:szCs w:val="21"/>
                <w:highlight w:val="yellow"/>
                <w:lang w:val="en-US" w:eastAsia="zh-CN"/>
              </w:rPr>
              <w:t>5</w:t>
            </w:r>
            <w:r>
              <w:rPr>
                <w:rFonts w:hint="eastAsia" w:ascii="宋体" w:hAnsi="宋体" w:cs="宋体"/>
                <w:kern w:val="0"/>
                <w:szCs w:val="21"/>
              </w:rPr>
              <w:t>分，匹配度一般部分不匹配</w:t>
            </w:r>
            <w:r>
              <w:rPr>
                <w:rFonts w:hint="eastAsia" w:ascii="宋体" w:hAnsi="宋体" w:cs="宋体"/>
                <w:kern w:val="0"/>
                <w:szCs w:val="21"/>
                <w:lang w:val="en-US" w:eastAsia="zh-CN"/>
              </w:rPr>
              <w:t>3</w:t>
            </w:r>
            <w:r>
              <w:rPr>
                <w:rFonts w:hint="eastAsia" w:ascii="宋体" w:hAnsi="宋体" w:cs="宋体"/>
                <w:kern w:val="0"/>
                <w:szCs w:val="21"/>
              </w:rPr>
              <w:t>分，不匹配0分。</w:t>
            </w:r>
          </w:p>
          <w:p>
            <w:pPr>
              <w:pageBreakBefore w:val="0"/>
              <w:widowControl/>
              <w:numPr>
                <w:ilvl w:val="0"/>
                <w:numId w:val="4"/>
              </w:numPr>
              <w:topLinePunct w:val="0"/>
              <w:bidi w:val="0"/>
              <w:spacing w:line="360" w:lineRule="auto"/>
              <w:rPr>
                <w:rFonts w:ascii="宋体" w:hAnsi="宋体" w:cs="宋体"/>
                <w:kern w:val="0"/>
                <w:szCs w:val="21"/>
              </w:rPr>
            </w:pPr>
            <w:r>
              <w:rPr>
                <w:rFonts w:hint="eastAsia" w:ascii="宋体" w:hAnsi="宋体" w:cs="宋体"/>
                <w:kern w:val="0"/>
                <w:szCs w:val="21"/>
              </w:rPr>
              <w:t>压缩机品牌、型号、功率的选择，质量先进性、稳定性、节能性高5分，质量先进性、稳定性、节能性一般3分，质量差、不稳定、不节能0分。</w:t>
            </w:r>
          </w:p>
          <w:p>
            <w:pPr>
              <w:pageBreakBefore w:val="0"/>
              <w:widowControl/>
              <w:numPr>
                <w:ilvl w:val="0"/>
                <w:numId w:val="4"/>
              </w:numPr>
              <w:topLinePunct w:val="0"/>
              <w:bidi w:val="0"/>
              <w:spacing w:line="360" w:lineRule="auto"/>
              <w:rPr>
                <w:rFonts w:ascii="宋体" w:hAnsi="宋体" w:cs="宋体"/>
                <w:kern w:val="0"/>
                <w:szCs w:val="21"/>
              </w:rPr>
            </w:pPr>
            <w:r>
              <w:rPr>
                <w:rFonts w:hint="eastAsia" w:ascii="宋体" w:hAnsi="宋体" w:cs="宋体"/>
                <w:kern w:val="0"/>
                <w:szCs w:val="21"/>
              </w:rPr>
              <w:t>电子膨胀阀品牌、型号的选择，质量先进性、档次高5分，质量一般、档次一般3分，质量差、无档次0分。</w:t>
            </w:r>
          </w:p>
          <w:p>
            <w:pPr>
              <w:pageBreakBefore w:val="0"/>
              <w:widowControl/>
              <w:numPr>
                <w:ilvl w:val="0"/>
                <w:numId w:val="4"/>
              </w:numPr>
              <w:topLinePunct w:val="0"/>
              <w:bidi w:val="0"/>
              <w:spacing w:line="360" w:lineRule="auto"/>
              <w:rPr>
                <w:rFonts w:ascii="宋体" w:hAnsi="宋体" w:cs="宋体"/>
                <w:kern w:val="0"/>
                <w:szCs w:val="21"/>
              </w:rPr>
            </w:pPr>
            <w:r>
              <w:rPr>
                <w:rFonts w:hint="eastAsia" w:ascii="宋体" w:hAnsi="宋体" w:cs="宋体"/>
                <w:kern w:val="0"/>
                <w:szCs w:val="21"/>
              </w:rPr>
              <w:t>各类传感器、执行机构品牌、型号的选择，质量先进性、稳定性，档次高3分，质量先进性、稳定性、档次一般1分，质量差、不稳定、无档次0分。</w:t>
            </w:r>
          </w:p>
          <w:p>
            <w:pPr>
              <w:pageBreakBefore w:val="0"/>
              <w:widowControl/>
              <w:numPr>
                <w:ilvl w:val="0"/>
                <w:numId w:val="4"/>
              </w:numPr>
              <w:topLinePunct w:val="0"/>
              <w:bidi w:val="0"/>
              <w:spacing w:line="360" w:lineRule="auto"/>
              <w:rPr>
                <w:rFonts w:ascii="宋体" w:hAnsi="宋体" w:cs="宋体"/>
                <w:kern w:val="0"/>
                <w:szCs w:val="21"/>
              </w:rPr>
            </w:pPr>
            <w:r>
              <w:rPr>
                <w:rFonts w:hint="eastAsia" w:ascii="宋体" w:hAnsi="宋体" w:cs="宋体"/>
                <w:kern w:val="0"/>
                <w:szCs w:val="21"/>
              </w:rPr>
              <w:t>电气控制箱元器件的品牌、型号的选择，质量先进性、稳定性、环保性高3分，质量先进性、稳定性、环保性一般1分，质量差、不稳定、不环保0分。</w:t>
            </w:r>
          </w:p>
          <w:p>
            <w:pPr>
              <w:pageBreakBefore w:val="0"/>
              <w:widowControl/>
              <w:numPr>
                <w:ilvl w:val="0"/>
                <w:numId w:val="4"/>
              </w:numPr>
              <w:topLinePunct w:val="0"/>
              <w:bidi w:val="0"/>
              <w:spacing w:line="360" w:lineRule="auto"/>
              <w:rPr>
                <w:rFonts w:ascii="宋体" w:hAnsi="宋体" w:cs="宋体"/>
                <w:kern w:val="0"/>
                <w:szCs w:val="21"/>
              </w:rPr>
            </w:pPr>
            <w:r>
              <w:rPr>
                <w:rFonts w:hint="eastAsia" w:ascii="宋体" w:hAnsi="宋体" w:cs="宋体"/>
                <w:kern w:val="0"/>
                <w:szCs w:val="21"/>
              </w:rPr>
              <w:t>壁板保温、性能参数，质量优、保温性能好3分，质量、保温性一般1分，质量差、不保温0分。</w:t>
            </w:r>
          </w:p>
          <w:p>
            <w:pPr>
              <w:pageBreakBefore w:val="0"/>
              <w:widowControl/>
              <w:numPr>
                <w:ilvl w:val="0"/>
                <w:numId w:val="4"/>
              </w:numPr>
              <w:topLinePunct w:val="0"/>
              <w:bidi w:val="0"/>
              <w:spacing w:line="360" w:lineRule="auto"/>
              <w:rPr>
                <w:rFonts w:ascii="宋体" w:hAnsi="宋体" w:cs="宋体"/>
                <w:kern w:val="0"/>
                <w:szCs w:val="21"/>
              </w:rPr>
            </w:pPr>
            <w:r>
              <w:rPr>
                <w:rFonts w:hint="eastAsia" w:ascii="宋体" w:hAnsi="宋体" w:cs="宋体"/>
                <w:kern w:val="0"/>
                <w:szCs w:val="21"/>
              </w:rPr>
              <w:t>表冷器的设计选型参数，质量先进性、稳定性好3分，质量先进性、稳定性一般1分，质量差、不稳定0分。</w:t>
            </w:r>
          </w:p>
          <w:p>
            <w:pPr>
              <w:pageBreakBefore w:val="0"/>
              <w:widowControl/>
              <w:numPr>
                <w:ilvl w:val="0"/>
                <w:numId w:val="4"/>
              </w:numPr>
              <w:topLinePunct w:val="0"/>
              <w:bidi w:val="0"/>
              <w:spacing w:line="360" w:lineRule="auto"/>
              <w:rPr>
                <w:rFonts w:ascii="宋体" w:hAnsi="宋体" w:cs="宋体"/>
                <w:kern w:val="0"/>
                <w:szCs w:val="21"/>
              </w:rPr>
            </w:pPr>
            <w:r>
              <w:rPr>
                <w:rFonts w:hint="eastAsia" w:ascii="宋体" w:hAnsi="宋体" w:cs="宋体"/>
                <w:kern w:val="0"/>
                <w:szCs w:val="21"/>
              </w:rPr>
              <w:t>内机风机的选型参数，质量先进性、稳定性、环保性高，档次高5分，质量先进性、稳定性、环保性一般，档次一般3分，质量差、不稳定、不环保，档次低0分。</w:t>
            </w:r>
          </w:p>
          <w:p>
            <w:pPr>
              <w:pageBreakBefore w:val="0"/>
              <w:widowControl/>
              <w:numPr>
                <w:ilvl w:val="0"/>
                <w:numId w:val="4"/>
              </w:numPr>
              <w:topLinePunct w:val="0"/>
              <w:bidi w:val="0"/>
              <w:spacing w:line="360" w:lineRule="auto"/>
              <w:rPr>
                <w:rFonts w:ascii="宋体" w:hAnsi="宋体" w:cs="宋体"/>
                <w:kern w:val="0"/>
                <w:szCs w:val="21"/>
              </w:rPr>
            </w:pPr>
            <w:r>
              <w:rPr>
                <w:rFonts w:hint="eastAsia" w:ascii="宋体" w:hAnsi="宋体" w:cs="宋体"/>
                <w:kern w:val="0"/>
                <w:szCs w:val="21"/>
              </w:rPr>
              <w:t>内机整体机构设计的合理性，质量先进性、稳定性、环保性高，档次高3分，质量先进性、稳定性、环保性一般，档次一般1分，质量差、不稳定、不环保，档次低0分。</w:t>
            </w:r>
          </w:p>
          <w:p>
            <w:pPr>
              <w:pStyle w:val="44"/>
              <w:pageBreakBefore w:val="0"/>
              <w:topLinePunct w:val="0"/>
              <w:bidi w:val="0"/>
              <w:spacing w:before="117" w:line="360" w:lineRule="auto"/>
              <w:ind w:right="87"/>
              <w:jc w:val="left"/>
              <w:rPr>
                <w:kern w:val="0"/>
                <w:szCs w:val="21"/>
              </w:rPr>
            </w:pPr>
            <w:r>
              <w:rPr>
                <w:rFonts w:hint="eastAsia"/>
                <w:kern w:val="0"/>
                <w:szCs w:val="21"/>
              </w:rPr>
              <w:t>注：以上提供机组设计技术文件，使用配件品牌说明等相关资料，加盖公章。</w:t>
            </w:r>
          </w:p>
        </w:tc>
        <w:tc>
          <w:tcPr>
            <w:tcW w:w="1080" w:type="dxa"/>
            <w:vAlign w:val="center"/>
          </w:tcPr>
          <w:p>
            <w:pPr>
              <w:pStyle w:val="44"/>
              <w:pageBreakBefore w:val="0"/>
              <w:topLinePunct w:val="0"/>
              <w:bidi w:val="0"/>
              <w:spacing w:line="360" w:lineRule="auto"/>
              <w:ind w:right="101"/>
              <w:jc w:val="center"/>
              <w:rPr>
                <w:rFonts w:hint="default" w:eastAsia="宋体"/>
                <w:szCs w:val="21"/>
                <w:lang w:val="en-US" w:eastAsia="zh-CN"/>
              </w:rPr>
            </w:pPr>
            <w:r>
              <w:rPr>
                <w:rFonts w:hint="eastAsia"/>
                <w:szCs w:val="21"/>
                <w:lang w:val="en-US" w:eastAsia="zh-CN"/>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1" w:hRule="atLeast"/>
        </w:trPr>
        <w:tc>
          <w:tcPr>
            <w:tcW w:w="1425" w:type="dxa"/>
            <w:vMerge w:val="restart"/>
            <w:vAlign w:val="center"/>
          </w:tcPr>
          <w:p>
            <w:pPr>
              <w:pageBreakBefore w:val="0"/>
              <w:widowControl/>
              <w:topLinePunct w:val="0"/>
              <w:bidi w:val="0"/>
              <w:spacing w:line="360" w:lineRule="auto"/>
              <w:jc w:val="center"/>
              <w:rPr>
                <w:rFonts w:ascii="宋体" w:hAnsi="宋体" w:cs="宋体"/>
                <w:szCs w:val="21"/>
                <w:highlight w:val="yellow"/>
              </w:rPr>
            </w:pPr>
            <w:r>
              <w:rPr>
                <w:rFonts w:hint="eastAsia" w:ascii="宋体" w:hAnsi="宋体" w:cs="宋体"/>
                <w:szCs w:val="21"/>
                <w:highlight w:val="yellow"/>
              </w:rPr>
              <w:t>售后服及维保承诺情况</w:t>
            </w:r>
          </w:p>
          <w:p>
            <w:pPr>
              <w:pStyle w:val="44"/>
              <w:pageBreakBefore w:val="0"/>
              <w:topLinePunct w:val="0"/>
              <w:bidi w:val="0"/>
              <w:spacing w:before="117" w:line="360" w:lineRule="auto"/>
              <w:ind w:right="87"/>
              <w:jc w:val="center"/>
              <w:rPr>
                <w:szCs w:val="21"/>
              </w:rPr>
            </w:pPr>
            <w:r>
              <w:rPr>
                <w:rFonts w:hint="eastAsia"/>
                <w:szCs w:val="21"/>
                <w:highlight w:val="yellow"/>
              </w:rPr>
              <w:t>（</w:t>
            </w:r>
            <w:r>
              <w:rPr>
                <w:rFonts w:hint="eastAsia"/>
                <w:szCs w:val="21"/>
                <w:highlight w:val="yellow"/>
                <w:lang w:val="en-US" w:eastAsia="zh-CN"/>
              </w:rPr>
              <w:t>7</w:t>
            </w:r>
            <w:r>
              <w:rPr>
                <w:rFonts w:hint="eastAsia"/>
                <w:szCs w:val="21"/>
                <w:highlight w:val="yellow"/>
              </w:rPr>
              <w:t>分）</w:t>
            </w:r>
          </w:p>
        </w:tc>
        <w:tc>
          <w:tcPr>
            <w:tcW w:w="7200" w:type="dxa"/>
            <w:vAlign w:val="center"/>
          </w:tcPr>
          <w:p>
            <w:pPr>
              <w:pageBreakBefore w:val="0"/>
              <w:widowControl/>
              <w:topLinePunct w:val="0"/>
              <w:bidi w:val="0"/>
              <w:spacing w:line="360" w:lineRule="auto"/>
              <w:jc w:val="left"/>
              <w:rPr>
                <w:rFonts w:ascii="宋体" w:hAnsi="宋体" w:cs="宋体"/>
                <w:kern w:val="0"/>
                <w:szCs w:val="21"/>
              </w:rPr>
            </w:pPr>
            <w:r>
              <w:rPr>
                <w:rFonts w:hint="eastAsia" w:ascii="宋体" w:hAnsi="宋体" w:cs="宋体"/>
                <w:kern w:val="0"/>
                <w:szCs w:val="21"/>
              </w:rPr>
              <w:t>免费质保及维保期内及期后服务方案：如售后服务体系、服务内容、故障解决方案、响应时间、专业技术人员保障、售后服务承诺等。（需提供服务人员的资质证明）满分4分。</w:t>
            </w:r>
          </w:p>
          <w:p>
            <w:pPr>
              <w:pageBreakBefore w:val="0"/>
              <w:widowControl/>
              <w:topLinePunct w:val="0"/>
              <w:bidi w:val="0"/>
              <w:spacing w:line="360" w:lineRule="auto"/>
              <w:jc w:val="left"/>
              <w:rPr>
                <w:rFonts w:ascii="宋体" w:hAnsi="宋体" w:cs="宋体"/>
                <w:kern w:val="0"/>
                <w:szCs w:val="21"/>
              </w:rPr>
            </w:pPr>
            <w:r>
              <w:rPr>
                <w:rFonts w:hint="eastAsia" w:ascii="宋体" w:hAnsi="宋体" w:cs="宋体"/>
                <w:kern w:val="0"/>
                <w:szCs w:val="21"/>
              </w:rPr>
              <w:t>免费质保及维保期内及期后服务方案优秀4分；</w:t>
            </w:r>
          </w:p>
          <w:p>
            <w:pPr>
              <w:pageBreakBefore w:val="0"/>
              <w:widowControl/>
              <w:topLinePunct w:val="0"/>
              <w:bidi w:val="0"/>
              <w:spacing w:line="360" w:lineRule="auto"/>
              <w:jc w:val="left"/>
              <w:rPr>
                <w:rFonts w:ascii="宋体" w:hAnsi="宋体" w:cs="宋体"/>
                <w:kern w:val="0"/>
                <w:szCs w:val="21"/>
              </w:rPr>
            </w:pPr>
            <w:r>
              <w:rPr>
                <w:rFonts w:hint="eastAsia" w:ascii="宋体" w:hAnsi="宋体" w:cs="宋体"/>
                <w:kern w:val="0"/>
                <w:szCs w:val="21"/>
              </w:rPr>
              <w:t>免费质保及维保期内及期后服务方案良好2分；</w:t>
            </w:r>
          </w:p>
          <w:p>
            <w:pPr>
              <w:pageBreakBefore w:val="0"/>
              <w:widowControl/>
              <w:topLinePunct w:val="0"/>
              <w:bidi w:val="0"/>
              <w:spacing w:line="360" w:lineRule="auto"/>
              <w:jc w:val="left"/>
              <w:rPr>
                <w:rFonts w:ascii="宋体" w:hAnsi="宋体" w:cs="宋体"/>
                <w:kern w:val="0"/>
                <w:szCs w:val="21"/>
              </w:rPr>
            </w:pPr>
            <w:r>
              <w:rPr>
                <w:rFonts w:hint="eastAsia" w:ascii="宋体" w:hAnsi="宋体" w:cs="宋体"/>
                <w:kern w:val="0"/>
                <w:szCs w:val="21"/>
              </w:rPr>
              <w:t>免费质保及维保期内及期后服务方案一般1分，</w:t>
            </w:r>
          </w:p>
          <w:p>
            <w:pPr>
              <w:pageBreakBefore w:val="0"/>
              <w:widowControl/>
              <w:topLinePunct w:val="0"/>
              <w:bidi w:val="0"/>
              <w:spacing w:line="360" w:lineRule="auto"/>
              <w:jc w:val="left"/>
              <w:rPr>
                <w:rFonts w:ascii="宋体" w:hAnsi="宋体" w:cs="宋体"/>
                <w:szCs w:val="21"/>
              </w:rPr>
            </w:pPr>
            <w:r>
              <w:rPr>
                <w:rFonts w:hint="eastAsia" w:ascii="宋体" w:hAnsi="宋体" w:cs="宋体"/>
                <w:kern w:val="0"/>
                <w:szCs w:val="21"/>
              </w:rPr>
              <w:t>其他不得分。</w:t>
            </w:r>
          </w:p>
        </w:tc>
        <w:tc>
          <w:tcPr>
            <w:tcW w:w="1080" w:type="dxa"/>
            <w:vAlign w:val="center"/>
          </w:tcPr>
          <w:p>
            <w:pPr>
              <w:pStyle w:val="44"/>
              <w:pageBreakBefore w:val="0"/>
              <w:tabs>
                <w:tab w:val="left" w:pos="536"/>
              </w:tabs>
              <w:topLinePunct w:val="0"/>
              <w:bidi w:val="0"/>
              <w:spacing w:line="360" w:lineRule="auto"/>
              <w:ind w:right="101"/>
              <w:jc w:val="center"/>
              <w:rPr>
                <w:szCs w:val="21"/>
              </w:rPr>
            </w:pPr>
            <w:r>
              <w:rPr>
                <w:rFonts w:hint="eastAsia"/>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3" w:hRule="atLeast"/>
        </w:trPr>
        <w:tc>
          <w:tcPr>
            <w:tcW w:w="1425" w:type="dxa"/>
            <w:vMerge w:val="continue"/>
            <w:vAlign w:val="center"/>
          </w:tcPr>
          <w:p>
            <w:pPr>
              <w:pStyle w:val="44"/>
              <w:pageBreakBefore w:val="0"/>
              <w:topLinePunct w:val="0"/>
              <w:bidi w:val="0"/>
              <w:spacing w:before="117" w:line="360" w:lineRule="auto"/>
              <w:ind w:right="87"/>
              <w:jc w:val="center"/>
              <w:rPr>
                <w:szCs w:val="21"/>
              </w:rPr>
            </w:pPr>
          </w:p>
        </w:tc>
        <w:tc>
          <w:tcPr>
            <w:tcW w:w="7200" w:type="dxa"/>
            <w:vAlign w:val="center"/>
          </w:tcPr>
          <w:p>
            <w:pPr>
              <w:pageBreakBefore w:val="0"/>
              <w:widowControl/>
              <w:topLinePunct w:val="0"/>
              <w:bidi w:val="0"/>
              <w:spacing w:line="360" w:lineRule="auto"/>
              <w:jc w:val="left"/>
              <w:rPr>
                <w:highlight w:val="yellow"/>
              </w:rPr>
            </w:pPr>
            <w:r>
              <w:rPr>
                <w:rFonts w:hint="eastAsia"/>
                <w:highlight w:val="yellow"/>
                <w:lang w:eastAsia="zh-CN"/>
              </w:rPr>
              <w:t>投标人接到维修要求的反映及</w:t>
            </w:r>
            <w:r>
              <w:rPr>
                <w:rFonts w:hint="eastAsia"/>
                <w:highlight w:val="yellow"/>
              </w:rPr>
              <w:t>维修人员</w:t>
            </w:r>
            <w:r>
              <w:rPr>
                <w:rFonts w:hint="eastAsia"/>
                <w:highlight w:val="yellow"/>
                <w:lang w:eastAsia="zh-CN"/>
              </w:rPr>
              <w:t>专业水平</w:t>
            </w:r>
            <w:r>
              <w:rPr>
                <w:rFonts w:hint="eastAsia"/>
                <w:highlight w:val="yellow"/>
              </w:rPr>
              <w:t>。评委依据根据</w:t>
            </w:r>
            <w:r>
              <w:rPr>
                <w:rFonts w:hint="eastAsia"/>
                <w:highlight w:val="yellow"/>
                <w:lang w:eastAsia="zh-CN"/>
              </w:rPr>
              <w:t>响应时间</w:t>
            </w:r>
            <w:r>
              <w:rPr>
                <w:rFonts w:hint="eastAsia"/>
                <w:highlight w:val="yellow"/>
              </w:rPr>
              <w:t>、维修人员的数量及质量综合评分，满分</w:t>
            </w:r>
            <w:r>
              <w:rPr>
                <w:rFonts w:hint="eastAsia"/>
                <w:highlight w:val="yellow"/>
                <w:lang w:val="en-US" w:eastAsia="zh-CN"/>
              </w:rPr>
              <w:t>3</w:t>
            </w:r>
            <w:r>
              <w:rPr>
                <w:rFonts w:hint="eastAsia"/>
                <w:highlight w:val="yellow"/>
              </w:rPr>
              <w:t>分。</w:t>
            </w:r>
          </w:p>
          <w:p>
            <w:pPr>
              <w:pageBreakBefore w:val="0"/>
              <w:widowControl/>
              <w:topLinePunct w:val="0"/>
              <w:bidi w:val="0"/>
              <w:spacing w:line="360" w:lineRule="auto"/>
              <w:jc w:val="left"/>
              <w:rPr>
                <w:highlight w:val="yellow"/>
              </w:rPr>
            </w:pPr>
            <w:r>
              <w:rPr>
                <w:rFonts w:hint="eastAsia"/>
                <w:highlight w:val="yellow"/>
                <w:lang w:eastAsia="zh-CN"/>
              </w:rPr>
              <w:t>响应迅速</w:t>
            </w:r>
            <w:r>
              <w:rPr>
                <w:rFonts w:hint="eastAsia"/>
                <w:highlight w:val="yellow"/>
              </w:rPr>
              <w:t>、维修人员的数量及质量优秀3分；</w:t>
            </w:r>
          </w:p>
          <w:p>
            <w:pPr>
              <w:pageBreakBefore w:val="0"/>
              <w:widowControl/>
              <w:topLinePunct w:val="0"/>
              <w:bidi w:val="0"/>
              <w:spacing w:line="360" w:lineRule="auto"/>
              <w:jc w:val="left"/>
              <w:rPr>
                <w:highlight w:val="yellow"/>
              </w:rPr>
            </w:pPr>
            <w:r>
              <w:rPr>
                <w:rFonts w:hint="eastAsia"/>
                <w:highlight w:val="yellow"/>
                <w:lang w:eastAsia="zh-CN"/>
              </w:rPr>
              <w:t>响应时间较快</w:t>
            </w:r>
            <w:r>
              <w:rPr>
                <w:rFonts w:hint="eastAsia"/>
                <w:highlight w:val="yellow"/>
              </w:rPr>
              <w:t>、维修人员的数量及质量良好2分；</w:t>
            </w:r>
          </w:p>
          <w:p>
            <w:pPr>
              <w:pageBreakBefore w:val="0"/>
              <w:widowControl/>
              <w:topLinePunct w:val="0"/>
              <w:bidi w:val="0"/>
              <w:spacing w:line="360" w:lineRule="auto"/>
              <w:jc w:val="left"/>
              <w:rPr>
                <w:rFonts w:hint="eastAsia"/>
                <w:highlight w:val="yellow"/>
                <w:lang w:eastAsia="zh-CN"/>
              </w:rPr>
            </w:pPr>
            <w:r>
              <w:rPr>
                <w:rFonts w:hint="eastAsia"/>
                <w:highlight w:val="yellow"/>
                <w:lang w:eastAsia="zh-CN"/>
              </w:rPr>
              <w:t>响应时间</w:t>
            </w:r>
            <w:r>
              <w:rPr>
                <w:rFonts w:hint="eastAsia"/>
                <w:highlight w:val="yellow"/>
                <w:lang w:val="en-US" w:eastAsia="zh-CN"/>
              </w:rPr>
              <w:t>合理</w:t>
            </w:r>
            <w:r>
              <w:rPr>
                <w:rFonts w:hint="eastAsia"/>
                <w:highlight w:val="yellow"/>
              </w:rPr>
              <w:t>、维修人员的数量及质量一般1分，</w:t>
            </w:r>
          </w:p>
          <w:p>
            <w:pPr>
              <w:pageBreakBefore w:val="0"/>
              <w:widowControl/>
              <w:topLinePunct w:val="0"/>
              <w:bidi w:val="0"/>
              <w:spacing w:line="360" w:lineRule="auto"/>
              <w:jc w:val="left"/>
              <w:rPr>
                <w:rFonts w:hint="eastAsia"/>
                <w:highlight w:val="yellow"/>
                <w:lang w:eastAsia="zh-CN"/>
              </w:rPr>
            </w:pPr>
            <w:r>
              <w:rPr>
                <w:rFonts w:hint="eastAsia"/>
                <w:highlight w:val="yellow"/>
                <w:lang w:eastAsia="zh-CN"/>
              </w:rPr>
              <w:t>其他不得分。</w:t>
            </w:r>
          </w:p>
          <w:p>
            <w:pPr>
              <w:pageBreakBefore w:val="0"/>
              <w:widowControl/>
              <w:topLinePunct w:val="0"/>
              <w:bidi w:val="0"/>
              <w:spacing w:line="360" w:lineRule="auto"/>
              <w:jc w:val="left"/>
              <w:rPr>
                <w:rFonts w:hint="eastAsia" w:eastAsia="黑体"/>
                <w:lang w:eastAsia="zh-CN"/>
              </w:rPr>
            </w:pPr>
            <w:r>
              <w:rPr>
                <w:rFonts w:hint="eastAsia"/>
                <w:highlight w:val="yellow"/>
                <w:lang w:eastAsia="zh-CN"/>
              </w:rPr>
              <w:t>（提供相关证明材料及承诺书原件，不提供不得分）</w:t>
            </w:r>
          </w:p>
        </w:tc>
        <w:tc>
          <w:tcPr>
            <w:tcW w:w="1080" w:type="dxa"/>
            <w:vAlign w:val="center"/>
          </w:tcPr>
          <w:p>
            <w:pPr>
              <w:pStyle w:val="44"/>
              <w:pageBreakBefore w:val="0"/>
              <w:topLinePunct w:val="0"/>
              <w:bidi w:val="0"/>
              <w:spacing w:line="360" w:lineRule="auto"/>
              <w:ind w:right="101"/>
              <w:jc w:val="center"/>
              <w:rPr>
                <w:rFonts w:hint="eastAsia" w:eastAsia="宋体"/>
                <w:szCs w:val="21"/>
                <w:lang w:eastAsia="zh-CN"/>
              </w:rPr>
            </w:pPr>
            <w:r>
              <w:rPr>
                <w:rFonts w:hint="eastAsia"/>
                <w:szCs w:val="21"/>
                <w:highlight w:val="yellow"/>
                <w:lang w:val="en-US" w:eastAsia="zh-CN"/>
              </w:rPr>
              <w:t>3</w:t>
            </w:r>
          </w:p>
        </w:tc>
      </w:tr>
    </w:tbl>
    <w:p>
      <w:pPr>
        <w:pageBreakBefore w:val="0"/>
        <w:topLinePunct w:val="0"/>
        <w:bidi w:val="0"/>
        <w:spacing w:before="2" w:line="360" w:lineRule="auto"/>
        <w:ind w:right="271"/>
        <w:jc w:val="left"/>
        <w:rPr>
          <w:rFonts w:ascii="宋体" w:hAnsi="宋体" w:cs="宋体"/>
          <w:sz w:val="28"/>
          <w:szCs w:val="28"/>
        </w:rPr>
      </w:pPr>
    </w:p>
    <w:p>
      <w:pPr>
        <w:pageBreakBefore w:val="0"/>
        <w:topLinePunct w:val="0"/>
        <w:bidi w:val="0"/>
        <w:spacing w:before="57" w:line="360" w:lineRule="auto"/>
        <w:jc w:val="left"/>
        <w:rPr>
          <w:rFonts w:ascii="宋体" w:hAnsi="宋体" w:cs="宋体"/>
          <w:sz w:val="24"/>
          <w:szCs w:val="24"/>
        </w:rPr>
      </w:pPr>
      <w:r>
        <w:rPr>
          <w:rFonts w:hint="eastAsia" w:ascii="宋体" w:hAnsi="宋体" w:cs="宋体"/>
          <w:sz w:val="24"/>
          <w:szCs w:val="24"/>
        </w:rPr>
        <w:t>备注：</w:t>
      </w:r>
    </w:p>
    <w:p>
      <w:pPr>
        <w:pageBreakBefore w:val="0"/>
        <w:numPr>
          <w:ilvl w:val="0"/>
          <w:numId w:val="5"/>
        </w:numPr>
        <w:topLinePunct w:val="0"/>
        <w:bidi w:val="0"/>
        <w:spacing w:line="360" w:lineRule="auto"/>
        <w:ind w:left="-60" w:leftChars="0" w:firstLine="480" w:firstLineChars="0"/>
        <w:jc w:val="left"/>
        <w:rPr>
          <w:rFonts w:ascii="宋体" w:hAnsi="宋体" w:cs="宋体"/>
          <w:sz w:val="24"/>
          <w:szCs w:val="24"/>
        </w:rPr>
      </w:pPr>
      <w:r>
        <w:rPr>
          <w:rFonts w:hint="eastAsia" w:ascii="宋体" w:hAnsi="宋体" w:cs="宋体"/>
          <w:sz w:val="24"/>
          <w:szCs w:val="24"/>
        </w:rPr>
        <w:t>所有合同业绩、证书均以有效的证明文件的复印件加盖公章为依据，原件备查，当复印件不清晰时需要提供原件备查，不能提供者该项不得分。</w:t>
      </w:r>
    </w:p>
    <w:p>
      <w:pPr>
        <w:pageBreakBefore w:val="0"/>
        <w:numPr>
          <w:ilvl w:val="0"/>
          <w:numId w:val="5"/>
        </w:numPr>
        <w:topLinePunct w:val="0"/>
        <w:bidi w:val="0"/>
        <w:spacing w:line="360" w:lineRule="auto"/>
        <w:ind w:left="-60" w:leftChars="0" w:firstLine="480" w:firstLineChars="0"/>
        <w:rPr>
          <w:rFonts w:ascii="宋体" w:hAnsi="宋体" w:cs="宋体"/>
          <w:sz w:val="24"/>
          <w:szCs w:val="24"/>
        </w:rPr>
      </w:pPr>
      <w:r>
        <w:rPr>
          <w:rFonts w:hint="eastAsia" w:ascii="宋体" w:hAnsi="宋体" w:cs="宋体"/>
          <w:sz w:val="24"/>
          <w:szCs w:val="24"/>
        </w:rPr>
        <w:t>对国家认定的节能产品和环保产品分别给予最终报价的5%的价格扣除，用扣除后的价格参与评审（节能、环保产品必须纳入“中国政府采购网http://www.ccgp.gov.cn/”等官方网站“节能、环保产品查询系统”，且以提供的有效的证书复印件）。</w:t>
      </w:r>
    </w:p>
    <w:p>
      <w:pPr>
        <w:pageBreakBefore w:val="0"/>
        <w:numPr>
          <w:ilvl w:val="0"/>
          <w:numId w:val="5"/>
        </w:numPr>
        <w:topLinePunct w:val="0"/>
        <w:bidi w:val="0"/>
        <w:spacing w:line="360" w:lineRule="auto"/>
        <w:ind w:left="-60" w:leftChars="0" w:firstLine="480" w:firstLineChars="0"/>
        <w:rPr>
          <w:rFonts w:ascii="宋体" w:hAnsi="宋体" w:cs="宋体"/>
          <w:sz w:val="24"/>
          <w:szCs w:val="24"/>
        </w:rPr>
      </w:pPr>
      <w:r>
        <w:rPr>
          <w:rFonts w:hint="eastAsia" w:ascii="宋体" w:hAnsi="宋体" w:cs="宋体"/>
          <w:sz w:val="24"/>
          <w:szCs w:val="24"/>
        </w:rPr>
        <w:t>根据“关于印发《政府采购促进中小企业发展管理办法》的通知”（财库〔2020〕46号）的规定，对于专门面向中小企业或小型、微型企业的项目，只面向中小企业或小型、微型企业采购。对于非专门面向中小企业的项目，符合规定的小微企业报价给予10%的扣除，用扣除后的价格参加评审。小企业（含小型、微型企业）应当同时符合以下条件：</w:t>
      </w:r>
    </w:p>
    <w:p>
      <w:pPr>
        <w:pageBreakBefore w:val="0"/>
        <w:numPr>
          <w:ilvl w:val="0"/>
          <w:numId w:val="6"/>
        </w:numPr>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供应商为小企业，且符合中小企业划分标准；</w:t>
      </w:r>
    </w:p>
    <w:p>
      <w:pPr>
        <w:pageBreakBefore w:val="0"/>
        <w:numPr>
          <w:ilvl w:val="0"/>
          <w:numId w:val="6"/>
        </w:numPr>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提供本企业制造的货物、承担的工程或者服务，或者提供其他小企业制造的货物。如果提供的货物为大中型企业注册商标的货物，视同大中型企业。</w:t>
      </w:r>
    </w:p>
    <w:p>
      <w:pPr>
        <w:pageBreakBefore w:val="0"/>
        <w:numPr>
          <w:ilvl w:val="0"/>
          <w:numId w:val="6"/>
        </w:numPr>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提供政府主管部门对小企业（含小型、微型企业）认定证明。</w:t>
      </w:r>
    </w:p>
    <w:p>
      <w:pPr>
        <w:pageBreakBefore w:val="0"/>
        <w:numPr>
          <w:ilvl w:val="0"/>
          <w:numId w:val="5"/>
        </w:numPr>
        <w:topLinePunct w:val="0"/>
        <w:bidi w:val="0"/>
        <w:spacing w:line="360" w:lineRule="auto"/>
        <w:ind w:left="-60" w:leftChars="0" w:firstLine="480" w:firstLineChars="0"/>
        <w:rPr>
          <w:rFonts w:ascii="宋体" w:hAnsi="宋体" w:cs="宋体"/>
          <w:sz w:val="24"/>
          <w:szCs w:val="24"/>
        </w:rPr>
      </w:pPr>
      <w:r>
        <w:rPr>
          <w:rFonts w:hint="eastAsia" w:ascii="宋体" w:hAnsi="宋体" w:cs="宋体"/>
          <w:sz w:val="24"/>
          <w:szCs w:val="24"/>
          <w:lang w:val="zh-CN"/>
        </w:rPr>
        <w:t>评标委员会</w:t>
      </w:r>
      <w:r>
        <w:rPr>
          <w:rFonts w:hint="eastAsia" w:ascii="宋体" w:hAnsi="宋体" w:cs="宋体"/>
          <w:sz w:val="24"/>
          <w:szCs w:val="24"/>
        </w:rPr>
        <w:t>不保证有效报价最低的供应商成交。</w:t>
      </w:r>
    </w:p>
    <w:p>
      <w:pPr>
        <w:pageBreakBefore w:val="0"/>
        <w:numPr>
          <w:ilvl w:val="0"/>
          <w:numId w:val="5"/>
        </w:numPr>
        <w:topLinePunct w:val="0"/>
        <w:bidi w:val="0"/>
        <w:spacing w:line="360" w:lineRule="auto"/>
        <w:ind w:left="-60" w:leftChars="0" w:firstLine="480" w:firstLineChars="0"/>
        <w:rPr>
          <w:rFonts w:ascii="宋体" w:hAnsi="宋体" w:cs="宋体"/>
          <w:sz w:val="24"/>
          <w:szCs w:val="24"/>
        </w:rPr>
      </w:pPr>
      <w:r>
        <w:rPr>
          <w:rFonts w:hint="eastAsia" w:ascii="宋体" w:hAnsi="宋体" w:cs="宋体"/>
          <w:sz w:val="24"/>
          <w:szCs w:val="24"/>
        </w:rPr>
        <w:t>若投标人提供虚假材料，一经查实作废标处理并没收投标保证金。</w:t>
      </w:r>
    </w:p>
    <w:p>
      <w:pPr>
        <w:pageBreakBefore w:val="0"/>
        <w:topLinePunct w:val="0"/>
        <w:bidi w:val="0"/>
        <w:spacing w:line="360" w:lineRule="auto"/>
        <w:rPr>
          <w:rFonts w:ascii="宋体" w:hAnsi="宋体" w:cs="宋体"/>
          <w:sz w:val="24"/>
          <w:szCs w:val="24"/>
        </w:rPr>
      </w:pPr>
    </w:p>
    <w:p>
      <w:pPr>
        <w:pageBreakBefore w:val="0"/>
        <w:topLinePunct w:val="0"/>
        <w:bidi w:val="0"/>
        <w:spacing w:line="360" w:lineRule="auto"/>
        <w:rPr>
          <w:rFonts w:ascii="宋体" w:hAnsi="宋体" w:cs="宋体"/>
          <w:b/>
          <w:bCs/>
          <w:kern w:val="44"/>
          <w:sz w:val="24"/>
          <w:szCs w:val="24"/>
        </w:rPr>
        <w:sectPr>
          <w:headerReference r:id="rId4" w:type="default"/>
          <w:footerReference r:id="rId5" w:type="default"/>
          <w:pgSz w:w="11906" w:h="16839"/>
          <w:pgMar w:top="1440" w:right="1080" w:bottom="1440" w:left="1080" w:header="878" w:footer="1016" w:gutter="0"/>
          <w:cols w:space="720" w:num="1"/>
        </w:sectPr>
      </w:pPr>
    </w:p>
    <w:p>
      <w:pPr>
        <w:pStyle w:val="43"/>
        <w:pageBreakBefore w:val="0"/>
        <w:numPr>
          <w:ilvl w:val="0"/>
          <w:numId w:val="2"/>
        </w:numPr>
        <w:topLinePunct w:val="0"/>
        <w:bidi w:val="0"/>
        <w:spacing w:line="360" w:lineRule="auto"/>
        <w:ind w:left="-420" w:leftChars="-200" w:right="272" w:firstLine="643"/>
        <w:jc w:val="center"/>
        <w:outlineLvl w:val="0"/>
        <w:rPr>
          <w:rFonts w:ascii="宋体" w:hAnsi="宋体" w:cs="宋体"/>
          <w:b/>
          <w:bCs/>
          <w:kern w:val="44"/>
          <w:sz w:val="32"/>
          <w:szCs w:val="32"/>
        </w:rPr>
      </w:pPr>
      <w:r>
        <w:rPr>
          <w:rFonts w:hint="eastAsia" w:ascii="宋体" w:hAnsi="宋体" w:cs="宋体"/>
          <w:b/>
          <w:bCs/>
          <w:kern w:val="44"/>
          <w:sz w:val="32"/>
          <w:szCs w:val="32"/>
        </w:rPr>
        <w:t>采购需求</w:t>
      </w:r>
    </w:p>
    <w:p>
      <w:pPr>
        <w:pageBreakBefore w:val="0"/>
        <w:numPr>
          <w:ilvl w:val="0"/>
          <w:numId w:val="0"/>
        </w:numPr>
        <w:topLinePunct w:val="0"/>
        <w:bidi w:val="0"/>
        <w:spacing w:before="361" w:line="360" w:lineRule="auto"/>
        <w:jc w:val="left"/>
      </w:pPr>
      <w:r>
        <w:rPr>
          <w:rFonts w:hint="eastAsia" w:ascii="宋体" w:hAnsi="宋体" w:cs="宋体"/>
          <w:b/>
          <w:bCs/>
          <w:spacing w:val="-23"/>
          <w:w w:val="98"/>
          <w:sz w:val="24"/>
          <w:szCs w:val="24"/>
        </w:rPr>
        <w:t>采购数量、技术参数</w:t>
      </w:r>
      <w:r>
        <w:drawing>
          <wp:inline distT="0" distB="0" distL="114300" distR="114300">
            <wp:extent cx="8761730" cy="4434840"/>
            <wp:effectExtent l="0" t="0" r="1270" b="3810"/>
            <wp:docPr id="5" name="图片 5" descr="e58a4bb8903382dbc1e5a90cf13e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58a4bb8903382dbc1e5a90cf13e109"/>
                    <pic:cNvPicPr>
                      <a:picLocks noChangeAspect="1"/>
                    </pic:cNvPicPr>
                  </pic:nvPicPr>
                  <pic:blipFill>
                    <a:blip r:embed="rId12"/>
                    <a:stretch>
                      <a:fillRect/>
                    </a:stretch>
                  </pic:blipFill>
                  <pic:spPr>
                    <a:xfrm>
                      <a:off x="0" y="0"/>
                      <a:ext cx="8761730" cy="4434840"/>
                    </a:xfrm>
                    <a:prstGeom prst="rect">
                      <a:avLst/>
                    </a:prstGeom>
                  </pic:spPr>
                </pic:pic>
              </a:graphicData>
            </a:graphic>
          </wp:inline>
        </w:drawing>
      </w:r>
    </w:p>
    <w:p>
      <w:pPr>
        <w:pStyle w:val="2"/>
        <w:sectPr>
          <w:pgSz w:w="16839" w:h="11906" w:orient="landscape"/>
          <w:pgMar w:top="1776" w:right="1058" w:bottom="1659" w:left="1197" w:header="878" w:footer="1016" w:gutter="0"/>
          <w:cols w:space="720" w:num="1"/>
        </w:sectPr>
      </w:pPr>
    </w:p>
    <w:p>
      <w:pPr>
        <w:pStyle w:val="20"/>
        <w:pageBreakBefore w:val="0"/>
        <w:topLinePunct w:val="0"/>
        <w:bidi w:val="0"/>
        <w:spacing w:line="360" w:lineRule="auto"/>
        <w:ind w:left="0" w:leftChars="0"/>
        <w:rPr>
          <w:rFonts w:ascii="宋体" w:hAnsi="宋体" w:cs="宋体"/>
          <w:b/>
          <w:bCs/>
          <w:sz w:val="24"/>
          <w:szCs w:val="24"/>
        </w:rPr>
      </w:pPr>
      <w:r>
        <w:rPr>
          <w:rFonts w:hint="eastAsia" w:ascii="宋体" w:hAnsi="宋体" w:cs="宋体"/>
          <w:b/>
          <w:bCs/>
          <w:sz w:val="24"/>
          <w:szCs w:val="24"/>
        </w:rPr>
        <w:t>二、商务要求：</w:t>
      </w:r>
    </w:p>
    <w:p>
      <w:pPr>
        <w:pageBreakBefore w:val="0"/>
        <w:topLinePunct w:val="0"/>
        <w:bidi w:val="0"/>
        <w:spacing w:line="360" w:lineRule="auto"/>
        <w:ind w:firstLine="500" w:firstLineChars="200"/>
        <w:rPr>
          <w:rFonts w:ascii="宋体" w:hAnsi="宋体" w:cs="宋体"/>
          <w:spacing w:val="5"/>
          <w:sz w:val="24"/>
          <w:szCs w:val="24"/>
          <w:highlight w:val="yellow"/>
        </w:rPr>
      </w:pPr>
      <w:r>
        <w:rPr>
          <w:rFonts w:hint="eastAsia" w:ascii="宋体" w:hAnsi="宋体" w:cs="宋体"/>
          <w:spacing w:val="5"/>
          <w:sz w:val="24"/>
          <w:szCs w:val="24"/>
        </w:rPr>
        <w:t>1、</w:t>
      </w:r>
      <w:r>
        <w:rPr>
          <w:rFonts w:hint="eastAsia" w:ascii="宋体" w:hAnsi="宋体" w:cs="宋体"/>
          <w:sz w:val="24"/>
          <w:szCs w:val="24"/>
        </w:rPr>
        <w:t>合同履行期限</w:t>
      </w:r>
      <w:r>
        <w:rPr>
          <w:rFonts w:hint="eastAsia" w:ascii="宋体" w:hAnsi="宋体" w:cs="宋体"/>
          <w:spacing w:val="5"/>
          <w:sz w:val="24"/>
          <w:szCs w:val="24"/>
        </w:rPr>
        <w:t>：</w:t>
      </w:r>
      <w:r>
        <w:rPr>
          <w:rFonts w:hint="eastAsia" w:ascii="宋体" w:hAnsi="宋体" w:cs="宋体"/>
          <w:sz w:val="24"/>
          <w:szCs w:val="24"/>
          <w:highlight w:val="yellow"/>
          <w:lang w:val="en-US" w:eastAsia="zh-CN"/>
        </w:rPr>
        <w:t>45日历</w:t>
      </w:r>
      <w:r>
        <w:rPr>
          <w:rFonts w:hint="eastAsia" w:ascii="宋体" w:hAnsi="宋体" w:cs="宋体"/>
          <w:sz w:val="24"/>
          <w:szCs w:val="24"/>
          <w:highlight w:val="yellow"/>
          <w:lang w:eastAsia="zh-CN"/>
        </w:rPr>
        <w:t>天（</w:t>
      </w:r>
      <w:r>
        <w:rPr>
          <w:rFonts w:hint="eastAsia" w:ascii="宋体" w:hAnsi="宋体" w:cs="宋体"/>
          <w:sz w:val="24"/>
          <w:szCs w:val="24"/>
          <w:highlight w:val="yellow"/>
        </w:rPr>
        <w:t>签订合同后20日历天内完成备货，接到采购人进场通知后5日历天内货到现场(至甲方指定位置)，20日历天内完成安装、调试并验收合格交付甲方使用。</w:t>
      </w:r>
      <w:r>
        <w:rPr>
          <w:rFonts w:hint="eastAsia" w:ascii="宋体" w:hAnsi="宋体" w:cs="宋体"/>
          <w:sz w:val="24"/>
          <w:szCs w:val="24"/>
          <w:highlight w:val="yellow"/>
          <w:lang w:eastAsia="zh-CN"/>
        </w:rPr>
        <w:t>）</w:t>
      </w:r>
    </w:p>
    <w:p>
      <w:pPr>
        <w:pStyle w:val="20"/>
        <w:pageBreakBefore w:val="0"/>
        <w:topLinePunct w:val="0"/>
        <w:bidi w:val="0"/>
        <w:spacing w:line="360" w:lineRule="auto"/>
        <w:ind w:left="0" w:leftChars="0" w:firstLine="500" w:firstLineChars="200"/>
        <w:rPr>
          <w:rFonts w:ascii="宋体" w:hAnsi="宋体" w:cs="宋体"/>
          <w:spacing w:val="-16"/>
          <w:sz w:val="24"/>
          <w:szCs w:val="24"/>
          <w:u w:val="single"/>
          <w:lang w:val="zh-TW"/>
        </w:rPr>
      </w:pPr>
      <w:r>
        <w:rPr>
          <w:rFonts w:hint="eastAsia" w:ascii="宋体" w:hAnsi="宋体" w:cs="宋体"/>
          <w:spacing w:val="5"/>
          <w:sz w:val="24"/>
          <w:szCs w:val="24"/>
        </w:rPr>
        <w:t>2、报价：本次采购采用总承包方式（本项目标准要求内的冷媒管和冷凝水管包含在总价内，超出部分按实结算。）</w:t>
      </w:r>
      <w:r>
        <w:rPr>
          <w:rFonts w:hint="eastAsia" w:ascii="宋体" w:hAnsi="宋体" w:cs="宋体"/>
          <w:color w:val="000000"/>
          <w:spacing w:val="5"/>
          <w:sz w:val="24"/>
          <w:szCs w:val="24"/>
        </w:rPr>
        <w:t>投标价应包括但不限于完成该项目所有的费用：货物价格、运输到指定地点的装运费、安装调试（例如需额外配备的冷凝水管、冷媒管、室内外机的电源线、室外机的支架（采购人提供本项目图纸，支架采用不锈钢，具体结构形式由投标人根据图纸自行考虑，如需特殊设计由投标人自行考虑，费用不做调整）、培训、售后服务、13%的增值税税金、总承包服务费（审定价的2%）由乙方直接支付给本项目总承包单位，及投标人认为需要的其他相关费用等。空调洞总包施工时预留，安装空调后由空调安装单位按规范封堵洞口，费用包含在总价内。</w:t>
      </w:r>
    </w:p>
    <w:p>
      <w:pPr>
        <w:pageBreakBefore w:val="0"/>
        <w:topLinePunct w:val="0"/>
        <w:bidi w:val="0"/>
        <w:spacing w:line="360" w:lineRule="auto"/>
        <w:ind w:firstLine="500" w:firstLineChars="200"/>
        <w:rPr>
          <w:rFonts w:hint="eastAsia" w:ascii="宋体" w:hAnsi="宋体" w:cs="宋体"/>
          <w:color w:val="auto"/>
          <w:spacing w:val="5"/>
          <w:sz w:val="24"/>
          <w:szCs w:val="24"/>
          <w:highlight w:val="yellow"/>
        </w:rPr>
      </w:pPr>
      <w:r>
        <w:rPr>
          <w:rFonts w:hint="eastAsia" w:ascii="宋体" w:hAnsi="宋体" w:cs="宋体"/>
          <w:color w:val="auto"/>
          <w:spacing w:val="5"/>
          <w:sz w:val="24"/>
          <w:szCs w:val="24"/>
        </w:rPr>
        <w:t>3、</w:t>
      </w:r>
      <w:r>
        <w:rPr>
          <w:rFonts w:hint="eastAsia" w:ascii="宋体" w:hAnsi="宋体" w:cs="宋体"/>
          <w:color w:val="auto"/>
          <w:spacing w:val="5"/>
          <w:sz w:val="24"/>
          <w:szCs w:val="24"/>
          <w:highlight w:val="yellow"/>
        </w:rPr>
        <w:t>质保期：空调整机保修2年（自验收合格之日起算）</w:t>
      </w:r>
    </w:p>
    <w:p>
      <w:pPr>
        <w:pStyle w:val="20"/>
        <w:pageBreakBefore w:val="0"/>
        <w:topLinePunct w:val="0"/>
        <w:bidi w:val="0"/>
        <w:spacing w:line="360" w:lineRule="auto"/>
        <w:ind w:left="0" w:leftChars="0"/>
        <w:rPr>
          <w:rFonts w:hint="eastAsia" w:ascii="宋体" w:hAnsi="宋体" w:cs="宋体"/>
          <w:b/>
          <w:bCs/>
          <w:sz w:val="24"/>
          <w:szCs w:val="24"/>
          <w:highlight w:val="yellow"/>
          <w:lang w:eastAsia="zh-CN"/>
        </w:rPr>
      </w:pPr>
      <w:r>
        <w:rPr>
          <w:rFonts w:hint="eastAsia" w:ascii="宋体" w:hAnsi="宋体" w:cs="宋体"/>
          <w:b/>
          <w:bCs/>
          <w:sz w:val="24"/>
          <w:szCs w:val="24"/>
          <w:highlight w:val="yellow"/>
          <w:lang w:eastAsia="zh-CN"/>
        </w:rPr>
        <w:t>三、编制说明</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sz w:val="24"/>
          <w:szCs w:val="24"/>
          <w:highlight w:val="yellow"/>
        </w:rPr>
      </w:pPr>
      <w:r>
        <w:rPr>
          <w:rFonts w:hint="eastAsia" w:ascii="宋体" w:hAnsi="宋体" w:cs="宋体"/>
          <w:kern w:val="0"/>
          <w:sz w:val="24"/>
          <w:szCs w:val="24"/>
          <w:highlight w:val="yellow"/>
        </w:rPr>
        <w:t>1、</w:t>
      </w:r>
      <w:r>
        <w:rPr>
          <w:rFonts w:hint="eastAsia" w:ascii="宋体" w:hAnsi="宋体" w:cs="宋体"/>
          <w:sz w:val="24"/>
          <w:szCs w:val="24"/>
          <w:highlight w:val="yellow"/>
        </w:rPr>
        <w:t>项目概况：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kern w:val="0"/>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1</w:t>
      </w: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rPr>
        <w:t>本项目为中国药科大学江宁校区学院实验楼二期细胞房通风空调项目</w:t>
      </w:r>
      <w:r>
        <w:rPr>
          <w:rFonts w:hint="eastAsia" w:ascii="宋体" w:hAnsi="宋体" w:cs="宋体"/>
          <w:sz w:val="24"/>
          <w:szCs w:val="24"/>
          <w:highlight w:val="yellow"/>
        </w:rPr>
        <w:t>，建设单位</w:t>
      </w:r>
      <w:r>
        <w:rPr>
          <w:rFonts w:hint="eastAsia" w:ascii="宋体" w:hAnsi="宋体" w:cs="宋体"/>
          <w:kern w:val="0"/>
          <w:sz w:val="24"/>
          <w:szCs w:val="24"/>
          <w:highlight w:val="yellow"/>
        </w:rPr>
        <w:t>中国药科大学</w:t>
      </w:r>
      <w:r>
        <w:rPr>
          <w:rFonts w:hint="eastAsia" w:ascii="宋体" w:hAnsi="宋体" w:cs="宋体"/>
          <w:sz w:val="24"/>
          <w:szCs w:val="24"/>
          <w:highlight w:val="yellow"/>
        </w:rPr>
        <w:t>，项目地址位于江苏省南京市江宁区。</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sz w:val="24"/>
          <w:szCs w:val="24"/>
          <w:highlight w:val="yellow"/>
        </w:rPr>
      </w:pPr>
      <w:r>
        <w:rPr>
          <w:rFonts w:hint="eastAsia" w:ascii="宋体" w:hAnsi="宋体" w:cs="宋体"/>
          <w:sz w:val="24"/>
          <w:szCs w:val="24"/>
          <w:highlight w:val="yellow"/>
          <w:lang w:eastAsia="zh-CN"/>
        </w:rPr>
        <w:t>（</w:t>
      </w:r>
      <w:r>
        <w:rPr>
          <w:rFonts w:hint="eastAsia" w:ascii="宋体" w:hAnsi="宋体" w:cs="宋体"/>
          <w:sz w:val="24"/>
          <w:szCs w:val="24"/>
          <w:highlight w:val="yellow"/>
          <w:lang w:val="en-US" w:eastAsia="zh-CN"/>
        </w:rPr>
        <w:t>2</w:t>
      </w:r>
      <w:r>
        <w:rPr>
          <w:rFonts w:hint="eastAsia" w:ascii="宋体" w:hAnsi="宋体" w:cs="宋体"/>
          <w:sz w:val="24"/>
          <w:szCs w:val="24"/>
          <w:highlight w:val="yellow"/>
          <w:lang w:eastAsia="zh-CN"/>
        </w:rPr>
        <w:t>）</w:t>
      </w:r>
      <w:r>
        <w:rPr>
          <w:rFonts w:hint="eastAsia" w:ascii="宋体" w:hAnsi="宋体" w:cs="宋体"/>
          <w:sz w:val="24"/>
          <w:szCs w:val="24"/>
          <w:highlight w:val="yellow"/>
        </w:rPr>
        <w:t>主要内容包括：净化通风设备、送回风管道系统、排风管道系统及配套工程等，详见设计文件。</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sz w:val="24"/>
          <w:szCs w:val="24"/>
          <w:highlight w:val="yellow"/>
        </w:rPr>
      </w:pPr>
      <w:r>
        <w:rPr>
          <w:rFonts w:hint="eastAsia" w:ascii="宋体" w:hAnsi="宋体" w:cs="宋体"/>
          <w:sz w:val="24"/>
          <w:szCs w:val="24"/>
          <w:highlight w:val="yellow"/>
          <w:lang w:val="en-US" w:eastAsia="zh-CN"/>
        </w:rPr>
        <w:t>2、</w:t>
      </w:r>
      <w:r>
        <w:rPr>
          <w:rFonts w:hint="eastAsia" w:ascii="宋体" w:hAnsi="宋体"/>
          <w:sz w:val="24"/>
          <w:szCs w:val="24"/>
          <w:highlight w:val="yellow"/>
        </w:rPr>
        <w:t>工程招标范围：</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sz w:val="24"/>
          <w:szCs w:val="24"/>
          <w:highlight w:val="yellow"/>
        </w:rPr>
      </w:pPr>
      <w:r>
        <w:rPr>
          <w:rFonts w:hint="eastAsia" w:ascii="宋体" w:hAnsi="宋体"/>
          <w:sz w:val="24"/>
          <w:szCs w:val="24"/>
          <w:highlight w:val="yellow"/>
          <w:lang w:eastAsia="zh-CN"/>
        </w:rPr>
        <w:t>（</w:t>
      </w:r>
      <w:r>
        <w:rPr>
          <w:rFonts w:hint="eastAsia" w:ascii="宋体" w:hAnsi="宋体"/>
          <w:sz w:val="24"/>
          <w:szCs w:val="24"/>
          <w:highlight w:val="yellow"/>
          <w:lang w:val="en-US" w:eastAsia="zh-CN"/>
        </w:rPr>
        <w:t>2</w:t>
      </w:r>
      <w:r>
        <w:rPr>
          <w:rFonts w:hint="eastAsia" w:ascii="宋体" w:hAnsi="宋体"/>
          <w:sz w:val="24"/>
          <w:szCs w:val="24"/>
          <w:highlight w:val="yellow"/>
          <w:lang w:eastAsia="zh-CN"/>
        </w:rPr>
        <w:t>）</w:t>
      </w:r>
      <w:r>
        <w:rPr>
          <w:rFonts w:hint="eastAsia" w:ascii="宋体" w:hAnsi="宋体"/>
          <w:sz w:val="24"/>
          <w:szCs w:val="24"/>
          <w:highlight w:val="yellow"/>
        </w:rPr>
        <w:t>详见招标文件及工程量清单。</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sz w:val="24"/>
          <w:szCs w:val="24"/>
          <w:highlight w:val="yellow"/>
        </w:rPr>
      </w:pPr>
      <w:r>
        <w:rPr>
          <w:rFonts w:hint="eastAsia" w:ascii="宋体" w:hAnsi="宋体" w:cs="宋体"/>
          <w:sz w:val="24"/>
          <w:szCs w:val="24"/>
          <w:highlight w:val="yellow"/>
          <w:lang w:val="en-US" w:eastAsia="zh-CN"/>
        </w:rPr>
        <w:t>3、</w:t>
      </w:r>
      <w:r>
        <w:rPr>
          <w:rFonts w:hint="eastAsia" w:ascii="宋体" w:hAnsi="宋体" w:cs="宋体"/>
          <w:sz w:val="24"/>
          <w:szCs w:val="24"/>
          <w:highlight w:val="yellow"/>
        </w:rPr>
        <w:t>工程量清单编制依据：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kern w:val="0"/>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1</w:t>
      </w: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rPr>
        <w:t>《建设工程工程量清单计价规范》（GB50500-2013）、《通用安装工程工程量计算规范》（</w:t>
      </w:r>
      <w:r>
        <w:rPr>
          <w:rFonts w:ascii="宋体" w:hAnsi="宋体" w:cs="ËÎÌå"/>
          <w:kern w:val="0"/>
          <w:sz w:val="24"/>
          <w:szCs w:val="24"/>
          <w:highlight w:val="yellow"/>
        </w:rPr>
        <w:t>GB50856-2013</w:t>
      </w:r>
      <w:r>
        <w:rPr>
          <w:rFonts w:hint="eastAsia" w:ascii="宋体" w:hAnsi="宋体" w:cs="宋体"/>
          <w:kern w:val="0"/>
          <w:sz w:val="24"/>
          <w:szCs w:val="24"/>
          <w:highlight w:val="yellow"/>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2</w:t>
      </w:r>
      <w:r>
        <w:rPr>
          <w:rFonts w:hint="eastAsia" w:ascii="宋体" w:hAnsi="宋体" w:cs="宋体"/>
          <w:kern w:val="0"/>
          <w:sz w:val="24"/>
          <w:szCs w:val="24"/>
          <w:highlight w:val="yellow"/>
          <w:lang w:eastAsia="zh-CN"/>
        </w:rPr>
        <w:t>）</w:t>
      </w:r>
      <w:r>
        <w:rPr>
          <w:rFonts w:hint="eastAsia" w:ascii="宋体" w:hAnsi="宋体" w:cs="宋体"/>
          <w:sz w:val="24"/>
          <w:szCs w:val="24"/>
          <w:highlight w:val="yellow"/>
        </w:rPr>
        <w:t>建设单位提供的设计图纸；</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3</w:t>
      </w:r>
      <w:r>
        <w:rPr>
          <w:rFonts w:hint="eastAsia" w:ascii="宋体" w:hAnsi="宋体" w:cs="宋体"/>
          <w:kern w:val="0"/>
          <w:sz w:val="24"/>
          <w:szCs w:val="24"/>
          <w:highlight w:val="yellow"/>
          <w:lang w:eastAsia="zh-CN"/>
        </w:rPr>
        <w:t>）</w:t>
      </w:r>
      <w:r>
        <w:rPr>
          <w:rFonts w:hint="eastAsia"/>
          <w:sz w:val="24"/>
          <w:szCs w:val="24"/>
          <w:highlight w:val="yellow"/>
        </w:rPr>
        <w:t>拟建项目安装现场情况、项目特点及常规安装方案</w:t>
      </w:r>
      <w:r>
        <w:rPr>
          <w:rFonts w:hint="eastAsia" w:ascii="宋体" w:hAnsi="宋体" w:cs="宋体"/>
          <w:sz w:val="24"/>
          <w:szCs w:val="24"/>
          <w:highlight w:val="yellow"/>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szCs w:val="24"/>
          <w:highlight w:val="yellow"/>
        </w:rPr>
      </w:pPr>
      <w:r>
        <w:rPr>
          <w:rFonts w:hint="eastAsia" w:ascii="宋体" w:hAnsi="宋体" w:cs="宋体"/>
          <w:sz w:val="24"/>
          <w:szCs w:val="24"/>
          <w:highlight w:val="yellow"/>
          <w:lang w:val="en-US" w:eastAsia="zh-CN"/>
        </w:rPr>
        <w:t>4、</w:t>
      </w:r>
      <w:r>
        <w:rPr>
          <w:rFonts w:hint="eastAsia" w:ascii="宋体" w:hAnsi="宋体" w:cs="宋体"/>
          <w:sz w:val="24"/>
          <w:szCs w:val="24"/>
          <w:highlight w:val="yellow"/>
        </w:rPr>
        <w:t>项目内容简要说明：</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1</w:t>
      </w:r>
      <w:r>
        <w:rPr>
          <w:rFonts w:hint="eastAsia" w:ascii="宋体" w:hAnsi="宋体" w:cs="宋体"/>
          <w:kern w:val="0"/>
          <w:sz w:val="24"/>
          <w:szCs w:val="24"/>
          <w:highlight w:val="yellow"/>
          <w:lang w:eastAsia="zh-CN"/>
        </w:rPr>
        <w:t>）</w:t>
      </w:r>
      <w:r>
        <w:rPr>
          <w:rFonts w:hint="eastAsia" w:ascii="宋体" w:hAnsi="宋体"/>
          <w:sz w:val="24"/>
          <w:szCs w:val="24"/>
          <w:highlight w:val="yellow"/>
        </w:rPr>
        <w:t>工程量清单主要为实验楼二期细胞间涉及的2</w:t>
      </w:r>
      <w:r>
        <w:rPr>
          <w:rFonts w:ascii="宋体" w:hAnsi="宋体"/>
          <w:sz w:val="24"/>
          <w:szCs w:val="24"/>
          <w:highlight w:val="yellow"/>
        </w:rPr>
        <w:t>9</w:t>
      </w:r>
      <w:r>
        <w:rPr>
          <w:rFonts w:hint="eastAsia" w:ascii="宋体" w:hAnsi="宋体"/>
          <w:sz w:val="24"/>
          <w:szCs w:val="24"/>
          <w:highlight w:val="yellow"/>
        </w:rPr>
        <w:t>台组合式空调机组及2台全新风组合式空调机组及配套直膨式室外机、连锁排风机组及配套管道、阀门、消音器等；</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2</w:t>
      </w:r>
      <w:r>
        <w:rPr>
          <w:rFonts w:hint="eastAsia" w:ascii="宋体" w:hAnsi="宋体" w:cs="宋体"/>
          <w:kern w:val="0"/>
          <w:sz w:val="24"/>
          <w:szCs w:val="24"/>
          <w:highlight w:val="yellow"/>
          <w:lang w:eastAsia="zh-CN"/>
        </w:rPr>
        <w:t>）</w:t>
      </w:r>
      <w:r>
        <w:rPr>
          <w:rFonts w:hint="eastAsia" w:ascii="宋体" w:hAnsi="宋体"/>
          <w:sz w:val="24"/>
          <w:szCs w:val="24"/>
          <w:highlight w:val="yellow"/>
        </w:rPr>
        <w:t>排风管道需与原管道井内玻璃钢管对接，管道井内立管已预留至屋面，出屋面部分再接至排风机；</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3</w:t>
      </w:r>
      <w:r>
        <w:rPr>
          <w:rFonts w:hint="eastAsia" w:ascii="宋体" w:hAnsi="宋体" w:cs="宋体"/>
          <w:kern w:val="0"/>
          <w:sz w:val="24"/>
          <w:szCs w:val="24"/>
          <w:highlight w:val="yellow"/>
          <w:lang w:eastAsia="zh-CN"/>
        </w:rPr>
        <w:t>）</w:t>
      </w:r>
      <w:r>
        <w:rPr>
          <w:rFonts w:hint="eastAsia" w:ascii="宋体" w:hAnsi="宋体"/>
          <w:sz w:val="24"/>
          <w:szCs w:val="24"/>
          <w:highlight w:val="yellow"/>
        </w:rPr>
        <w:t>因不同空调设备厂家所配套使用的铜管规格可能存在差异，故相关空调设备配套铜管、制冷剂、冷凝水管及保温，支架、信号线等均由投标人自行考虑在报价中；</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4</w:t>
      </w:r>
      <w:r>
        <w:rPr>
          <w:rFonts w:hint="eastAsia" w:ascii="宋体" w:hAnsi="宋体" w:cs="宋体"/>
          <w:kern w:val="0"/>
          <w:sz w:val="24"/>
          <w:szCs w:val="24"/>
          <w:highlight w:val="yellow"/>
          <w:lang w:eastAsia="zh-CN"/>
        </w:rPr>
        <w:t>）</w:t>
      </w:r>
      <w:r>
        <w:rPr>
          <w:rFonts w:hint="eastAsia" w:ascii="宋体" w:hAnsi="宋体"/>
          <w:sz w:val="24"/>
          <w:szCs w:val="24"/>
          <w:highlight w:val="yellow"/>
        </w:rPr>
        <w:t>风管穿过墙体、楼板、需要密闭的防火防爆楼板或墙体时应按设计要求设置相应的套管及封堵，涉及的打孔及套管、防火堵洞等自行考虑在报价中；</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5</w:t>
      </w:r>
      <w:r>
        <w:rPr>
          <w:rFonts w:hint="eastAsia" w:ascii="宋体" w:hAnsi="宋体" w:cs="宋体"/>
          <w:kern w:val="0"/>
          <w:sz w:val="24"/>
          <w:szCs w:val="24"/>
          <w:highlight w:val="yellow"/>
          <w:lang w:eastAsia="zh-CN"/>
        </w:rPr>
        <w:t>）</w:t>
      </w:r>
      <w:r>
        <w:rPr>
          <w:rFonts w:hint="eastAsia" w:ascii="宋体" w:hAnsi="宋体"/>
          <w:sz w:val="24"/>
          <w:szCs w:val="24"/>
          <w:highlight w:val="yellow"/>
        </w:rPr>
        <w:t>根据设计图及甲方要求，空调内机机组自带A</w:t>
      </w:r>
      <w:r>
        <w:rPr>
          <w:rFonts w:ascii="宋体" w:hAnsi="宋体"/>
          <w:sz w:val="24"/>
          <w:szCs w:val="24"/>
          <w:highlight w:val="yellow"/>
        </w:rPr>
        <w:t>C</w:t>
      </w:r>
      <w:r>
        <w:rPr>
          <w:rFonts w:hint="eastAsia" w:ascii="宋体" w:hAnsi="宋体"/>
          <w:sz w:val="24"/>
          <w:szCs w:val="24"/>
          <w:highlight w:val="yellow"/>
        </w:rPr>
        <w:t>箱的配电、直膨式室外机组配电及风机配电、风机现场控制按钮箱的控制线、与排风机连锁的电动风阀配线，不在本次清单范围，由装修单位施工，装修单位根据设计施工图要求预留至各点位，末端接线、调试由空调单位负责。</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szCs w:val="24"/>
          <w:highlight w:val="yellow"/>
        </w:rPr>
      </w:pPr>
      <w:r>
        <w:rPr>
          <w:rFonts w:hint="eastAsia" w:ascii="宋体" w:hAnsi="宋体" w:cs="宋体"/>
          <w:sz w:val="24"/>
          <w:szCs w:val="24"/>
          <w:highlight w:val="yellow"/>
          <w:lang w:val="en-US" w:eastAsia="zh-CN"/>
        </w:rPr>
        <w:t>5、</w:t>
      </w:r>
      <w:r>
        <w:rPr>
          <w:rFonts w:hint="eastAsia" w:ascii="宋体" w:hAnsi="宋体" w:cs="宋体"/>
          <w:sz w:val="24"/>
          <w:szCs w:val="24"/>
          <w:highlight w:val="yellow"/>
        </w:rPr>
        <w:t>其投标报价有关说明：</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1</w:t>
      </w:r>
      <w:r>
        <w:rPr>
          <w:rFonts w:hint="eastAsia" w:ascii="宋体" w:hAnsi="宋体" w:cs="宋体"/>
          <w:kern w:val="0"/>
          <w:sz w:val="24"/>
          <w:szCs w:val="24"/>
          <w:highlight w:val="yellow"/>
          <w:lang w:eastAsia="zh-CN"/>
        </w:rPr>
        <w:t>）</w:t>
      </w:r>
      <w:r>
        <w:rPr>
          <w:rFonts w:hint="eastAsia" w:ascii="宋体" w:hAnsi="宋体"/>
          <w:sz w:val="24"/>
          <w:szCs w:val="24"/>
          <w:highlight w:val="yellow"/>
        </w:rPr>
        <w:t>工程量清单应与投标须知、合同通用条款、合同专用条款、技术条件或规范和施工设计图纸并结合现场条件综合报价，清单中所列项目及数量在报价时不得更改；</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2</w:t>
      </w:r>
      <w:r>
        <w:rPr>
          <w:rFonts w:hint="eastAsia" w:ascii="宋体" w:hAnsi="宋体" w:cs="宋体"/>
          <w:kern w:val="0"/>
          <w:sz w:val="24"/>
          <w:szCs w:val="24"/>
          <w:highlight w:val="yellow"/>
          <w:lang w:eastAsia="zh-CN"/>
        </w:rPr>
        <w:t>）</w:t>
      </w:r>
      <w:r>
        <w:rPr>
          <w:rFonts w:hint="eastAsia" w:ascii="宋体" w:hAnsi="宋体"/>
          <w:sz w:val="24"/>
          <w:szCs w:val="24"/>
          <w:highlight w:val="yellow"/>
        </w:rPr>
        <w:t>投标人报价时应根据工程量清单、招标文件、图纸、招标答疑及现场踏勘情况报价，投标人在报价时应充分考虑现场施工时存在的风险；</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olor w:val="000000"/>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3</w:t>
      </w:r>
      <w:r>
        <w:rPr>
          <w:rFonts w:hint="eastAsia" w:ascii="宋体" w:hAnsi="宋体" w:cs="宋体"/>
          <w:kern w:val="0"/>
          <w:sz w:val="24"/>
          <w:szCs w:val="24"/>
          <w:highlight w:val="yellow"/>
          <w:lang w:eastAsia="zh-CN"/>
        </w:rPr>
        <w:t>）</w:t>
      </w:r>
      <w:r>
        <w:rPr>
          <w:rFonts w:hint="eastAsia" w:ascii="宋体" w:hAnsi="宋体"/>
          <w:color w:val="000000"/>
          <w:sz w:val="24"/>
          <w:szCs w:val="24"/>
          <w:highlight w:val="yellow"/>
        </w:rPr>
        <w:t>投标人为项目顺利实施应采取的合理有效的措施，含垂直运输费用，其费用须计入报价；</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olor w:val="000000"/>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4</w:t>
      </w:r>
      <w:r>
        <w:rPr>
          <w:rFonts w:hint="eastAsia" w:ascii="宋体" w:hAnsi="宋体" w:cs="宋体"/>
          <w:kern w:val="0"/>
          <w:sz w:val="24"/>
          <w:szCs w:val="24"/>
          <w:highlight w:val="yellow"/>
          <w:lang w:eastAsia="zh-CN"/>
        </w:rPr>
        <w:t>）</w:t>
      </w:r>
      <w:r>
        <w:rPr>
          <w:rFonts w:hint="eastAsia" w:ascii="宋体" w:hAnsi="宋体"/>
          <w:color w:val="000000"/>
          <w:sz w:val="24"/>
          <w:szCs w:val="24"/>
          <w:highlight w:val="yellow"/>
        </w:rPr>
        <w:t>投标人须对清单各条目进行完整性报价，全费用单价为完成各清单项目所有内容的费用（包含但不限于项目特征描述的工艺、做法）；</w:t>
      </w:r>
    </w:p>
    <w:p>
      <w:pPr>
        <w:pStyle w:val="2"/>
        <w:keepNext w:val="0"/>
        <w:keepLines w:val="0"/>
        <w:pageBreakBefore w:val="0"/>
        <w:widowControl w:val="0"/>
        <w:kinsoku/>
        <w:wordWrap/>
        <w:overflowPunct/>
        <w:topLinePunct w:val="0"/>
        <w:bidi w:val="0"/>
        <w:snapToGrid/>
        <w:ind w:left="0" w:leftChars="0" w:firstLine="480" w:firstLineChars="200"/>
        <w:textAlignment w:val="auto"/>
        <w:rPr>
          <w:sz w:val="24"/>
          <w:szCs w:val="24"/>
          <w:highlight w:val="yellow"/>
        </w:rPr>
      </w:pP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5</w:t>
      </w:r>
      <w:r>
        <w:rPr>
          <w:rFonts w:hint="eastAsia" w:ascii="宋体" w:hAnsi="宋体" w:cs="宋体"/>
          <w:kern w:val="0"/>
          <w:sz w:val="24"/>
          <w:szCs w:val="24"/>
          <w:highlight w:val="yellow"/>
          <w:lang w:eastAsia="zh-CN"/>
        </w:rPr>
        <w:t>）</w:t>
      </w:r>
      <w:r>
        <w:rPr>
          <w:rFonts w:hint="eastAsia" w:ascii="宋体" w:hAnsi="宋体"/>
          <w:color w:val="000000"/>
          <w:sz w:val="24"/>
          <w:szCs w:val="24"/>
          <w:highlight w:val="yellow"/>
        </w:rPr>
        <w:t>项目所用材料均应满足图纸、招标文件要求，同时满足环保、消防、人防等相关部门的要求，并经业主同意方可使用。</w:t>
      </w:r>
    </w:p>
    <w:p>
      <w:pPr>
        <w:pageBreakBefore w:val="0"/>
        <w:topLinePunct w:val="0"/>
        <w:bidi w:val="0"/>
        <w:spacing w:line="360" w:lineRule="auto"/>
        <w:rPr>
          <w:rFonts w:ascii="宋体" w:hAnsi="宋体" w:cs="宋体"/>
          <w:b/>
          <w:bCs/>
          <w:color w:val="FF0000"/>
          <w:kern w:val="44"/>
          <w:sz w:val="24"/>
          <w:szCs w:val="24"/>
        </w:rPr>
      </w:pPr>
      <w:r>
        <w:rPr>
          <w:rFonts w:hint="eastAsia" w:ascii="宋体" w:hAnsi="宋体" w:cs="宋体"/>
          <w:b/>
          <w:bCs/>
          <w:color w:val="FF0000"/>
          <w:kern w:val="44"/>
          <w:sz w:val="24"/>
          <w:szCs w:val="24"/>
        </w:rPr>
        <w:br w:type="page"/>
      </w:r>
    </w:p>
    <w:p>
      <w:pPr>
        <w:pageBreakBefore w:val="0"/>
        <w:topLinePunct w:val="0"/>
        <w:bidi w:val="0"/>
        <w:spacing w:line="360" w:lineRule="auto"/>
      </w:pPr>
    </w:p>
    <w:p>
      <w:pPr>
        <w:pStyle w:val="43"/>
        <w:pageBreakBefore w:val="0"/>
        <w:numPr>
          <w:ilvl w:val="0"/>
          <w:numId w:val="2"/>
        </w:numPr>
        <w:topLinePunct w:val="0"/>
        <w:bidi w:val="0"/>
        <w:spacing w:line="360" w:lineRule="auto"/>
        <w:ind w:left="-420" w:leftChars="-200" w:right="272" w:firstLine="643"/>
        <w:jc w:val="center"/>
        <w:outlineLvl w:val="0"/>
        <w:rPr>
          <w:rFonts w:ascii="宋体" w:hAnsi="宋体" w:cs="宋体"/>
          <w:b/>
          <w:bCs/>
          <w:kern w:val="44"/>
          <w:sz w:val="32"/>
          <w:szCs w:val="32"/>
        </w:rPr>
      </w:pPr>
      <w:bookmarkStart w:id="38" w:name="_Toc8226"/>
      <w:r>
        <w:rPr>
          <w:rFonts w:hint="eastAsia" w:ascii="宋体" w:hAnsi="宋体" w:cs="宋体"/>
          <w:b/>
          <w:bCs/>
          <w:kern w:val="44"/>
          <w:sz w:val="32"/>
          <w:szCs w:val="32"/>
        </w:rPr>
        <w:t>合同</w:t>
      </w:r>
      <w:bookmarkEnd w:id="38"/>
      <w:r>
        <w:rPr>
          <w:rFonts w:hint="eastAsia" w:ascii="宋体" w:hAnsi="宋体" w:cs="宋体"/>
          <w:b/>
          <w:bCs/>
          <w:kern w:val="44"/>
          <w:sz w:val="32"/>
          <w:szCs w:val="32"/>
        </w:rPr>
        <w:t>条款及格式</w:t>
      </w:r>
    </w:p>
    <w:p>
      <w:pPr>
        <w:pageBreakBefore w:val="0"/>
        <w:topLinePunct w:val="0"/>
        <w:bidi w:val="0"/>
        <w:spacing w:before="401" w:line="360" w:lineRule="auto"/>
        <w:ind w:firstLine="2874"/>
        <w:outlineLvl w:val="1"/>
        <w:rPr>
          <w:rFonts w:ascii="宋体" w:hAnsi="宋体" w:cs="宋体"/>
          <w:sz w:val="28"/>
          <w:szCs w:val="28"/>
        </w:rPr>
      </w:pPr>
      <w:bookmarkStart w:id="39" w:name="_Toc17726"/>
      <w:r>
        <w:rPr>
          <w:rFonts w:hint="eastAsia" w:ascii="宋体" w:hAnsi="宋体" w:cs="宋体"/>
          <w:b/>
          <w:bCs/>
          <w:spacing w:val="-13"/>
          <w:sz w:val="28"/>
          <w:szCs w:val="28"/>
        </w:rPr>
        <w:t>（一）合同通用条款</w:t>
      </w:r>
      <w:bookmarkEnd w:id="39"/>
    </w:p>
    <w:p>
      <w:pPr>
        <w:pageBreakBefore w:val="0"/>
        <w:topLinePunct w:val="0"/>
        <w:bidi w:val="0"/>
        <w:spacing w:line="360" w:lineRule="auto"/>
        <w:ind w:firstLine="410" w:firstLineChars="200"/>
        <w:rPr>
          <w:rFonts w:ascii="宋体" w:hAnsi="宋体" w:cs="宋体"/>
          <w:sz w:val="24"/>
          <w:szCs w:val="24"/>
        </w:rPr>
      </w:pPr>
      <w:r>
        <w:rPr>
          <w:rFonts w:hint="eastAsia" w:ascii="宋体" w:hAnsi="宋体" w:cs="宋体"/>
          <w:b/>
          <w:bCs/>
          <w:spacing w:val="-14"/>
          <w:w w:val="97"/>
          <w:sz w:val="24"/>
          <w:szCs w:val="24"/>
        </w:rPr>
        <w:t>1．定义</w:t>
      </w:r>
    </w:p>
    <w:p>
      <w:pPr>
        <w:pageBreakBefore w:val="0"/>
        <w:topLinePunct w:val="0"/>
        <w:bidi w:val="0"/>
        <w:spacing w:line="360" w:lineRule="auto"/>
        <w:ind w:firstLine="476" w:firstLineChars="200"/>
        <w:rPr>
          <w:rFonts w:ascii="宋体" w:hAnsi="宋体" w:cs="宋体"/>
          <w:sz w:val="24"/>
          <w:szCs w:val="24"/>
        </w:rPr>
      </w:pPr>
      <w:r>
        <w:rPr>
          <w:rFonts w:hint="eastAsia" w:ascii="宋体" w:hAnsi="宋体" w:cs="宋体"/>
          <w:spacing w:val="-1"/>
          <w:sz w:val="24"/>
          <w:szCs w:val="24"/>
        </w:rPr>
        <w:t>本合同下列术语应解释为：</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1.1“合同”系指甲方和乙方（以下简称合同双方）签署的、合同格式中列明的合同双方所达成的协议，包括所有的附件、附录和构成合同的所有文件。</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1.2“合同价”系指根据合同规定，乙方在完全履行合同义务后甲方应付给乙方的价格。</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1.3“货物（含软件及相关服务）”系指乙方按合同要求，须向甲方提供的一切设备、机械、仪器、备件、工具、技术及手册等有关资料。</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1.4“服务”系指根据合同规定乙方承担与供货有关的所有辅助服务，如运输、保险以及其它的服务，如安装、调试、提供技术援助、培训及其他类似的义务。</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1.5“甲方”系指购买货物（含软件及相关服务）的单位。</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1.6“乙方”系指根据合同规定提供货物（含软件及相关服务）和服务的制造商或代理商。</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1.7“现场”系指将要进行货物（含软件及相关服务）安装和调试的地点。</w:t>
      </w:r>
    </w:p>
    <w:p>
      <w:pPr>
        <w:pageBreakBefore w:val="0"/>
        <w:topLinePunct w:val="0"/>
        <w:bidi w:val="0"/>
        <w:spacing w:line="360" w:lineRule="auto"/>
        <w:ind w:firstLine="430" w:firstLineChars="200"/>
        <w:rPr>
          <w:rFonts w:ascii="宋体" w:hAnsi="宋体" w:cs="宋体"/>
          <w:sz w:val="24"/>
          <w:szCs w:val="24"/>
        </w:rPr>
      </w:pPr>
      <w:r>
        <w:rPr>
          <w:rFonts w:hint="eastAsia" w:ascii="宋体" w:hAnsi="宋体" w:cs="宋体"/>
          <w:b/>
          <w:bCs/>
          <w:spacing w:val="-13"/>
          <w:sz w:val="24"/>
          <w:szCs w:val="24"/>
        </w:rPr>
        <w:t>2．技术规范</w:t>
      </w:r>
    </w:p>
    <w:p>
      <w:pPr>
        <w:pageBreakBefore w:val="0"/>
        <w:topLinePunct w:val="0"/>
        <w:bidi w:val="0"/>
        <w:spacing w:line="360" w:lineRule="auto"/>
        <w:ind w:firstLine="468" w:firstLineChars="200"/>
        <w:rPr>
          <w:rFonts w:ascii="宋体" w:hAnsi="宋体" w:cs="宋体"/>
          <w:sz w:val="24"/>
          <w:szCs w:val="24"/>
        </w:rPr>
      </w:pPr>
      <w:r>
        <w:rPr>
          <w:rFonts w:hint="eastAsia" w:ascii="宋体" w:hAnsi="宋体" w:cs="宋体"/>
          <w:spacing w:val="-3"/>
          <w:sz w:val="24"/>
          <w:szCs w:val="24"/>
        </w:rPr>
        <w:t>提交货物（含软件及相关服务）的技术规范应与采购文件的技术规范和技术</w:t>
      </w:r>
      <w:r>
        <w:rPr>
          <w:rFonts w:hint="eastAsia" w:ascii="宋体" w:hAnsi="宋体" w:cs="宋体"/>
          <w:spacing w:val="-7"/>
          <w:sz w:val="24"/>
          <w:szCs w:val="24"/>
        </w:rPr>
        <w:t>规范附件（如有）及其投标文件的规格响应表（如果被甲方接受）相一致。若技</w:t>
      </w:r>
      <w:r>
        <w:rPr>
          <w:rFonts w:hint="eastAsia" w:ascii="宋体" w:hAnsi="宋体" w:cs="宋体"/>
          <w:spacing w:val="-2"/>
          <w:sz w:val="24"/>
          <w:szCs w:val="24"/>
        </w:rPr>
        <w:t>术规范中无相应说明，则以国家有关部门最新颁布的相应标准及规范为准。</w:t>
      </w:r>
    </w:p>
    <w:p>
      <w:pPr>
        <w:pageBreakBefore w:val="0"/>
        <w:topLinePunct w:val="0"/>
        <w:bidi w:val="0"/>
        <w:spacing w:line="360" w:lineRule="auto"/>
        <w:ind w:firstLine="426" w:firstLineChars="200"/>
        <w:rPr>
          <w:rFonts w:ascii="宋体" w:hAnsi="宋体" w:cs="宋体"/>
          <w:sz w:val="24"/>
          <w:szCs w:val="24"/>
        </w:rPr>
      </w:pPr>
      <w:r>
        <w:rPr>
          <w:rFonts w:hint="eastAsia" w:ascii="宋体" w:hAnsi="宋体" w:cs="宋体"/>
          <w:b/>
          <w:bCs/>
          <w:spacing w:val="-14"/>
          <w:sz w:val="24"/>
          <w:szCs w:val="24"/>
        </w:rPr>
        <w:t>3．知识产权</w:t>
      </w:r>
    </w:p>
    <w:p>
      <w:pPr>
        <w:pageBreakBefore w:val="0"/>
        <w:topLinePunct w:val="0"/>
        <w:bidi w:val="0"/>
        <w:spacing w:line="360" w:lineRule="auto"/>
        <w:ind w:firstLine="464" w:firstLineChars="200"/>
        <w:rPr>
          <w:rFonts w:ascii="宋体" w:hAnsi="宋体" w:cs="宋体"/>
          <w:sz w:val="24"/>
          <w:szCs w:val="24"/>
        </w:rPr>
      </w:pPr>
      <w:r>
        <w:rPr>
          <w:rFonts w:hint="eastAsia" w:ascii="宋体" w:hAnsi="宋体" w:cs="宋体"/>
          <w:spacing w:val="-4"/>
          <w:sz w:val="24"/>
          <w:szCs w:val="24"/>
        </w:rPr>
        <w:t>乙方须保障甲方在使用该货物（含软件及相关服务）或其任何一部分时不受</w:t>
      </w:r>
      <w:r>
        <w:rPr>
          <w:rFonts w:hint="eastAsia" w:ascii="宋体" w:hAnsi="宋体" w:cs="宋体"/>
          <w:spacing w:val="-15"/>
          <w:sz w:val="24"/>
          <w:szCs w:val="24"/>
        </w:rPr>
        <w:t>到第三方关于侵犯专利权、商标权、著作权、专有技术等权利的指控。如果任何</w:t>
      </w:r>
      <w:r>
        <w:rPr>
          <w:rFonts w:hint="eastAsia" w:ascii="宋体" w:hAnsi="宋体" w:cs="宋体"/>
          <w:spacing w:val="-4"/>
          <w:sz w:val="24"/>
          <w:szCs w:val="24"/>
        </w:rPr>
        <w:t>第三方提出侵权指控，乙方须与第三方交涉并承担可能发生的一切损失和费用。</w:t>
      </w:r>
    </w:p>
    <w:p>
      <w:pPr>
        <w:pageBreakBefore w:val="0"/>
        <w:topLinePunct w:val="0"/>
        <w:bidi w:val="0"/>
        <w:spacing w:line="360" w:lineRule="auto"/>
        <w:ind w:firstLine="438" w:firstLineChars="200"/>
        <w:rPr>
          <w:rFonts w:ascii="宋体" w:hAnsi="宋体" w:cs="宋体"/>
          <w:sz w:val="24"/>
          <w:szCs w:val="24"/>
        </w:rPr>
      </w:pPr>
      <w:r>
        <w:rPr>
          <w:rFonts w:hint="eastAsia" w:ascii="宋体" w:hAnsi="宋体" w:cs="宋体"/>
          <w:b/>
          <w:bCs/>
          <w:spacing w:val="-11"/>
          <w:sz w:val="24"/>
          <w:szCs w:val="24"/>
        </w:rPr>
        <w:t>4．包装要求</w:t>
      </w:r>
    </w:p>
    <w:p>
      <w:pPr>
        <w:pageBreakBefore w:val="0"/>
        <w:topLinePunct w:val="0"/>
        <w:bidi w:val="0"/>
        <w:spacing w:line="360" w:lineRule="auto"/>
        <w:ind w:firstLine="464" w:firstLineChars="200"/>
        <w:rPr>
          <w:rFonts w:ascii="宋体" w:hAnsi="宋体" w:cs="宋体"/>
          <w:sz w:val="24"/>
          <w:szCs w:val="24"/>
        </w:rPr>
      </w:pPr>
      <w:r>
        <w:rPr>
          <w:rFonts w:hint="eastAsia" w:ascii="宋体" w:hAnsi="宋体" w:cs="宋体"/>
          <w:spacing w:val="-4"/>
          <w:sz w:val="24"/>
          <w:szCs w:val="24"/>
        </w:rPr>
        <w:t>4.1除合同另有规定外，乙方提供的全部货物（含软件及相关服务</w:t>
      </w:r>
      <w:r>
        <w:rPr>
          <w:rFonts w:hint="eastAsia" w:ascii="宋体" w:hAnsi="宋体" w:cs="宋体"/>
          <w:spacing w:val="-74"/>
          <w:sz w:val="24"/>
          <w:szCs w:val="24"/>
        </w:rPr>
        <w:t>），</w:t>
      </w:r>
      <w:r>
        <w:rPr>
          <w:rFonts w:hint="eastAsia" w:ascii="宋体" w:hAnsi="宋体" w:cs="宋体"/>
          <w:spacing w:val="-4"/>
          <w:sz w:val="24"/>
          <w:szCs w:val="24"/>
        </w:rPr>
        <w:t>均应</w:t>
      </w:r>
      <w:r>
        <w:rPr>
          <w:rFonts w:hint="eastAsia" w:ascii="宋体" w:hAnsi="宋体" w:cs="宋体"/>
          <w:spacing w:val="-14"/>
          <w:sz w:val="24"/>
          <w:szCs w:val="24"/>
        </w:rPr>
        <w:t>采用相应的标准保护措施进行包装，使包装适应于远距离运输、防潮、防震、防</w:t>
      </w:r>
      <w:r>
        <w:rPr>
          <w:rFonts w:hint="eastAsia" w:ascii="宋体" w:hAnsi="宋体" w:cs="宋体"/>
          <w:spacing w:val="-10"/>
          <w:sz w:val="24"/>
          <w:szCs w:val="24"/>
        </w:rPr>
        <w:t>锈和防粗暴装卸，确保货物（含软件及相关服务）安全无损运抵现场。由于包装</w:t>
      </w:r>
      <w:r>
        <w:rPr>
          <w:rFonts w:hint="eastAsia" w:ascii="宋体" w:hAnsi="宋体" w:cs="宋体"/>
          <w:spacing w:val="-18"/>
          <w:sz w:val="24"/>
          <w:szCs w:val="24"/>
        </w:rPr>
        <w:t>不善所引起的货物（含软件及相关服务）锈蚀、损坏、损失、灭失均由乙方承担。</w:t>
      </w:r>
    </w:p>
    <w:p>
      <w:pPr>
        <w:pageBreakBefore w:val="0"/>
        <w:topLinePunct w:val="0"/>
        <w:bidi w:val="0"/>
        <w:spacing w:line="360" w:lineRule="auto"/>
        <w:ind w:firstLine="476" w:firstLineChars="200"/>
        <w:rPr>
          <w:rFonts w:ascii="宋体" w:hAnsi="宋体" w:cs="宋体"/>
          <w:sz w:val="24"/>
          <w:szCs w:val="24"/>
        </w:rPr>
      </w:pPr>
      <w:r>
        <w:rPr>
          <w:rFonts w:hint="eastAsia" w:ascii="宋体" w:hAnsi="宋体" w:cs="宋体"/>
          <w:spacing w:val="-1"/>
          <w:sz w:val="24"/>
          <w:szCs w:val="24"/>
        </w:rPr>
        <w:t>4.2每件包装箱内应附一份详细装箱单和质量合格证。</w:t>
      </w:r>
    </w:p>
    <w:p>
      <w:pPr>
        <w:pageBreakBefore w:val="0"/>
        <w:topLinePunct w:val="0"/>
        <w:bidi w:val="0"/>
        <w:spacing w:line="360" w:lineRule="auto"/>
        <w:ind w:firstLine="426" w:firstLineChars="200"/>
        <w:rPr>
          <w:rFonts w:ascii="宋体" w:hAnsi="宋体" w:cs="宋体"/>
          <w:sz w:val="24"/>
          <w:szCs w:val="24"/>
        </w:rPr>
      </w:pPr>
      <w:r>
        <w:rPr>
          <w:rFonts w:hint="eastAsia" w:ascii="宋体" w:hAnsi="宋体" w:cs="宋体"/>
          <w:b/>
          <w:bCs/>
          <w:spacing w:val="-14"/>
          <w:sz w:val="24"/>
          <w:szCs w:val="24"/>
        </w:rPr>
        <w:t>5．装运标志</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5.1乙方应在每一包装箱邻接的四侧用不褪色的油漆以醒目的中文字样做出下列标记：</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（l）收货人；</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（2）合同号；</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（3）装运标志；</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（4）收货人代号；</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（5）目的地；</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（6）货物（含软件及相关服务）名称、品目号和箱号；</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（7）毛重／净重；</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（8）尺寸（长X宽X高，以厘米计）。</w:t>
      </w:r>
    </w:p>
    <w:p>
      <w:pPr>
        <w:pageBreakBefore w:val="0"/>
        <w:topLinePunct w:val="0"/>
        <w:bidi w:val="0"/>
        <w:spacing w:line="360" w:lineRule="auto"/>
        <w:ind w:firstLine="460" w:firstLineChars="200"/>
        <w:rPr>
          <w:rFonts w:ascii="宋体" w:hAnsi="宋体" w:cs="宋体"/>
          <w:sz w:val="24"/>
          <w:szCs w:val="24"/>
        </w:rPr>
      </w:pPr>
      <w:r>
        <w:rPr>
          <w:rFonts w:hint="eastAsia" w:ascii="宋体" w:hAnsi="宋体" w:cs="宋体"/>
          <w:spacing w:val="-5"/>
          <w:sz w:val="24"/>
          <w:szCs w:val="24"/>
        </w:rPr>
        <w:t>5.2根据货物（含软件及相关服务）的特点和运输的不同要求，乙方应在包</w:t>
      </w:r>
      <w:r>
        <w:rPr>
          <w:rFonts w:hint="eastAsia" w:ascii="宋体" w:hAnsi="宋体" w:cs="宋体"/>
          <w:spacing w:val="-11"/>
          <w:sz w:val="24"/>
          <w:szCs w:val="24"/>
        </w:rPr>
        <w:t>装箱上清楚地标有“小心轻放”、“勿倒置”、“防潮”等字样和其他适当的标</w:t>
      </w:r>
      <w:r>
        <w:rPr>
          <w:rFonts w:hint="eastAsia" w:ascii="宋体" w:hAnsi="宋体" w:cs="宋体"/>
          <w:spacing w:val="-9"/>
          <w:sz w:val="24"/>
          <w:szCs w:val="24"/>
        </w:rPr>
        <w:t>记。如果货物（含软件及相关服务）单件重量在两吨或两吨以上，乙方应在每件</w:t>
      </w:r>
      <w:r>
        <w:rPr>
          <w:rFonts w:hint="eastAsia" w:ascii="宋体" w:hAnsi="宋体" w:cs="宋体"/>
          <w:spacing w:val="-4"/>
          <w:sz w:val="24"/>
          <w:szCs w:val="24"/>
        </w:rPr>
        <w:t>包装箱的两侧用中文和适当的运输标志标明“重心”和“吊装点”，以便装卸和</w:t>
      </w:r>
      <w:r>
        <w:rPr>
          <w:rFonts w:hint="eastAsia" w:ascii="宋体" w:hAnsi="宋体" w:cs="宋体"/>
          <w:spacing w:val="-1"/>
          <w:sz w:val="24"/>
          <w:szCs w:val="24"/>
        </w:rPr>
        <w:t>搬运。</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5.3因缺少装运标志或者装运标志不明确导致货物在运输、装卸过程中产生的损失，乙方应承担相应责任。</w:t>
      </w:r>
    </w:p>
    <w:p>
      <w:pPr>
        <w:pageBreakBefore w:val="0"/>
        <w:topLinePunct w:val="0"/>
        <w:bidi w:val="0"/>
        <w:spacing w:line="360" w:lineRule="auto"/>
        <w:ind w:firstLine="430" w:firstLineChars="200"/>
        <w:rPr>
          <w:rFonts w:ascii="宋体" w:hAnsi="宋体" w:cs="宋体"/>
          <w:sz w:val="24"/>
          <w:szCs w:val="24"/>
        </w:rPr>
      </w:pPr>
      <w:r>
        <w:rPr>
          <w:rFonts w:hint="eastAsia" w:ascii="宋体" w:hAnsi="宋体" w:cs="宋体"/>
          <w:b/>
          <w:bCs/>
          <w:spacing w:val="-13"/>
          <w:sz w:val="24"/>
          <w:szCs w:val="24"/>
        </w:rPr>
        <w:t>6．交货方式</w:t>
      </w:r>
    </w:p>
    <w:p>
      <w:pPr>
        <w:pageBreakBefore w:val="0"/>
        <w:topLinePunct w:val="0"/>
        <w:bidi w:val="0"/>
        <w:spacing w:line="360" w:lineRule="auto"/>
        <w:ind w:firstLine="468" w:firstLineChars="200"/>
        <w:rPr>
          <w:rFonts w:ascii="宋体" w:hAnsi="宋体" w:cs="宋体"/>
          <w:sz w:val="24"/>
          <w:szCs w:val="24"/>
        </w:rPr>
      </w:pPr>
      <w:r>
        <w:rPr>
          <w:rFonts w:hint="eastAsia" w:ascii="宋体" w:hAnsi="宋体" w:cs="宋体"/>
          <w:spacing w:val="-3"/>
          <w:sz w:val="24"/>
          <w:szCs w:val="24"/>
        </w:rPr>
        <w:t>6.1交货方式一般为下列其中一种，具体在合同专用条款中规定。</w:t>
      </w:r>
    </w:p>
    <w:p>
      <w:pPr>
        <w:pageBreakBefore w:val="0"/>
        <w:topLinePunct w:val="0"/>
        <w:bidi w:val="0"/>
        <w:spacing w:line="360" w:lineRule="auto"/>
        <w:ind w:firstLine="464" w:firstLineChars="200"/>
        <w:rPr>
          <w:rFonts w:ascii="宋体" w:hAnsi="宋体" w:cs="宋体"/>
          <w:sz w:val="24"/>
          <w:szCs w:val="24"/>
        </w:rPr>
      </w:pPr>
      <w:r>
        <w:rPr>
          <w:rFonts w:hint="eastAsia" w:ascii="宋体" w:hAnsi="宋体" w:cs="宋体"/>
          <w:spacing w:val="-4"/>
          <w:sz w:val="24"/>
          <w:szCs w:val="24"/>
        </w:rPr>
        <w:t>6.1.1现场交货：乙方负责办理运输和保险，将货物（含软件及相关服务）</w:t>
      </w:r>
      <w:r>
        <w:rPr>
          <w:rFonts w:hint="eastAsia" w:ascii="宋体" w:hAnsi="宋体" w:cs="宋体"/>
          <w:spacing w:val="-11"/>
          <w:sz w:val="24"/>
          <w:szCs w:val="24"/>
        </w:rPr>
        <w:t>运抵现场。有关运输和保险的一切费用由乙方承担。所有货物（含软件及相关服</w:t>
      </w:r>
      <w:r>
        <w:rPr>
          <w:rFonts w:hint="eastAsia" w:ascii="宋体" w:hAnsi="宋体" w:cs="宋体"/>
          <w:spacing w:val="-7"/>
          <w:sz w:val="24"/>
          <w:szCs w:val="24"/>
        </w:rPr>
        <w:t>务）运抵现场的日期为交货日期。</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6.1.2工厂交货：由乙方负责办理运输和保险事宜。运输费和保险费由甲方承担。运输部门出具收据的日期为交货日期。</w:t>
      </w:r>
    </w:p>
    <w:p>
      <w:pPr>
        <w:pageBreakBefore w:val="0"/>
        <w:topLinePunct w:val="0"/>
        <w:bidi w:val="0"/>
        <w:spacing w:line="360" w:lineRule="auto"/>
        <w:ind w:firstLine="472" w:firstLineChars="200"/>
        <w:rPr>
          <w:rFonts w:ascii="宋体" w:hAnsi="宋体" w:cs="宋体"/>
          <w:sz w:val="24"/>
          <w:szCs w:val="24"/>
        </w:rPr>
      </w:pPr>
      <w:r>
        <w:rPr>
          <w:rFonts w:hint="eastAsia" w:ascii="宋体" w:hAnsi="宋体" w:cs="宋体"/>
          <w:spacing w:val="-2"/>
          <w:sz w:val="24"/>
          <w:szCs w:val="24"/>
        </w:rPr>
        <w:t>6.1.3甲方自提货物（含软件及相关服务</w:t>
      </w:r>
      <w:r>
        <w:rPr>
          <w:rFonts w:hint="eastAsia" w:ascii="宋体" w:hAnsi="宋体" w:cs="宋体"/>
          <w:spacing w:val="-63"/>
          <w:sz w:val="24"/>
          <w:szCs w:val="24"/>
        </w:rPr>
        <w:t>）：</w:t>
      </w:r>
      <w:r>
        <w:rPr>
          <w:rFonts w:hint="eastAsia" w:ascii="宋体" w:hAnsi="宋体" w:cs="宋体"/>
          <w:spacing w:val="-2"/>
          <w:sz w:val="24"/>
          <w:szCs w:val="24"/>
        </w:rPr>
        <w:t>由甲方在合同规定地点自行办</w:t>
      </w:r>
      <w:r>
        <w:rPr>
          <w:rFonts w:hint="eastAsia" w:ascii="宋体" w:hAnsi="宋体" w:cs="宋体"/>
          <w:spacing w:val="-13"/>
          <w:sz w:val="24"/>
          <w:szCs w:val="24"/>
        </w:rPr>
        <w:t>理提货。提单日期为交货日期。</w:t>
      </w:r>
    </w:p>
    <w:p>
      <w:pPr>
        <w:pageBreakBefore w:val="0"/>
        <w:topLinePunct w:val="0"/>
        <w:bidi w:val="0"/>
        <w:spacing w:line="360" w:lineRule="auto"/>
        <w:ind w:firstLine="492" w:firstLineChars="200"/>
        <w:rPr>
          <w:rFonts w:ascii="宋体" w:hAnsi="宋体" w:cs="宋体"/>
          <w:sz w:val="24"/>
          <w:szCs w:val="24"/>
        </w:rPr>
      </w:pPr>
      <w:r>
        <w:rPr>
          <w:rFonts w:hint="eastAsia" w:ascii="宋体" w:hAnsi="宋体" w:cs="宋体"/>
          <w:spacing w:val="3"/>
          <w:sz w:val="24"/>
          <w:szCs w:val="24"/>
        </w:rPr>
        <w:t>6.2乙方应在合同规定的交货期前三十天以电报、传真或电传形式将合同</w:t>
      </w:r>
      <w:r>
        <w:rPr>
          <w:rFonts w:hint="eastAsia" w:ascii="宋体" w:hAnsi="宋体" w:cs="宋体"/>
          <w:spacing w:val="-22"/>
          <w:sz w:val="24"/>
          <w:szCs w:val="24"/>
        </w:rPr>
        <w:t>号、货物（含软件及相关服务）名称、数量、包装箱件数、总毛重、总体积（立</w:t>
      </w:r>
      <w:r>
        <w:rPr>
          <w:rFonts w:hint="eastAsia" w:ascii="宋体" w:hAnsi="宋体" w:cs="宋体"/>
          <w:spacing w:val="-7"/>
          <w:sz w:val="24"/>
          <w:szCs w:val="24"/>
        </w:rPr>
        <w:t>方米）和备妥交货日期通知甲方。同时乙方应用挂号信将详细交货清单一式六份</w:t>
      </w:r>
      <w:r>
        <w:rPr>
          <w:rFonts w:hint="eastAsia" w:ascii="宋体" w:hAnsi="宋体" w:cs="宋体"/>
          <w:spacing w:val="-3"/>
          <w:sz w:val="24"/>
          <w:szCs w:val="24"/>
        </w:rPr>
        <w:t>包括合同号、货物（含软件及相关服务）名称、规格、数量、总毛重、总体积（立方米）</w:t>
      </w:r>
      <w:r>
        <w:rPr>
          <w:rFonts w:hint="eastAsia" w:ascii="宋体" w:hAnsi="宋体" w:cs="宋体"/>
          <w:spacing w:val="-5"/>
          <w:sz w:val="24"/>
          <w:szCs w:val="24"/>
        </w:rPr>
        <w:t>、包装箱件数和每个包装箱的尺寸（长X宽X高）、单价、总价和备妥</w:t>
      </w:r>
      <w:r>
        <w:rPr>
          <w:rFonts w:hint="eastAsia" w:ascii="宋体" w:hAnsi="宋体" w:cs="宋体"/>
          <w:spacing w:val="-3"/>
          <w:sz w:val="24"/>
          <w:szCs w:val="24"/>
        </w:rPr>
        <w:t>待交日期以及对货物（含软件及相关服务）在运输和仓储的特殊要求和注意事项</w:t>
      </w:r>
      <w:r>
        <w:rPr>
          <w:rFonts w:hint="eastAsia" w:ascii="宋体" w:hAnsi="宋体" w:cs="宋体"/>
          <w:spacing w:val="-1"/>
          <w:sz w:val="24"/>
          <w:szCs w:val="24"/>
        </w:rPr>
        <w:t>通知甲方。</w:t>
      </w:r>
    </w:p>
    <w:p>
      <w:pPr>
        <w:pageBreakBefore w:val="0"/>
        <w:topLinePunct w:val="0"/>
        <w:bidi w:val="0"/>
        <w:spacing w:line="360" w:lineRule="auto"/>
        <w:ind w:firstLine="472" w:firstLineChars="200"/>
        <w:rPr>
          <w:rFonts w:ascii="宋体" w:hAnsi="宋体" w:cs="宋体"/>
          <w:sz w:val="24"/>
          <w:szCs w:val="24"/>
        </w:rPr>
      </w:pPr>
      <w:r>
        <w:rPr>
          <w:rFonts w:hint="eastAsia" w:ascii="宋体" w:hAnsi="宋体" w:cs="宋体"/>
          <w:spacing w:val="-2"/>
          <w:sz w:val="24"/>
          <w:szCs w:val="24"/>
        </w:rPr>
        <w:t>6.3在现场交货和工厂交货条件下，乙方装运的货物（含软件及相关服务）</w:t>
      </w:r>
      <w:r>
        <w:rPr>
          <w:rFonts w:hint="eastAsia" w:ascii="宋体" w:hAnsi="宋体" w:cs="宋体"/>
          <w:spacing w:val="-8"/>
          <w:sz w:val="24"/>
          <w:szCs w:val="24"/>
        </w:rPr>
        <w:t>不应超过合同规定的数量或重量。否则，乙方应对超运部分的数量或重量而引起</w:t>
      </w:r>
      <w:r>
        <w:rPr>
          <w:rFonts w:hint="eastAsia" w:ascii="宋体" w:hAnsi="宋体" w:cs="宋体"/>
          <w:spacing w:val="-1"/>
          <w:sz w:val="24"/>
          <w:szCs w:val="24"/>
        </w:rPr>
        <w:t>的一切后果负责。</w:t>
      </w:r>
    </w:p>
    <w:p>
      <w:pPr>
        <w:pageBreakBefore w:val="0"/>
        <w:topLinePunct w:val="0"/>
        <w:bidi w:val="0"/>
        <w:spacing w:line="360" w:lineRule="auto"/>
        <w:ind w:firstLine="430" w:firstLineChars="200"/>
        <w:rPr>
          <w:rFonts w:ascii="宋体" w:hAnsi="宋体" w:cs="宋体"/>
          <w:sz w:val="24"/>
          <w:szCs w:val="24"/>
        </w:rPr>
      </w:pPr>
      <w:r>
        <w:rPr>
          <w:rFonts w:hint="eastAsia" w:ascii="宋体" w:hAnsi="宋体" w:cs="宋体"/>
          <w:b/>
          <w:bCs/>
          <w:spacing w:val="-13"/>
          <w:sz w:val="24"/>
          <w:szCs w:val="24"/>
        </w:rPr>
        <w:t>7．装运通知</w:t>
      </w:r>
    </w:p>
    <w:p>
      <w:pPr>
        <w:pageBreakBefore w:val="0"/>
        <w:topLinePunct w:val="0"/>
        <w:bidi w:val="0"/>
        <w:spacing w:line="360" w:lineRule="auto"/>
        <w:ind w:firstLine="472" w:firstLineChars="200"/>
        <w:rPr>
          <w:rFonts w:ascii="宋体" w:hAnsi="宋体" w:cs="宋体"/>
          <w:sz w:val="24"/>
          <w:szCs w:val="24"/>
        </w:rPr>
      </w:pPr>
      <w:r>
        <w:rPr>
          <w:rFonts w:hint="eastAsia" w:ascii="宋体" w:hAnsi="宋体" w:cs="宋体"/>
          <w:spacing w:val="-2"/>
          <w:sz w:val="24"/>
          <w:szCs w:val="24"/>
        </w:rPr>
        <w:t>现场交货或工厂交货条件下的货物（含软件及相关服务</w:t>
      </w:r>
      <w:r>
        <w:rPr>
          <w:rFonts w:hint="eastAsia" w:ascii="宋体" w:hAnsi="宋体" w:cs="宋体"/>
          <w:spacing w:val="-79"/>
          <w:sz w:val="24"/>
          <w:szCs w:val="24"/>
        </w:rPr>
        <w:t>），</w:t>
      </w:r>
      <w:r>
        <w:rPr>
          <w:rFonts w:hint="eastAsia" w:ascii="宋体" w:hAnsi="宋体" w:cs="宋体"/>
          <w:spacing w:val="-2"/>
          <w:sz w:val="24"/>
          <w:szCs w:val="24"/>
        </w:rPr>
        <w:t>在乙方已通知甲</w:t>
      </w:r>
      <w:r>
        <w:rPr>
          <w:rFonts w:hint="eastAsia" w:ascii="宋体" w:hAnsi="宋体" w:cs="宋体"/>
          <w:spacing w:val="-9"/>
          <w:sz w:val="24"/>
          <w:szCs w:val="24"/>
        </w:rPr>
        <w:t>方货物（含软件及相关服务）已备妥待运输后二十四小时之内，</w:t>
      </w:r>
      <w:r>
        <w:rPr>
          <w:rFonts w:hint="eastAsia" w:ascii="宋体" w:hAnsi="宋体" w:cs="宋体"/>
          <w:spacing w:val="-4"/>
          <w:sz w:val="24"/>
          <w:szCs w:val="24"/>
        </w:rPr>
        <w:t>乙方应将合同号、货名、数量、毛重、总体积（立方米）、发票金额、运输工具名称及启运日期</w:t>
      </w:r>
      <w:r>
        <w:rPr>
          <w:rFonts w:hint="eastAsia" w:ascii="宋体" w:hAnsi="宋体" w:cs="宋体"/>
          <w:spacing w:val="-23"/>
          <w:w w:val="98"/>
          <w:sz w:val="24"/>
          <w:szCs w:val="24"/>
        </w:rPr>
        <w:t>，</w:t>
      </w:r>
      <w:r>
        <w:rPr>
          <w:rFonts w:hint="eastAsia" w:ascii="宋体" w:hAnsi="宋体" w:cs="宋体"/>
          <w:spacing w:val="-15"/>
          <w:sz w:val="24"/>
          <w:szCs w:val="24"/>
        </w:rPr>
        <w:t>以电报、传真或电传通知甲方。如因乙方延误将上述内容用电报、传真或电传通</w:t>
      </w:r>
      <w:r>
        <w:rPr>
          <w:rFonts w:hint="eastAsia" w:ascii="宋体" w:hAnsi="宋体" w:cs="宋体"/>
          <w:spacing w:val="-4"/>
          <w:sz w:val="24"/>
          <w:szCs w:val="24"/>
        </w:rPr>
        <w:t>知甲方，由此引起的一切损失应由乙方负担。</w:t>
      </w:r>
    </w:p>
    <w:p>
      <w:pPr>
        <w:pageBreakBefore w:val="0"/>
        <w:topLinePunct w:val="0"/>
        <w:bidi w:val="0"/>
        <w:spacing w:line="360" w:lineRule="auto"/>
        <w:ind w:firstLine="416" w:firstLineChars="200"/>
        <w:rPr>
          <w:rFonts w:ascii="宋体" w:hAnsi="宋体" w:cs="宋体"/>
          <w:sz w:val="24"/>
          <w:szCs w:val="24"/>
        </w:rPr>
      </w:pPr>
      <w:r>
        <w:rPr>
          <w:rFonts w:hint="eastAsia" w:ascii="宋体" w:hAnsi="宋体" w:cs="宋体"/>
          <w:b/>
          <w:bCs/>
          <w:spacing w:val="-14"/>
          <w:w w:val="98"/>
          <w:sz w:val="24"/>
          <w:szCs w:val="24"/>
        </w:rPr>
        <w:t>8．保险</w:t>
      </w:r>
    </w:p>
    <w:p>
      <w:pPr>
        <w:pageBreakBefore w:val="0"/>
        <w:topLinePunct w:val="0"/>
        <w:bidi w:val="0"/>
        <w:spacing w:line="360" w:lineRule="auto"/>
        <w:ind w:firstLine="460" w:firstLineChars="200"/>
        <w:rPr>
          <w:rFonts w:ascii="宋体" w:hAnsi="宋体" w:cs="宋体"/>
          <w:sz w:val="24"/>
          <w:szCs w:val="24"/>
        </w:rPr>
      </w:pPr>
      <w:r>
        <w:rPr>
          <w:rFonts w:hint="eastAsia" w:ascii="宋体" w:hAnsi="宋体" w:cs="宋体"/>
          <w:spacing w:val="-5"/>
          <w:sz w:val="24"/>
          <w:szCs w:val="24"/>
        </w:rPr>
        <w:t>如果货物（含软件及相关服务）是按现场交货方式报价的，由乙方办理货物</w:t>
      </w:r>
      <w:r>
        <w:rPr>
          <w:rFonts w:hint="eastAsia" w:ascii="宋体" w:hAnsi="宋体" w:cs="宋体"/>
          <w:sz w:val="24"/>
          <w:szCs w:val="24"/>
        </w:rPr>
        <w:t>（含软件及相关服务）运抵现场这一段的保险，保险以人民币按照发票金额的</w:t>
      </w:r>
      <w:r>
        <w:rPr>
          <w:rFonts w:hint="eastAsia" w:ascii="宋体" w:hAnsi="宋体" w:cs="宋体"/>
          <w:spacing w:val="-7"/>
          <w:sz w:val="24"/>
          <w:szCs w:val="24"/>
        </w:rPr>
        <w:t>110％投保“一切险”，保险范围包括乙方承诺装运的货物（含软件及相关服务</w:t>
      </w:r>
      <w:r>
        <w:rPr>
          <w:rFonts w:hint="eastAsia" w:ascii="宋体" w:hAnsi="宋体" w:cs="宋体"/>
          <w:spacing w:val="-51"/>
          <w:sz w:val="24"/>
          <w:szCs w:val="24"/>
        </w:rPr>
        <w:t>）；</w:t>
      </w:r>
      <w:r>
        <w:rPr>
          <w:rFonts w:hint="eastAsia" w:ascii="宋体" w:hAnsi="宋体" w:cs="宋体"/>
          <w:spacing w:val="-3"/>
          <w:sz w:val="24"/>
          <w:szCs w:val="24"/>
        </w:rPr>
        <w:t>如果货物（含软件及相关服务）是按工厂交货或甲方自提货物（含软件及相关服</w:t>
      </w:r>
      <w:r>
        <w:rPr>
          <w:rFonts w:hint="eastAsia" w:ascii="宋体" w:hAnsi="宋体" w:cs="宋体"/>
          <w:spacing w:val="-8"/>
          <w:sz w:val="24"/>
          <w:szCs w:val="24"/>
        </w:rPr>
        <w:t>务）方式报价的，其保险由甲方办理。</w:t>
      </w:r>
    </w:p>
    <w:p>
      <w:pPr>
        <w:pageBreakBefore w:val="0"/>
        <w:topLinePunct w:val="0"/>
        <w:bidi w:val="0"/>
        <w:spacing w:line="360" w:lineRule="auto"/>
        <w:ind w:firstLine="434" w:firstLineChars="200"/>
        <w:rPr>
          <w:rFonts w:ascii="宋体" w:hAnsi="宋体" w:cs="宋体"/>
          <w:sz w:val="24"/>
          <w:szCs w:val="24"/>
        </w:rPr>
      </w:pPr>
      <w:r>
        <w:rPr>
          <w:rFonts w:hint="eastAsia" w:ascii="宋体" w:hAnsi="宋体" w:cs="宋体"/>
          <w:b/>
          <w:bCs/>
          <w:spacing w:val="-12"/>
          <w:sz w:val="24"/>
          <w:szCs w:val="24"/>
        </w:rPr>
        <w:t>9．付款方式</w:t>
      </w:r>
    </w:p>
    <w:p>
      <w:pPr>
        <w:pageBreakBefore w:val="0"/>
        <w:topLinePunct w:val="0"/>
        <w:bidi w:val="0"/>
        <w:spacing w:line="360" w:lineRule="auto"/>
        <w:ind w:firstLine="476" w:firstLineChars="200"/>
        <w:rPr>
          <w:rFonts w:ascii="宋体" w:hAnsi="宋体" w:cs="宋体"/>
          <w:sz w:val="24"/>
          <w:szCs w:val="24"/>
        </w:rPr>
      </w:pPr>
      <w:r>
        <w:rPr>
          <w:rFonts w:hint="eastAsia" w:ascii="宋体" w:hAnsi="宋体" w:cs="宋体"/>
          <w:spacing w:val="-1"/>
          <w:sz w:val="24"/>
          <w:szCs w:val="24"/>
        </w:rPr>
        <w:t>付款方式见合同专用条款。</w:t>
      </w:r>
    </w:p>
    <w:p>
      <w:pPr>
        <w:pageBreakBefore w:val="0"/>
        <w:topLinePunct w:val="0"/>
        <w:bidi w:val="0"/>
        <w:spacing w:line="360" w:lineRule="auto"/>
        <w:ind w:firstLine="434" w:firstLineChars="200"/>
        <w:rPr>
          <w:rFonts w:ascii="宋体" w:hAnsi="宋体" w:cs="宋体"/>
          <w:sz w:val="24"/>
          <w:szCs w:val="24"/>
        </w:rPr>
      </w:pPr>
      <w:r>
        <w:rPr>
          <w:rFonts w:hint="eastAsia" w:ascii="宋体" w:hAnsi="宋体" w:cs="宋体"/>
          <w:b/>
          <w:bCs/>
          <w:spacing w:val="-12"/>
          <w:sz w:val="24"/>
          <w:szCs w:val="24"/>
        </w:rPr>
        <w:t>10．技术资料</w:t>
      </w:r>
    </w:p>
    <w:p>
      <w:pPr>
        <w:pageBreakBefore w:val="0"/>
        <w:topLinePunct w:val="0"/>
        <w:bidi w:val="0"/>
        <w:spacing w:line="360" w:lineRule="auto"/>
        <w:ind w:firstLine="452" w:firstLineChars="200"/>
        <w:rPr>
          <w:rFonts w:ascii="宋体" w:hAnsi="宋体" w:cs="宋体"/>
          <w:sz w:val="24"/>
          <w:szCs w:val="24"/>
        </w:rPr>
      </w:pPr>
      <w:r>
        <w:rPr>
          <w:rFonts w:hint="eastAsia" w:ascii="宋体" w:hAnsi="宋体" w:cs="宋体"/>
          <w:spacing w:val="-7"/>
          <w:sz w:val="24"/>
          <w:szCs w:val="24"/>
        </w:rPr>
        <w:t>合同项下技术资料（除合同专用条款规定外）将以下列方式交付：</w:t>
      </w:r>
    </w:p>
    <w:p>
      <w:pPr>
        <w:pageBreakBefore w:val="0"/>
        <w:topLinePunct w:val="0"/>
        <w:bidi w:val="0"/>
        <w:spacing w:line="360" w:lineRule="auto"/>
        <w:ind w:firstLine="472" w:firstLineChars="200"/>
        <w:rPr>
          <w:rFonts w:ascii="宋体" w:hAnsi="宋体" w:cs="宋体"/>
          <w:sz w:val="24"/>
          <w:szCs w:val="24"/>
        </w:rPr>
      </w:pPr>
      <w:r>
        <w:rPr>
          <w:rFonts w:hint="eastAsia" w:ascii="宋体" w:hAnsi="宋体" w:cs="宋体"/>
          <w:spacing w:val="-2"/>
          <w:sz w:val="24"/>
          <w:szCs w:val="24"/>
        </w:rPr>
        <w:t>10.1合同生效后六十天之内，乙方应将每台设备和仪器的中文技术资料一</w:t>
      </w:r>
      <w:r>
        <w:rPr>
          <w:rFonts w:hint="eastAsia" w:ascii="宋体" w:hAnsi="宋体" w:cs="宋体"/>
          <w:spacing w:val="-23"/>
          <w:sz w:val="24"/>
          <w:szCs w:val="24"/>
        </w:rPr>
        <w:t>套，如目录索引、图纸、操作手册、使用指南、维修指南和服务手册等交给甲方。</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10.2另外一套完整的上述资料应包装好随每批货物（含软件及相关服务）</w:t>
      </w:r>
      <w:r>
        <w:rPr>
          <w:rFonts w:hint="eastAsia" w:ascii="宋体" w:hAnsi="宋体" w:cs="宋体"/>
          <w:spacing w:val="-1"/>
          <w:sz w:val="24"/>
          <w:szCs w:val="24"/>
        </w:rPr>
        <w:t>一起交付。</w:t>
      </w:r>
    </w:p>
    <w:p>
      <w:pPr>
        <w:pageBreakBefore w:val="0"/>
        <w:topLinePunct w:val="0"/>
        <w:bidi w:val="0"/>
        <w:spacing w:line="360" w:lineRule="auto"/>
        <w:ind w:firstLine="472" w:firstLineChars="200"/>
        <w:rPr>
          <w:rFonts w:ascii="宋体" w:hAnsi="宋体" w:cs="宋体"/>
          <w:sz w:val="24"/>
          <w:szCs w:val="24"/>
        </w:rPr>
      </w:pPr>
      <w:r>
        <w:rPr>
          <w:rFonts w:hint="eastAsia" w:ascii="宋体" w:hAnsi="宋体" w:cs="宋体"/>
          <w:spacing w:val="-2"/>
          <w:sz w:val="24"/>
          <w:szCs w:val="24"/>
        </w:rPr>
        <w:t>10.3如果甲方确认乙方提供的技术资料不完整或在运输过程中丢失，乙方</w:t>
      </w:r>
      <w:r>
        <w:rPr>
          <w:rFonts w:hint="eastAsia" w:ascii="宋体" w:hAnsi="宋体" w:cs="宋体"/>
          <w:spacing w:val="-1"/>
          <w:sz w:val="24"/>
          <w:szCs w:val="24"/>
        </w:rPr>
        <w:t>将在收到甲方通知后三天内将这些资料免费交给甲方。</w:t>
      </w:r>
    </w:p>
    <w:p>
      <w:pPr>
        <w:pageBreakBefore w:val="0"/>
        <w:topLinePunct w:val="0"/>
        <w:bidi w:val="0"/>
        <w:spacing w:line="360" w:lineRule="auto"/>
        <w:ind w:firstLine="434" w:firstLineChars="200"/>
        <w:rPr>
          <w:rFonts w:ascii="宋体" w:hAnsi="宋体" w:cs="宋体"/>
        </w:rPr>
      </w:pPr>
      <w:r>
        <w:rPr>
          <w:rFonts w:hint="eastAsia" w:ascii="宋体" w:hAnsi="宋体" w:cs="宋体"/>
          <w:b/>
          <w:bCs/>
          <w:spacing w:val="-12"/>
          <w:sz w:val="24"/>
          <w:szCs w:val="24"/>
        </w:rPr>
        <w:t>11．质量保证</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11.1乙方应保证货物（含软件及相关服务）是全新的，未使用过的，按照合同约定的工艺和材料制造而成的，并完全符合合同约定的质量、规格和性能要求。乙方应保证所提供的货物（含软件及相关服务）经正确安装、正常运转和保养在其使用寿命期内应符合合同约定的性能。在货物（含软件及相</w:t>
      </w:r>
      <w:r>
        <w:rPr>
          <w:rFonts w:hint="eastAsia" w:ascii="宋体" w:hAnsi="宋体" w:cs="宋体"/>
          <w:spacing w:val="-7"/>
          <w:sz w:val="24"/>
          <w:szCs w:val="24"/>
        </w:rPr>
        <w:t>关服务）质量</w:t>
      </w:r>
      <w:r>
        <w:rPr>
          <w:rFonts w:hint="eastAsia" w:ascii="宋体" w:hAnsi="宋体" w:cs="宋体"/>
          <w:spacing w:val="-9"/>
          <w:sz w:val="24"/>
          <w:szCs w:val="24"/>
        </w:rPr>
        <w:t>保证期内，乙方应对由于设计、工艺或材料的缺陷而造成的任何不足或故障负责。</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11.2在合同约定的检验期内根据甲方按检验标准自己检验的结果或当地商</w:t>
      </w:r>
      <w:r>
        <w:rPr>
          <w:rFonts w:hint="eastAsia" w:ascii="宋体" w:hAnsi="宋体" w:cs="宋体"/>
          <w:spacing w:val="-11"/>
          <w:sz w:val="24"/>
          <w:szCs w:val="24"/>
        </w:rPr>
        <w:t>检部门检验结果，或者在质量保证期内，如果货物（含软件及相关服务）的数量、</w:t>
      </w:r>
      <w:r>
        <w:rPr>
          <w:rFonts w:hint="eastAsia" w:ascii="宋体" w:hAnsi="宋体" w:cs="宋体"/>
          <w:spacing w:val="-7"/>
          <w:sz w:val="24"/>
          <w:szCs w:val="24"/>
        </w:rPr>
        <w:t>质量或规格与合同不符，或证实货物（含软件及相关服务）是有缺陷的，包括潜</w:t>
      </w:r>
      <w:r>
        <w:rPr>
          <w:rFonts w:hint="eastAsia" w:ascii="宋体" w:hAnsi="宋体" w:cs="宋体"/>
          <w:spacing w:val="-5"/>
          <w:sz w:val="24"/>
          <w:szCs w:val="24"/>
        </w:rPr>
        <w:t>在缺陷或使用不符合要求的材料等，甲方应在知道或应当知道上述情形后一个月</w:t>
      </w:r>
      <w:r>
        <w:rPr>
          <w:rFonts w:hint="eastAsia" w:ascii="宋体" w:hAnsi="宋体" w:cs="宋体"/>
          <w:spacing w:val="-4"/>
          <w:sz w:val="24"/>
          <w:szCs w:val="24"/>
        </w:rPr>
        <w:t>内以书面形式通知乙方，提出索赔。</w:t>
      </w:r>
    </w:p>
    <w:p>
      <w:pPr>
        <w:pageBreakBefore w:val="0"/>
        <w:topLinePunct w:val="0"/>
        <w:bidi w:val="0"/>
        <w:spacing w:line="360" w:lineRule="auto"/>
        <w:ind w:firstLine="476" w:firstLineChars="200"/>
        <w:rPr>
          <w:rFonts w:ascii="宋体" w:hAnsi="宋体" w:cs="宋体"/>
          <w:sz w:val="24"/>
          <w:szCs w:val="24"/>
        </w:rPr>
      </w:pPr>
      <w:r>
        <w:rPr>
          <w:rFonts w:hint="eastAsia" w:ascii="宋体" w:hAnsi="宋体" w:cs="宋体"/>
          <w:spacing w:val="-1"/>
          <w:sz w:val="24"/>
          <w:szCs w:val="24"/>
        </w:rPr>
        <w:t>11.3乙方在收到通知后三十天内应免费维修或更换有缺陷的货物（含软件</w:t>
      </w:r>
      <w:r>
        <w:rPr>
          <w:rFonts w:hint="eastAsia" w:ascii="宋体" w:hAnsi="宋体" w:cs="宋体"/>
          <w:spacing w:val="-11"/>
          <w:sz w:val="24"/>
          <w:szCs w:val="24"/>
        </w:rPr>
        <w:t>及相关服务）或部件。</w:t>
      </w:r>
    </w:p>
    <w:p>
      <w:pPr>
        <w:pageBreakBefore w:val="0"/>
        <w:topLinePunct w:val="0"/>
        <w:bidi w:val="0"/>
        <w:spacing w:line="360" w:lineRule="auto"/>
        <w:ind w:firstLine="472" w:firstLineChars="200"/>
        <w:rPr>
          <w:rFonts w:ascii="宋体" w:hAnsi="宋体" w:cs="宋体"/>
          <w:sz w:val="24"/>
          <w:szCs w:val="24"/>
        </w:rPr>
      </w:pPr>
      <w:r>
        <w:rPr>
          <w:rFonts w:hint="eastAsia" w:ascii="宋体" w:hAnsi="宋体" w:cs="宋体"/>
          <w:spacing w:val="-2"/>
          <w:sz w:val="24"/>
          <w:szCs w:val="24"/>
        </w:rPr>
        <w:t>11.4如果乙方在收到通知后三十天内没有弥补缺陷，甲方可采取必要的补</w:t>
      </w:r>
      <w:r>
        <w:rPr>
          <w:rFonts w:hint="eastAsia" w:ascii="宋体" w:hAnsi="宋体" w:cs="宋体"/>
          <w:spacing w:val="-4"/>
          <w:sz w:val="24"/>
          <w:szCs w:val="24"/>
        </w:rPr>
        <w:t>救措施，但风险和费用将由乙方承担。</w:t>
      </w:r>
    </w:p>
    <w:p>
      <w:pPr>
        <w:pageBreakBefore w:val="0"/>
        <w:topLinePunct w:val="0"/>
        <w:bidi w:val="0"/>
        <w:spacing w:line="360" w:lineRule="auto"/>
        <w:ind w:firstLine="460" w:firstLineChars="200"/>
        <w:rPr>
          <w:rFonts w:ascii="宋体" w:hAnsi="宋体" w:cs="宋体"/>
          <w:sz w:val="24"/>
          <w:szCs w:val="24"/>
        </w:rPr>
      </w:pPr>
      <w:r>
        <w:rPr>
          <w:rFonts w:hint="eastAsia" w:ascii="宋体" w:hAnsi="宋体" w:cs="宋体"/>
          <w:spacing w:val="-5"/>
          <w:sz w:val="24"/>
          <w:szCs w:val="24"/>
        </w:rPr>
        <w:t>11.5除合同专用条款规定外，合同项下货物（含软件及相关服务）的质量保证期为自货物（含软件及相关服务）通过最终验收起十二个月，如国家及其政</w:t>
      </w:r>
      <w:r>
        <w:rPr>
          <w:rFonts w:hint="eastAsia" w:ascii="宋体" w:hAnsi="宋体" w:cs="宋体"/>
          <w:spacing w:val="-3"/>
          <w:sz w:val="24"/>
          <w:szCs w:val="24"/>
        </w:rPr>
        <w:t>府相关部门有关规定长于上述保证期的，以该规定为准。</w:t>
      </w:r>
    </w:p>
    <w:p>
      <w:pPr>
        <w:pageBreakBefore w:val="0"/>
        <w:topLinePunct w:val="0"/>
        <w:bidi w:val="0"/>
        <w:spacing w:line="360" w:lineRule="auto"/>
        <w:ind w:firstLine="470" w:firstLineChars="200"/>
        <w:rPr>
          <w:rFonts w:ascii="宋体" w:hAnsi="宋体" w:cs="宋体"/>
          <w:sz w:val="24"/>
          <w:szCs w:val="24"/>
        </w:rPr>
      </w:pPr>
      <w:r>
        <w:rPr>
          <w:rFonts w:hint="eastAsia" w:ascii="宋体" w:hAnsi="宋体" w:cs="宋体"/>
          <w:b/>
          <w:bCs/>
          <w:spacing w:val="-3"/>
          <w:sz w:val="24"/>
          <w:szCs w:val="24"/>
        </w:rPr>
        <w:t>12.检验及安装</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12.1在交货前，乙方应当确保制造商对货物（含软件及相关服务）的质量、规格、性能、数量和重量等进行详细而全面的检验，并出具一份证明货物（含软件及相关服务）符合合同规定的证书。该证书将作为申请付款单据</w:t>
      </w:r>
      <w:r>
        <w:rPr>
          <w:rFonts w:hint="eastAsia" w:ascii="宋体" w:hAnsi="宋体" w:cs="宋体"/>
          <w:spacing w:val="-9"/>
          <w:sz w:val="24"/>
          <w:szCs w:val="24"/>
        </w:rPr>
        <w:t>的一部分，但</w:t>
      </w:r>
      <w:r>
        <w:rPr>
          <w:rFonts w:hint="eastAsia" w:ascii="宋体" w:hAnsi="宋体" w:cs="宋体"/>
          <w:spacing w:val="-20"/>
          <w:sz w:val="24"/>
          <w:szCs w:val="24"/>
        </w:rPr>
        <w:t>有关质量、规格、性能、数量或重量的检验不应视为最终检验。制造商检验的结</w:t>
      </w:r>
      <w:r>
        <w:rPr>
          <w:rFonts w:hint="eastAsia" w:ascii="宋体" w:hAnsi="宋体" w:cs="宋体"/>
          <w:spacing w:val="-1"/>
          <w:sz w:val="24"/>
          <w:szCs w:val="24"/>
        </w:rPr>
        <w:t>果和细节应在证书中加以说明。</w:t>
      </w:r>
    </w:p>
    <w:p>
      <w:pPr>
        <w:pageBreakBefore w:val="0"/>
        <w:topLinePunct w:val="0"/>
        <w:bidi w:val="0"/>
        <w:spacing w:line="360" w:lineRule="auto"/>
        <w:ind w:firstLine="464" w:firstLineChars="200"/>
        <w:rPr>
          <w:rFonts w:ascii="宋体" w:hAnsi="宋体" w:cs="宋体"/>
          <w:sz w:val="24"/>
          <w:szCs w:val="24"/>
        </w:rPr>
      </w:pPr>
      <w:r>
        <w:rPr>
          <w:rFonts w:hint="eastAsia" w:ascii="宋体" w:hAnsi="宋体" w:cs="宋体"/>
          <w:spacing w:val="-4"/>
          <w:sz w:val="24"/>
          <w:szCs w:val="24"/>
        </w:rPr>
        <w:t>12.2货物（含软件及相关服务）运抵现场后，甲方将合理期限内(通常不超</w:t>
      </w:r>
      <w:r>
        <w:rPr>
          <w:rFonts w:hint="eastAsia" w:ascii="宋体" w:hAnsi="宋体" w:cs="宋体"/>
          <w:spacing w:val="-8"/>
          <w:sz w:val="24"/>
          <w:szCs w:val="24"/>
        </w:rPr>
        <w:t>过两年)对货物（含软件及相关服务）的质量、规格、数量和重量进行检验，并</w:t>
      </w:r>
      <w:r>
        <w:rPr>
          <w:rFonts w:hint="eastAsia" w:ascii="宋体" w:hAnsi="宋体" w:cs="宋体"/>
          <w:spacing w:val="-7"/>
          <w:sz w:val="24"/>
          <w:szCs w:val="24"/>
        </w:rPr>
        <w:t>出具检验证书。如发现货物（含软件及相关服务）的质量或规格或数量或重量与</w:t>
      </w:r>
      <w:r>
        <w:rPr>
          <w:rFonts w:hint="eastAsia" w:ascii="宋体" w:hAnsi="宋体" w:cs="宋体"/>
          <w:spacing w:val="-5"/>
          <w:sz w:val="24"/>
          <w:szCs w:val="24"/>
        </w:rPr>
        <w:t>合同不符，甲方有权在货物（含软件及相关服务）知道或应当知道上述情形后一个月内，根据甲方按检验标准自己检验的结果或当地商检部门出具的检验证书向</w:t>
      </w:r>
      <w:r>
        <w:rPr>
          <w:rFonts w:hint="eastAsia" w:ascii="宋体" w:hAnsi="宋体" w:cs="宋体"/>
          <w:spacing w:val="-1"/>
          <w:sz w:val="24"/>
          <w:szCs w:val="24"/>
        </w:rPr>
        <w:t>乙方提出索赔。</w:t>
      </w:r>
    </w:p>
    <w:p>
      <w:pPr>
        <w:pageBreakBefore w:val="0"/>
        <w:topLinePunct w:val="0"/>
        <w:bidi w:val="0"/>
        <w:spacing w:line="360" w:lineRule="auto"/>
        <w:ind w:firstLine="468" w:firstLineChars="200"/>
        <w:rPr>
          <w:rFonts w:ascii="宋体" w:hAnsi="宋体" w:cs="宋体"/>
        </w:rPr>
      </w:pPr>
      <w:r>
        <w:rPr>
          <w:rFonts w:hint="eastAsia" w:ascii="宋体" w:hAnsi="宋体" w:cs="宋体"/>
          <w:spacing w:val="-3"/>
          <w:sz w:val="24"/>
          <w:szCs w:val="24"/>
        </w:rPr>
        <w:t>12.3如果货物（含软件及相关服务）的质量或规格或数量或重量与合同不</w:t>
      </w:r>
      <w:r>
        <w:rPr>
          <w:rFonts w:hint="eastAsia" w:ascii="宋体" w:hAnsi="宋体" w:cs="宋体"/>
          <w:spacing w:val="-5"/>
          <w:sz w:val="24"/>
          <w:szCs w:val="24"/>
        </w:rPr>
        <w:t>符，或在第11条规定的质量保证期内证实货物（含软件及相关服务）是有缺陷</w:t>
      </w:r>
      <w:r>
        <w:rPr>
          <w:rFonts w:hint="eastAsia" w:ascii="宋体" w:hAnsi="宋体" w:cs="宋体"/>
          <w:spacing w:val="-4"/>
          <w:sz w:val="24"/>
          <w:szCs w:val="24"/>
        </w:rPr>
        <w:t>的，包括潜在的缺陷或使用不符合要求的材料，甲方将有权向乙方提出索赔。</w:t>
      </w:r>
    </w:p>
    <w:p>
      <w:pPr>
        <w:pageBreakBefore w:val="0"/>
        <w:topLinePunct w:val="0"/>
        <w:bidi w:val="0"/>
        <w:spacing w:line="360" w:lineRule="auto"/>
        <w:ind w:firstLine="468" w:firstLineChars="200"/>
        <w:rPr>
          <w:rFonts w:ascii="宋体" w:hAnsi="宋体" w:cs="宋体"/>
          <w:sz w:val="24"/>
          <w:szCs w:val="24"/>
        </w:rPr>
      </w:pPr>
      <w:r>
        <w:rPr>
          <w:rFonts w:hint="eastAsia" w:ascii="宋体" w:hAnsi="宋体" w:cs="宋体"/>
          <w:spacing w:val="-3"/>
          <w:sz w:val="24"/>
          <w:szCs w:val="24"/>
        </w:rPr>
        <w:t>12.4甲方有权提出在货物（含软件及相关服务）制造过程中派人到制造厂进行监造，乙方有义务为甲方监造人员提供方便。</w:t>
      </w:r>
    </w:p>
    <w:p>
      <w:pPr>
        <w:pageBreakBefore w:val="0"/>
        <w:topLinePunct w:val="0"/>
        <w:bidi w:val="0"/>
        <w:spacing w:line="360" w:lineRule="auto"/>
        <w:ind w:firstLine="468" w:firstLineChars="200"/>
        <w:rPr>
          <w:rFonts w:ascii="宋体" w:hAnsi="宋体" w:cs="宋体"/>
          <w:sz w:val="24"/>
          <w:szCs w:val="24"/>
        </w:rPr>
      </w:pPr>
      <w:r>
        <w:rPr>
          <w:rFonts w:hint="eastAsia" w:ascii="宋体" w:hAnsi="宋体" w:cs="宋体"/>
          <w:spacing w:val="-3"/>
          <w:sz w:val="24"/>
          <w:szCs w:val="24"/>
        </w:rPr>
        <w:t>12.5制造厂对所供货物（含软件及相关服务）进行机械运转试验和性能试</w:t>
      </w:r>
      <w:r>
        <w:rPr>
          <w:rFonts w:hint="eastAsia" w:ascii="宋体" w:hAnsi="宋体" w:cs="宋体"/>
          <w:spacing w:val="-6"/>
          <w:sz w:val="24"/>
          <w:szCs w:val="24"/>
        </w:rPr>
        <w:t>验时，必须提前通知甲方。</w:t>
      </w:r>
    </w:p>
    <w:p>
      <w:pPr>
        <w:pageBreakBefore w:val="0"/>
        <w:topLinePunct w:val="0"/>
        <w:bidi w:val="0"/>
        <w:spacing w:line="360" w:lineRule="auto"/>
        <w:ind w:firstLine="464" w:firstLineChars="200"/>
        <w:rPr>
          <w:rFonts w:ascii="宋体" w:hAnsi="宋体" w:cs="宋体"/>
          <w:sz w:val="24"/>
          <w:szCs w:val="24"/>
        </w:rPr>
      </w:pPr>
      <w:r>
        <w:rPr>
          <w:rFonts w:hint="eastAsia" w:ascii="宋体" w:hAnsi="宋体" w:cs="宋体"/>
          <w:spacing w:val="-4"/>
          <w:sz w:val="24"/>
          <w:szCs w:val="24"/>
        </w:rPr>
        <w:t>12.6货物（含软件及相关服务）的安装按采购文件第六章要求进行。</w:t>
      </w:r>
    </w:p>
    <w:p>
      <w:pPr>
        <w:pageBreakBefore w:val="0"/>
        <w:topLinePunct w:val="0"/>
        <w:bidi w:val="0"/>
        <w:spacing w:line="360" w:lineRule="auto"/>
        <w:ind w:firstLine="420" w:firstLineChars="200"/>
        <w:rPr>
          <w:rFonts w:ascii="宋体" w:hAnsi="宋体" w:cs="宋体"/>
          <w:sz w:val="24"/>
          <w:szCs w:val="24"/>
        </w:rPr>
      </w:pPr>
      <w:r>
        <w:rPr>
          <w:rFonts w:hint="eastAsia" w:ascii="宋体" w:hAnsi="宋体" w:cs="宋体"/>
          <w:b/>
          <w:bCs/>
          <w:spacing w:val="-14"/>
          <w:w w:val="99"/>
          <w:sz w:val="24"/>
          <w:szCs w:val="24"/>
        </w:rPr>
        <w:t>13．索赔</w:t>
      </w:r>
    </w:p>
    <w:p>
      <w:pPr>
        <w:pageBreakBefore w:val="0"/>
        <w:topLinePunct w:val="0"/>
        <w:bidi w:val="0"/>
        <w:spacing w:line="360" w:lineRule="auto"/>
        <w:ind w:firstLine="476" w:firstLineChars="200"/>
        <w:rPr>
          <w:rFonts w:ascii="宋体" w:hAnsi="宋体" w:cs="宋体"/>
          <w:sz w:val="24"/>
          <w:szCs w:val="24"/>
        </w:rPr>
      </w:pPr>
      <w:r>
        <w:rPr>
          <w:rFonts w:hint="eastAsia" w:ascii="宋体" w:hAnsi="宋体" w:cs="宋体"/>
          <w:spacing w:val="-1"/>
          <w:sz w:val="24"/>
          <w:szCs w:val="24"/>
        </w:rPr>
        <w:t>13.1甲方有权根据甲方按检验标准自己检验的结果或当地商检部门出具的商检证书向乙方提出索赔。</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13.2在第11条和第12条规定的检验期和质量保证期内，如果乙方对甲方提出的索赔和差异负有责任，乙方应按照甲方同意的下列一种或多种方式解决索赔事宜：</w:t>
      </w:r>
    </w:p>
    <w:p>
      <w:pPr>
        <w:pageBreakBefore w:val="0"/>
        <w:topLinePunct w:val="0"/>
        <w:bidi w:val="0"/>
        <w:spacing w:line="360" w:lineRule="auto"/>
        <w:ind w:firstLine="444" w:firstLineChars="200"/>
        <w:rPr>
          <w:rFonts w:ascii="宋体" w:hAnsi="宋体" w:cs="宋体"/>
          <w:sz w:val="24"/>
          <w:szCs w:val="24"/>
        </w:rPr>
      </w:pPr>
      <w:r>
        <w:rPr>
          <w:rFonts w:hint="eastAsia" w:ascii="宋体" w:hAnsi="宋体" w:cs="宋体"/>
          <w:spacing w:val="-9"/>
          <w:sz w:val="24"/>
          <w:szCs w:val="24"/>
        </w:rPr>
        <w:t>（1）乙方同意退货，并按合同规定的同种货币将货款退还给甲方，并承担</w:t>
      </w:r>
      <w:r>
        <w:rPr>
          <w:rFonts w:hint="eastAsia" w:ascii="宋体" w:hAnsi="宋体" w:cs="宋体"/>
          <w:spacing w:val="-18"/>
          <w:sz w:val="24"/>
          <w:szCs w:val="24"/>
        </w:rPr>
        <w:t>由此发生的一切损失和费用，包括但不限于利息、银行手续费、律师费、运费、</w:t>
      </w:r>
      <w:r>
        <w:rPr>
          <w:rFonts w:hint="eastAsia" w:ascii="宋体" w:hAnsi="宋体" w:cs="宋体"/>
          <w:spacing w:val="-16"/>
          <w:sz w:val="24"/>
          <w:szCs w:val="24"/>
        </w:rPr>
        <w:t>保险费、检验费、仓储费、装卸费以及为保护退回货物（含软件及相关服务）所</w:t>
      </w:r>
      <w:r>
        <w:rPr>
          <w:rFonts w:hint="eastAsia" w:ascii="宋体" w:hAnsi="宋体" w:cs="宋体"/>
          <w:spacing w:val="-1"/>
          <w:sz w:val="24"/>
          <w:szCs w:val="24"/>
        </w:rPr>
        <w:t>需的其它必要费用。</w:t>
      </w:r>
    </w:p>
    <w:p>
      <w:pPr>
        <w:pageBreakBefore w:val="0"/>
        <w:topLinePunct w:val="0"/>
        <w:bidi w:val="0"/>
        <w:spacing w:line="360" w:lineRule="auto"/>
        <w:ind w:firstLine="464" w:firstLineChars="200"/>
        <w:rPr>
          <w:rFonts w:ascii="宋体" w:hAnsi="宋体" w:cs="宋体"/>
          <w:sz w:val="24"/>
          <w:szCs w:val="24"/>
        </w:rPr>
      </w:pPr>
      <w:r>
        <w:rPr>
          <w:rFonts w:hint="eastAsia" w:ascii="宋体" w:hAnsi="宋体" w:cs="宋体"/>
          <w:spacing w:val="-4"/>
          <w:sz w:val="24"/>
          <w:szCs w:val="24"/>
        </w:rPr>
        <w:t>13.2如果在甲方发出索赔通知后三十天内，乙方未能答复，上达索赔应视</w:t>
      </w:r>
      <w:r>
        <w:rPr>
          <w:rFonts w:hint="eastAsia" w:ascii="宋体" w:hAnsi="宋体" w:cs="宋体"/>
          <w:spacing w:val="-5"/>
          <w:sz w:val="24"/>
          <w:szCs w:val="24"/>
        </w:rPr>
        <w:t>为已被乙方接受。若乙方未能在甲方提出索赔通知后三十天内或甲方同意的更长</w:t>
      </w:r>
      <w:r>
        <w:rPr>
          <w:rFonts w:hint="eastAsia" w:ascii="宋体" w:hAnsi="宋体" w:cs="宋体"/>
          <w:spacing w:val="-4"/>
          <w:sz w:val="24"/>
          <w:szCs w:val="24"/>
        </w:rPr>
        <w:t>时间内，按照第13.2条规定的任何一种方法解决索赔事宜，甲方将从应付款或</w:t>
      </w:r>
      <w:r>
        <w:rPr>
          <w:rFonts w:hint="eastAsia" w:ascii="宋体" w:hAnsi="宋体" w:cs="宋体"/>
          <w:spacing w:val="-5"/>
          <w:sz w:val="24"/>
          <w:szCs w:val="24"/>
        </w:rPr>
        <w:t>从乙方开具的履约保证金中扣回索赔费用。如果应付款及履约保证金不足以补偿</w:t>
      </w:r>
      <w:r>
        <w:rPr>
          <w:rFonts w:hint="eastAsia" w:ascii="宋体" w:hAnsi="宋体" w:cs="宋体"/>
          <w:spacing w:val="-3"/>
          <w:sz w:val="24"/>
          <w:szCs w:val="24"/>
        </w:rPr>
        <w:t>索赔费用，甲方有权向乙方提出不足部分的补偿。</w:t>
      </w:r>
    </w:p>
    <w:p>
      <w:pPr>
        <w:pageBreakBefore w:val="0"/>
        <w:topLinePunct w:val="0"/>
        <w:bidi w:val="0"/>
        <w:spacing w:line="360" w:lineRule="auto"/>
        <w:ind w:firstLine="434" w:firstLineChars="200"/>
        <w:rPr>
          <w:rFonts w:ascii="宋体" w:hAnsi="宋体" w:cs="宋体"/>
          <w:sz w:val="24"/>
          <w:szCs w:val="24"/>
        </w:rPr>
      </w:pPr>
      <w:r>
        <w:rPr>
          <w:rFonts w:hint="eastAsia" w:ascii="宋体" w:hAnsi="宋体" w:cs="宋体"/>
          <w:b/>
          <w:bCs/>
          <w:spacing w:val="-12"/>
          <w:sz w:val="24"/>
          <w:szCs w:val="24"/>
        </w:rPr>
        <w:t>14．拖延交货</w:t>
      </w:r>
    </w:p>
    <w:p>
      <w:pPr>
        <w:pageBreakBefore w:val="0"/>
        <w:topLinePunct w:val="0"/>
        <w:bidi w:val="0"/>
        <w:spacing w:line="360" w:lineRule="auto"/>
        <w:ind w:firstLine="472" w:firstLineChars="200"/>
        <w:rPr>
          <w:rFonts w:ascii="宋体" w:hAnsi="宋体" w:cs="宋体"/>
          <w:sz w:val="24"/>
          <w:szCs w:val="24"/>
        </w:rPr>
      </w:pPr>
      <w:r>
        <w:rPr>
          <w:rFonts w:hint="eastAsia" w:ascii="宋体" w:hAnsi="宋体" w:cs="宋体"/>
          <w:spacing w:val="-2"/>
          <w:sz w:val="24"/>
          <w:szCs w:val="24"/>
        </w:rPr>
        <w:t>14.1乙方应按照合同专用条款中规定的交货期交货和提供服务。</w:t>
      </w:r>
    </w:p>
    <w:p>
      <w:pPr>
        <w:pageBreakBefore w:val="0"/>
        <w:topLinePunct w:val="0"/>
        <w:bidi w:val="0"/>
        <w:spacing w:line="360" w:lineRule="auto"/>
        <w:ind w:firstLine="460" w:firstLineChars="200"/>
        <w:rPr>
          <w:rFonts w:ascii="宋体" w:hAnsi="宋体" w:cs="宋体"/>
          <w:sz w:val="24"/>
          <w:szCs w:val="24"/>
        </w:rPr>
      </w:pPr>
      <w:r>
        <w:rPr>
          <w:rFonts w:hint="eastAsia" w:ascii="宋体" w:hAnsi="宋体" w:cs="宋体"/>
          <w:spacing w:val="-5"/>
          <w:sz w:val="24"/>
          <w:szCs w:val="24"/>
        </w:rPr>
        <w:t>14.2如果乙方毫无理由地拖延交货，将受到以下制裁：没收履约保证金，加收违约损失赔偿和（或）终止合同。</w:t>
      </w:r>
    </w:p>
    <w:p>
      <w:pPr>
        <w:pageBreakBefore w:val="0"/>
        <w:topLinePunct w:val="0"/>
        <w:bidi w:val="0"/>
        <w:spacing w:line="360" w:lineRule="auto"/>
        <w:ind w:firstLine="464" w:firstLineChars="200"/>
        <w:rPr>
          <w:rFonts w:ascii="宋体" w:hAnsi="宋体" w:cs="宋体"/>
          <w:sz w:val="24"/>
          <w:szCs w:val="24"/>
        </w:rPr>
      </w:pPr>
      <w:r>
        <w:rPr>
          <w:rFonts w:hint="eastAsia" w:ascii="宋体" w:hAnsi="宋体" w:cs="宋体"/>
          <w:spacing w:val="-4"/>
          <w:sz w:val="24"/>
          <w:szCs w:val="24"/>
        </w:rPr>
        <w:t>14.3在履行合同过程中，如果乙方遇到不能按时交货和提供服务的情况，</w:t>
      </w:r>
      <w:r>
        <w:rPr>
          <w:rFonts w:hint="eastAsia" w:ascii="宋体" w:hAnsi="宋体" w:cs="宋体"/>
          <w:spacing w:val="-11"/>
          <w:sz w:val="24"/>
          <w:szCs w:val="24"/>
        </w:rPr>
        <w:t>应及时以书面形式将不能按时交货的理由、延误时间通知甲方。甲方在收到乙方</w:t>
      </w:r>
      <w:r>
        <w:rPr>
          <w:rFonts w:hint="eastAsia" w:ascii="宋体" w:hAnsi="宋体" w:cs="宋体"/>
          <w:spacing w:val="-7"/>
          <w:sz w:val="24"/>
          <w:szCs w:val="24"/>
        </w:rPr>
        <w:t>通知后，应进行分析，必要时可通过修改合同，酌情延长交货时间。</w:t>
      </w:r>
    </w:p>
    <w:p>
      <w:pPr>
        <w:pageBreakBefore w:val="0"/>
        <w:topLinePunct w:val="0"/>
        <w:bidi w:val="0"/>
        <w:spacing w:line="360" w:lineRule="auto"/>
        <w:ind w:firstLine="434" w:firstLineChars="200"/>
        <w:rPr>
          <w:rFonts w:ascii="宋体" w:hAnsi="宋体" w:cs="宋体"/>
          <w:sz w:val="24"/>
          <w:szCs w:val="24"/>
        </w:rPr>
      </w:pPr>
      <w:r>
        <w:rPr>
          <w:rFonts w:hint="eastAsia" w:ascii="宋体" w:hAnsi="宋体" w:cs="宋体"/>
          <w:b/>
          <w:bCs/>
          <w:spacing w:val="-12"/>
          <w:sz w:val="24"/>
          <w:szCs w:val="24"/>
        </w:rPr>
        <w:t>15．违约赔偿</w:t>
      </w:r>
    </w:p>
    <w:p>
      <w:pPr>
        <w:pageBreakBefore w:val="0"/>
        <w:topLinePunct w:val="0"/>
        <w:bidi w:val="0"/>
        <w:spacing w:line="360" w:lineRule="auto"/>
        <w:rPr>
          <w:rFonts w:ascii="宋体" w:hAnsi="宋体" w:cs="宋体"/>
          <w:sz w:val="24"/>
          <w:szCs w:val="24"/>
        </w:rPr>
      </w:pPr>
      <w:r>
        <w:rPr>
          <w:rFonts w:hint="eastAsia" w:ascii="宋体" w:hAnsi="宋体" w:cs="宋体"/>
          <w:spacing w:val="-4"/>
          <w:sz w:val="24"/>
          <w:szCs w:val="24"/>
        </w:rPr>
        <w:t>除第16条规定的不可抗力外，如果乙方没有按照合同规定的时间交货和提</w:t>
      </w:r>
      <w:r>
        <w:rPr>
          <w:rFonts w:hint="eastAsia" w:ascii="宋体" w:hAnsi="宋体" w:cs="宋体"/>
          <w:spacing w:val="-7"/>
          <w:sz w:val="24"/>
          <w:szCs w:val="24"/>
        </w:rPr>
        <w:t>供服务，甲方可从货款中扣除违约赔偿费，赔偿费应按每周迟交货物（含软件及</w:t>
      </w:r>
      <w:r>
        <w:rPr>
          <w:rFonts w:hint="eastAsia" w:ascii="宋体" w:hAnsi="宋体" w:cs="宋体"/>
          <w:spacing w:val="-3"/>
          <w:sz w:val="24"/>
          <w:szCs w:val="24"/>
        </w:rPr>
        <w:t>相关服务）或未提供服务交货价的1％计收（本合同专用条款另有规定的从其规</w:t>
      </w:r>
      <w:r>
        <w:rPr>
          <w:rFonts w:hint="eastAsia" w:ascii="宋体" w:hAnsi="宋体" w:cs="宋体"/>
          <w:spacing w:val="-5"/>
          <w:sz w:val="24"/>
          <w:szCs w:val="24"/>
        </w:rPr>
        <w:t>定）。但违约损失赔偿费的最高限额为迟交货物（含软件及相关服务）或没有提</w:t>
      </w:r>
      <w:r>
        <w:rPr>
          <w:rFonts w:hint="eastAsia" w:ascii="宋体" w:hAnsi="宋体" w:cs="宋体"/>
          <w:spacing w:val="-10"/>
          <w:sz w:val="24"/>
          <w:szCs w:val="24"/>
        </w:rPr>
        <w:t>供服务的合同价的5％。一周按七天计算，不足七天按一周计算。甲方有权终止</w:t>
      </w:r>
      <w:r>
        <w:rPr>
          <w:rFonts w:hint="eastAsia" w:ascii="宋体" w:hAnsi="宋体" w:cs="宋体"/>
          <w:spacing w:val="-3"/>
          <w:sz w:val="24"/>
          <w:szCs w:val="24"/>
        </w:rPr>
        <w:t>合同，并按合同约定及法律规定追究乙方的违约责任。</w:t>
      </w:r>
    </w:p>
    <w:p>
      <w:pPr>
        <w:pageBreakBefore w:val="0"/>
        <w:topLinePunct w:val="0"/>
        <w:bidi w:val="0"/>
        <w:spacing w:line="360" w:lineRule="auto"/>
        <w:ind w:firstLine="434" w:firstLineChars="200"/>
        <w:rPr>
          <w:rFonts w:ascii="宋体" w:hAnsi="宋体" w:cs="宋体"/>
          <w:sz w:val="24"/>
          <w:szCs w:val="24"/>
        </w:rPr>
      </w:pPr>
      <w:r>
        <w:rPr>
          <w:rFonts w:hint="eastAsia" w:ascii="宋体" w:hAnsi="宋体" w:cs="宋体"/>
          <w:b/>
          <w:bCs/>
          <w:spacing w:val="-12"/>
          <w:sz w:val="24"/>
          <w:szCs w:val="24"/>
        </w:rPr>
        <w:t>16．不可抗力</w:t>
      </w:r>
    </w:p>
    <w:p>
      <w:pPr>
        <w:pageBreakBefore w:val="0"/>
        <w:topLinePunct w:val="0"/>
        <w:bidi w:val="0"/>
        <w:spacing w:line="360" w:lineRule="auto"/>
        <w:ind w:firstLine="460" w:firstLineChars="200"/>
        <w:rPr>
          <w:rFonts w:ascii="宋体" w:hAnsi="宋体" w:cs="宋体"/>
          <w:spacing w:val="-5"/>
          <w:sz w:val="24"/>
          <w:szCs w:val="24"/>
        </w:rPr>
      </w:pPr>
      <w:r>
        <w:rPr>
          <w:rFonts w:hint="eastAsia" w:ascii="宋体" w:hAnsi="宋体" w:cs="宋体"/>
          <w:spacing w:val="-5"/>
          <w:sz w:val="24"/>
          <w:szCs w:val="24"/>
        </w:rPr>
        <w:t>16.1如果双方中任何一方由于战争、严重火灾、水灾、台风和地震以及其它经双方同意属于不可抗力的事故，致使合同履行受阻时，履行合同的期限应予以延长，延长的期限应当等于事故所影响的时间。</w:t>
      </w:r>
    </w:p>
    <w:p>
      <w:pPr>
        <w:pageBreakBefore w:val="0"/>
        <w:topLinePunct w:val="0"/>
        <w:bidi w:val="0"/>
        <w:spacing w:line="360" w:lineRule="auto"/>
        <w:ind w:firstLine="460" w:firstLineChars="200"/>
        <w:rPr>
          <w:rFonts w:ascii="宋体" w:hAnsi="宋体" w:cs="宋体"/>
          <w:sz w:val="24"/>
          <w:szCs w:val="24"/>
        </w:rPr>
      </w:pPr>
      <w:r>
        <w:rPr>
          <w:rFonts w:hint="eastAsia" w:ascii="宋体" w:hAnsi="宋体" w:cs="宋体"/>
          <w:spacing w:val="-5"/>
          <w:sz w:val="24"/>
          <w:szCs w:val="24"/>
        </w:rPr>
        <w:t>16.2受事故影响的一方应在不可抗力事故发生后尽快以电报、传真或电传通知另一方，并在事故发生后十四天内，将有关部</w:t>
      </w:r>
      <w:r>
        <w:rPr>
          <w:rFonts w:hint="eastAsia" w:ascii="宋体" w:hAnsi="宋体" w:cs="宋体"/>
          <w:spacing w:val="-7"/>
          <w:sz w:val="24"/>
          <w:szCs w:val="24"/>
        </w:rPr>
        <w:t>门出具的证明文件用特快专递</w:t>
      </w:r>
      <w:r>
        <w:rPr>
          <w:rFonts w:hint="eastAsia" w:ascii="宋体" w:hAnsi="宋体" w:cs="宋体"/>
          <w:spacing w:val="-8"/>
          <w:sz w:val="24"/>
          <w:szCs w:val="24"/>
        </w:rPr>
        <w:t>寄给或送给另一方。如果不可抗力影响时间延续一百二十天以上，双方应通过友</w:t>
      </w:r>
      <w:r>
        <w:rPr>
          <w:rFonts w:hint="eastAsia" w:ascii="宋体" w:hAnsi="宋体" w:cs="宋体"/>
          <w:spacing w:val="-1"/>
          <w:sz w:val="24"/>
          <w:szCs w:val="24"/>
        </w:rPr>
        <w:t>好协商在合理的时间内达成进一步履行合同的协议。</w:t>
      </w:r>
    </w:p>
    <w:p>
      <w:pPr>
        <w:pageBreakBefore w:val="0"/>
        <w:topLinePunct w:val="0"/>
        <w:bidi w:val="0"/>
        <w:spacing w:line="360" w:lineRule="auto"/>
        <w:ind w:firstLine="420" w:firstLineChars="200"/>
        <w:rPr>
          <w:rFonts w:ascii="宋体" w:hAnsi="宋体" w:cs="宋体"/>
          <w:sz w:val="24"/>
          <w:szCs w:val="24"/>
        </w:rPr>
      </w:pPr>
      <w:r>
        <w:rPr>
          <w:rFonts w:hint="eastAsia" w:ascii="宋体" w:hAnsi="宋体" w:cs="宋体"/>
          <w:b/>
          <w:bCs/>
          <w:spacing w:val="-14"/>
          <w:w w:val="99"/>
          <w:sz w:val="24"/>
          <w:szCs w:val="24"/>
        </w:rPr>
        <w:t>17．税费</w:t>
      </w:r>
    </w:p>
    <w:p>
      <w:pPr>
        <w:pageBreakBefore w:val="0"/>
        <w:topLinePunct w:val="0"/>
        <w:bidi w:val="0"/>
        <w:spacing w:line="360" w:lineRule="auto"/>
        <w:ind w:firstLine="476" w:firstLineChars="200"/>
        <w:rPr>
          <w:rFonts w:ascii="宋体" w:hAnsi="宋体" w:cs="宋体"/>
          <w:sz w:val="24"/>
          <w:szCs w:val="24"/>
        </w:rPr>
      </w:pPr>
      <w:r>
        <w:rPr>
          <w:rFonts w:hint="eastAsia" w:ascii="宋体" w:hAnsi="宋体" w:cs="宋体"/>
          <w:spacing w:val="-1"/>
          <w:sz w:val="24"/>
          <w:szCs w:val="24"/>
        </w:rPr>
        <w:t>17.1中国政府根据现行税法对甲方征收的与本合同有关的一切税费均由甲方承担。</w:t>
      </w:r>
    </w:p>
    <w:p>
      <w:pPr>
        <w:pageBreakBefore w:val="0"/>
        <w:topLinePunct w:val="0"/>
        <w:bidi w:val="0"/>
        <w:spacing w:line="360" w:lineRule="auto"/>
        <w:ind w:firstLine="476" w:firstLineChars="200"/>
        <w:rPr>
          <w:rFonts w:ascii="宋体" w:hAnsi="宋体" w:cs="宋体"/>
          <w:sz w:val="24"/>
          <w:szCs w:val="24"/>
        </w:rPr>
      </w:pPr>
      <w:r>
        <w:rPr>
          <w:rFonts w:hint="eastAsia" w:ascii="宋体" w:hAnsi="宋体" w:cs="宋体"/>
          <w:spacing w:val="-1"/>
          <w:sz w:val="24"/>
          <w:szCs w:val="24"/>
        </w:rPr>
        <w:t>17.2中国政府根据现行税法对乙方征收的与本合同有关的一切税费均由乙方承担。</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17.3在中国境外发生的与执行本合同有关的一切税费均由乙方承担。</w:t>
      </w:r>
    </w:p>
    <w:p>
      <w:pPr>
        <w:pageBreakBefore w:val="0"/>
        <w:topLinePunct w:val="0"/>
        <w:bidi w:val="0"/>
        <w:spacing w:line="360" w:lineRule="auto"/>
        <w:ind w:firstLine="478" w:firstLineChars="200"/>
        <w:rPr>
          <w:rFonts w:ascii="宋体" w:hAnsi="宋体" w:cs="宋体"/>
          <w:b/>
          <w:bCs/>
          <w:spacing w:val="-1"/>
          <w:sz w:val="24"/>
          <w:szCs w:val="24"/>
        </w:rPr>
      </w:pPr>
      <w:r>
        <w:rPr>
          <w:rFonts w:hint="eastAsia" w:ascii="宋体" w:hAnsi="宋体" w:cs="宋体"/>
          <w:b/>
          <w:bCs/>
          <w:spacing w:val="-1"/>
          <w:sz w:val="24"/>
          <w:szCs w:val="24"/>
        </w:rPr>
        <w:t>18．仲裁</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18.1甲乙双方应通过友好协商，解决在执行本合同中所发生的或与本合同有关的一切争端，如果协商仍得不到解决，任何一方均可提交南京仲裁委员会仲裁。</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18.2仲裁裁决应为终局裁决，对双方均具有约束力。</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18.3败诉方除应承担仲裁费以外，还应承担对方支付的律师费，仲裁机构另有裁决的除外。</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18.4在仲裁期间，除正在进行仲裁的部分外，合同其它部分继续执行。</w:t>
      </w:r>
    </w:p>
    <w:p>
      <w:pPr>
        <w:pageBreakBefore w:val="0"/>
        <w:topLinePunct w:val="0"/>
        <w:bidi w:val="0"/>
        <w:spacing w:line="360" w:lineRule="auto"/>
        <w:ind w:firstLine="446" w:firstLineChars="200"/>
        <w:rPr>
          <w:rFonts w:ascii="宋体" w:hAnsi="宋体" w:cs="宋体"/>
          <w:sz w:val="24"/>
          <w:szCs w:val="24"/>
        </w:rPr>
      </w:pPr>
      <w:r>
        <w:rPr>
          <w:rFonts w:hint="eastAsia" w:ascii="宋体" w:hAnsi="宋体" w:cs="宋体"/>
          <w:b/>
          <w:bCs/>
          <w:spacing w:val="-9"/>
          <w:sz w:val="24"/>
          <w:szCs w:val="24"/>
        </w:rPr>
        <w:t>19．违约解除合同</w:t>
      </w:r>
    </w:p>
    <w:p>
      <w:pPr>
        <w:pageBreakBefore w:val="0"/>
        <w:topLinePunct w:val="0"/>
        <w:bidi w:val="0"/>
        <w:spacing w:line="360" w:lineRule="auto"/>
        <w:ind w:firstLine="468" w:firstLineChars="200"/>
        <w:rPr>
          <w:rFonts w:ascii="宋体" w:hAnsi="宋体" w:cs="宋体"/>
          <w:sz w:val="24"/>
          <w:szCs w:val="24"/>
        </w:rPr>
      </w:pPr>
      <w:r>
        <w:rPr>
          <w:rFonts w:hint="eastAsia" w:ascii="宋体" w:hAnsi="宋体" w:cs="宋体"/>
          <w:spacing w:val="-3"/>
          <w:sz w:val="24"/>
          <w:szCs w:val="24"/>
        </w:rPr>
        <w:t>19.1乙方有下列违约情况之一，并在收到甲方违约通知后的合理时间内，</w:t>
      </w:r>
      <w:r>
        <w:rPr>
          <w:rFonts w:hint="eastAsia" w:ascii="宋体" w:hAnsi="宋体" w:cs="宋体"/>
          <w:spacing w:val="-4"/>
          <w:sz w:val="24"/>
          <w:szCs w:val="24"/>
        </w:rPr>
        <w:t>或经甲方书面认可延长的时间内未能纠正其过错，甲方可向乙方发出书面通知，</w:t>
      </w:r>
      <w:r>
        <w:rPr>
          <w:rFonts w:hint="eastAsia" w:ascii="宋体" w:hAnsi="宋体" w:cs="宋体"/>
          <w:spacing w:val="-8"/>
          <w:sz w:val="24"/>
          <w:szCs w:val="24"/>
        </w:rPr>
        <w:t>解除部分或全部合同。在这种情况下，并不影响甲方向乙方提出索赔</w:t>
      </w:r>
    </w:p>
    <w:p>
      <w:pPr>
        <w:pageBreakBefore w:val="0"/>
        <w:topLinePunct w:val="0"/>
        <w:bidi w:val="0"/>
        <w:spacing w:line="360" w:lineRule="auto"/>
        <w:ind w:firstLine="464" w:firstLineChars="200"/>
        <w:rPr>
          <w:rFonts w:ascii="宋体" w:hAnsi="宋体" w:cs="宋体"/>
          <w:spacing w:val="-6"/>
          <w:sz w:val="24"/>
          <w:szCs w:val="24"/>
        </w:rPr>
      </w:pPr>
      <w:r>
        <w:rPr>
          <w:rFonts w:hint="eastAsia" w:ascii="宋体" w:hAnsi="宋体" w:cs="宋体"/>
          <w:spacing w:val="-4"/>
          <w:sz w:val="24"/>
          <w:szCs w:val="24"/>
        </w:rPr>
        <w:t>（1）如果乙方未能在合同规定的期限或甲方同意延期的限期内提供全部或</w:t>
      </w:r>
      <w:r>
        <w:rPr>
          <w:rFonts w:hint="eastAsia" w:ascii="宋体" w:hAnsi="宋体" w:cs="宋体"/>
          <w:spacing w:val="1"/>
          <w:sz w:val="24"/>
          <w:szCs w:val="24"/>
        </w:rPr>
        <w:t>部分货物（含软件及相关服务</w:t>
      </w:r>
      <w:r>
        <w:rPr>
          <w:rFonts w:hint="eastAsia" w:ascii="宋体" w:hAnsi="宋体" w:cs="宋体"/>
          <w:spacing w:val="-47"/>
          <w:sz w:val="24"/>
          <w:szCs w:val="24"/>
        </w:rPr>
        <w:t>）；</w:t>
      </w:r>
    </w:p>
    <w:p>
      <w:pPr>
        <w:pageBreakBefore w:val="0"/>
        <w:topLinePunct w:val="0"/>
        <w:bidi w:val="0"/>
        <w:spacing w:line="360" w:lineRule="auto"/>
        <w:ind w:firstLine="456" w:firstLineChars="200"/>
        <w:rPr>
          <w:rFonts w:ascii="宋体" w:hAnsi="宋体" w:cs="宋体"/>
          <w:sz w:val="24"/>
          <w:szCs w:val="24"/>
        </w:rPr>
      </w:pPr>
      <w:r>
        <w:rPr>
          <w:rFonts w:hint="eastAsia" w:ascii="宋体" w:hAnsi="宋体" w:cs="宋体"/>
          <w:spacing w:val="-6"/>
          <w:sz w:val="24"/>
          <w:szCs w:val="24"/>
        </w:rPr>
        <w:t>（2）如果乙方未能履行合同规定的其它义务。</w:t>
      </w:r>
    </w:p>
    <w:p>
      <w:pPr>
        <w:pageBreakBefore w:val="0"/>
        <w:topLinePunct w:val="0"/>
        <w:bidi w:val="0"/>
        <w:spacing w:line="360" w:lineRule="auto"/>
        <w:ind w:firstLine="456" w:firstLineChars="200"/>
        <w:rPr>
          <w:rFonts w:ascii="宋体" w:hAnsi="宋体" w:cs="宋体"/>
          <w:sz w:val="24"/>
          <w:szCs w:val="24"/>
        </w:rPr>
      </w:pPr>
      <w:r>
        <w:rPr>
          <w:rFonts w:hint="eastAsia" w:ascii="宋体" w:hAnsi="宋体" w:cs="宋体"/>
          <w:spacing w:val="-6"/>
          <w:sz w:val="24"/>
          <w:szCs w:val="24"/>
        </w:rPr>
        <w:t>19.2在甲方根据第20.1条规定，解除了全部或部分合同，甲方可以依其认为适当的条件和方式购买与未交货物（含软件及相关服务）类似的货物</w:t>
      </w:r>
      <w:r>
        <w:rPr>
          <w:rFonts w:hint="eastAsia" w:ascii="宋体" w:hAnsi="宋体" w:cs="宋体"/>
          <w:spacing w:val="-3"/>
          <w:sz w:val="24"/>
          <w:szCs w:val="24"/>
        </w:rPr>
        <w:t>（含软件</w:t>
      </w:r>
      <w:r>
        <w:rPr>
          <w:rFonts w:hint="eastAsia" w:ascii="宋体" w:hAnsi="宋体" w:cs="宋体"/>
          <w:spacing w:val="-7"/>
          <w:sz w:val="24"/>
          <w:szCs w:val="24"/>
        </w:rPr>
        <w:t>及相关服务</w:t>
      </w:r>
      <w:r>
        <w:rPr>
          <w:rFonts w:hint="eastAsia" w:ascii="宋体" w:hAnsi="宋体" w:cs="宋体"/>
          <w:spacing w:val="-72"/>
          <w:sz w:val="24"/>
          <w:szCs w:val="24"/>
        </w:rPr>
        <w:t>），</w:t>
      </w:r>
      <w:r>
        <w:rPr>
          <w:rFonts w:hint="eastAsia" w:ascii="宋体" w:hAnsi="宋体" w:cs="宋体"/>
          <w:spacing w:val="-7"/>
          <w:sz w:val="24"/>
          <w:szCs w:val="24"/>
        </w:rPr>
        <w:t>乙方应对购买类似货物（含软件及相关服务）的费用负责。而且</w:t>
      </w:r>
      <w:r>
        <w:rPr>
          <w:rFonts w:hint="eastAsia" w:ascii="宋体" w:hAnsi="宋体" w:cs="宋体"/>
          <w:spacing w:val="-1"/>
          <w:sz w:val="24"/>
          <w:szCs w:val="24"/>
        </w:rPr>
        <w:t>乙方还应继续执行合同中未终止的部分。</w:t>
      </w:r>
    </w:p>
    <w:p>
      <w:pPr>
        <w:pageBreakBefore w:val="0"/>
        <w:topLinePunct w:val="0"/>
        <w:bidi w:val="0"/>
        <w:spacing w:line="360" w:lineRule="auto"/>
        <w:ind w:firstLine="446" w:firstLineChars="200"/>
        <w:rPr>
          <w:rFonts w:ascii="宋体" w:hAnsi="宋体" w:cs="宋体"/>
          <w:sz w:val="24"/>
          <w:szCs w:val="24"/>
        </w:rPr>
      </w:pPr>
      <w:r>
        <w:rPr>
          <w:rFonts w:hint="eastAsia" w:ascii="宋体" w:hAnsi="宋体" w:cs="宋体"/>
          <w:b/>
          <w:bCs/>
          <w:spacing w:val="-9"/>
          <w:sz w:val="24"/>
          <w:szCs w:val="24"/>
        </w:rPr>
        <w:t>20．破产终止合同</w:t>
      </w:r>
    </w:p>
    <w:p>
      <w:pPr>
        <w:pageBreakBefore w:val="0"/>
        <w:topLinePunct w:val="0"/>
        <w:bidi w:val="0"/>
        <w:spacing w:line="360" w:lineRule="auto"/>
        <w:ind w:firstLine="472" w:firstLineChars="200"/>
        <w:rPr>
          <w:rFonts w:ascii="宋体" w:hAnsi="宋体" w:cs="宋体"/>
          <w:sz w:val="24"/>
          <w:szCs w:val="24"/>
        </w:rPr>
      </w:pPr>
      <w:r>
        <w:rPr>
          <w:rFonts w:hint="eastAsia" w:ascii="宋体" w:hAnsi="宋体" w:cs="宋体"/>
          <w:spacing w:val="-2"/>
          <w:sz w:val="24"/>
          <w:szCs w:val="24"/>
        </w:rPr>
        <w:t>19.1如果乙方破产或无清偿能力，甲方可在任何时候以书面通知乙方解除合同，该解除合同将不损害或影响甲方已经采取或将采取补救措施的权利。</w:t>
      </w:r>
    </w:p>
    <w:p>
      <w:pPr>
        <w:pageBreakBefore w:val="0"/>
        <w:topLinePunct w:val="0"/>
        <w:bidi w:val="0"/>
        <w:spacing w:line="360" w:lineRule="auto"/>
        <w:ind w:firstLine="442" w:firstLineChars="200"/>
        <w:rPr>
          <w:rFonts w:ascii="宋体" w:hAnsi="宋体" w:cs="宋体"/>
          <w:sz w:val="24"/>
          <w:szCs w:val="24"/>
        </w:rPr>
      </w:pPr>
      <w:r>
        <w:rPr>
          <w:rFonts w:hint="eastAsia" w:ascii="宋体" w:hAnsi="宋体" w:cs="宋体"/>
          <w:b/>
          <w:bCs/>
          <w:spacing w:val="-10"/>
          <w:sz w:val="24"/>
          <w:szCs w:val="24"/>
        </w:rPr>
        <w:t>21．转让与分包</w:t>
      </w:r>
    </w:p>
    <w:p>
      <w:pPr>
        <w:pageBreakBefore w:val="0"/>
        <w:topLinePunct w:val="0"/>
        <w:bidi w:val="0"/>
        <w:spacing w:line="360" w:lineRule="auto"/>
        <w:ind w:firstLine="472" w:firstLineChars="200"/>
        <w:rPr>
          <w:rFonts w:ascii="宋体" w:hAnsi="宋体" w:cs="宋体"/>
          <w:sz w:val="24"/>
          <w:szCs w:val="24"/>
        </w:rPr>
      </w:pPr>
      <w:r>
        <w:rPr>
          <w:rFonts w:hint="eastAsia" w:ascii="宋体" w:hAnsi="宋体" w:cs="宋体"/>
          <w:spacing w:val="-2"/>
          <w:sz w:val="24"/>
          <w:szCs w:val="24"/>
        </w:rPr>
        <w:t>21.1未经甲方事先书面同意，乙方不得部分转让或全部转让其应履行的合</w:t>
      </w:r>
      <w:r>
        <w:rPr>
          <w:rFonts w:hint="eastAsia" w:ascii="宋体" w:hAnsi="宋体" w:cs="宋体"/>
          <w:spacing w:val="-5"/>
          <w:sz w:val="24"/>
          <w:szCs w:val="24"/>
        </w:rPr>
        <w:t>同义务。</w:t>
      </w:r>
    </w:p>
    <w:p>
      <w:pPr>
        <w:pageBreakBefore w:val="0"/>
        <w:topLinePunct w:val="0"/>
        <w:bidi w:val="0"/>
        <w:spacing w:line="360" w:lineRule="auto"/>
        <w:ind w:firstLine="472" w:firstLineChars="200"/>
        <w:rPr>
          <w:rFonts w:ascii="宋体" w:hAnsi="宋体" w:cs="宋体"/>
          <w:sz w:val="24"/>
          <w:szCs w:val="24"/>
        </w:rPr>
      </w:pPr>
      <w:r>
        <w:rPr>
          <w:rFonts w:hint="eastAsia" w:ascii="宋体" w:hAnsi="宋体" w:cs="宋体"/>
          <w:spacing w:val="-2"/>
          <w:sz w:val="24"/>
          <w:szCs w:val="24"/>
        </w:rPr>
        <w:t>21.2对投标文件中没有明确分包内容的合同，乙方如果分包应书面通知甲方并须获得甲方同意，但无论有否分包均不能免除乙方履行本合同的义务。</w:t>
      </w:r>
    </w:p>
    <w:p>
      <w:pPr>
        <w:pageBreakBefore w:val="0"/>
        <w:topLinePunct w:val="0"/>
        <w:bidi w:val="0"/>
        <w:spacing w:line="360" w:lineRule="auto"/>
        <w:ind w:firstLine="438" w:firstLineChars="200"/>
        <w:rPr>
          <w:rFonts w:ascii="宋体" w:hAnsi="宋体" w:cs="宋体"/>
          <w:sz w:val="24"/>
          <w:szCs w:val="24"/>
        </w:rPr>
      </w:pPr>
      <w:r>
        <w:rPr>
          <w:rFonts w:hint="eastAsia" w:ascii="宋体" w:hAnsi="宋体" w:cs="宋体"/>
          <w:b/>
          <w:bCs/>
          <w:spacing w:val="-11"/>
          <w:sz w:val="24"/>
          <w:szCs w:val="24"/>
        </w:rPr>
        <w:t>22．适用法律</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本合同应按中华人民共和国的法律进行解释。</w:t>
      </w:r>
    </w:p>
    <w:p>
      <w:pPr>
        <w:pageBreakBefore w:val="0"/>
        <w:topLinePunct w:val="0"/>
        <w:bidi w:val="0"/>
        <w:spacing w:line="360" w:lineRule="auto"/>
        <w:rPr>
          <w:rFonts w:ascii="宋体" w:hAnsi="宋体" w:cs="宋体"/>
          <w:b/>
          <w:bCs/>
          <w:spacing w:val="-13"/>
          <w:sz w:val="24"/>
          <w:szCs w:val="24"/>
        </w:rPr>
      </w:pPr>
      <w:bookmarkStart w:id="40" w:name="_Toc162"/>
      <w:r>
        <w:rPr>
          <w:rFonts w:hint="eastAsia" w:ascii="宋体" w:hAnsi="宋体" w:cs="宋体"/>
          <w:b/>
          <w:bCs/>
          <w:spacing w:val="-13"/>
          <w:sz w:val="24"/>
          <w:szCs w:val="24"/>
        </w:rPr>
        <w:br w:type="page"/>
      </w:r>
    </w:p>
    <w:p>
      <w:pPr>
        <w:pageBreakBefore w:val="0"/>
        <w:topLinePunct w:val="0"/>
        <w:bidi w:val="0"/>
        <w:spacing w:line="360" w:lineRule="auto"/>
        <w:ind w:firstLine="430" w:firstLineChars="200"/>
        <w:jc w:val="center"/>
        <w:outlineLvl w:val="1"/>
        <w:rPr>
          <w:rFonts w:ascii="宋体" w:hAnsi="宋体" w:cs="宋体"/>
          <w:sz w:val="24"/>
          <w:szCs w:val="24"/>
        </w:rPr>
      </w:pPr>
      <w:r>
        <w:rPr>
          <w:rFonts w:hint="eastAsia" w:ascii="宋体" w:hAnsi="宋体" w:cs="宋体"/>
          <w:b/>
          <w:bCs/>
          <w:spacing w:val="-13"/>
          <w:sz w:val="24"/>
          <w:szCs w:val="24"/>
        </w:rPr>
        <w:t>（二）合同专用条款</w:t>
      </w:r>
      <w:bookmarkEnd w:id="40"/>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甲方:中国药科大学</w:t>
      </w:r>
    </w:p>
    <w:p>
      <w:pPr>
        <w:pageBreakBefore w:val="0"/>
        <w:topLinePunct w:val="0"/>
        <w:bidi w:val="0"/>
        <w:spacing w:line="360" w:lineRule="auto"/>
        <w:ind w:firstLine="476" w:firstLineChars="200"/>
        <w:rPr>
          <w:rFonts w:ascii="宋体" w:hAnsi="宋体" w:cs="宋体"/>
          <w:spacing w:val="-1"/>
          <w:sz w:val="24"/>
          <w:szCs w:val="24"/>
        </w:rPr>
      </w:pPr>
      <w:r>
        <w:rPr>
          <w:rFonts w:hint="eastAsia" w:ascii="宋体" w:hAnsi="宋体" w:cs="宋体"/>
          <w:spacing w:val="-1"/>
          <w:sz w:val="24"/>
          <w:szCs w:val="24"/>
        </w:rPr>
        <w:t>乙方:</w:t>
      </w:r>
    </w:p>
    <w:p>
      <w:pPr>
        <w:pageBreakBefore w:val="0"/>
        <w:topLinePunct w:val="0"/>
        <w:bidi w:val="0"/>
        <w:spacing w:line="360" w:lineRule="auto"/>
        <w:ind w:firstLine="468" w:firstLineChars="200"/>
        <w:rPr>
          <w:rFonts w:ascii="宋体" w:hAnsi="宋体" w:cs="宋体"/>
          <w:sz w:val="24"/>
          <w:szCs w:val="24"/>
        </w:rPr>
      </w:pPr>
      <w:r>
        <w:rPr>
          <w:rFonts w:hint="eastAsia" w:ascii="宋体" w:hAnsi="宋体" w:cs="宋体"/>
          <w:spacing w:val="-3"/>
          <w:sz w:val="24"/>
          <w:szCs w:val="24"/>
        </w:rPr>
        <w:t>甲乙双方根据</w:t>
      </w:r>
      <w:r>
        <w:rPr>
          <w:rFonts w:hint="eastAsia" w:ascii="宋体" w:hAnsi="宋体" w:cs="宋体"/>
          <w:spacing w:val="-3"/>
          <w:sz w:val="24"/>
          <w:szCs w:val="24"/>
          <w:u w:val="single"/>
        </w:rPr>
        <w:t>2022年   月  日</w:t>
      </w:r>
      <w:r>
        <w:rPr>
          <w:rFonts w:hint="eastAsia" w:ascii="宋体" w:hAnsi="宋体" w:cs="宋体"/>
          <w:spacing w:val="-3"/>
          <w:sz w:val="24"/>
          <w:szCs w:val="24"/>
        </w:rPr>
        <w:t>采购编号</w:t>
      </w:r>
      <w:r>
        <w:rPr>
          <w:rFonts w:hint="eastAsia" w:ascii="宋体" w:hAnsi="宋体" w:cs="宋体"/>
          <w:spacing w:val="-3"/>
          <w:sz w:val="24"/>
          <w:szCs w:val="24"/>
          <w:u w:val="single"/>
        </w:rPr>
        <w:t>DCHGZB025220121 中国药科大学江宁校区学院实验楼二期北侧细胞房净化空调及配套项目</w:t>
      </w:r>
      <w:r>
        <w:rPr>
          <w:rFonts w:hint="eastAsia" w:ascii="宋体" w:hAnsi="宋体" w:cs="宋体"/>
          <w:sz w:val="24"/>
          <w:szCs w:val="24"/>
        </w:rPr>
        <w:t>公开招标结果及采购文件的要求,经协商一致,达成如下货物购销</w:t>
      </w:r>
      <w:r>
        <w:rPr>
          <w:rFonts w:hint="eastAsia" w:ascii="宋体" w:hAnsi="宋体" w:cs="宋体"/>
          <w:spacing w:val="-1"/>
          <w:sz w:val="24"/>
          <w:szCs w:val="24"/>
        </w:rPr>
        <w:t>合同:</w:t>
      </w:r>
    </w:p>
    <w:p>
      <w:pPr>
        <w:pageBreakBefore w:val="0"/>
        <w:topLinePunct w:val="0"/>
        <w:bidi w:val="0"/>
        <w:spacing w:line="360" w:lineRule="auto"/>
        <w:ind w:firstLine="380" w:firstLineChars="200"/>
        <w:rPr>
          <w:rFonts w:ascii="宋体" w:hAnsi="宋体" w:cs="宋体"/>
          <w:spacing w:val="12"/>
          <w:sz w:val="24"/>
          <w:szCs w:val="24"/>
        </w:rPr>
      </w:pPr>
      <w:r>
        <w:rPr>
          <w:rFonts w:hint="eastAsia" w:ascii="宋体" w:hAnsi="宋体" w:cs="宋体"/>
          <w:b/>
          <w:bCs/>
          <w:spacing w:val="-23"/>
          <w:w w:val="98"/>
          <w:sz w:val="24"/>
          <w:szCs w:val="24"/>
        </w:rPr>
        <w:t>一、</w:t>
      </w:r>
      <w:r>
        <w:rPr>
          <w:rFonts w:hint="eastAsia" w:ascii="宋体" w:hAnsi="宋体" w:cs="宋体"/>
          <w:spacing w:val="12"/>
          <w:sz w:val="24"/>
          <w:szCs w:val="24"/>
        </w:rPr>
        <w:t>合同总金额</w:t>
      </w:r>
    </w:p>
    <w:p>
      <w:pPr>
        <w:pStyle w:val="20"/>
        <w:pageBreakBefore w:val="0"/>
        <w:topLinePunct w:val="0"/>
        <w:bidi w:val="0"/>
        <w:spacing w:line="360" w:lineRule="auto"/>
        <w:ind w:left="0" w:leftChars="0" w:firstLine="480" w:firstLineChars="200"/>
        <w:rPr>
          <w:rFonts w:ascii="宋体" w:hAnsi="宋体" w:cs="宋体"/>
          <w:sz w:val="24"/>
          <w:szCs w:val="24"/>
        </w:rPr>
      </w:pPr>
      <w:r>
        <w:rPr>
          <w:rFonts w:hint="eastAsia" w:ascii="宋体" w:hAnsi="宋体" w:cs="宋体"/>
          <w:sz w:val="24"/>
          <w:szCs w:val="24"/>
        </w:rPr>
        <w:t>合同总金额：人民币</w:t>
      </w:r>
      <w:r>
        <w:rPr>
          <w:rFonts w:hint="eastAsia" w:ascii="宋体" w:hAnsi="宋体" w:cs="宋体"/>
          <w:sz w:val="24"/>
          <w:szCs w:val="24"/>
          <w:u w:val="single"/>
        </w:rPr>
        <w:t>（大写）</w:t>
      </w:r>
      <w:r>
        <w:rPr>
          <w:rFonts w:hint="eastAsia" w:ascii="宋体" w:hAnsi="宋体" w:cs="宋体"/>
          <w:sz w:val="24"/>
          <w:szCs w:val="24"/>
        </w:rPr>
        <w:t>元整。（小写）￥：</w:t>
      </w:r>
      <w:r>
        <w:rPr>
          <w:rFonts w:hint="eastAsia" w:ascii="宋体" w:hAnsi="宋体" w:cs="宋体"/>
          <w:sz w:val="24"/>
          <w:szCs w:val="24"/>
          <w:u w:val="single"/>
          <w:lang w:val="en-US" w:eastAsia="zh-CN"/>
        </w:rPr>
        <w:t xml:space="preserve">    </w:t>
      </w:r>
      <w:r>
        <w:rPr>
          <w:rFonts w:hint="eastAsia" w:ascii="宋体" w:hAnsi="宋体" w:cs="宋体"/>
          <w:sz w:val="24"/>
          <w:szCs w:val="24"/>
        </w:rPr>
        <w:t>元整（详细清单见附件，本项目发票税率为13%）</w:t>
      </w:r>
    </w:p>
    <w:p>
      <w:pPr>
        <w:pStyle w:val="20"/>
        <w:pageBreakBefore w:val="0"/>
        <w:topLinePunct w:val="0"/>
        <w:bidi w:val="0"/>
        <w:spacing w:line="360" w:lineRule="auto"/>
        <w:ind w:left="0" w:leftChars="0" w:firstLine="472" w:firstLineChars="200"/>
        <w:rPr>
          <w:rFonts w:ascii="宋体" w:hAnsi="宋体" w:cs="宋体"/>
          <w:spacing w:val="-2"/>
          <w:sz w:val="24"/>
          <w:szCs w:val="24"/>
          <w:u w:val="single"/>
          <w:lang w:val="zh-TW"/>
        </w:rPr>
      </w:pPr>
      <w:r>
        <w:rPr>
          <w:rFonts w:hint="eastAsia" w:ascii="宋体" w:hAnsi="宋体" w:cs="宋体"/>
          <w:spacing w:val="-2"/>
          <w:sz w:val="24"/>
          <w:szCs w:val="24"/>
          <w:u w:val="single"/>
          <w:lang w:val="zh-TW"/>
        </w:rPr>
        <w:t>本项目合同总金额包含但不限于招标文件、图纸及清单中的所有内容，为达到甲方整体设计要求的所有潜在内容均包含在合同总金额中。本项目标准要求内的冷媒管、冷凝水管包含在总价中，超出标准要求的部分按实际结算，除此之外不接受任何增项变更。</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本项目总承包服务费按实际审定价的2%计取，由乙方直接支付给本项目总承包单位。</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二、交货地点：</w:t>
      </w:r>
      <w:r>
        <w:rPr>
          <w:rFonts w:hint="eastAsia" w:ascii="宋体" w:hAnsi="宋体" w:cs="宋体"/>
          <w:spacing w:val="-7"/>
          <w:sz w:val="24"/>
          <w:szCs w:val="24"/>
          <w:u w:val="single"/>
        </w:rPr>
        <w:t>甲方指定地点。</w:t>
      </w:r>
      <w:r>
        <w:rPr>
          <w:rFonts w:hint="eastAsia" w:ascii="宋体" w:hAnsi="宋体" w:cs="宋体"/>
          <w:spacing w:val="-7"/>
          <w:sz w:val="24"/>
          <w:szCs w:val="24"/>
        </w:rPr>
        <w:t>交货时间：</w:t>
      </w:r>
      <w:r>
        <w:rPr>
          <w:rFonts w:hint="eastAsia" w:ascii="宋体" w:hAnsi="宋体" w:cs="宋体"/>
          <w:sz w:val="24"/>
          <w:szCs w:val="24"/>
          <w:lang w:val="en-US" w:eastAsia="zh-CN"/>
        </w:rPr>
        <w:t>45日历</w:t>
      </w:r>
      <w:r>
        <w:rPr>
          <w:rFonts w:hint="eastAsia" w:ascii="宋体" w:hAnsi="宋体" w:cs="宋体"/>
          <w:sz w:val="24"/>
          <w:szCs w:val="24"/>
          <w:lang w:eastAsia="zh-CN"/>
        </w:rPr>
        <w:t>天（</w:t>
      </w:r>
      <w:r>
        <w:rPr>
          <w:rFonts w:hint="eastAsia" w:ascii="宋体" w:hAnsi="宋体" w:cs="宋体"/>
          <w:sz w:val="24"/>
          <w:szCs w:val="24"/>
        </w:rPr>
        <w:t>签订合同后20日历天内完成备货，接到采购人进场通知后5日历天内货到现场(至甲方指定位置)，20日历天内完成安装、调试并验收合格交付甲方使用。</w:t>
      </w:r>
      <w:r>
        <w:rPr>
          <w:rFonts w:hint="eastAsia" w:ascii="宋体" w:hAnsi="宋体" w:cs="宋体"/>
          <w:sz w:val="24"/>
          <w:szCs w:val="24"/>
          <w:lang w:eastAsia="zh-CN"/>
        </w:rPr>
        <w:t>）</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三、交货方式：采购文件有要求的按相关要求执行。采购文件无具体要求的，采取的现场验收方式交货，交货到现场要进行一次防疫消杀。</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四、验收：乙方对施工过程中的一切安全问题负全责。甲方按采购文件相关要求进行现场开封安装调试验收。如需委托第三方验收，第三方是指：</w:t>
      </w:r>
      <w:r>
        <w:rPr>
          <w:rFonts w:hint="eastAsia" w:ascii="宋体" w:hAnsi="宋体" w:cs="宋体"/>
          <w:spacing w:val="-7"/>
          <w:sz w:val="24"/>
          <w:szCs w:val="24"/>
          <w:u w:val="single"/>
        </w:rPr>
        <w:t xml:space="preserve"> / </w:t>
      </w:r>
      <w:r>
        <w:rPr>
          <w:rFonts w:hint="eastAsia" w:ascii="宋体" w:hAnsi="宋体" w:cs="宋体"/>
          <w:spacing w:val="-7"/>
          <w:sz w:val="24"/>
          <w:szCs w:val="24"/>
        </w:rPr>
        <w:t>，验收费用由甲方承担。因乙方交付的货物不符合标准导致甲方重复支出的验收费用，由乙方承担。</w:t>
      </w:r>
    </w:p>
    <w:p>
      <w:pPr>
        <w:pageBreakBefore w:val="0"/>
        <w:topLinePunct w:val="0"/>
        <w:bidi w:val="0"/>
        <w:spacing w:line="360" w:lineRule="auto"/>
        <w:ind w:firstLine="452" w:firstLineChars="200"/>
        <w:rPr>
          <w:rFonts w:hint="eastAsia" w:ascii="宋体" w:hAnsi="宋体" w:eastAsia="宋体" w:cs="宋体"/>
          <w:spacing w:val="-7"/>
          <w:sz w:val="24"/>
          <w:szCs w:val="24"/>
          <w:lang w:eastAsia="zh-CN"/>
        </w:rPr>
      </w:pPr>
      <w:r>
        <w:rPr>
          <w:rFonts w:hint="eastAsia" w:ascii="宋体" w:hAnsi="宋体" w:cs="宋体"/>
          <w:spacing w:val="-7"/>
          <w:sz w:val="24"/>
          <w:szCs w:val="24"/>
        </w:rPr>
        <w:t>五、履约保证金：成交供应商在签订合同前按合同金额的5%以现金、银行保函、银行本票、汇票、支票或电子汇款（出具保函的银行级别为国有商业银行或股份制商业银行分行及其以上银行）等形式缴纳履约保证金作为履约担保，</w:t>
      </w:r>
      <w:r>
        <w:rPr>
          <w:rFonts w:hint="eastAsia" w:ascii="宋体" w:hAnsi="宋体" w:cs="宋体"/>
          <w:spacing w:val="-7"/>
          <w:sz w:val="24"/>
          <w:szCs w:val="24"/>
          <w:highlight w:val="yellow"/>
        </w:rPr>
        <w:t>并出具制造商针对本项目的授权书。</w:t>
      </w:r>
      <w:r>
        <w:rPr>
          <w:rFonts w:hint="eastAsia" w:ascii="宋体" w:hAnsi="宋体" w:cs="宋体"/>
          <w:spacing w:val="-7"/>
          <w:sz w:val="24"/>
          <w:szCs w:val="24"/>
          <w:highlight w:val="yellow"/>
          <w:lang w:val="en-US" w:eastAsia="zh-CN"/>
        </w:rPr>
        <w:t>履约保证金在</w:t>
      </w:r>
      <w:r>
        <w:rPr>
          <w:rFonts w:hint="eastAsia" w:ascii="宋体" w:hAnsi="宋体" w:cs="宋体"/>
          <w:spacing w:val="-7"/>
          <w:sz w:val="24"/>
          <w:szCs w:val="24"/>
          <w:highlight w:val="yellow"/>
        </w:rPr>
        <w:t>质保期满后无息退还</w:t>
      </w:r>
      <w:r>
        <w:rPr>
          <w:rFonts w:hint="eastAsia" w:ascii="宋体" w:hAnsi="宋体" w:cs="宋体"/>
          <w:spacing w:val="-7"/>
          <w:sz w:val="24"/>
          <w:szCs w:val="24"/>
          <w:highlight w:val="yellow"/>
          <w:lang w:eastAsia="zh-CN"/>
        </w:rPr>
        <w:t>。</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六、付款：</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第1次付款：</w:t>
      </w:r>
      <w:bookmarkStart w:id="41" w:name="EB8dc5ca9de68743a39c27347956598a25"/>
      <w:r>
        <w:rPr>
          <w:rFonts w:hint="eastAsia" w:ascii="宋体" w:hAnsi="宋体" w:cs="宋体"/>
          <w:spacing w:val="-7"/>
          <w:sz w:val="24"/>
          <w:szCs w:val="24"/>
        </w:rPr>
        <w:t>合同签订生效接甲方排产（供货）通知后14日内，甲方向乙方支付设备合同总价10％的预付款（乙方开具等额发票）。首批次预付款支付前，乙方须提供设备合同总价10%金额的预付款保函给买方（银行保函有效期至首批次货到工地后六个月</w:t>
      </w:r>
      <w:bookmarkEnd w:id="41"/>
      <w:r>
        <w:rPr>
          <w:rFonts w:hint="eastAsia" w:ascii="宋体" w:hAnsi="宋体" w:cs="宋体"/>
          <w:spacing w:val="-7"/>
          <w:sz w:val="24"/>
          <w:szCs w:val="24"/>
        </w:rPr>
        <w:t>）。</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第2次付款：</w:t>
      </w:r>
      <w:bookmarkStart w:id="42" w:name="EB05e4dd4e5e1b4e299b1d37f57a4c07c8"/>
      <w:r>
        <w:rPr>
          <w:rFonts w:hint="eastAsia" w:ascii="宋体" w:hAnsi="宋体" w:cs="宋体"/>
          <w:spacing w:val="-7"/>
          <w:sz w:val="24"/>
          <w:szCs w:val="24"/>
        </w:rPr>
        <w:t>货物（室内外机组全部）运卸至工地现场经买方及监理签字确认收到并初步验收合格且收到支付申请后，买方向卖方付至合同总价的60%（抵扣该批次预付款），乙方需提供已付货款金额的发票，设计变更及现场签证增加部分经监理工程师及发包人审核并确认后纳入最终工程结算</w:t>
      </w:r>
      <w:bookmarkEnd w:id="42"/>
      <w:r>
        <w:rPr>
          <w:rFonts w:hint="eastAsia" w:ascii="宋体" w:hAnsi="宋体" w:cs="宋体"/>
          <w:spacing w:val="-7"/>
          <w:sz w:val="24"/>
          <w:szCs w:val="24"/>
        </w:rPr>
        <w:t>。</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第3次付款：</w:t>
      </w:r>
      <w:bookmarkStart w:id="43" w:name="EB1755eb1f84ff49d6a7cc3a059a87fb1d"/>
      <w:r>
        <w:rPr>
          <w:rFonts w:hint="eastAsia" w:ascii="宋体" w:hAnsi="宋体" w:cs="宋体"/>
          <w:spacing w:val="-7"/>
          <w:sz w:val="24"/>
          <w:szCs w:val="24"/>
        </w:rPr>
        <w:t>当设备安装调试完成后，经买方验收合格，并提供经买方认可的工程资料（包括但不限于《产品保修卡》、产品合格证等）且收到支付申请后，买方向卖方支付至合同总价的</w:t>
      </w:r>
      <w:r>
        <w:rPr>
          <w:rFonts w:hint="eastAsia" w:ascii="宋体" w:hAnsi="宋体" w:cs="宋体"/>
          <w:spacing w:val="-7"/>
          <w:sz w:val="24"/>
          <w:szCs w:val="24"/>
          <w:highlight w:val="yellow"/>
          <w:lang w:val="en-US" w:eastAsia="zh-CN"/>
        </w:rPr>
        <w:t>7</w:t>
      </w:r>
      <w:r>
        <w:rPr>
          <w:rFonts w:hint="eastAsia" w:ascii="宋体" w:hAnsi="宋体" w:cs="宋体"/>
          <w:spacing w:val="-7"/>
          <w:sz w:val="24"/>
          <w:szCs w:val="24"/>
          <w:highlight w:val="yellow"/>
        </w:rPr>
        <w:t>0%</w:t>
      </w:r>
      <w:r>
        <w:rPr>
          <w:rFonts w:hint="eastAsia" w:ascii="宋体" w:hAnsi="宋体" w:cs="宋体"/>
          <w:spacing w:val="-7"/>
          <w:sz w:val="24"/>
          <w:szCs w:val="24"/>
        </w:rPr>
        <w:t>，乙方需提供已付货款金额的发票</w:t>
      </w:r>
      <w:bookmarkEnd w:id="43"/>
      <w:r>
        <w:rPr>
          <w:rFonts w:hint="eastAsia" w:ascii="宋体" w:hAnsi="宋体" w:cs="宋体"/>
          <w:spacing w:val="-7"/>
          <w:sz w:val="24"/>
          <w:szCs w:val="24"/>
        </w:rPr>
        <w:t>。</w:t>
      </w:r>
    </w:p>
    <w:p>
      <w:pPr>
        <w:pageBreakBefore w:val="0"/>
        <w:topLinePunct w:val="0"/>
        <w:bidi w:val="0"/>
        <w:spacing w:line="360" w:lineRule="auto"/>
        <w:ind w:firstLine="452" w:firstLineChars="200"/>
        <w:rPr>
          <w:rFonts w:ascii="宋体" w:hAnsi="宋体" w:cs="宋体"/>
          <w:spacing w:val="-7"/>
          <w:sz w:val="24"/>
          <w:szCs w:val="24"/>
          <w:highlight w:val="yellow"/>
        </w:rPr>
      </w:pPr>
      <w:r>
        <w:rPr>
          <w:rFonts w:hint="eastAsia" w:ascii="宋体" w:hAnsi="宋体" w:cs="宋体"/>
          <w:spacing w:val="-7"/>
          <w:sz w:val="24"/>
          <w:szCs w:val="24"/>
          <w:highlight w:val="yellow"/>
        </w:rPr>
        <w:t>第4次付款：</w:t>
      </w:r>
      <w:bookmarkStart w:id="44" w:name="EB75a9698f39fe47b396eba7c006c4842d"/>
      <w:r>
        <w:rPr>
          <w:rFonts w:hint="eastAsia" w:ascii="宋体" w:hAnsi="宋体" w:cs="宋体"/>
          <w:spacing w:val="-7"/>
          <w:sz w:val="24"/>
          <w:szCs w:val="24"/>
          <w:highlight w:val="yellow"/>
        </w:rPr>
        <w:t>结算审计结束且收到支付申请后，买方向卖方支付至审计价款的</w:t>
      </w:r>
      <w:r>
        <w:rPr>
          <w:rFonts w:hint="eastAsia" w:ascii="宋体" w:hAnsi="宋体" w:cs="宋体"/>
          <w:spacing w:val="-7"/>
          <w:sz w:val="24"/>
          <w:szCs w:val="24"/>
          <w:highlight w:val="yellow"/>
          <w:lang w:val="en-US" w:eastAsia="zh-CN"/>
        </w:rPr>
        <w:t>100</w:t>
      </w:r>
      <w:r>
        <w:rPr>
          <w:rFonts w:hint="eastAsia" w:ascii="宋体" w:hAnsi="宋体" w:cs="宋体"/>
          <w:spacing w:val="-7"/>
          <w:sz w:val="24"/>
          <w:szCs w:val="24"/>
          <w:highlight w:val="yellow"/>
        </w:rPr>
        <w:t>%，乙方需提供审计价款的全额发票并提供与总包结清总承包服务费的证明材料。</w:t>
      </w:r>
      <w:bookmarkEnd w:id="44"/>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本项目质保期</w:t>
      </w:r>
      <w:r>
        <w:rPr>
          <w:rFonts w:hint="eastAsia" w:ascii="宋体" w:hAnsi="宋体" w:cs="宋体"/>
          <w:spacing w:val="-7"/>
          <w:sz w:val="24"/>
          <w:szCs w:val="24"/>
          <w:u w:val="single"/>
        </w:rPr>
        <w:t xml:space="preserve">    </w:t>
      </w:r>
      <w:r>
        <w:rPr>
          <w:rFonts w:hint="eastAsia" w:ascii="宋体" w:hAnsi="宋体" w:cs="宋体"/>
          <w:spacing w:val="-7"/>
          <w:sz w:val="24"/>
          <w:szCs w:val="24"/>
        </w:rPr>
        <w:t>年。</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七、合同纠纷处理：本合同执行过程中发生纠纷，由甲乙双方协商解决，若协商不成，作如下2处理：</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1、申请仲裁。选定仲裁机构为南京市仲裁委员会。</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2、提起诉讼。约定由采购人所在地法院管辖。</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八、合同生效：本合同由甲乙双方签字盖章后生效</w:t>
      </w:r>
      <w:r>
        <w:rPr>
          <w:rFonts w:hint="eastAsia" w:ascii="宋体" w:hAnsi="宋体" w:cs="宋体"/>
          <w:spacing w:val="-7"/>
          <w:sz w:val="24"/>
          <w:szCs w:val="24"/>
          <w:lang w:eastAsia="zh-CN"/>
        </w:rPr>
        <w:t>，本</w:t>
      </w:r>
      <w:r>
        <w:rPr>
          <w:rFonts w:hint="eastAsia" w:ascii="宋体" w:hAnsi="宋体" w:cs="宋体"/>
          <w:spacing w:val="-7"/>
          <w:sz w:val="24"/>
          <w:szCs w:val="24"/>
        </w:rPr>
        <w:t>合同有效期</w:t>
      </w:r>
      <w:r>
        <w:rPr>
          <w:rFonts w:hint="eastAsia" w:ascii="宋体" w:hAnsi="宋体" w:cs="宋体"/>
          <w:spacing w:val="-7"/>
          <w:sz w:val="24"/>
          <w:szCs w:val="24"/>
          <w:lang w:val="en-US" w:eastAsia="zh-CN"/>
        </w:rPr>
        <w:t xml:space="preserve">      年，质保期满失效</w:t>
      </w:r>
      <w:r>
        <w:rPr>
          <w:rFonts w:hint="eastAsia" w:ascii="宋体" w:hAnsi="宋体" w:cs="宋体"/>
          <w:spacing w:val="-7"/>
          <w:sz w:val="24"/>
          <w:szCs w:val="24"/>
        </w:rPr>
        <w:t>。</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九、其他：</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1、乙方应保证竣工结算的准确性。如卖方所报结算经审计后，审减额（送审额与审定额之差）超过5%（含5%）时，审计费用全部由卖方支付，审计费的计取标准按照苏价服2014（383）号文件中工程结算审核的计费标准计取（含基本收费和效益收费）。2、乙方每年对空调进行一次清洗、保养、检修，乙方提供备用机。如售后服务每年的清洗、保养、检修以及提供备用机等落实不到位的，甲方有权委托第三方落实，产生的费用从尾款中扣除。</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十、组成本合同的文件包括：</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（一）合同通用条款和专用条款（专用条款优于通用条款）；</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（二）</w:t>
      </w:r>
      <w:r>
        <w:rPr>
          <w:rFonts w:hint="eastAsia" w:ascii="宋体" w:hAnsi="宋体" w:cs="宋体"/>
          <w:spacing w:val="-7"/>
          <w:sz w:val="24"/>
          <w:szCs w:val="24"/>
          <w:lang w:eastAsia="zh-CN"/>
        </w:rPr>
        <w:t>招标</w:t>
      </w:r>
      <w:r>
        <w:rPr>
          <w:rFonts w:hint="eastAsia" w:ascii="宋体" w:hAnsi="宋体" w:cs="宋体"/>
          <w:spacing w:val="-7"/>
          <w:sz w:val="24"/>
          <w:szCs w:val="24"/>
        </w:rPr>
        <w:t>文件和乙方的投标文件；</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（三）中标通知书；</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（四）甲乙双方商定的其他必要文件。</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上述合同文件内容互为补充，如有不明确，由甲方负责解释。</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十一、合同备案</w:t>
      </w:r>
    </w:p>
    <w:p>
      <w:pPr>
        <w:pageBreakBefore w:val="0"/>
        <w:topLinePunct w:val="0"/>
        <w:bidi w:val="0"/>
        <w:spacing w:line="360" w:lineRule="auto"/>
        <w:ind w:firstLine="452" w:firstLineChars="200"/>
        <w:rPr>
          <w:rFonts w:ascii="宋体" w:hAnsi="宋体" w:cs="宋体"/>
          <w:spacing w:val="-7"/>
          <w:sz w:val="24"/>
          <w:szCs w:val="24"/>
          <w:highlight w:val="yellow"/>
        </w:rPr>
      </w:pPr>
      <w:r>
        <w:rPr>
          <w:rFonts w:hint="eastAsia" w:ascii="宋体" w:hAnsi="宋体" w:cs="宋体"/>
          <w:spacing w:val="-7"/>
          <w:sz w:val="24"/>
          <w:szCs w:val="24"/>
          <w:highlight w:val="yellow"/>
        </w:rPr>
        <w:t>本合同一式</w:t>
      </w:r>
      <w:r>
        <w:rPr>
          <w:rFonts w:hint="eastAsia" w:ascii="宋体" w:hAnsi="宋体" w:cs="宋体"/>
          <w:spacing w:val="-7"/>
          <w:sz w:val="24"/>
          <w:szCs w:val="24"/>
          <w:highlight w:val="yellow"/>
          <w:u w:val="single"/>
        </w:rPr>
        <w:t xml:space="preserve">     </w:t>
      </w:r>
      <w:r>
        <w:rPr>
          <w:rFonts w:hint="eastAsia" w:ascii="宋体" w:hAnsi="宋体" w:cs="宋体"/>
          <w:spacing w:val="-7"/>
          <w:sz w:val="24"/>
          <w:szCs w:val="24"/>
          <w:highlight w:val="yellow"/>
        </w:rPr>
        <w:t>份</w:t>
      </w:r>
      <w:r>
        <w:rPr>
          <w:rFonts w:hint="eastAsia" w:ascii="宋体" w:hAnsi="宋体" w:cs="宋体"/>
          <w:spacing w:val="-7"/>
          <w:sz w:val="24"/>
          <w:szCs w:val="24"/>
          <w:highlight w:val="yellow"/>
          <w:lang w:eastAsia="zh-CN"/>
        </w:rPr>
        <w:t>，</w:t>
      </w:r>
      <w:r>
        <w:rPr>
          <w:rFonts w:hint="eastAsia" w:ascii="宋体" w:hAnsi="宋体" w:cs="宋体"/>
          <w:spacing w:val="-7"/>
          <w:sz w:val="24"/>
          <w:szCs w:val="24"/>
          <w:highlight w:val="yellow"/>
        </w:rPr>
        <w:t>甲乙方各自持有</w:t>
      </w:r>
      <w:r>
        <w:rPr>
          <w:rFonts w:hint="eastAsia" w:ascii="宋体" w:hAnsi="宋体" w:cs="宋体"/>
          <w:spacing w:val="-7"/>
          <w:sz w:val="24"/>
          <w:szCs w:val="24"/>
          <w:highlight w:val="yellow"/>
          <w:u w:val="single"/>
        </w:rPr>
        <w:t xml:space="preserve">     </w:t>
      </w:r>
      <w:r>
        <w:rPr>
          <w:rFonts w:hint="eastAsia" w:ascii="宋体" w:hAnsi="宋体" w:cs="宋体"/>
          <w:spacing w:val="-7"/>
          <w:sz w:val="24"/>
          <w:szCs w:val="24"/>
          <w:highlight w:val="yellow"/>
        </w:rPr>
        <w:t>份，中文书写。</w:t>
      </w:r>
    </w:p>
    <w:p>
      <w:pPr>
        <w:pageBreakBefore w:val="0"/>
        <w:topLinePunct w:val="0"/>
        <w:bidi w:val="0"/>
        <w:spacing w:line="360" w:lineRule="auto"/>
        <w:ind w:firstLine="452" w:firstLineChars="200"/>
        <w:rPr>
          <w:rFonts w:ascii="宋体" w:hAnsi="宋体" w:cs="宋体"/>
          <w:spacing w:val="-7"/>
          <w:sz w:val="24"/>
          <w:szCs w:val="24"/>
        </w:rPr>
      </w:pPr>
      <w:r>
        <w:rPr>
          <w:rFonts w:hint="eastAsia" w:ascii="宋体" w:hAnsi="宋体" w:cs="宋体"/>
          <w:spacing w:val="-7"/>
          <w:sz w:val="24"/>
          <w:szCs w:val="24"/>
        </w:rPr>
        <w:t>此合同仅作范本，最终以通过法律事务审核为准。</w:t>
      </w:r>
    </w:p>
    <w:p>
      <w:pPr>
        <w:pStyle w:val="14"/>
        <w:pageBreakBefore w:val="0"/>
        <w:topLinePunct w:val="0"/>
        <w:bidi w:val="0"/>
        <w:spacing w:line="360" w:lineRule="auto"/>
        <w:rPr>
          <w:rFonts w:ascii="宋体" w:hAnsi="宋体" w:eastAsia="宋体" w:cs="宋体"/>
          <w:sz w:val="24"/>
          <w:szCs w:val="24"/>
        </w:rPr>
      </w:pP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6"/>
        <w:gridCol w:w="4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276" w:type="dxa"/>
          </w:tcPr>
          <w:p>
            <w:pPr>
              <w:pageBreakBefore w:val="0"/>
              <w:topLinePunct w:val="0"/>
              <w:bidi w:val="0"/>
              <w:spacing w:line="360" w:lineRule="auto"/>
              <w:rPr>
                <w:rFonts w:ascii="宋体" w:hAnsi="宋体" w:cs="宋体"/>
                <w:sz w:val="24"/>
                <w:szCs w:val="24"/>
              </w:rPr>
            </w:pPr>
            <w:r>
              <w:rPr>
                <w:rFonts w:hint="eastAsia" w:ascii="宋体" w:hAnsi="宋体" w:cs="宋体"/>
                <w:spacing w:val="15"/>
                <w:position w:val="8"/>
                <w:sz w:val="24"/>
                <w:szCs w:val="24"/>
              </w:rPr>
              <w:t>甲方</w:t>
            </w:r>
            <w:r>
              <w:rPr>
                <w:rFonts w:hint="eastAsia" w:ascii="宋体" w:hAnsi="宋体" w:cs="宋体"/>
                <w:spacing w:val="-70"/>
                <w:position w:val="8"/>
                <w:sz w:val="24"/>
                <w:szCs w:val="24"/>
              </w:rPr>
              <w:t>：</w:t>
            </w:r>
            <w:r>
              <w:rPr>
                <w:rFonts w:hint="eastAsia" w:ascii="宋体" w:hAnsi="宋体" w:cs="宋体"/>
                <w:spacing w:val="-10"/>
                <w:position w:val="8"/>
                <w:sz w:val="24"/>
                <w:szCs w:val="24"/>
                <w:u w:val="single"/>
              </w:rPr>
              <w:t>（</w:t>
            </w:r>
            <w:r>
              <w:rPr>
                <w:rFonts w:hint="eastAsia" w:ascii="宋体" w:hAnsi="宋体" w:cs="宋体"/>
                <w:spacing w:val="17"/>
                <w:position w:val="8"/>
                <w:sz w:val="24"/>
                <w:szCs w:val="24"/>
                <w:u w:val="single"/>
              </w:rPr>
              <w:t>盖章）</w:t>
            </w:r>
          </w:p>
        </w:tc>
        <w:tc>
          <w:tcPr>
            <w:tcW w:w="4276" w:type="dxa"/>
          </w:tcPr>
          <w:p>
            <w:pPr>
              <w:pageBreakBefore w:val="0"/>
              <w:topLinePunct w:val="0"/>
              <w:bidi w:val="0"/>
              <w:spacing w:line="360" w:lineRule="auto"/>
              <w:rPr>
                <w:rFonts w:ascii="宋体" w:hAnsi="宋体" w:cs="宋体"/>
                <w:sz w:val="24"/>
                <w:szCs w:val="24"/>
              </w:rPr>
            </w:pPr>
            <w:r>
              <w:rPr>
                <w:rFonts w:hint="eastAsia" w:ascii="宋体" w:hAnsi="宋体" w:cs="宋体"/>
                <w:spacing w:val="17"/>
                <w:position w:val="8"/>
                <w:sz w:val="24"/>
                <w:szCs w:val="24"/>
              </w:rPr>
              <w:t>乙方</w:t>
            </w:r>
            <w:r>
              <w:rPr>
                <w:rFonts w:hint="eastAsia" w:ascii="宋体" w:hAnsi="宋体" w:cs="宋体"/>
                <w:spacing w:val="-10"/>
                <w:position w:val="8"/>
                <w:sz w:val="24"/>
                <w:szCs w:val="24"/>
              </w:rPr>
              <w:t>：</w:t>
            </w:r>
            <w:r>
              <w:rPr>
                <w:rFonts w:hint="eastAsia" w:ascii="宋体" w:hAnsi="宋体" w:cs="宋体"/>
                <w:spacing w:val="-10"/>
                <w:position w:val="8"/>
                <w:sz w:val="24"/>
                <w:szCs w:val="24"/>
                <w:u w:val="single"/>
              </w:rPr>
              <w:t>（</w:t>
            </w:r>
            <w:r>
              <w:rPr>
                <w:rFonts w:hint="eastAsia" w:ascii="宋体" w:hAnsi="宋体" w:cs="宋体"/>
                <w:spacing w:val="17"/>
                <w:position w:val="8"/>
                <w:sz w:val="24"/>
                <w:szCs w:val="24"/>
                <w:u w:val="singl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4276" w:type="dxa"/>
          </w:tcPr>
          <w:p>
            <w:pPr>
              <w:pageBreakBefore w:val="0"/>
              <w:topLinePunct w:val="0"/>
              <w:bidi w:val="0"/>
              <w:spacing w:line="360" w:lineRule="auto"/>
              <w:rPr>
                <w:rFonts w:ascii="宋体" w:hAnsi="宋体" w:cs="宋体"/>
                <w:sz w:val="24"/>
                <w:szCs w:val="24"/>
              </w:rPr>
            </w:pPr>
            <w:r>
              <w:rPr>
                <w:rFonts w:hint="eastAsia" w:ascii="宋体" w:hAnsi="宋体" w:cs="宋体"/>
                <w:spacing w:val="-1"/>
                <w:sz w:val="24"/>
                <w:szCs w:val="24"/>
              </w:rPr>
              <w:t>地址：</w:t>
            </w:r>
          </w:p>
        </w:tc>
        <w:tc>
          <w:tcPr>
            <w:tcW w:w="4276" w:type="dxa"/>
          </w:tcPr>
          <w:p>
            <w:pPr>
              <w:pageBreakBefore w:val="0"/>
              <w:topLinePunct w:val="0"/>
              <w:bidi w:val="0"/>
              <w:spacing w:line="360" w:lineRule="auto"/>
              <w:rPr>
                <w:rFonts w:ascii="宋体" w:hAnsi="宋体" w:cs="宋体"/>
                <w:sz w:val="24"/>
                <w:szCs w:val="24"/>
              </w:rPr>
            </w:pPr>
            <w:r>
              <w:rPr>
                <w:rFonts w:hint="eastAsia" w:ascii="宋体" w:hAnsi="宋体" w:cs="宋体"/>
                <w:spacing w:val="-1"/>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76" w:type="dxa"/>
          </w:tcPr>
          <w:p>
            <w:pPr>
              <w:pageBreakBefore w:val="0"/>
              <w:topLinePunct w:val="0"/>
              <w:bidi w:val="0"/>
              <w:spacing w:line="360" w:lineRule="auto"/>
              <w:rPr>
                <w:rFonts w:ascii="宋体" w:hAnsi="宋体" w:cs="宋体"/>
                <w:sz w:val="24"/>
                <w:szCs w:val="24"/>
              </w:rPr>
            </w:pPr>
            <w:r>
              <w:rPr>
                <w:rFonts w:hint="eastAsia" w:ascii="宋体" w:hAnsi="宋体" w:cs="宋体"/>
                <w:spacing w:val="-8"/>
                <w:position w:val="12"/>
                <w:sz w:val="24"/>
                <w:szCs w:val="24"/>
              </w:rPr>
              <w:t>法定（授权）代表人：</w:t>
            </w:r>
          </w:p>
        </w:tc>
        <w:tc>
          <w:tcPr>
            <w:tcW w:w="4276" w:type="dxa"/>
          </w:tcPr>
          <w:p>
            <w:pPr>
              <w:pageBreakBefore w:val="0"/>
              <w:topLinePunct w:val="0"/>
              <w:bidi w:val="0"/>
              <w:spacing w:line="360" w:lineRule="auto"/>
              <w:rPr>
                <w:rFonts w:ascii="宋体" w:hAnsi="宋体" w:cs="宋体"/>
                <w:sz w:val="24"/>
                <w:szCs w:val="24"/>
              </w:rPr>
            </w:pPr>
            <w:r>
              <w:rPr>
                <w:rFonts w:hint="eastAsia" w:ascii="宋体" w:hAnsi="宋体" w:cs="宋体"/>
                <w:spacing w:val="-8"/>
                <w:position w:val="12"/>
                <w:sz w:val="24"/>
                <w:szCs w:val="24"/>
              </w:rPr>
              <w:t>法定（授权）代表人：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76" w:type="dxa"/>
          </w:tcPr>
          <w:p>
            <w:pPr>
              <w:pageBreakBefore w:val="0"/>
              <w:topLinePunct w:val="0"/>
              <w:bidi w:val="0"/>
              <w:spacing w:line="360" w:lineRule="auto"/>
              <w:rPr>
                <w:rFonts w:ascii="宋体" w:hAnsi="宋体" w:cs="宋体"/>
                <w:sz w:val="24"/>
                <w:szCs w:val="24"/>
              </w:rPr>
            </w:pPr>
            <w:r>
              <w:rPr>
                <w:rFonts w:hint="eastAsia" w:ascii="宋体" w:hAnsi="宋体" w:cs="宋体"/>
                <w:spacing w:val="-4"/>
                <w:sz w:val="24"/>
                <w:szCs w:val="24"/>
              </w:rPr>
              <w:t>二〇二二年</w:t>
            </w:r>
            <w:r>
              <w:rPr>
                <w:rFonts w:hint="eastAsia" w:ascii="宋体" w:hAnsi="宋体" w:cs="宋体"/>
                <w:spacing w:val="-4"/>
                <w:sz w:val="24"/>
                <w:szCs w:val="24"/>
                <w:lang w:val="en-US" w:eastAsia="zh-CN"/>
              </w:rPr>
              <w:t xml:space="preserve">   </w:t>
            </w:r>
            <w:r>
              <w:rPr>
                <w:rFonts w:hint="eastAsia" w:ascii="宋体" w:hAnsi="宋体" w:cs="宋体"/>
                <w:spacing w:val="-4"/>
                <w:sz w:val="24"/>
                <w:szCs w:val="24"/>
              </w:rPr>
              <w:t>月</w:t>
            </w:r>
            <w:r>
              <w:rPr>
                <w:rFonts w:hint="eastAsia" w:ascii="宋体" w:hAnsi="宋体" w:cs="宋体"/>
                <w:spacing w:val="-4"/>
                <w:sz w:val="24"/>
                <w:szCs w:val="24"/>
                <w:lang w:val="en-US" w:eastAsia="zh-CN"/>
              </w:rPr>
              <w:t xml:space="preserve">   </w:t>
            </w:r>
            <w:r>
              <w:rPr>
                <w:rFonts w:hint="eastAsia" w:ascii="宋体" w:hAnsi="宋体" w:cs="宋体"/>
                <w:spacing w:val="-4"/>
                <w:sz w:val="24"/>
                <w:szCs w:val="24"/>
              </w:rPr>
              <w:t>日</w:t>
            </w:r>
          </w:p>
        </w:tc>
        <w:tc>
          <w:tcPr>
            <w:tcW w:w="4276" w:type="dxa"/>
          </w:tcPr>
          <w:p>
            <w:pPr>
              <w:pageBreakBefore w:val="0"/>
              <w:topLinePunct w:val="0"/>
              <w:bidi w:val="0"/>
              <w:spacing w:line="360" w:lineRule="auto"/>
              <w:rPr>
                <w:rFonts w:ascii="宋体" w:hAnsi="宋体" w:cs="宋体"/>
                <w:sz w:val="24"/>
                <w:szCs w:val="24"/>
              </w:rPr>
            </w:pPr>
            <w:r>
              <w:rPr>
                <w:rFonts w:hint="eastAsia" w:ascii="宋体" w:hAnsi="宋体" w:cs="宋体"/>
                <w:spacing w:val="-4"/>
                <w:sz w:val="24"/>
                <w:szCs w:val="24"/>
              </w:rPr>
              <w:t>二〇二二年</w:t>
            </w:r>
            <w:r>
              <w:rPr>
                <w:rFonts w:hint="eastAsia" w:ascii="宋体" w:hAnsi="宋体" w:cs="宋体"/>
                <w:spacing w:val="-4"/>
                <w:sz w:val="24"/>
                <w:szCs w:val="24"/>
                <w:lang w:val="en-US" w:eastAsia="zh-CN"/>
              </w:rPr>
              <w:t xml:space="preserve">    </w:t>
            </w:r>
            <w:r>
              <w:rPr>
                <w:rFonts w:hint="eastAsia" w:ascii="宋体" w:hAnsi="宋体" w:cs="宋体"/>
                <w:spacing w:val="-4"/>
                <w:sz w:val="24"/>
                <w:szCs w:val="24"/>
              </w:rPr>
              <w:t>月</w:t>
            </w:r>
            <w:r>
              <w:rPr>
                <w:rFonts w:hint="eastAsia" w:ascii="宋体" w:hAnsi="宋体" w:cs="宋体"/>
                <w:spacing w:val="-4"/>
                <w:sz w:val="24"/>
                <w:szCs w:val="24"/>
                <w:lang w:val="en-US" w:eastAsia="zh-CN"/>
              </w:rPr>
              <w:t xml:space="preserve">     </w:t>
            </w:r>
            <w:r>
              <w:rPr>
                <w:rFonts w:hint="eastAsia" w:ascii="宋体" w:hAnsi="宋体" w:cs="宋体"/>
                <w:spacing w:val="-4"/>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76" w:type="dxa"/>
          </w:tcPr>
          <w:p>
            <w:pPr>
              <w:pageBreakBefore w:val="0"/>
              <w:topLinePunct w:val="0"/>
              <w:bidi w:val="0"/>
              <w:spacing w:line="360" w:lineRule="auto"/>
              <w:rPr>
                <w:rFonts w:ascii="宋体" w:hAnsi="宋体" w:cs="宋体"/>
                <w:sz w:val="24"/>
                <w:szCs w:val="24"/>
              </w:rPr>
            </w:pPr>
          </w:p>
        </w:tc>
        <w:tc>
          <w:tcPr>
            <w:tcW w:w="4276" w:type="dxa"/>
          </w:tcPr>
          <w:p>
            <w:pPr>
              <w:pageBreakBefore w:val="0"/>
              <w:topLinePunct w:val="0"/>
              <w:bidi w:val="0"/>
              <w:spacing w:line="360" w:lineRule="auto"/>
              <w:rPr>
                <w:rFonts w:ascii="宋体" w:hAnsi="宋体" w:cs="宋体"/>
                <w:sz w:val="24"/>
                <w:szCs w:val="24"/>
              </w:rPr>
            </w:pPr>
            <w:r>
              <w:rPr>
                <w:rFonts w:hint="eastAsia" w:ascii="宋体" w:hAnsi="宋体" w:cs="宋体"/>
                <w:spacing w:val="-1"/>
                <w:sz w:val="24"/>
                <w:szCs w:val="24"/>
              </w:rPr>
              <w:t>户名：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76" w:type="dxa"/>
          </w:tcPr>
          <w:p>
            <w:pPr>
              <w:pageBreakBefore w:val="0"/>
              <w:topLinePunct w:val="0"/>
              <w:bidi w:val="0"/>
              <w:spacing w:line="360" w:lineRule="auto"/>
              <w:rPr>
                <w:rFonts w:ascii="宋体" w:hAnsi="宋体" w:cs="宋体"/>
                <w:sz w:val="24"/>
                <w:szCs w:val="24"/>
              </w:rPr>
            </w:pPr>
          </w:p>
        </w:tc>
        <w:tc>
          <w:tcPr>
            <w:tcW w:w="4276" w:type="dxa"/>
          </w:tcPr>
          <w:p>
            <w:pPr>
              <w:pageBreakBefore w:val="0"/>
              <w:topLinePunct w:val="0"/>
              <w:bidi w:val="0"/>
              <w:spacing w:line="360" w:lineRule="auto"/>
              <w:rPr>
                <w:rFonts w:ascii="宋体" w:hAnsi="宋体" w:cs="宋体"/>
                <w:sz w:val="24"/>
                <w:szCs w:val="24"/>
              </w:rPr>
            </w:pPr>
            <w:r>
              <w:rPr>
                <w:rFonts w:hint="eastAsia" w:ascii="宋体" w:hAnsi="宋体" w:cs="宋体"/>
                <w:spacing w:val="-1"/>
                <w:position w:val="8"/>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76" w:type="dxa"/>
          </w:tcPr>
          <w:p>
            <w:pPr>
              <w:pageBreakBefore w:val="0"/>
              <w:topLinePunct w:val="0"/>
              <w:bidi w:val="0"/>
              <w:spacing w:line="360" w:lineRule="auto"/>
              <w:rPr>
                <w:rFonts w:ascii="宋体" w:hAnsi="宋体" w:cs="宋体"/>
                <w:sz w:val="24"/>
                <w:szCs w:val="24"/>
              </w:rPr>
            </w:pPr>
          </w:p>
        </w:tc>
        <w:tc>
          <w:tcPr>
            <w:tcW w:w="4276" w:type="dxa"/>
          </w:tcPr>
          <w:p>
            <w:pPr>
              <w:pageBreakBefore w:val="0"/>
              <w:topLinePunct w:val="0"/>
              <w:bidi w:val="0"/>
              <w:spacing w:line="360" w:lineRule="auto"/>
              <w:rPr>
                <w:rFonts w:ascii="宋体" w:hAnsi="宋体" w:cs="宋体"/>
                <w:sz w:val="24"/>
                <w:szCs w:val="24"/>
              </w:rPr>
            </w:pPr>
            <w:r>
              <w:rPr>
                <w:rFonts w:hint="eastAsia" w:ascii="宋体" w:hAnsi="宋体" w:cs="宋体"/>
                <w:spacing w:val="-2"/>
                <w:sz w:val="24"/>
                <w:szCs w:val="24"/>
              </w:rPr>
              <w:t>账号：</w:t>
            </w:r>
          </w:p>
        </w:tc>
      </w:tr>
    </w:tbl>
    <w:p>
      <w:pPr>
        <w:pageBreakBefore w:val="0"/>
        <w:topLinePunct w:val="0"/>
        <w:bidi w:val="0"/>
        <w:spacing w:line="360" w:lineRule="auto"/>
        <w:rPr>
          <w:rFonts w:ascii="宋体" w:hAnsi="宋体" w:cs="宋体"/>
          <w:sz w:val="24"/>
          <w:szCs w:val="24"/>
        </w:rPr>
      </w:pPr>
    </w:p>
    <w:p>
      <w:pPr>
        <w:pageBreakBefore w:val="0"/>
        <w:topLinePunct w:val="0"/>
        <w:bidi w:val="0"/>
        <w:spacing w:line="360" w:lineRule="auto"/>
        <w:ind w:firstLine="480" w:firstLineChars="200"/>
        <w:rPr>
          <w:rFonts w:ascii="宋体" w:hAnsi="宋体" w:cs="宋体"/>
          <w:sz w:val="24"/>
          <w:szCs w:val="24"/>
        </w:rPr>
      </w:pPr>
    </w:p>
    <w:p>
      <w:pPr>
        <w:pStyle w:val="28"/>
        <w:pageBreakBefore w:val="0"/>
        <w:widowControl/>
        <w:kinsoku w:val="0"/>
        <w:topLinePunct w:val="0"/>
        <w:autoSpaceDE w:val="0"/>
        <w:autoSpaceDN w:val="0"/>
        <w:bidi w:val="0"/>
        <w:adjustRightInd w:val="0"/>
        <w:snapToGrid w:val="0"/>
        <w:spacing w:after="0" w:line="360" w:lineRule="auto"/>
        <w:ind w:left="0" w:leftChars="0" w:firstLine="0" w:firstLineChars="0"/>
        <w:textAlignment w:val="baseline"/>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附件1：</w:t>
      </w:r>
      <w:r>
        <w:rPr>
          <w:rFonts w:hint="eastAsia" w:ascii="宋体" w:hAnsi="宋体" w:cs="宋体"/>
          <w:color w:val="000000" w:themeColor="text1"/>
          <w:sz w:val="24"/>
          <w:szCs w:val="24"/>
          <w14:textFill>
            <w14:solidFill>
              <w14:schemeClr w14:val="tx1"/>
            </w14:solidFill>
          </w14:textFill>
        </w:rPr>
        <w:t>安全生产责任承诺书</w:t>
      </w:r>
    </w:p>
    <w:p>
      <w:pPr>
        <w:pStyle w:val="16"/>
        <w:pageBreakBefore w:val="0"/>
        <w:widowControl/>
        <w:kinsoku w:val="0"/>
        <w:topLinePunct w:val="0"/>
        <w:autoSpaceDE w:val="0"/>
        <w:autoSpaceDN w:val="0"/>
        <w:bidi w:val="0"/>
        <w:adjustRightInd w:val="0"/>
        <w:snapToGrid w:val="0"/>
        <w:spacing w:line="360" w:lineRule="auto"/>
        <w:textAlignment w:val="baseline"/>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附件2：</w:t>
      </w:r>
      <w:r>
        <w:rPr>
          <w:rFonts w:hint="eastAsia" w:ascii="宋体" w:hAnsi="宋体" w:cs="宋体"/>
          <w:color w:val="000000" w:themeColor="text1"/>
          <w:sz w:val="24"/>
          <w:szCs w:val="24"/>
          <w14:textFill>
            <w14:solidFill>
              <w14:schemeClr w14:val="tx1"/>
            </w14:solidFill>
          </w14:textFill>
        </w:rPr>
        <w:t>工程文明施工承诺书</w:t>
      </w:r>
    </w:p>
    <w:p>
      <w:pPr>
        <w:pStyle w:val="28"/>
        <w:pageBreakBefore w:val="0"/>
        <w:widowControl/>
        <w:kinsoku w:val="0"/>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附件3：</w:t>
      </w:r>
      <w:r>
        <w:rPr>
          <w:rFonts w:hint="eastAsia" w:ascii="宋体" w:hAnsi="宋体" w:cs="宋体"/>
          <w:color w:val="000000" w:themeColor="text1"/>
          <w:sz w:val="24"/>
          <w:szCs w:val="24"/>
          <w14:textFill>
            <w14:solidFill>
              <w14:schemeClr w14:val="tx1"/>
            </w14:solidFill>
          </w14:textFill>
        </w:rPr>
        <w:t>廉政协议书</w:t>
      </w:r>
    </w:p>
    <w:p>
      <w:pPr>
        <w:pStyle w:val="28"/>
        <w:pageBreakBefore w:val="0"/>
        <w:widowControl/>
        <w:kinsoku w:val="0"/>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附件</w:t>
      </w:r>
      <w:r>
        <w:rPr>
          <w:rFonts w:hint="eastAsia" w:ascii="宋体" w:hAnsi="宋体" w:cs="宋体"/>
          <w:b/>
          <w:bCs/>
          <w:color w:val="000000" w:themeColor="text1"/>
          <w:sz w:val="24"/>
          <w:szCs w:val="24"/>
          <w:lang w:val="en-US" w:eastAsia="zh-CN"/>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中国药科大学校内工程疫情防控管理承诺书</w:t>
      </w:r>
    </w:p>
    <w:p>
      <w:pPr>
        <w:pageBreakBefore w:val="0"/>
        <w:topLinePunct w:val="0"/>
        <w:bidi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pStyle w:val="28"/>
        <w:pageBreakBefore w:val="0"/>
        <w:topLinePunct w:val="0"/>
        <w:bidi w:val="0"/>
        <w:spacing w:line="360" w:lineRule="auto"/>
        <w:ind w:left="0" w:leftChars="0" w:firstLine="0" w:firstLineChars="0"/>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附件1：中国药科大学校内工程施工安全生产责任承诺书</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为认真贯彻"安全第一、预防为主"的方针，确保施工生产的安全，按规定搞好安全防护措施，把安全施工落到实处，在各种经济承包中必须包括安全生产，做到讲效益必须讲安全，抓施工必须抓安全。因此，施工单位对项目施工安全生产做出如下承诺：</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1、严格安全管理，认真组织落实施工方案中的施工安全技术措施，现场有安全标志、色标、警示牌，做到文明施工。</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2、领导所属班组定期召开安全工作例会，认真开展每周一次安全日活动，对照施工安全检查表，经常检查生产现场的安全管理，认真查出事故隐患，制定各种安全技术措施，确保施工全过程的安全生产。</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3、组织学习安全操作规程，并检查执行情况，对新工人必须进行安全教育，特别是劳动用工的管理和教育，教育工人遵章守纪和正确使用安全防范设施和防护用品，负责检查特殊作业人员是否有持证上岗。</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4、督促指导班组严格按工艺规程和安全操作，制止违章指挥和冒险作业的行为。</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5、对现场搭设的"二架一网"及安装的大型机械、电器设备（配合机管员）等安全防护装置，必须有技术交底的验收手续，方能使用。</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6、对工地安全隐患，由中国药科大学保卫处所发出隐患通知书必须签字，并按通知限期整改。</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7、保证不发生重大人员伤亡事故，在此工程施工过程中所发生的一切工伤事故或安全事故，由施工单位承担一切责任。</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8、工地建立岗位责任制和防火措施，督促有关人员做好施工安全各项技术业内资料保存。</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9、按中国药科大学要求做好全体人员登记，并把人员登记册送交保卫处。</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10、所有施工单位及人员必须遵守中国药科大学各项管理规定。</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承诺单位：（公章）         承诺单位法定代表人（签字）：</w:t>
      </w:r>
    </w:p>
    <w:p>
      <w:pPr>
        <w:pStyle w:val="28"/>
        <w:pageBreakBefore w:val="0"/>
        <w:topLinePunct w:val="0"/>
        <w:bidi w:val="0"/>
        <w:spacing w:line="360" w:lineRule="auto"/>
        <w:ind w:firstLine="48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年     月    日</w:t>
      </w:r>
    </w:p>
    <w:p>
      <w:pPr>
        <w:pageBreakBefore w:val="0"/>
        <w:topLinePunct w:val="0"/>
        <w:bidi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pStyle w:val="28"/>
        <w:pageBreakBefore w:val="0"/>
        <w:topLinePunct w:val="0"/>
        <w:bidi w:val="0"/>
        <w:spacing w:line="360" w:lineRule="auto"/>
        <w:ind w:left="0" w:leftChars="0" w:firstLine="0" w:firstLineChars="0"/>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附件2：中国药科大学校内工程文明施工承诺书</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项目名称：                 </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一、施工单位必须做到文明施工，并制定完善的安全管理制度。开工前，必须到学校保卫处办理人员等相关登记手续，并加强对所属人员的教育和管理，要求所属人员做到言谈文明、举止得体，施工人员的活动范围只局限在施工区域，避免发生影响学校教学、科研、生活正常秩序的问题，否则公司要负相关责任。 </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二、在施工过程中应注意对树木、花草、绿篱、房舍、校内路面等校园内一切公共设施的保护。如有损坏，必须按有关规定予以恢复，并处以1000—5000元的罚款，并责令其恢复。</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三、在施工期间，应在施工现场显著位置设立安全警告牌，并确保警告牌的整洁、醒目。未按此项要求进行操作的，相关管理部门要责令其停工并限期整改，如不改正则令其停止施工，由此产生的工期延误和经济损失由施工单位承担，整改后经检查确定符合要求后方可继续施工。 </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四、施工单位在校内施工必须严格遵守学校的各项管理规定。未经基建后勤处批准或相关协管部门同意严禁破路施工，严禁在道路上堆放施工材料、施工机械及在路面搅拌混凝土。特殊情况下，需征得基建后勤处及相关协管部门同意，需要临时占用道路的，不得影响正常交通并将建筑材料或物品在指定地点堆放整齐。 </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五、工程中需对现实状况改动的，改动方案必须提前报基建后勤处及相关协管部门审定同意。未经同意，擅自施工的，责令其停止施工，并处以1000元以上的罚款，此产生的工期延误和经济损失由施工单位承担。 </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施工单位在校园内施工期间要自觉维护校内各种建筑和公共设施，未经允许不准移动或占用。确因需要占用校园的球场、道路、建筑物周围及楼道、走廊等公用场地及相关设施，必须到基建后勤处及相关协管部门办理批准手续。否则，将责令其限期整改，并处以1000—5000元的罚款。如不改正则令其停止施工，由此产生的工期延误和经济损失由施工单位承担。</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施工产生的建筑垃圾必须外运，不得倾倒在校园内。建筑垃圾原则上要求日产日清，如不能做到的，则装袋后可暂时堆放在指定区域，并做覆盖处理，不得堆放在绿化带中，不得影响交通和消防通道。建筑垃圾自开始堆放之日起 5日内必须外运。否则每天按1000元罚款处理。在外运过程中，不得散落在校园内，严禁抛洒滴漏。施工结束后5 日内必须将建筑垃圾等杂物及周围环境清理干净，否则处以1000-5000元的罚款。如施工垃圾未外运，倾倒在校园内的，一经核实，处以5000-10000元的罚款。</w:t>
      </w:r>
    </w:p>
    <w:p>
      <w:pPr>
        <w:pStyle w:val="28"/>
        <w:pageBreakBefore w:val="0"/>
        <w:topLinePunct w:val="0"/>
        <w:bidi w:val="0"/>
        <w:spacing w:line="360" w:lineRule="auto"/>
        <w:ind w:left="0" w:leftChars="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校内施工不允许无偿使用水、电。施工使用的水电，须经基建后勤处同意后安装计量表，且按照使用的数量和施工用水电的价格计量收费，无法安装水电表计量的，按书面约定办法扣除施工水电费。否则责令其停止施工，并处以1000元以上的罚款，施工过程中由于操作不当导致水、电等设施损坏的，必须及时修复，并承担由此造成的一切损失，如发现私自接拉水电现象，责令回复，并处以1000-5000元罚款。如不改正则令其停止施工，由此产生的工期延误和经济损失由施工单位承担。</w:t>
      </w:r>
    </w:p>
    <w:p>
      <w:pPr>
        <w:pStyle w:val="28"/>
        <w:pageBreakBefore w:val="0"/>
        <w:topLinePunct w:val="0"/>
        <w:bidi w:val="0"/>
        <w:spacing w:line="360" w:lineRule="auto"/>
        <w:ind w:firstLine="480"/>
        <w:rPr>
          <w:rFonts w:ascii="宋体" w:hAnsi="宋体" w:cs="宋体"/>
          <w:color w:val="000000" w:themeColor="text1"/>
          <w:sz w:val="24"/>
          <w:szCs w:val="24"/>
          <w14:textFill>
            <w14:solidFill>
              <w14:schemeClr w14:val="tx1"/>
            </w14:solidFill>
          </w14:textFill>
        </w:rPr>
      </w:pPr>
    </w:p>
    <w:p>
      <w:pPr>
        <w:pStyle w:val="28"/>
        <w:pageBreakBefore w:val="0"/>
        <w:topLinePunct w:val="0"/>
        <w:bidi w:val="0"/>
        <w:spacing w:line="360" w:lineRule="auto"/>
        <w:ind w:left="0" w:leftChars="0" w:firstLine="0" w:firstLineChars="0"/>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承诺单位：（公章）</w:t>
      </w:r>
    </w:p>
    <w:p>
      <w:pPr>
        <w:pStyle w:val="28"/>
        <w:pageBreakBefore w:val="0"/>
        <w:topLinePunct w:val="0"/>
        <w:bidi w:val="0"/>
        <w:spacing w:line="360" w:lineRule="auto"/>
        <w:ind w:left="0" w:leftChars="0" w:firstLine="0" w:firstLineChars="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承诺单位法定代表人（签字）：</w:t>
      </w:r>
    </w:p>
    <w:p>
      <w:pPr>
        <w:pStyle w:val="28"/>
        <w:pageBreakBefore w:val="0"/>
        <w:topLinePunct w:val="0"/>
        <w:bidi w:val="0"/>
        <w:spacing w:line="360" w:lineRule="auto"/>
        <w:ind w:left="0" w:leftChars="0" w:firstLine="0" w:firstLineChars="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年   月    日</w:t>
      </w:r>
    </w:p>
    <w:p>
      <w:pPr>
        <w:pageBreakBefore w:val="0"/>
        <w:topLinePunct w:val="0"/>
        <w:bidi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pStyle w:val="28"/>
        <w:pageBreakBefore w:val="0"/>
        <w:topLinePunct w:val="0"/>
        <w:bidi w:val="0"/>
        <w:spacing w:line="360" w:lineRule="auto"/>
        <w:ind w:left="0" w:leftChars="0" w:firstLine="0" w:firstLineChars="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附件3：廉政协议书</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TW" w:eastAsia="zh-TW"/>
          <w14:textFill>
            <w14:solidFill>
              <w14:schemeClr w14:val="tx1"/>
            </w14:solidFill>
          </w14:textFill>
        </w:rPr>
        <w:t>为了贯彻落实党中央国务院《关于实现党风廉政建设责任制的规定》和江苏省、南京市有关工程建设、廉政建设的法律法规，加强工程建设中的党风廉政建设，保证中国药科大学基本建设和专项维修项目优质、高效、健康、有序地进行，中国药科大学作为建设单位（以下称买方）</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与承担的施工单位（以下称卖方）特订立如下廉政协议书。</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zh-TW" w:eastAsia="zh-TW"/>
          <w14:textFill>
            <w14:solidFill>
              <w14:schemeClr w14:val="tx1"/>
            </w14:solidFill>
          </w14:textFill>
        </w:rPr>
        <w:t>第一条、甲乙双方约定</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w:t>
      </w:r>
      <w:r>
        <w:rPr>
          <w:rFonts w:hint="eastAsia" w:ascii="宋体" w:hAnsi="宋体" w:cs="宋体"/>
          <w:color w:val="000000" w:themeColor="text1"/>
          <w:sz w:val="24"/>
          <w:szCs w:val="24"/>
          <w:lang w:val="zh-TW" w:eastAsia="zh-TW"/>
          <w14:textFill>
            <w14:solidFill>
              <w14:schemeClr w14:val="tx1"/>
            </w14:solidFill>
          </w14:textFill>
        </w:rPr>
        <w:t>、甲乙双方应共同遵守国家和省、市以及行业主管部门关于加强工程建设管理及党风廉政建设的各项规定。</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TW" w:eastAsia="zh-TW"/>
          <w14:textFill>
            <w14:solidFill>
              <w14:schemeClr w14:val="tx1"/>
            </w14:solidFill>
          </w14:textFill>
        </w:rPr>
        <w:t>、甲乙双方应认真执行建设工程的合同文件</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自觉按合同办事。</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TW" w:eastAsia="zh-TW"/>
          <w14:textFill>
            <w14:solidFill>
              <w14:schemeClr w14:val="tx1"/>
            </w14:solidFill>
          </w14:textFill>
        </w:rPr>
        <w:t>、除法律认定的商业秘密和合同文件另有规定之外</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甲乙双方的业务活动应坚持公开、公正、透明的原则</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严禁损害国家和甲乙双方集体利益、违反工程建设管理规章制度的不正当交易。</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TW" w:eastAsia="zh-TW"/>
          <w14:textFill>
            <w14:solidFill>
              <w14:schemeClr w14:val="tx1"/>
            </w14:solidFill>
          </w14:textFill>
        </w:rPr>
        <w:t>、甲乙双方应加强对本工程建设参加人员的廉政监督</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建立和健全廉政制度</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认真查处本方人员的违法违纪行为。</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zh-TW" w:eastAsia="zh-TW"/>
          <w14:textFill>
            <w14:solidFill>
              <w14:schemeClr w14:val="tx1"/>
            </w14:solidFill>
          </w14:textFill>
        </w:rPr>
        <w:t>、甲乙双方有对本方人员开展廉政告知、廉政教育和职业道德教育的义务。</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zh-TW" w:eastAsia="zh-TW"/>
          <w14:textFill>
            <w14:solidFill>
              <w14:schemeClr w14:val="tx1"/>
            </w14:solidFill>
          </w14:textFill>
        </w:rPr>
        <w:t>、甲乙双方如发现对方在业务活动中有不廉洁行为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有及时提醒对方并督促其纠正的权利和义务。</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zh-TW" w:eastAsia="zh-TW"/>
          <w14:textFill>
            <w14:solidFill>
              <w14:schemeClr w14:val="tx1"/>
            </w14:solidFill>
          </w14:textFill>
        </w:rPr>
        <w:t>第二条、买方在廉政建设方面的责任</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TW" w:eastAsia="zh-TW"/>
          <w14:textFill>
            <w14:solidFill>
              <w14:schemeClr w14:val="tx1"/>
            </w14:solidFill>
          </w14:textFill>
        </w:rPr>
        <w:t>、买方及其工作人员不得以任何形式向卖方索要和收受回扣。</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TW" w:eastAsia="zh-TW"/>
          <w14:textFill>
            <w14:solidFill>
              <w14:schemeClr w14:val="tx1"/>
            </w14:solidFill>
          </w14:textFill>
        </w:rPr>
        <w:t>、买方及其工作人员不得接受卖方的礼金、有价证券和贵重物品</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不得在卖方报销任何应由个人支付的费用。</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TW" w:eastAsia="zh-TW"/>
          <w14:textFill>
            <w14:solidFill>
              <w14:schemeClr w14:val="tx1"/>
            </w14:solidFill>
          </w14:textFill>
        </w:rPr>
        <w:t>、买方工作人员不得参加可能对公正执行公务有影响的宴请、娱乐、休闲、旅游等活动。</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TW" w:eastAsia="zh-TW"/>
          <w14:textFill>
            <w14:solidFill>
              <w14:schemeClr w14:val="tx1"/>
            </w14:solidFill>
          </w14:textFill>
        </w:rPr>
        <w:t>、买方及其工作人员不得要求或者接受卖方为其住房装修、婚丧嫁娶、家属子女的工作安排以及出国、出境等提供方便。</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zh-TW" w:eastAsia="zh-TW"/>
          <w14:textFill>
            <w14:solidFill>
              <w14:schemeClr w14:val="tx1"/>
            </w14:solidFill>
          </w14:textFill>
        </w:rPr>
        <w:t>、买方及其工作人员不得向卖方介绍家属、亲友从事与买方工程有关的材料设备供应、工程分包等经济活动。</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zh-TW" w:eastAsia="zh-TW"/>
          <w14:textFill>
            <w14:solidFill>
              <w14:schemeClr w14:val="tx1"/>
            </w14:solidFill>
          </w14:textFill>
        </w:rPr>
        <w:t>、买方工作人员不得在家里接待卖方有关工程事项的询访。</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zh-TW" w:eastAsia="zh-TW"/>
          <w14:textFill>
            <w14:solidFill>
              <w14:schemeClr w14:val="tx1"/>
            </w14:solidFill>
          </w14:textFill>
        </w:rPr>
        <w:t>第三条、卖方在廉政建设方面的责任</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TW" w:eastAsia="zh-TW"/>
          <w14:textFill>
            <w14:solidFill>
              <w14:schemeClr w14:val="tx1"/>
            </w14:solidFill>
          </w14:textFill>
        </w:rPr>
        <w:t>、卖方不得以任何理由向买方及其工作人员赠送礼金、有价证券和贵重物品等。</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TW" w:eastAsia="zh-TW"/>
          <w14:textFill>
            <w14:solidFill>
              <w14:schemeClr w14:val="tx1"/>
            </w14:solidFill>
          </w14:textFill>
        </w:rPr>
        <w:t>、卖方不得以任何名义为买方及其工作人员报支应由个人支付的任何费用。</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TW" w:eastAsia="zh-TW"/>
          <w14:textFill>
            <w14:solidFill>
              <w14:schemeClr w14:val="tx1"/>
            </w14:solidFill>
          </w14:textFill>
        </w:rPr>
        <w:t>、卖方不得以任何理由邀请买方工作人员参加宴请、娱乐、休闲、旅游等活动。</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TW" w:eastAsia="zh-TW"/>
          <w14:textFill>
            <w14:solidFill>
              <w14:schemeClr w14:val="tx1"/>
            </w14:solidFill>
          </w14:textFill>
        </w:rPr>
        <w:t>、卖方不得为买方单位和个人购置或提供通讯工具、交通工具、家电和高档办公用品或者为通讯工具充值。</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zh-TW" w:eastAsia="zh-TW"/>
          <w14:textFill>
            <w14:solidFill>
              <w14:schemeClr w14:val="tx1"/>
            </w14:solidFill>
          </w14:textFill>
        </w:rPr>
        <w:t>、卖方人员不得到买方人员家里询访有关工程建设事项。</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zh-TW" w:eastAsia="zh-TW"/>
          <w14:textFill>
            <w14:solidFill>
              <w14:schemeClr w14:val="tx1"/>
            </w14:solidFill>
          </w14:textFill>
        </w:rPr>
        <w:t>第四条、违约责任</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TW" w:eastAsia="zh-TW"/>
          <w14:textFill>
            <w14:solidFill>
              <w14:schemeClr w14:val="tx1"/>
            </w14:solidFill>
          </w14:textFill>
        </w:rPr>
        <w:t>、买方及其工作人员有违反本廉政协议书第一条和第二条的</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按买方单位的廉政建设规定处罚，同时汇报检察机关。</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TW" w:eastAsia="zh-TW"/>
          <w14:textFill>
            <w14:solidFill>
              <w14:schemeClr w14:val="tx1"/>
            </w14:solidFill>
          </w14:textFill>
        </w:rPr>
        <w:t>、卖方有违反本廉政协议书第一条和第三条的</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除通过上级纪检监察机关按卖方单位的廉政建设规定处罚外</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视情节轻重和造成损失大小依照相关法律、法规追究相关责任，且在</w:t>
      </w: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TW" w:eastAsia="zh-TW"/>
          <w14:textFill>
            <w14:solidFill>
              <w14:schemeClr w14:val="tx1"/>
            </w14:solidFill>
          </w14:textFill>
        </w:rPr>
        <w:t>年内不得参加中国药科大学建设项目投标活动。</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zh-TW" w:eastAsia="zh-TW"/>
          <w14:textFill>
            <w14:solidFill>
              <w14:schemeClr w14:val="tx1"/>
            </w14:solidFill>
          </w14:textFill>
        </w:rPr>
        <w:t>第五条、中国药科大学廉政监督部门为中国药科大学纪检监察室，如出现廉政问题，由监督部门按相关法律法规进行处理。</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TW" w:eastAsia="zh-TW"/>
          <w14:textFill>
            <w14:solidFill>
              <w14:schemeClr w14:val="tx1"/>
            </w14:solidFill>
          </w14:textFill>
        </w:rPr>
        <w:t>第六条、本廉政协议书有效期为从甲乙双方签署之日起</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到该工程项目竣工验收后止。</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TW" w:eastAsia="zh-TW"/>
          <w14:textFill>
            <w14:solidFill>
              <w14:schemeClr w14:val="tx1"/>
            </w14:solidFill>
          </w14:textFill>
        </w:rPr>
        <w:t>第七条、本廉政协议书作为工程合同的附件</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与工程承包合同具有同等的法律效力</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TW" w:eastAsia="zh-TW"/>
          <w14:textFill>
            <w14:solidFill>
              <w14:schemeClr w14:val="tx1"/>
            </w14:solidFill>
          </w14:textFill>
        </w:rPr>
        <w:t>经协议双方签署后立即生效。</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ascii="宋体" w:hAnsi="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zh-TW" w:eastAsia="zh-TW"/>
          <w14:textFill>
            <w14:solidFill>
              <w14:schemeClr w14:val="tx1"/>
            </w14:solidFill>
          </w14:textFill>
        </w:rPr>
        <w:t>本协议书未尽事宜，参照国家相关法律规定及《中国药科大学基本建设和专项维修项目廉政建设管理细则》等。</w:t>
      </w:r>
    </w:p>
    <w:p>
      <w:pPr>
        <w:pStyle w:val="28"/>
        <w:pageBreakBefore w:val="0"/>
        <w:topLinePunct w:val="0"/>
        <w:bidi w:val="0"/>
        <w:spacing w:line="360" w:lineRule="auto"/>
        <w:ind w:firstLine="480"/>
        <w:rPr>
          <w:rFonts w:ascii="宋体" w:hAnsi="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zh-TW" w:eastAsia="zh-TW"/>
          <w14:textFill>
            <w14:solidFill>
              <w14:schemeClr w14:val="tx1"/>
            </w14:solidFill>
          </w14:textFill>
        </w:rPr>
        <w:t>买方单位：（盖章）                 卖方单位：（盖章）</w:t>
      </w:r>
    </w:p>
    <w:p>
      <w:pPr>
        <w:pStyle w:val="28"/>
        <w:pageBreakBefore w:val="0"/>
        <w:topLinePunct w:val="0"/>
        <w:bidi w:val="0"/>
        <w:spacing w:line="360" w:lineRule="auto"/>
        <w:ind w:firstLine="480"/>
        <w:rPr>
          <w:rFonts w:ascii="宋体" w:hAnsi="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zh-TW" w:eastAsia="zh-TW"/>
          <w14:textFill>
            <w14:solidFill>
              <w14:schemeClr w14:val="tx1"/>
            </w14:solidFill>
          </w14:textFill>
        </w:rPr>
        <w:t xml:space="preserve">法定代表人：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zh-TW" w:eastAsia="zh-TW"/>
          <w14:textFill>
            <w14:solidFill>
              <w14:schemeClr w14:val="tx1"/>
            </w14:solidFill>
          </w14:textFill>
        </w:rPr>
        <w:t xml:space="preserve"> 法定代表人：</w:t>
      </w:r>
    </w:p>
    <w:p>
      <w:pPr>
        <w:pStyle w:val="28"/>
        <w:pageBreakBefore w:val="0"/>
        <w:topLinePunct w:val="0"/>
        <w:bidi w:val="0"/>
        <w:spacing w:line="360" w:lineRule="auto"/>
        <w:ind w:firstLine="480"/>
        <w:rPr>
          <w:rFonts w:ascii="宋体" w:hAnsi="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zh-TW" w:eastAsia="zh-TW"/>
          <w14:textFill>
            <w14:solidFill>
              <w14:schemeClr w14:val="tx1"/>
            </w14:solidFill>
          </w14:textFill>
        </w:rPr>
        <w:t xml:space="preserve">地址：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zh-TW" w:eastAsia="zh-TW"/>
          <w14:textFill>
            <w14:solidFill>
              <w14:schemeClr w14:val="tx1"/>
            </w14:solidFill>
          </w14:textFill>
        </w:rPr>
        <w:t xml:space="preserve"> 地址：</w:t>
      </w:r>
    </w:p>
    <w:p>
      <w:pPr>
        <w:pStyle w:val="28"/>
        <w:pageBreakBefore w:val="0"/>
        <w:topLinePunct w:val="0"/>
        <w:bidi w:val="0"/>
        <w:spacing w:line="360" w:lineRule="auto"/>
        <w:ind w:firstLine="480"/>
        <w:rPr>
          <w:rFonts w:ascii="宋体" w:hAnsi="宋体" w:cs="宋体"/>
          <w:color w:val="000000" w:themeColor="text1"/>
          <w:sz w:val="24"/>
          <w:szCs w:val="24"/>
          <w:lang w:val="zh-TW" w:eastAsia="zh-TW"/>
          <w14:textFill>
            <w14:solidFill>
              <w14:schemeClr w14:val="tx1"/>
            </w14:solidFill>
          </w14:textFill>
        </w:rPr>
      </w:pPr>
      <w:r>
        <w:rPr>
          <w:rFonts w:hint="eastAsia" w:ascii="宋体" w:hAnsi="宋体" w:cs="宋体"/>
          <w:color w:val="000000" w:themeColor="text1"/>
          <w:sz w:val="24"/>
          <w:szCs w:val="24"/>
          <w:lang w:val="zh-TW" w:eastAsia="zh-TW"/>
          <w14:textFill>
            <w14:solidFill>
              <w14:schemeClr w14:val="tx1"/>
            </w14:solidFill>
          </w14:textFill>
        </w:rPr>
        <w:t xml:space="preserve">电话：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zh-TW" w:eastAsia="zh-TW"/>
          <w14:textFill>
            <w14:solidFill>
              <w14:schemeClr w14:val="tx1"/>
            </w14:solidFill>
          </w14:textFill>
        </w:rPr>
        <w:t xml:space="preserve">  电话：</w:t>
      </w:r>
    </w:p>
    <w:p>
      <w:pPr>
        <w:pageBreakBefore w:val="0"/>
        <w:topLinePunct w:val="0"/>
        <w:bidi w:val="0"/>
        <w:spacing w:line="360" w:lineRule="auto"/>
        <w:rPr>
          <w:rFonts w:hint="eastAsia" w:ascii="宋体" w:hAnsi="宋体" w:cs="宋体"/>
          <w:b/>
          <w:bCs/>
          <w:kern w:val="44"/>
          <w:sz w:val="24"/>
          <w:szCs w:val="24"/>
        </w:rPr>
      </w:pPr>
      <w:r>
        <w:rPr>
          <w:rFonts w:hint="eastAsia" w:ascii="宋体" w:hAnsi="宋体" w:cs="宋体"/>
          <w:b/>
          <w:bCs/>
          <w:kern w:val="44"/>
          <w:sz w:val="24"/>
          <w:szCs w:val="24"/>
        </w:rPr>
        <w:br w:type="page"/>
      </w:r>
    </w:p>
    <w:p>
      <w:pPr>
        <w:pStyle w:val="28"/>
        <w:pageBreakBefore w:val="0"/>
        <w:topLinePunct w:val="0"/>
        <w:bidi w:val="0"/>
        <w:spacing w:line="360" w:lineRule="auto"/>
        <w:ind w:left="0" w:leftChars="0" w:firstLine="0" w:firstLineChars="0"/>
        <w:jc w:val="left"/>
        <w:rPr>
          <w:rFonts w:hint="eastAsia" w:ascii="宋体" w:hAnsi="宋体" w:cs="宋体"/>
          <w:b/>
          <w:bCs/>
          <w:color w:val="000000" w:themeColor="text1"/>
          <w:sz w:val="24"/>
          <w:szCs w:val="24"/>
          <w:highlight w:val="yellow"/>
          <w14:textFill>
            <w14:solidFill>
              <w14:schemeClr w14:val="tx1"/>
            </w14:solidFill>
          </w14:textFill>
        </w:rPr>
      </w:pPr>
      <w:r>
        <w:rPr>
          <w:rFonts w:hint="eastAsia" w:ascii="宋体" w:hAnsi="宋体" w:cs="宋体"/>
          <w:b/>
          <w:bCs/>
          <w:color w:val="000000" w:themeColor="text1"/>
          <w:sz w:val="24"/>
          <w:szCs w:val="24"/>
          <w:highlight w:val="yellow"/>
          <w14:textFill>
            <w14:solidFill>
              <w14:schemeClr w14:val="tx1"/>
            </w14:solidFill>
          </w14:textFill>
        </w:rPr>
        <w:t>附件</w:t>
      </w:r>
      <w:r>
        <w:rPr>
          <w:rFonts w:hint="eastAsia" w:ascii="宋体" w:hAnsi="宋体" w:cs="宋体"/>
          <w:b/>
          <w:bCs/>
          <w:color w:val="000000" w:themeColor="text1"/>
          <w:sz w:val="24"/>
          <w:szCs w:val="24"/>
          <w:highlight w:val="yellow"/>
          <w:lang w:val="en-US" w:eastAsia="zh-CN"/>
          <w14:textFill>
            <w14:solidFill>
              <w14:schemeClr w14:val="tx1"/>
            </w14:solidFill>
          </w14:textFill>
        </w:rPr>
        <w:t>4</w:t>
      </w:r>
      <w:r>
        <w:rPr>
          <w:rFonts w:hint="eastAsia" w:ascii="宋体" w:hAnsi="宋体" w:cs="宋体"/>
          <w:b/>
          <w:bCs/>
          <w:color w:val="000000" w:themeColor="text1"/>
          <w:sz w:val="24"/>
          <w:szCs w:val="24"/>
          <w:highlight w:val="yellow"/>
          <w14:textFill>
            <w14:solidFill>
              <w14:schemeClr w14:val="tx1"/>
            </w14:solidFill>
          </w14:textFill>
        </w:rPr>
        <w:t>：中国药科大学校内工程疫情防控管理承诺书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color w:val="auto"/>
          <w:highlight w:val="yellow"/>
        </w:rPr>
      </w:pPr>
      <w:r>
        <w:rPr>
          <w:rFonts w:hint="eastAsia" w:ascii="宋体" w:hAnsi="宋体"/>
          <w:color w:val="auto"/>
          <w:sz w:val="24"/>
          <w:szCs w:val="24"/>
          <w:highlight w:val="yellow"/>
        </w:rPr>
        <w:t>为</w:t>
      </w:r>
      <w:r>
        <w:rPr>
          <w:rFonts w:hint="eastAsia" w:ascii="宋体" w:hAnsi="宋体" w:cs="宋体"/>
          <w:color w:val="auto"/>
          <w:sz w:val="24"/>
          <w:szCs w:val="24"/>
          <w:highlight w:val="yellow"/>
        </w:rPr>
        <w:t>认真贯彻中国药科大学关于</w:t>
      </w:r>
      <w:r>
        <w:rPr>
          <w:rFonts w:hint="eastAsia" w:ascii="宋体" w:hAnsi="宋体"/>
          <w:color w:val="auto"/>
          <w:sz w:val="24"/>
          <w:szCs w:val="24"/>
          <w:highlight w:val="yellow"/>
          <w:shd w:val="clear" w:color="auto" w:fill="FFFFFF"/>
        </w:rPr>
        <w:t>新冠肺炎疫情防控工作的指示，落实学校公</w:t>
      </w:r>
      <w:r>
        <w:rPr>
          <w:rFonts w:hint="eastAsia" w:ascii="宋体" w:hAnsi="宋体"/>
          <w:color w:val="auto"/>
          <w:sz w:val="24"/>
          <w:szCs w:val="24"/>
          <w:highlight w:val="yellow"/>
        </w:rPr>
        <w:t>共卫生突发事件应急响应的要求，确保疫情期间建筑工地有序安全施工，本单位承诺履行疫情防控和健康管理主体责任，按照各级部门及中国药科大学疫情防控相关文件要求开展工作，具体承诺如下：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szCs w:val="24"/>
          <w:highlight w:val="yellow"/>
        </w:rPr>
      </w:pPr>
      <w:r>
        <w:rPr>
          <w:rFonts w:hint="eastAsia" w:ascii="宋体" w:hAnsi="宋体"/>
          <w:color w:val="auto"/>
          <w:sz w:val="24"/>
          <w:szCs w:val="24"/>
          <w:highlight w:val="yellow"/>
        </w:rPr>
        <w:t>1、强化建设项目疫情防控意识。要提高认识，高度重视建设项目的疫情防控工作，</w:t>
      </w:r>
      <w:r>
        <w:rPr>
          <w:rFonts w:ascii="宋体" w:hAnsi="宋体"/>
          <w:color w:val="auto"/>
          <w:sz w:val="24"/>
          <w:szCs w:val="24"/>
          <w:highlight w:val="yellow"/>
        </w:rPr>
        <w:t>坚持问题导向，切实采取有效措施，从严从实</w:t>
      </w:r>
      <w:r>
        <w:rPr>
          <w:rFonts w:hint="eastAsia" w:ascii="宋体" w:hAnsi="宋体"/>
          <w:color w:val="auto"/>
          <w:sz w:val="24"/>
          <w:szCs w:val="24"/>
          <w:highlight w:val="yellow"/>
        </w:rPr>
        <w:t>做</w:t>
      </w:r>
      <w:r>
        <w:rPr>
          <w:rFonts w:ascii="宋体" w:hAnsi="宋体"/>
          <w:color w:val="auto"/>
          <w:sz w:val="24"/>
          <w:szCs w:val="24"/>
          <w:highlight w:val="yellow"/>
        </w:rPr>
        <w:t>好建设项目管理，做到“人、物、环境”同防，坚决筑牢疫情防控屏障。</w:t>
      </w:r>
      <w:r>
        <w:rPr>
          <w:rFonts w:hint="eastAsia" w:ascii="宋体" w:hAnsi="宋体"/>
          <w:color w:val="auto"/>
          <w:sz w:val="24"/>
          <w:szCs w:val="24"/>
          <w:highlight w:val="yellow"/>
        </w:rPr>
        <w:t>执行《高等学校新冠肺炎疫情防控技术方案</w:t>
      </w:r>
      <w:r>
        <w:rPr>
          <w:rFonts w:ascii="宋体" w:hAnsi="宋体"/>
          <w:color w:val="auto"/>
          <w:sz w:val="24"/>
          <w:szCs w:val="24"/>
          <w:highlight w:val="yellow"/>
        </w:rPr>
        <w:t>》</w:t>
      </w:r>
      <w:r>
        <w:rPr>
          <w:rFonts w:hint="eastAsia" w:ascii="宋体" w:hAnsi="宋体"/>
          <w:color w:val="auto"/>
          <w:sz w:val="24"/>
          <w:szCs w:val="24"/>
          <w:highlight w:val="yellow"/>
        </w:rPr>
        <w:t>最新</w:t>
      </w:r>
      <w:r>
        <w:rPr>
          <w:rFonts w:ascii="宋体" w:hAnsi="宋体"/>
          <w:color w:val="auto"/>
          <w:sz w:val="24"/>
          <w:szCs w:val="24"/>
          <w:highlight w:val="yellow"/>
        </w:rPr>
        <w:t>要求</w:t>
      </w:r>
      <w:r>
        <w:rPr>
          <w:rFonts w:hint="eastAsia" w:ascii="宋体" w:hAnsi="宋体"/>
          <w:color w:val="auto"/>
          <w:sz w:val="24"/>
          <w:szCs w:val="24"/>
          <w:highlight w:val="yellow"/>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szCs w:val="24"/>
          <w:highlight w:val="yellow"/>
        </w:rPr>
      </w:pPr>
      <w:r>
        <w:rPr>
          <w:rFonts w:hint="eastAsia" w:ascii="宋体" w:hAnsi="宋体"/>
          <w:color w:val="auto"/>
          <w:sz w:val="24"/>
          <w:szCs w:val="24"/>
          <w:highlight w:val="yellow"/>
        </w:rPr>
        <w:t>2、强化施工现场闭环管理。施工现场须与校园实现物理隔离，原则上应设置单独通道直接联接校外，施工人员禁止进入除施工区域外校园，并禁止学校师生等无关人员进入施工现场，施工人员和车辆不得与师生校园活动轨迹交叉。施工现场办公区、作业区、生活区只保留一个出入口，其它出入口应采取有效封闭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szCs w:val="24"/>
          <w:highlight w:val="yellow"/>
        </w:rPr>
      </w:pPr>
      <w:r>
        <w:rPr>
          <w:rFonts w:hint="eastAsia" w:ascii="宋体" w:hAnsi="宋体"/>
          <w:color w:val="auto"/>
          <w:sz w:val="24"/>
          <w:szCs w:val="24"/>
          <w:highlight w:val="yellow"/>
        </w:rPr>
        <w:t>3、强化施工人员管理。要全面排查施工人员，建立实名制台账，落实“一人一档”制度。所有人员进入工地前，均必须严格该验身份和</w:t>
      </w:r>
      <w:r>
        <w:rPr>
          <w:rFonts w:ascii="宋体" w:hAnsi="宋体"/>
          <w:color w:val="auto"/>
          <w:sz w:val="24"/>
          <w:szCs w:val="24"/>
          <w:highlight w:val="yellow"/>
        </w:rPr>
        <w:t>24小时内核酸检测阴性证明、测量体温、查看健康码</w:t>
      </w:r>
      <w:r>
        <w:rPr>
          <w:rFonts w:hint="eastAsia" w:ascii="宋体" w:hAnsi="宋体"/>
          <w:color w:val="auto"/>
          <w:sz w:val="24"/>
          <w:szCs w:val="24"/>
          <w:highlight w:val="yellow"/>
        </w:rPr>
        <w:t>和行程卡并佩戴口罩。按照“非必要不外出”原则，减少施工人员外出活动。加强工地用餐管理，严禁施工人员到学校食堂用餐。严格控制施工人员流动频次。严格要求员工必须遵守学校和各级部门的疫情防控工作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szCs w:val="24"/>
          <w:highlight w:val="yellow"/>
        </w:rPr>
      </w:pPr>
      <w:r>
        <w:rPr>
          <w:rFonts w:hint="eastAsia" w:ascii="宋体" w:hAnsi="宋体"/>
          <w:color w:val="auto"/>
          <w:sz w:val="24"/>
          <w:szCs w:val="24"/>
          <w:highlight w:val="yellow"/>
        </w:rPr>
        <w:t>4、强化施工项目安全管理。要牢固树立安全发展理念，确保做好疫情防控和安全生产两不误。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s="仿宋"/>
          <w:color w:val="auto"/>
          <w:sz w:val="32"/>
          <w:szCs w:val="32"/>
          <w:highlight w:val="yellow"/>
        </w:rPr>
      </w:pPr>
      <w:r>
        <w:rPr>
          <w:rFonts w:hint="eastAsia" w:ascii="宋体" w:hAnsi="宋体"/>
          <w:color w:val="auto"/>
          <w:sz w:val="24"/>
          <w:szCs w:val="24"/>
          <w:highlight w:val="yellow"/>
        </w:rPr>
        <w:t>5、本单位将严格遵守上述承诺，若有瞒报、漏报、谎报或拒不执行疫情防控相关规定的行为，本单位愿承担一切法律责任。</w:t>
      </w:r>
    </w:p>
    <w:p>
      <w:pPr>
        <w:pageBreakBefore w:val="0"/>
        <w:topLinePunct w:val="0"/>
        <w:bidi w:val="0"/>
        <w:spacing w:line="360" w:lineRule="auto"/>
        <w:rPr>
          <w:rFonts w:ascii="宋体" w:hAnsi="宋体"/>
          <w:color w:val="auto"/>
          <w:sz w:val="24"/>
          <w:szCs w:val="24"/>
          <w:highlight w:val="yellow"/>
        </w:rPr>
      </w:pPr>
    </w:p>
    <w:p>
      <w:pPr>
        <w:pStyle w:val="2"/>
        <w:ind w:left="0" w:leftChars="0" w:firstLine="0" w:firstLineChars="0"/>
      </w:pPr>
    </w:p>
    <w:p>
      <w:pPr>
        <w:pageBreakBefore w:val="0"/>
        <w:topLinePunct w:val="0"/>
        <w:bidi w:val="0"/>
        <w:spacing w:line="360" w:lineRule="auto"/>
        <w:rPr>
          <w:rFonts w:ascii="宋体" w:hAnsi="宋体"/>
          <w:color w:val="auto"/>
          <w:sz w:val="24"/>
          <w:szCs w:val="24"/>
          <w:highlight w:val="yellow"/>
        </w:rPr>
      </w:pPr>
      <w:r>
        <w:rPr>
          <w:rFonts w:hint="eastAsia" w:ascii="宋体" w:hAnsi="宋体"/>
          <w:color w:val="auto"/>
          <w:sz w:val="24"/>
          <w:szCs w:val="24"/>
          <w:highlight w:val="yellow"/>
        </w:rPr>
        <w:t>承诺单位：（公章）</w:t>
      </w:r>
    </w:p>
    <w:p>
      <w:pPr>
        <w:pageBreakBefore w:val="0"/>
        <w:topLinePunct w:val="0"/>
        <w:bidi w:val="0"/>
        <w:spacing w:line="360" w:lineRule="auto"/>
        <w:rPr>
          <w:rFonts w:ascii="宋体" w:hAnsi="宋体"/>
          <w:color w:val="auto"/>
          <w:sz w:val="24"/>
          <w:szCs w:val="24"/>
          <w:highlight w:val="yellow"/>
        </w:rPr>
      </w:pPr>
      <w:r>
        <w:rPr>
          <w:rFonts w:hint="eastAsia" w:ascii="宋体" w:hAnsi="宋体"/>
          <w:color w:val="auto"/>
          <w:sz w:val="24"/>
          <w:szCs w:val="24"/>
          <w:highlight w:val="yellow"/>
        </w:rPr>
        <w:t>承诺单位法定代表人（签字）：</w:t>
      </w:r>
    </w:p>
    <w:p>
      <w:pPr>
        <w:pageBreakBefore w:val="0"/>
        <w:topLinePunct w:val="0"/>
        <w:bidi w:val="0"/>
        <w:spacing w:line="360" w:lineRule="auto"/>
        <w:rPr>
          <w:rFonts w:ascii="宋体" w:hAnsi="宋体" w:cs="宋体"/>
          <w:b/>
          <w:bCs/>
          <w:color w:val="auto"/>
          <w:kern w:val="44"/>
          <w:sz w:val="32"/>
          <w:szCs w:val="32"/>
          <w:highlight w:val="yellow"/>
        </w:rPr>
      </w:pPr>
      <w:r>
        <w:rPr>
          <w:rFonts w:hint="eastAsia" w:ascii="宋体" w:hAnsi="宋体"/>
          <w:color w:val="auto"/>
          <w:sz w:val="24"/>
          <w:szCs w:val="24"/>
          <w:highlight w:val="yellow"/>
        </w:rPr>
        <w:t xml:space="preserve">    年   月    日</w:t>
      </w:r>
      <w:r>
        <w:rPr>
          <w:rFonts w:hint="eastAsia" w:ascii="宋体" w:hAnsi="宋体" w:cs="宋体"/>
          <w:b/>
          <w:bCs/>
          <w:color w:val="auto"/>
          <w:kern w:val="44"/>
          <w:sz w:val="32"/>
          <w:szCs w:val="32"/>
          <w:highlight w:val="yellow"/>
        </w:rPr>
        <w:br w:type="page"/>
      </w:r>
    </w:p>
    <w:p>
      <w:pPr>
        <w:pStyle w:val="14"/>
        <w:pageBreakBefore w:val="0"/>
        <w:topLinePunct w:val="0"/>
        <w:bidi w:val="0"/>
        <w:spacing w:line="360" w:lineRule="auto"/>
      </w:pPr>
    </w:p>
    <w:p>
      <w:pPr>
        <w:pStyle w:val="43"/>
        <w:pageBreakBefore w:val="0"/>
        <w:numPr>
          <w:ilvl w:val="0"/>
          <w:numId w:val="2"/>
        </w:numPr>
        <w:topLinePunct w:val="0"/>
        <w:bidi w:val="0"/>
        <w:spacing w:line="360" w:lineRule="auto"/>
        <w:ind w:left="-420" w:leftChars="-200" w:right="272" w:firstLine="643"/>
        <w:jc w:val="center"/>
        <w:outlineLvl w:val="0"/>
        <w:rPr>
          <w:rFonts w:ascii="宋体" w:hAnsi="宋体" w:cs="宋体"/>
          <w:b/>
          <w:bCs/>
          <w:kern w:val="44"/>
          <w:sz w:val="32"/>
          <w:szCs w:val="32"/>
        </w:rPr>
      </w:pPr>
      <w:bookmarkStart w:id="45" w:name="_Toc14408"/>
      <w:r>
        <w:rPr>
          <w:rFonts w:hint="eastAsia" w:ascii="宋体" w:hAnsi="宋体" w:cs="宋体"/>
          <w:b/>
          <w:bCs/>
          <w:kern w:val="44"/>
          <w:sz w:val="32"/>
          <w:szCs w:val="32"/>
        </w:rPr>
        <w:t>投标文件格式</w:t>
      </w:r>
      <w:bookmarkEnd w:id="45"/>
    </w:p>
    <w:p>
      <w:pPr>
        <w:pageBreakBefore w:val="0"/>
        <w:topLinePunct w:val="0"/>
        <w:bidi w:val="0"/>
        <w:spacing w:before="61" w:after="3" w:line="360" w:lineRule="auto"/>
        <w:ind w:left="24"/>
        <w:jc w:val="center"/>
        <w:outlineLvl w:val="0"/>
        <w:rPr>
          <w:rFonts w:ascii="宋体" w:hAnsi="宋体" w:cs="宋体"/>
          <w:b/>
          <w:sz w:val="29"/>
        </w:rPr>
      </w:pPr>
      <w:bookmarkStart w:id="46" w:name="_Toc15509"/>
      <w:bookmarkStart w:id="47" w:name="_Toc15142"/>
    </w:p>
    <w:p>
      <w:pPr>
        <w:pageBreakBefore w:val="0"/>
        <w:topLinePunct w:val="0"/>
        <w:bidi w:val="0"/>
        <w:spacing w:before="61" w:after="3" w:line="360" w:lineRule="auto"/>
        <w:ind w:left="24"/>
        <w:jc w:val="center"/>
        <w:outlineLvl w:val="0"/>
        <w:rPr>
          <w:rFonts w:ascii="宋体" w:hAnsi="宋体" w:cs="宋体"/>
          <w:b/>
          <w:sz w:val="29"/>
        </w:rPr>
      </w:pPr>
      <w:r>
        <w:rPr>
          <w:rFonts w:hint="eastAsia" w:ascii="宋体" w:hAnsi="宋体" w:cs="宋体"/>
          <w:b/>
          <w:sz w:val="29"/>
        </w:rPr>
        <w:t>资格索引表</w:t>
      </w:r>
      <w:bookmarkEnd w:id="46"/>
      <w:bookmarkEnd w:id="47"/>
    </w:p>
    <w:tbl>
      <w:tblPr>
        <w:tblStyle w:val="29"/>
        <w:tblW w:w="9720" w:type="dxa"/>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3"/>
        <w:gridCol w:w="3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783" w:type="dxa"/>
          </w:tcPr>
          <w:p>
            <w:pPr>
              <w:pStyle w:val="44"/>
              <w:pageBreakBefore w:val="0"/>
              <w:topLinePunct w:val="0"/>
              <w:bidi w:val="0"/>
              <w:spacing w:before="122" w:line="360" w:lineRule="auto"/>
              <w:ind w:left="3256"/>
              <w:rPr>
                <w:b/>
                <w:sz w:val="20"/>
              </w:rPr>
            </w:pPr>
            <w:r>
              <w:rPr>
                <w:rFonts w:hint="eastAsia"/>
                <w:b/>
                <w:sz w:val="20"/>
              </w:rPr>
              <w:t>资格项</w:t>
            </w:r>
          </w:p>
        </w:tc>
        <w:tc>
          <w:tcPr>
            <w:tcW w:w="3937" w:type="dxa"/>
          </w:tcPr>
          <w:p>
            <w:pPr>
              <w:pStyle w:val="44"/>
              <w:pageBreakBefore w:val="0"/>
              <w:topLinePunct w:val="0"/>
              <w:bidi w:val="0"/>
              <w:spacing w:before="4" w:line="360" w:lineRule="auto"/>
              <w:rPr>
                <w:b/>
                <w:sz w:val="20"/>
              </w:rPr>
            </w:pPr>
            <w:r>
              <w:rPr>
                <w:rFonts w:hint="eastAsia"/>
                <w:b/>
                <w:sz w:val="20"/>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78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bl>
    <w:p>
      <w:pPr>
        <w:pageBreakBefore w:val="0"/>
        <w:topLinePunct w:val="0"/>
        <w:bidi w:val="0"/>
        <w:spacing w:line="360" w:lineRule="auto"/>
        <w:rPr>
          <w:rFonts w:ascii="宋体" w:hAnsi="宋体" w:cs="宋体"/>
          <w:b/>
          <w:sz w:val="29"/>
        </w:rPr>
      </w:pPr>
    </w:p>
    <w:p>
      <w:pPr>
        <w:pageBreakBefore w:val="0"/>
        <w:topLinePunct w:val="0"/>
        <w:bidi w:val="0"/>
        <w:spacing w:line="360" w:lineRule="auto"/>
        <w:rPr>
          <w:rFonts w:ascii="宋体" w:hAnsi="宋体" w:cs="宋体"/>
          <w:b/>
          <w:sz w:val="29"/>
        </w:rPr>
      </w:pPr>
      <w:r>
        <w:rPr>
          <w:rFonts w:hint="eastAsia" w:ascii="宋体" w:hAnsi="宋体" w:cs="宋体"/>
          <w:b/>
          <w:sz w:val="29"/>
        </w:rPr>
        <w:br w:type="page"/>
      </w:r>
    </w:p>
    <w:p>
      <w:pPr>
        <w:pageBreakBefore w:val="0"/>
        <w:topLinePunct w:val="0"/>
        <w:bidi w:val="0"/>
        <w:spacing w:before="61" w:after="3" w:line="360" w:lineRule="auto"/>
        <w:ind w:left="24"/>
        <w:jc w:val="center"/>
        <w:outlineLvl w:val="0"/>
        <w:rPr>
          <w:rFonts w:ascii="宋体" w:hAnsi="宋体" w:cs="宋体"/>
          <w:b/>
          <w:sz w:val="29"/>
        </w:rPr>
      </w:pPr>
      <w:bookmarkStart w:id="48" w:name="_Toc2756"/>
      <w:bookmarkStart w:id="49" w:name="_Toc12768"/>
    </w:p>
    <w:p>
      <w:pPr>
        <w:pageBreakBefore w:val="0"/>
        <w:topLinePunct w:val="0"/>
        <w:bidi w:val="0"/>
        <w:spacing w:before="61" w:after="3" w:line="360" w:lineRule="auto"/>
        <w:ind w:left="24"/>
        <w:jc w:val="center"/>
        <w:outlineLvl w:val="0"/>
        <w:rPr>
          <w:rFonts w:ascii="宋体" w:hAnsi="宋体" w:cs="宋体"/>
          <w:b/>
          <w:sz w:val="29"/>
        </w:rPr>
      </w:pPr>
    </w:p>
    <w:p>
      <w:pPr>
        <w:pageBreakBefore w:val="0"/>
        <w:topLinePunct w:val="0"/>
        <w:bidi w:val="0"/>
        <w:spacing w:before="61" w:after="3" w:line="360" w:lineRule="auto"/>
        <w:ind w:left="24"/>
        <w:jc w:val="center"/>
        <w:outlineLvl w:val="0"/>
        <w:rPr>
          <w:rFonts w:ascii="宋体" w:hAnsi="宋体" w:cs="宋体"/>
          <w:b/>
          <w:sz w:val="29"/>
        </w:rPr>
      </w:pPr>
      <w:r>
        <w:rPr>
          <w:rFonts w:hint="eastAsia" w:ascii="宋体" w:hAnsi="宋体" w:cs="宋体"/>
          <w:b/>
          <w:sz w:val="29"/>
        </w:rPr>
        <w:t>评分索引表</w:t>
      </w:r>
      <w:bookmarkEnd w:id="48"/>
      <w:bookmarkEnd w:id="49"/>
    </w:p>
    <w:tbl>
      <w:tblPr>
        <w:tblStyle w:val="29"/>
        <w:tblW w:w="975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3"/>
        <w:gridCol w:w="3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813" w:type="dxa"/>
          </w:tcPr>
          <w:p>
            <w:pPr>
              <w:pStyle w:val="44"/>
              <w:pageBreakBefore w:val="0"/>
              <w:topLinePunct w:val="0"/>
              <w:bidi w:val="0"/>
              <w:spacing w:before="122" w:line="360" w:lineRule="auto"/>
              <w:ind w:left="3256"/>
              <w:rPr>
                <w:b/>
                <w:sz w:val="20"/>
              </w:rPr>
            </w:pPr>
            <w:r>
              <w:rPr>
                <w:rFonts w:hint="eastAsia"/>
                <w:b/>
                <w:sz w:val="20"/>
              </w:rPr>
              <w:t>评分项目</w:t>
            </w:r>
          </w:p>
        </w:tc>
        <w:tc>
          <w:tcPr>
            <w:tcW w:w="3937" w:type="dxa"/>
          </w:tcPr>
          <w:p>
            <w:pPr>
              <w:pStyle w:val="44"/>
              <w:pageBreakBefore w:val="0"/>
              <w:topLinePunct w:val="0"/>
              <w:bidi w:val="0"/>
              <w:spacing w:before="4" w:line="360" w:lineRule="auto"/>
              <w:rPr>
                <w:b/>
                <w:sz w:val="20"/>
              </w:rPr>
            </w:pPr>
            <w:r>
              <w:rPr>
                <w:rFonts w:hint="eastAsia"/>
                <w:b/>
                <w:sz w:val="20"/>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813" w:type="dxa"/>
          </w:tcPr>
          <w:p>
            <w:pPr>
              <w:pStyle w:val="44"/>
              <w:pageBreakBefore w:val="0"/>
              <w:topLinePunct w:val="0"/>
              <w:bidi w:val="0"/>
              <w:spacing w:line="360" w:lineRule="auto"/>
              <w:rPr>
                <w:sz w:val="20"/>
              </w:rPr>
            </w:pPr>
          </w:p>
        </w:tc>
        <w:tc>
          <w:tcPr>
            <w:tcW w:w="3937" w:type="dxa"/>
          </w:tcPr>
          <w:p>
            <w:pPr>
              <w:pStyle w:val="44"/>
              <w:pageBreakBefore w:val="0"/>
              <w:topLinePunct w:val="0"/>
              <w:bidi w:val="0"/>
              <w:spacing w:line="360" w:lineRule="auto"/>
              <w:rPr>
                <w:sz w:val="20"/>
              </w:rPr>
            </w:pPr>
          </w:p>
        </w:tc>
      </w:tr>
    </w:tbl>
    <w:p>
      <w:pPr>
        <w:pageBreakBefore w:val="0"/>
        <w:topLinePunct w:val="0"/>
        <w:bidi w:val="0"/>
        <w:spacing w:line="360" w:lineRule="auto"/>
        <w:rPr>
          <w:rFonts w:ascii="宋体" w:hAnsi="宋体" w:cs="宋体"/>
          <w:sz w:val="28"/>
          <w:u w:val="single"/>
        </w:rPr>
      </w:pPr>
      <w:r>
        <w:rPr>
          <w:rFonts w:hint="eastAsia" w:ascii="宋体" w:hAnsi="宋体" w:cs="宋体"/>
          <w:sz w:val="28"/>
          <w:u w:val="single"/>
        </w:rPr>
        <w:br w:type="page"/>
      </w:r>
    </w:p>
    <w:p>
      <w:pPr>
        <w:pageBreakBefore w:val="0"/>
        <w:topLinePunct w:val="0"/>
        <w:bidi w:val="0"/>
        <w:spacing w:line="360" w:lineRule="auto"/>
        <w:jc w:val="center"/>
        <w:rPr>
          <w:rFonts w:ascii="宋体" w:hAnsi="宋体" w:cs="宋体"/>
          <w:sz w:val="28"/>
          <w:u w:val="single"/>
        </w:rPr>
      </w:pPr>
    </w:p>
    <w:p>
      <w:pPr>
        <w:pageBreakBefore w:val="0"/>
        <w:topLinePunct w:val="0"/>
        <w:bidi w:val="0"/>
        <w:spacing w:line="360" w:lineRule="auto"/>
        <w:jc w:val="center"/>
        <w:rPr>
          <w:rFonts w:ascii="宋体" w:hAnsi="宋体" w:cs="宋体"/>
          <w:sz w:val="28"/>
          <w:u w:val="single"/>
        </w:rPr>
      </w:pPr>
    </w:p>
    <w:p>
      <w:pPr>
        <w:pageBreakBefore w:val="0"/>
        <w:topLinePunct w:val="0"/>
        <w:bidi w:val="0"/>
        <w:spacing w:line="360" w:lineRule="auto"/>
        <w:jc w:val="center"/>
        <w:rPr>
          <w:rFonts w:ascii="宋体" w:hAnsi="宋体" w:cs="宋体"/>
          <w:sz w:val="28"/>
          <w:u w:val="single"/>
        </w:rPr>
      </w:pPr>
    </w:p>
    <w:p>
      <w:pPr>
        <w:pageBreakBefore w:val="0"/>
        <w:topLinePunct w:val="0"/>
        <w:bidi w:val="0"/>
        <w:spacing w:line="360" w:lineRule="auto"/>
        <w:jc w:val="center"/>
        <w:outlineLvl w:val="0"/>
        <w:rPr>
          <w:rFonts w:ascii="宋体" w:hAnsi="宋体" w:cs="宋体"/>
          <w:sz w:val="28"/>
        </w:rPr>
      </w:pPr>
      <w:bookmarkStart w:id="50" w:name="_Toc21019"/>
      <w:bookmarkStart w:id="51" w:name="_Toc18638"/>
      <w:r>
        <w:rPr>
          <w:rFonts w:hint="eastAsia" w:ascii="宋体" w:hAnsi="宋体" w:cs="宋体"/>
          <w:sz w:val="28"/>
          <w:u w:val="single"/>
        </w:rPr>
        <w:t>（项目名称）</w:t>
      </w:r>
      <w:bookmarkEnd w:id="50"/>
      <w:bookmarkEnd w:id="51"/>
    </w:p>
    <w:p>
      <w:pPr>
        <w:pStyle w:val="14"/>
        <w:pageBreakBefore w:val="0"/>
        <w:topLinePunct w:val="0"/>
        <w:bidi w:val="0"/>
        <w:spacing w:line="360" w:lineRule="auto"/>
      </w:pPr>
    </w:p>
    <w:p>
      <w:pPr>
        <w:pageBreakBefore w:val="0"/>
        <w:topLinePunct w:val="0"/>
        <w:bidi w:val="0"/>
        <w:spacing w:line="360" w:lineRule="auto"/>
        <w:rPr>
          <w:rFonts w:ascii="宋体" w:hAnsi="宋体" w:cs="宋体"/>
          <w:sz w:val="20"/>
        </w:rPr>
      </w:pPr>
    </w:p>
    <w:p>
      <w:pPr>
        <w:pageBreakBefore w:val="0"/>
        <w:topLinePunct w:val="0"/>
        <w:bidi w:val="0"/>
        <w:spacing w:line="360" w:lineRule="auto"/>
        <w:rPr>
          <w:rFonts w:ascii="宋体" w:hAnsi="宋体" w:cs="宋体"/>
          <w:sz w:val="20"/>
        </w:rPr>
      </w:pPr>
    </w:p>
    <w:p>
      <w:pPr>
        <w:pageBreakBefore w:val="0"/>
        <w:topLinePunct w:val="0"/>
        <w:bidi w:val="0"/>
        <w:spacing w:line="360" w:lineRule="auto"/>
        <w:jc w:val="center"/>
        <w:rPr>
          <w:rFonts w:ascii="宋体" w:hAnsi="宋体" w:cs="宋体"/>
          <w:b/>
          <w:bCs/>
          <w:sz w:val="44"/>
        </w:rPr>
      </w:pPr>
      <w:r>
        <w:rPr>
          <w:rFonts w:hint="eastAsia" w:ascii="宋体" w:hAnsi="宋体" w:cs="宋体"/>
          <w:b/>
          <w:bCs/>
          <w:sz w:val="44"/>
        </w:rPr>
        <w:t>投  标  文  件</w:t>
      </w:r>
    </w:p>
    <w:p>
      <w:pPr>
        <w:pageBreakBefore w:val="0"/>
        <w:topLinePunct w:val="0"/>
        <w:bidi w:val="0"/>
        <w:spacing w:line="360" w:lineRule="auto"/>
        <w:rPr>
          <w:rFonts w:ascii="宋体" w:hAnsi="宋体" w:cs="宋体"/>
          <w:sz w:val="28"/>
        </w:rPr>
      </w:pPr>
    </w:p>
    <w:p>
      <w:pPr>
        <w:pageBreakBefore w:val="0"/>
        <w:topLinePunct w:val="0"/>
        <w:bidi w:val="0"/>
        <w:spacing w:line="360" w:lineRule="auto"/>
        <w:rPr>
          <w:rFonts w:ascii="宋体" w:hAnsi="宋体" w:cs="宋体"/>
          <w:sz w:val="28"/>
        </w:rPr>
      </w:pPr>
    </w:p>
    <w:p>
      <w:pPr>
        <w:pageBreakBefore w:val="0"/>
        <w:topLinePunct w:val="0"/>
        <w:bidi w:val="0"/>
        <w:spacing w:line="360" w:lineRule="auto"/>
        <w:rPr>
          <w:rFonts w:ascii="宋体" w:hAnsi="宋体" w:cs="宋体"/>
          <w:sz w:val="28"/>
        </w:rPr>
      </w:pPr>
    </w:p>
    <w:p>
      <w:pPr>
        <w:pageBreakBefore w:val="0"/>
        <w:topLinePunct w:val="0"/>
        <w:bidi w:val="0"/>
        <w:spacing w:line="360" w:lineRule="auto"/>
        <w:rPr>
          <w:rFonts w:ascii="宋体" w:hAnsi="宋体" w:cs="宋体"/>
          <w:sz w:val="28"/>
        </w:rPr>
      </w:pPr>
    </w:p>
    <w:p>
      <w:pPr>
        <w:pageBreakBefore w:val="0"/>
        <w:topLinePunct w:val="0"/>
        <w:bidi w:val="0"/>
        <w:spacing w:line="360" w:lineRule="auto"/>
        <w:rPr>
          <w:rFonts w:ascii="宋体" w:hAnsi="宋体" w:cs="宋体"/>
          <w:sz w:val="28"/>
        </w:rPr>
      </w:pPr>
    </w:p>
    <w:p>
      <w:pPr>
        <w:pageBreakBefore w:val="0"/>
        <w:topLinePunct w:val="0"/>
        <w:bidi w:val="0"/>
        <w:spacing w:line="360" w:lineRule="auto"/>
        <w:rPr>
          <w:rFonts w:ascii="宋体" w:hAnsi="宋体" w:cs="宋体"/>
          <w:sz w:val="28"/>
        </w:rPr>
      </w:pPr>
    </w:p>
    <w:p>
      <w:pPr>
        <w:pageBreakBefore w:val="0"/>
        <w:topLinePunct w:val="0"/>
        <w:bidi w:val="0"/>
        <w:spacing w:line="360" w:lineRule="auto"/>
        <w:rPr>
          <w:rFonts w:ascii="宋体" w:hAnsi="宋体" w:cs="宋体"/>
          <w:sz w:val="28"/>
        </w:rPr>
      </w:pPr>
    </w:p>
    <w:p>
      <w:pPr>
        <w:pageBreakBefore w:val="0"/>
        <w:topLinePunct w:val="0"/>
        <w:bidi w:val="0"/>
        <w:spacing w:line="360" w:lineRule="auto"/>
        <w:rPr>
          <w:rFonts w:ascii="宋体" w:hAnsi="宋体" w:cs="宋体"/>
          <w:sz w:val="28"/>
        </w:rPr>
      </w:pPr>
      <w:r>
        <w:rPr>
          <w:rFonts w:hint="eastAsia" w:ascii="宋体" w:hAnsi="宋体" w:cs="宋体"/>
          <w:sz w:val="28"/>
        </w:rPr>
        <w:t xml:space="preserve">            标段：</w:t>
      </w:r>
    </w:p>
    <w:p>
      <w:pPr>
        <w:pageBreakBefore w:val="0"/>
        <w:topLinePunct w:val="0"/>
        <w:bidi w:val="0"/>
        <w:spacing w:line="360" w:lineRule="auto"/>
        <w:ind w:firstLine="1680" w:firstLineChars="600"/>
        <w:rPr>
          <w:rFonts w:hint="eastAsia" w:ascii="宋体" w:hAnsi="宋体" w:cs="宋体"/>
          <w:sz w:val="28"/>
        </w:rPr>
      </w:pPr>
    </w:p>
    <w:p>
      <w:pPr>
        <w:pageBreakBefore w:val="0"/>
        <w:topLinePunct w:val="0"/>
        <w:bidi w:val="0"/>
        <w:spacing w:line="360" w:lineRule="auto"/>
        <w:ind w:firstLine="1680" w:firstLineChars="600"/>
        <w:rPr>
          <w:rFonts w:ascii="宋体" w:hAnsi="宋体" w:cs="宋体"/>
          <w:sz w:val="28"/>
        </w:rPr>
      </w:pPr>
      <w:r>
        <w:rPr>
          <w:rFonts w:hint="eastAsia" w:ascii="宋体" w:hAnsi="宋体" w:cs="宋体"/>
          <w:sz w:val="28"/>
        </w:rPr>
        <w:t>投标人：</w:t>
      </w:r>
    </w:p>
    <w:p>
      <w:pPr>
        <w:pageBreakBefore w:val="0"/>
        <w:tabs>
          <w:tab w:val="left" w:pos="5963"/>
        </w:tabs>
        <w:topLinePunct w:val="0"/>
        <w:bidi w:val="0"/>
        <w:spacing w:line="360" w:lineRule="auto"/>
        <w:ind w:firstLine="1680" w:firstLineChars="600"/>
        <w:rPr>
          <w:rFonts w:hint="eastAsia" w:ascii="宋体" w:hAnsi="宋体" w:cs="宋体"/>
          <w:sz w:val="28"/>
        </w:rPr>
      </w:pPr>
    </w:p>
    <w:p>
      <w:pPr>
        <w:pageBreakBefore w:val="0"/>
        <w:tabs>
          <w:tab w:val="left" w:pos="5963"/>
        </w:tabs>
        <w:topLinePunct w:val="0"/>
        <w:bidi w:val="0"/>
        <w:spacing w:line="360" w:lineRule="auto"/>
        <w:ind w:firstLine="1680" w:firstLineChars="600"/>
        <w:rPr>
          <w:rFonts w:ascii="宋体" w:hAnsi="宋体" w:cs="宋体"/>
          <w:sz w:val="28"/>
        </w:rPr>
      </w:pPr>
      <w:r>
        <w:rPr>
          <w:rFonts w:hint="eastAsia" w:ascii="宋体" w:hAnsi="宋体" w:cs="宋体"/>
          <w:sz w:val="28"/>
        </w:rPr>
        <w:t>法定代表人或其委托代理人：</w:t>
      </w:r>
      <w:r>
        <w:rPr>
          <w:rFonts w:hint="eastAsia" w:ascii="宋体" w:hAnsi="宋体" w:cs="宋体"/>
          <w:sz w:val="28"/>
        </w:rPr>
        <w:tab/>
      </w:r>
    </w:p>
    <w:p>
      <w:pPr>
        <w:pageBreakBefore w:val="0"/>
        <w:topLinePunct w:val="0"/>
        <w:bidi w:val="0"/>
        <w:spacing w:line="360" w:lineRule="auto"/>
        <w:jc w:val="center"/>
        <w:outlineLvl w:val="0"/>
        <w:rPr>
          <w:rFonts w:hint="eastAsia" w:ascii="宋体" w:hAnsi="宋体" w:cs="宋体"/>
          <w:sz w:val="28"/>
        </w:rPr>
      </w:pPr>
      <w:bookmarkStart w:id="52" w:name="_Toc7435"/>
      <w:bookmarkStart w:id="53" w:name="_Toc14193"/>
    </w:p>
    <w:p>
      <w:pPr>
        <w:pageBreakBefore w:val="0"/>
        <w:topLinePunct w:val="0"/>
        <w:bidi w:val="0"/>
        <w:spacing w:line="360" w:lineRule="auto"/>
        <w:jc w:val="center"/>
        <w:outlineLvl w:val="0"/>
        <w:rPr>
          <w:rFonts w:ascii="宋体" w:hAnsi="宋体" w:cs="宋体"/>
          <w:sz w:val="28"/>
        </w:rPr>
      </w:pPr>
      <w:r>
        <w:rPr>
          <w:rFonts w:hint="eastAsia" w:ascii="宋体" w:hAnsi="宋体" w:cs="宋体"/>
          <w:sz w:val="28"/>
        </w:rPr>
        <w:t>年月日</w:t>
      </w:r>
      <w:bookmarkEnd w:id="52"/>
      <w:bookmarkEnd w:id="53"/>
    </w:p>
    <w:p>
      <w:pPr>
        <w:pageBreakBefore w:val="0"/>
        <w:topLinePunct w:val="0"/>
        <w:bidi w:val="0"/>
        <w:spacing w:line="360" w:lineRule="auto"/>
        <w:rPr>
          <w:rFonts w:ascii="宋体" w:hAnsi="宋体" w:cs="宋体"/>
          <w:sz w:val="20"/>
        </w:rPr>
      </w:pPr>
    </w:p>
    <w:p>
      <w:pPr>
        <w:pageBreakBefore w:val="0"/>
        <w:topLinePunct w:val="0"/>
        <w:bidi w:val="0"/>
        <w:spacing w:line="360" w:lineRule="auto"/>
        <w:rPr>
          <w:rFonts w:ascii="宋体" w:hAnsi="宋体" w:cs="宋体"/>
        </w:rPr>
      </w:pPr>
      <w:r>
        <w:rPr>
          <w:rFonts w:hint="eastAsia" w:ascii="宋体" w:hAnsi="宋体" w:cs="宋体"/>
        </w:rPr>
        <w:br w:type="page"/>
      </w:r>
    </w:p>
    <w:p>
      <w:pPr>
        <w:pageBreakBefore w:val="0"/>
        <w:topLinePunct w:val="0"/>
        <w:autoSpaceDE w:val="0"/>
        <w:autoSpaceDN w:val="0"/>
        <w:bidi w:val="0"/>
        <w:adjustRightInd w:val="0"/>
        <w:spacing w:line="360" w:lineRule="auto"/>
        <w:rPr>
          <w:rFonts w:ascii="宋体" w:hAnsi="宋体" w:cs="微软雅黑"/>
          <w:b/>
          <w:color w:val="000000"/>
          <w:szCs w:val="21"/>
          <w:lang w:val="zh-CN"/>
        </w:rPr>
      </w:pPr>
      <w:r>
        <w:rPr>
          <w:rFonts w:hint="eastAsia" w:ascii="宋体" w:hAnsi="宋体" w:cs="微软雅黑"/>
          <w:b/>
          <w:color w:val="000000"/>
          <w:szCs w:val="21"/>
          <w:lang w:val="zh-CN"/>
        </w:rPr>
        <w:t>附件一、投标申请及声明格式</w:t>
      </w:r>
    </w:p>
    <w:p>
      <w:pPr>
        <w:pageBreakBefore w:val="0"/>
        <w:topLinePunct w:val="0"/>
        <w:autoSpaceDE w:val="0"/>
        <w:autoSpaceDN w:val="0"/>
        <w:bidi w:val="0"/>
        <w:adjustRightInd w:val="0"/>
        <w:spacing w:line="360" w:lineRule="auto"/>
        <w:jc w:val="center"/>
        <w:outlineLvl w:val="0"/>
        <w:rPr>
          <w:rFonts w:ascii="宋体" w:hAnsi="宋体" w:cs="微软雅黑"/>
          <w:b/>
          <w:bCs/>
          <w:color w:val="000000"/>
          <w:sz w:val="36"/>
          <w:szCs w:val="36"/>
          <w:lang w:val="zh-CN"/>
        </w:rPr>
      </w:pPr>
      <w:r>
        <w:rPr>
          <w:rFonts w:hint="eastAsia" w:ascii="宋体" w:hAnsi="宋体" w:cs="微软雅黑"/>
          <w:b/>
          <w:bCs/>
          <w:color w:val="000000"/>
          <w:sz w:val="32"/>
          <w:szCs w:val="32"/>
          <w:lang w:val="zh-CN"/>
        </w:rPr>
        <w:t>投标申请及声明</w:t>
      </w:r>
    </w:p>
    <w:p>
      <w:pPr>
        <w:pageBreakBefore w:val="0"/>
        <w:topLinePunct w:val="0"/>
        <w:bidi w:val="0"/>
        <w:spacing w:line="360" w:lineRule="auto"/>
        <w:rPr>
          <w:rFonts w:ascii="宋体" w:hAnsi="宋体" w:cs="宋体"/>
          <w:sz w:val="24"/>
          <w:szCs w:val="24"/>
        </w:rPr>
      </w:pPr>
      <w:r>
        <w:rPr>
          <w:rFonts w:hint="eastAsia" w:ascii="宋体" w:hAnsi="宋体" w:cs="宋体"/>
          <w:sz w:val="24"/>
          <w:szCs w:val="24"/>
          <w:u w:val="single"/>
        </w:rPr>
        <w:t xml:space="preserve">     （招标人名称）     </w:t>
      </w:r>
      <w:r>
        <w:rPr>
          <w:rFonts w:hint="eastAsia" w:ascii="宋体"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ascii="宋体" w:hAnsi="宋体" w:cs="微软雅黑"/>
          <w:color w:val="000000"/>
          <w:sz w:val="24"/>
          <w:szCs w:val="24"/>
          <w:lang w:val="zh-CN"/>
        </w:rPr>
      </w:pPr>
      <w:bookmarkStart w:id="54" w:name="_Toc227984078"/>
      <w:bookmarkStart w:id="55" w:name="_Toc451622425"/>
      <w:bookmarkStart w:id="56" w:name="_Toc416273856"/>
      <w:bookmarkStart w:id="57" w:name="_Toc390413380"/>
      <w:bookmarkStart w:id="58" w:name="_Toc416273945"/>
      <w:bookmarkStart w:id="59" w:name="_Toc482980314"/>
      <w:r>
        <w:rPr>
          <w:rFonts w:hint="eastAsia" w:ascii="宋体" w:hAnsi="宋体" w:cs="微软雅黑"/>
          <w:color w:val="000000"/>
          <w:sz w:val="24"/>
          <w:szCs w:val="24"/>
          <w:lang w:val="zh-CN"/>
        </w:rPr>
        <w:t>根据贵方（项目名称）招标公告，正式授权下述签字人（姓名和职务）代表投标人（投标人名称），提交投标文件。</w:t>
      </w:r>
    </w:p>
    <w:p>
      <w:pPr>
        <w:pageBreakBefore w:val="0"/>
        <w:topLinePunct w:val="0"/>
        <w:autoSpaceDE w:val="0"/>
        <w:autoSpaceDN w:val="0"/>
        <w:bidi w:val="0"/>
        <w:adjustRightInd w:val="0"/>
        <w:spacing w:line="360" w:lineRule="auto"/>
        <w:ind w:firstLine="420"/>
        <w:jc w:val="left"/>
        <w:rPr>
          <w:rFonts w:ascii="宋体" w:hAnsi="宋体" w:cs="微软雅黑"/>
          <w:color w:val="000000"/>
          <w:sz w:val="24"/>
          <w:szCs w:val="24"/>
          <w:lang w:val="zh-CN"/>
        </w:rPr>
      </w:pPr>
      <w:r>
        <w:rPr>
          <w:rFonts w:hint="eastAsia" w:ascii="宋体" w:hAnsi="宋体" w:cs="微软雅黑"/>
          <w:color w:val="000000"/>
          <w:sz w:val="24"/>
          <w:szCs w:val="24"/>
          <w:lang w:val="zh-CN"/>
        </w:rPr>
        <w:t>据此函，签字人兹宣布声明和承诺如下：</w:t>
      </w:r>
    </w:p>
    <w:p>
      <w:pPr>
        <w:pageBreakBefore w:val="0"/>
        <w:topLinePunct w:val="0"/>
        <w:autoSpaceDE w:val="0"/>
        <w:autoSpaceDN w:val="0"/>
        <w:bidi w:val="0"/>
        <w:adjustRightInd w:val="0"/>
        <w:spacing w:line="360" w:lineRule="auto"/>
        <w:ind w:firstLine="420"/>
        <w:jc w:val="left"/>
        <w:rPr>
          <w:rFonts w:ascii="宋体" w:hAnsi="宋体" w:cs="微软雅黑"/>
          <w:color w:val="000000"/>
          <w:sz w:val="24"/>
          <w:szCs w:val="24"/>
        </w:rPr>
      </w:pPr>
      <w:r>
        <w:rPr>
          <w:rFonts w:hint="eastAsia" w:ascii="宋体" w:hAnsi="宋体" w:cs="微软雅黑"/>
          <w:color w:val="000000"/>
          <w:sz w:val="24"/>
          <w:szCs w:val="24"/>
          <w:lang w:val="zh-CN"/>
        </w:rPr>
        <w:t>1、</w:t>
      </w:r>
      <w:r>
        <w:rPr>
          <w:rFonts w:hint="eastAsia" w:ascii="宋体" w:hAnsi="宋体" w:cs="微软雅黑"/>
          <w:b/>
          <w:color w:val="000000"/>
          <w:sz w:val="24"/>
          <w:szCs w:val="24"/>
          <w:lang w:val="zh-CN"/>
        </w:rPr>
        <w:t>我们的资格条件完全符合政府采购法和本次招标要求</w:t>
      </w:r>
      <w:r>
        <w:rPr>
          <w:rFonts w:hint="eastAsia" w:ascii="宋体" w:hAnsi="宋体" w:cs="微软雅黑"/>
          <w:color w:val="000000"/>
          <w:sz w:val="24"/>
          <w:szCs w:val="24"/>
          <w:lang w:val="zh-CN"/>
        </w:rPr>
        <w:t>，</w:t>
      </w:r>
      <w:r>
        <w:rPr>
          <w:rFonts w:hint="eastAsia" w:ascii="宋体" w:hAnsi="宋体" w:cs="微软雅黑"/>
          <w:color w:val="000000"/>
          <w:sz w:val="24"/>
          <w:szCs w:val="24"/>
        </w:rPr>
        <w:t>我们</w:t>
      </w:r>
      <w:r>
        <w:rPr>
          <w:rFonts w:hint="eastAsia" w:ascii="宋体" w:hAnsi="宋体" w:cs="微软雅黑"/>
          <w:color w:val="000000"/>
          <w:sz w:val="24"/>
          <w:szCs w:val="24"/>
          <w:lang w:val="zh-CN"/>
        </w:rPr>
        <w:t>同意并向贵方提供了与投标有关的所有证据和资料。</w:t>
      </w:r>
    </w:p>
    <w:p>
      <w:pPr>
        <w:pageBreakBefore w:val="0"/>
        <w:topLinePunct w:val="0"/>
        <w:autoSpaceDE w:val="0"/>
        <w:autoSpaceDN w:val="0"/>
        <w:bidi w:val="0"/>
        <w:adjustRightInd w:val="0"/>
        <w:spacing w:line="360" w:lineRule="auto"/>
        <w:ind w:firstLine="420"/>
        <w:jc w:val="left"/>
        <w:rPr>
          <w:rFonts w:ascii="宋体" w:hAnsi="宋体" w:cs="微软雅黑"/>
          <w:color w:val="000000"/>
          <w:sz w:val="24"/>
          <w:szCs w:val="24"/>
          <w:lang w:val="zh-CN"/>
        </w:rPr>
      </w:pPr>
      <w:r>
        <w:rPr>
          <w:rFonts w:hint="eastAsia" w:ascii="宋体" w:hAnsi="宋体" w:cs="微软雅黑"/>
          <w:color w:val="000000"/>
          <w:sz w:val="24"/>
          <w:szCs w:val="24"/>
        </w:rPr>
        <w:t>2、</w:t>
      </w:r>
      <w:r>
        <w:rPr>
          <w:rFonts w:hint="eastAsia" w:ascii="宋体" w:hAnsi="宋体" w:cs="微软雅黑"/>
          <w:color w:val="000000"/>
          <w:sz w:val="24"/>
          <w:szCs w:val="24"/>
          <w:lang w:val="zh-CN"/>
        </w:rPr>
        <w:t>按招标要求，我们的报价为</w:t>
      </w:r>
      <w:r>
        <w:rPr>
          <w:rFonts w:hint="eastAsia" w:ascii="宋体" w:hAnsi="宋体" w:cs="微软雅黑"/>
          <w:color w:val="000000"/>
          <w:sz w:val="24"/>
          <w:szCs w:val="24"/>
          <w:u w:val="single"/>
          <w:lang w:val="zh-CN"/>
        </w:rPr>
        <w:t>（大写）（</w:t>
      </w:r>
      <w:r>
        <w:rPr>
          <w:rFonts w:hint="eastAsia" w:ascii="宋体" w:hAnsi="宋体" w:cs="微软雅黑"/>
          <w:color w:val="000000"/>
          <w:sz w:val="24"/>
          <w:szCs w:val="24"/>
          <w:u w:val="single"/>
        </w:rPr>
        <w:t>小写：</w:t>
      </w:r>
      <w:r>
        <w:rPr>
          <w:rFonts w:hint="eastAsia" w:ascii="宋体" w:hAnsi="宋体" w:cs="微软雅黑"/>
          <w:color w:val="000000"/>
          <w:sz w:val="24"/>
          <w:szCs w:val="24"/>
          <w:u w:val="single"/>
          <w:lang w:val="zh-CN"/>
        </w:rPr>
        <w:t>）</w:t>
      </w:r>
      <w:r>
        <w:rPr>
          <w:rFonts w:hint="eastAsia" w:ascii="宋体" w:hAnsi="宋体" w:cs="微软雅黑"/>
          <w:color w:val="000000"/>
          <w:sz w:val="24"/>
          <w:szCs w:val="24"/>
          <w:lang w:val="zh-CN"/>
        </w:rPr>
        <w:t>。</w:t>
      </w:r>
    </w:p>
    <w:p>
      <w:pPr>
        <w:pageBreakBefore w:val="0"/>
        <w:topLinePunct w:val="0"/>
        <w:autoSpaceDE w:val="0"/>
        <w:autoSpaceDN w:val="0"/>
        <w:bidi w:val="0"/>
        <w:adjustRightInd w:val="0"/>
        <w:spacing w:line="360" w:lineRule="auto"/>
        <w:ind w:firstLine="420"/>
        <w:jc w:val="left"/>
        <w:rPr>
          <w:rFonts w:ascii="宋体" w:hAnsi="宋体" w:cs="微软雅黑"/>
          <w:color w:val="000000"/>
          <w:sz w:val="24"/>
          <w:szCs w:val="24"/>
          <w:lang w:val="zh-CN"/>
        </w:rPr>
      </w:pPr>
      <w:r>
        <w:rPr>
          <w:rFonts w:hint="eastAsia" w:ascii="宋体" w:hAnsi="宋体" w:cs="微软雅黑"/>
          <w:color w:val="000000"/>
          <w:sz w:val="24"/>
          <w:szCs w:val="24"/>
          <w:lang w:val="zh-CN"/>
        </w:rPr>
        <w:t>3、我们已详细审核全部招标文件及其有效补充文件，我们放弃对招标文件任何误解的权利，提交投标文件后，</w:t>
      </w:r>
      <w:r>
        <w:rPr>
          <w:rFonts w:hint="eastAsia" w:ascii="宋体" w:hAnsi="宋体" w:cs="微软雅黑"/>
          <w:b/>
          <w:color w:val="000000"/>
          <w:sz w:val="24"/>
          <w:szCs w:val="24"/>
          <w:lang w:val="zh-CN"/>
        </w:rPr>
        <w:t>不对招标文件本身提出质疑</w:t>
      </w:r>
      <w:r>
        <w:rPr>
          <w:rFonts w:hint="eastAsia" w:ascii="宋体" w:hAnsi="宋体" w:cs="微软雅黑"/>
          <w:color w:val="000000"/>
          <w:sz w:val="24"/>
          <w:szCs w:val="24"/>
          <w:lang w:val="zh-CN"/>
        </w:rPr>
        <w:t>。否则，属于不诚信和故意扰乱政府采购活动行为，我们将无条件接受处罚。</w:t>
      </w:r>
    </w:p>
    <w:p>
      <w:pPr>
        <w:pageBreakBefore w:val="0"/>
        <w:topLinePunct w:val="0"/>
        <w:autoSpaceDE w:val="0"/>
        <w:autoSpaceDN w:val="0"/>
        <w:bidi w:val="0"/>
        <w:adjustRightInd w:val="0"/>
        <w:spacing w:line="360" w:lineRule="auto"/>
        <w:ind w:firstLine="420"/>
        <w:jc w:val="left"/>
        <w:rPr>
          <w:rFonts w:ascii="宋体" w:hAnsi="宋体" w:cs="微软雅黑"/>
          <w:color w:val="000000"/>
          <w:sz w:val="24"/>
          <w:szCs w:val="24"/>
          <w:lang w:val="zh-CN"/>
        </w:rPr>
      </w:pPr>
      <w:r>
        <w:rPr>
          <w:rFonts w:hint="eastAsia" w:ascii="宋体" w:hAnsi="宋体" w:cs="微软雅黑"/>
          <w:color w:val="000000"/>
          <w:sz w:val="24"/>
          <w:szCs w:val="24"/>
          <w:lang w:val="zh-CN"/>
        </w:rPr>
        <w:t>4、我们同意从规定的开标日期起遵循本投标文件，并在规定的投标有效期期满之前均具有约束力。</w:t>
      </w:r>
    </w:p>
    <w:p>
      <w:pPr>
        <w:pageBreakBefore w:val="0"/>
        <w:topLinePunct w:val="0"/>
        <w:autoSpaceDE w:val="0"/>
        <w:autoSpaceDN w:val="0"/>
        <w:bidi w:val="0"/>
        <w:adjustRightInd w:val="0"/>
        <w:spacing w:line="360" w:lineRule="auto"/>
        <w:ind w:firstLine="420"/>
        <w:jc w:val="left"/>
        <w:rPr>
          <w:rFonts w:ascii="宋体" w:hAnsi="宋体" w:cs="微软雅黑"/>
          <w:color w:val="000000"/>
          <w:sz w:val="24"/>
          <w:szCs w:val="24"/>
          <w:lang w:val="zh-CN"/>
        </w:rPr>
      </w:pPr>
      <w:r>
        <w:rPr>
          <w:rFonts w:hint="eastAsia" w:ascii="宋体" w:hAnsi="宋体" w:cs="微软雅黑"/>
          <w:color w:val="000000"/>
          <w:sz w:val="24"/>
          <w:szCs w:val="24"/>
          <w:lang w:val="zh-CN"/>
        </w:rPr>
        <w:t>5、一旦我方中标，我方将根据招标文件的规定严格履行合同，并保证于承诺的日历天时间完成，交付采购人验收、使用。</w:t>
      </w:r>
    </w:p>
    <w:p>
      <w:pPr>
        <w:pageBreakBefore w:val="0"/>
        <w:topLinePunct w:val="0"/>
        <w:autoSpaceDE w:val="0"/>
        <w:autoSpaceDN w:val="0"/>
        <w:bidi w:val="0"/>
        <w:adjustRightInd w:val="0"/>
        <w:spacing w:line="360" w:lineRule="auto"/>
        <w:ind w:firstLine="420"/>
        <w:jc w:val="left"/>
        <w:rPr>
          <w:rFonts w:ascii="宋体" w:hAnsi="宋体" w:cs="微软雅黑"/>
          <w:color w:val="000000"/>
          <w:sz w:val="24"/>
          <w:szCs w:val="24"/>
        </w:rPr>
      </w:pPr>
      <w:r>
        <w:rPr>
          <w:rFonts w:hint="eastAsia" w:ascii="宋体" w:hAnsi="宋体" w:cs="微软雅黑"/>
          <w:color w:val="000000"/>
          <w:sz w:val="24"/>
          <w:szCs w:val="24"/>
        </w:rPr>
        <w:t>6、</w:t>
      </w:r>
      <w:r>
        <w:rPr>
          <w:rFonts w:hint="eastAsia" w:ascii="宋体" w:hAnsi="宋体" w:cs="微软雅黑"/>
          <w:color w:val="000000"/>
          <w:sz w:val="24"/>
          <w:szCs w:val="24"/>
          <w:lang w:val="zh-CN"/>
        </w:rPr>
        <w:t>我方中标，我方所供设备及配件的质保期为</w:t>
      </w:r>
      <w:r>
        <w:rPr>
          <w:rFonts w:hint="eastAsia" w:ascii="宋体" w:hAnsi="宋体" w:cs="微软雅黑"/>
          <w:color w:val="000000"/>
          <w:sz w:val="24"/>
          <w:szCs w:val="24"/>
          <w:u w:val="single"/>
          <w:lang w:val="en-US" w:eastAsia="zh-CN"/>
        </w:rPr>
        <w:t xml:space="preserve">           </w:t>
      </w:r>
      <w:r>
        <w:rPr>
          <w:rFonts w:hint="eastAsia" w:ascii="宋体" w:hAnsi="宋体" w:cs="微软雅黑"/>
          <w:color w:val="000000"/>
          <w:sz w:val="24"/>
          <w:szCs w:val="24"/>
          <w:lang w:val="zh-CN"/>
        </w:rPr>
        <w:t>。</w:t>
      </w:r>
    </w:p>
    <w:p>
      <w:pPr>
        <w:pageBreakBefore w:val="0"/>
        <w:topLinePunct w:val="0"/>
        <w:autoSpaceDE w:val="0"/>
        <w:autoSpaceDN w:val="0"/>
        <w:bidi w:val="0"/>
        <w:adjustRightInd w:val="0"/>
        <w:spacing w:line="360" w:lineRule="auto"/>
        <w:ind w:firstLine="420"/>
        <w:jc w:val="left"/>
        <w:rPr>
          <w:rFonts w:ascii="宋体" w:hAnsi="宋体" w:cs="微软雅黑"/>
          <w:color w:val="000000"/>
          <w:sz w:val="24"/>
          <w:szCs w:val="24"/>
          <w:lang w:val="zh-CN"/>
        </w:rPr>
      </w:pPr>
      <w:r>
        <w:rPr>
          <w:rFonts w:hint="eastAsia" w:ascii="宋体" w:hAnsi="宋体" w:cs="微软雅黑"/>
          <w:color w:val="000000"/>
          <w:sz w:val="24"/>
          <w:szCs w:val="24"/>
        </w:rPr>
        <w:t>7</w:t>
      </w:r>
      <w:r>
        <w:rPr>
          <w:rFonts w:hint="eastAsia" w:ascii="宋体" w:hAnsi="宋体" w:cs="微软雅黑"/>
          <w:color w:val="000000"/>
          <w:sz w:val="24"/>
          <w:szCs w:val="24"/>
          <w:lang w:val="zh-CN"/>
        </w:rPr>
        <w:t>、我方决不提供虚假材料谋取中标、决不采取不正当手段诋毁、排挤其他供应商、决不与采购人、其它供应商或者招标代理恶意串通、决不向采购人、招标代理工作人员和评委进行商业贿赂、决不在采购过程中与采购人进行协商谈判、决不拒绝有关部门监督检查或提供虚假情况，如有违反，无条件接受贵方及相关管理部门的处罚。</w:t>
      </w:r>
    </w:p>
    <w:p>
      <w:pPr>
        <w:pageBreakBefore w:val="0"/>
        <w:topLinePunct w:val="0"/>
        <w:autoSpaceDE w:val="0"/>
        <w:autoSpaceDN w:val="0"/>
        <w:bidi w:val="0"/>
        <w:adjustRightInd w:val="0"/>
        <w:spacing w:line="360" w:lineRule="auto"/>
        <w:ind w:firstLine="420"/>
        <w:jc w:val="left"/>
        <w:rPr>
          <w:rFonts w:ascii="宋体" w:hAnsi="宋体" w:cs="微软雅黑"/>
          <w:color w:val="000000"/>
          <w:sz w:val="24"/>
          <w:szCs w:val="24"/>
          <w:lang w:val="zh-CN"/>
        </w:rPr>
      </w:pPr>
      <w:r>
        <w:rPr>
          <w:rFonts w:hint="eastAsia" w:ascii="宋体" w:hAnsi="宋体" w:cs="微软雅黑"/>
          <w:color w:val="000000"/>
          <w:sz w:val="24"/>
          <w:szCs w:val="24"/>
        </w:rPr>
        <w:t>8</w:t>
      </w:r>
      <w:r>
        <w:rPr>
          <w:rFonts w:hint="eastAsia" w:ascii="宋体" w:hAnsi="宋体" w:cs="微软雅黑"/>
          <w:color w:val="000000"/>
          <w:sz w:val="24"/>
          <w:szCs w:val="24"/>
          <w:lang w:val="zh-CN"/>
        </w:rPr>
        <w:t>、与本投标有关的正式联系方式为：</w:t>
      </w:r>
    </w:p>
    <w:p>
      <w:pPr>
        <w:pageBreakBefore w:val="0"/>
        <w:topLinePunct w:val="0"/>
        <w:autoSpaceDE w:val="0"/>
        <w:autoSpaceDN w:val="0"/>
        <w:bidi w:val="0"/>
        <w:adjustRightInd w:val="0"/>
        <w:spacing w:line="360" w:lineRule="auto"/>
        <w:ind w:firstLine="420"/>
        <w:rPr>
          <w:rFonts w:ascii="宋体" w:hAnsi="宋体" w:cs="微软雅黑"/>
          <w:color w:val="000000"/>
          <w:sz w:val="24"/>
          <w:szCs w:val="24"/>
          <w:u w:val="single"/>
          <w:lang w:val="zh-CN"/>
        </w:rPr>
      </w:pPr>
      <w:r>
        <w:rPr>
          <w:rFonts w:hint="eastAsia" w:ascii="宋体" w:hAnsi="宋体" w:cs="微软雅黑"/>
          <w:color w:val="000000"/>
          <w:sz w:val="24"/>
          <w:szCs w:val="24"/>
          <w:lang w:val="zh-CN"/>
        </w:rPr>
        <w:t>地   址：</w:t>
      </w:r>
    </w:p>
    <w:p>
      <w:pPr>
        <w:pageBreakBefore w:val="0"/>
        <w:topLinePunct w:val="0"/>
        <w:autoSpaceDE w:val="0"/>
        <w:autoSpaceDN w:val="0"/>
        <w:bidi w:val="0"/>
        <w:adjustRightInd w:val="0"/>
        <w:spacing w:line="360" w:lineRule="auto"/>
        <w:ind w:firstLine="420"/>
        <w:rPr>
          <w:rFonts w:ascii="宋体" w:hAnsi="宋体" w:cs="微软雅黑"/>
          <w:color w:val="000000"/>
          <w:sz w:val="24"/>
          <w:szCs w:val="24"/>
          <w:u w:val="single"/>
          <w:lang w:val="zh-CN"/>
        </w:rPr>
      </w:pPr>
      <w:r>
        <w:rPr>
          <w:rFonts w:hint="eastAsia" w:ascii="宋体" w:hAnsi="宋体" w:cs="微软雅黑"/>
          <w:color w:val="000000"/>
          <w:sz w:val="24"/>
          <w:szCs w:val="24"/>
          <w:lang w:val="zh-CN"/>
        </w:rPr>
        <w:t>电   话：</w:t>
      </w:r>
    </w:p>
    <w:p>
      <w:pPr>
        <w:pageBreakBefore w:val="0"/>
        <w:topLinePunct w:val="0"/>
        <w:autoSpaceDE w:val="0"/>
        <w:autoSpaceDN w:val="0"/>
        <w:bidi w:val="0"/>
        <w:adjustRightInd w:val="0"/>
        <w:spacing w:line="360" w:lineRule="auto"/>
        <w:ind w:firstLine="420"/>
        <w:rPr>
          <w:rFonts w:ascii="宋体" w:hAnsi="宋体" w:cs="微软雅黑"/>
          <w:color w:val="000000"/>
          <w:sz w:val="24"/>
          <w:szCs w:val="24"/>
          <w:u w:val="single"/>
          <w:lang w:val="zh-CN"/>
        </w:rPr>
      </w:pPr>
      <w:r>
        <w:rPr>
          <w:rFonts w:hint="eastAsia" w:ascii="宋体" w:hAnsi="宋体" w:cs="微软雅黑"/>
          <w:color w:val="000000"/>
          <w:sz w:val="24"/>
          <w:szCs w:val="24"/>
          <w:lang w:val="zh-CN"/>
        </w:rPr>
        <w:t>传   真：</w:t>
      </w:r>
    </w:p>
    <w:p>
      <w:pPr>
        <w:pageBreakBefore w:val="0"/>
        <w:topLinePunct w:val="0"/>
        <w:autoSpaceDE w:val="0"/>
        <w:autoSpaceDN w:val="0"/>
        <w:bidi w:val="0"/>
        <w:adjustRightInd w:val="0"/>
        <w:spacing w:line="360" w:lineRule="auto"/>
        <w:ind w:firstLine="420"/>
        <w:rPr>
          <w:rFonts w:ascii="宋体" w:hAnsi="宋体" w:cs="微软雅黑"/>
          <w:color w:val="000000"/>
          <w:sz w:val="24"/>
          <w:szCs w:val="24"/>
          <w:lang w:val="zh-CN"/>
        </w:rPr>
      </w:pPr>
      <w:r>
        <w:rPr>
          <w:rFonts w:hint="eastAsia" w:ascii="宋体" w:hAnsi="宋体" w:cs="微软雅黑"/>
          <w:color w:val="000000"/>
          <w:sz w:val="24"/>
          <w:szCs w:val="24"/>
          <w:lang w:val="zh-CN"/>
        </w:rPr>
        <w:t>开户银行：</w:t>
      </w:r>
    </w:p>
    <w:p>
      <w:pPr>
        <w:pageBreakBefore w:val="0"/>
        <w:topLinePunct w:val="0"/>
        <w:autoSpaceDE w:val="0"/>
        <w:autoSpaceDN w:val="0"/>
        <w:bidi w:val="0"/>
        <w:adjustRightInd w:val="0"/>
        <w:spacing w:line="360" w:lineRule="auto"/>
        <w:ind w:firstLine="420"/>
        <w:rPr>
          <w:rFonts w:ascii="宋体" w:hAnsi="宋体" w:cs="微软雅黑"/>
          <w:color w:val="000000"/>
          <w:sz w:val="24"/>
          <w:szCs w:val="24"/>
          <w:lang w:val="zh-CN"/>
        </w:rPr>
      </w:pPr>
      <w:r>
        <w:rPr>
          <w:rFonts w:hint="eastAsia" w:ascii="宋体" w:hAnsi="宋体" w:cs="微软雅黑"/>
          <w:color w:val="000000"/>
          <w:sz w:val="24"/>
          <w:szCs w:val="24"/>
          <w:lang w:val="zh-CN"/>
        </w:rPr>
        <w:t>银行账号：</w:t>
      </w:r>
    </w:p>
    <w:p>
      <w:pPr>
        <w:pageBreakBefore w:val="0"/>
        <w:topLinePunct w:val="0"/>
        <w:autoSpaceDE w:val="0"/>
        <w:autoSpaceDN w:val="0"/>
        <w:bidi w:val="0"/>
        <w:adjustRightInd w:val="0"/>
        <w:spacing w:line="360" w:lineRule="auto"/>
        <w:ind w:firstLine="420"/>
        <w:rPr>
          <w:rFonts w:ascii="宋体" w:hAnsi="宋体" w:cs="微软雅黑"/>
          <w:color w:val="000000"/>
          <w:sz w:val="24"/>
          <w:szCs w:val="24"/>
          <w:u w:val="single"/>
          <w:lang w:val="zh-CN"/>
        </w:rPr>
      </w:pPr>
      <w:r>
        <w:rPr>
          <w:rFonts w:hint="eastAsia" w:ascii="宋体" w:hAnsi="宋体" w:cs="微软雅黑"/>
          <w:color w:val="000000"/>
          <w:sz w:val="24"/>
          <w:szCs w:val="24"/>
          <w:lang w:val="zh-CN"/>
        </w:rPr>
        <w:t>供应商授权代表姓名（签字）：</w:t>
      </w:r>
    </w:p>
    <w:p>
      <w:pPr>
        <w:pageBreakBefore w:val="0"/>
        <w:topLinePunct w:val="0"/>
        <w:autoSpaceDE w:val="0"/>
        <w:autoSpaceDN w:val="0"/>
        <w:bidi w:val="0"/>
        <w:adjustRightInd w:val="0"/>
        <w:spacing w:line="360" w:lineRule="auto"/>
        <w:ind w:firstLine="420"/>
        <w:rPr>
          <w:rFonts w:ascii="宋体" w:hAnsi="宋体" w:cs="微软雅黑"/>
          <w:color w:val="000000"/>
          <w:sz w:val="24"/>
          <w:szCs w:val="24"/>
          <w:lang w:val="zh-CN"/>
        </w:rPr>
      </w:pPr>
      <w:r>
        <w:rPr>
          <w:rFonts w:hint="eastAsia" w:ascii="宋体" w:hAnsi="宋体" w:cs="微软雅黑"/>
          <w:color w:val="000000"/>
          <w:sz w:val="24"/>
          <w:szCs w:val="24"/>
          <w:lang w:val="zh-CN"/>
        </w:rPr>
        <w:t>供应商名称：（盖章）</w:t>
      </w:r>
    </w:p>
    <w:p>
      <w:pPr>
        <w:pageBreakBefore w:val="0"/>
        <w:topLinePunct w:val="0"/>
        <w:autoSpaceDE w:val="0"/>
        <w:autoSpaceDN w:val="0"/>
        <w:bidi w:val="0"/>
        <w:adjustRightInd w:val="0"/>
        <w:spacing w:line="360" w:lineRule="auto"/>
        <w:ind w:firstLine="420"/>
        <w:rPr>
          <w:rFonts w:ascii="宋体" w:hAnsi="宋体" w:cs="微软雅黑"/>
          <w:b/>
          <w:color w:val="000000"/>
          <w:kern w:val="0"/>
          <w:szCs w:val="21"/>
          <w:lang w:val="zh-CN"/>
        </w:rPr>
      </w:pPr>
      <w:r>
        <w:rPr>
          <w:rFonts w:hint="eastAsia" w:ascii="宋体" w:hAnsi="宋体" w:cs="微软雅黑"/>
          <w:color w:val="000000"/>
          <w:sz w:val="24"/>
          <w:szCs w:val="24"/>
          <w:lang w:val="zh-CN"/>
        </w:rPr>
        <w:t>日    期：年月日</w:t>
      </w:r>
      <w:bookmarkEnd w:id="54"/>
      <w:r>
        <w:rPr>
          <w:rFonts w:hint="eastAsia" w:ascii="宋体" w:hAnsi="宋体" w:cs="宋体"/>
          <w:szCs w:val="24"/>
          <w:u w:val="single" w:color="000000"/>
        </w:rPr>
        <w:br w:type="page"/>
      </w:r>
      <w:bookmarkEnd w:id="55"/>
      <w:bookmarkEnd w:id="56"/>
      <w:bookmarkEnd w:id="57"/>
      <w:bookmarkEnd w:id="58"/>
      <w:bookmarkEnd w:id="59"/>
      <w:r>
        <w:rPr>
          <w:rFonts w:hint="eastAsia" w:ascii="宋体" w:hAnsi="宋体" w:cs="微软雅黑"/>
          <w:b/>
          <w:bCs/>
          <w:color w:val="000000"/>
          <w:szCs w:val="21"/>
        </w:rPr>
        <w:t>附件二、</w:t>
      </w:r>
      <w:r>
        <w:rPr>
          <w:rFonts w:hint="eastAsia" w:ascii="宋体" w:hAnsi="宋体" w:cs="微软雅黑"/>
          <w:b/>
          <w:color w:val="000000"/>
          <w:kern w:val="0"/>
          <w:szCs w:val="21"/>
        </w:rPr>
        <w:t>法定代表人证明书及</w:t>
      </w:r>
      <w:r>
        <w:rPr>
          <w:rFonts w:hint="eastAsia" w:ascii="宋体" w:hAnsi="宋体" w:cs="微软雅黑"/>
          <w:b/>
          <w:color w:val="000000"/>
          <w:kern w:val="0"/>
          <w:szCs w:val="21"/>
          <w:lang w:val="zh-CN"/>
        </w:rPr>
        <w:t>法定代表人授权书格式</w:t>
      </w:r>
    </w:p>
    <w:p>
      <w:pPr>
        <w:pStyle w:val="46"/>
        <w:pageBreakBefore w:val="0"/>
        <w:topLinePunct w:val="0"/>
        <w:bidi w:val="0"/>
        <w:spacing w:line="360" w:lineRule="auto"/>
        <w:jc w:val="center"/>
        <w:rPr>
          <w:rFonts w:eastAsia="宋体"/>
          <w:sz w:val="20"/>
        </w:rPr>
      </w:pPr>
    </w:p>
    <w:p>
      <w:pPr>
        <w:pStyle w:val="41"/>
        <w:pageBreakBefore w:val="0"/>
        <w:topLinePunct w:val="0"/>
        <w:bidi w:val="0"/>
        <w:spacing w:line="360" w:lineRule="auto"/>
        <w:rPr>
          <w:color w:val="000000"/>
          <w:lang w:val="zh-CN"/>
        </w:rPr>
      </w:pPr>
    </w:p>
    <w:p>
      <w:pPr>
        <w:pageBreakBefore w:val="0"/>
        <w:topLinePunct w:val="0"/>
        <w:autoSpaceDE w:val="0"/>
        <w:autoSpaceDN w:val="0"/>
        <w:bidi w:val="0"/>
        <w:adjustRightInd w:val="0"/>
        <w:spacing w:line="360" w:lineRule="auto"/>
        <w:jc w:val="center"/>
        <w:outlineLvl w:val="0"/>
        <w:rPr>
          <w:rFonts w:hAnsi="宋体" w:cs="微软雅黑"/>
          <w:color w:val="000000"/>
          <w:szCs w:val="21"/>
        </w:rPr>
      </w:pPr>
      <w:r>
        <w:rPr>
          <w:rFonts w:hint="eastAsia" w:ascii="宋体" w:hAnsi="宋体" w:cs="微软雅黑"/>
          <w:b/>
          <w:bCs/>
          <w:color w:val="000000"/>
          <w:sz w:val="32"/>
          <w:szCs w:val="32"/>
          <w:lang w:val="zh-CN"/>
        </w:rPr>
        <w:t>法定代表人证明书</w:t>
      </w:r>
    </w:p>
    <w:p>
      <w:pPr>
        <w:pStyle w:val="21"/>
        <w:pageBreakBefore w:val="0"/>
        <w:topLinePunct w:val="0"/>
        <w:bidi w:val="0"/>
        <w:adjustRightInd w:val="0"/>
        <w:snapToGrid w:val="0"/>
        <w:spacing w:line="360" w:lineRule="auto"/>
        <w:ind w:firstLine="480" w:firstLineChars="200"/>
        <w:rPr>
          <w:rFonts w:hAnsi="宋体" w:cs="微软雅黑"/>
          <w:color w:val="000000"/>
          <w:sz w:val="24"/>
          <w:szCs w:val="24"/>
        </w:rPr>
      </w:pPr>
      <w:r>
        <w:rPr>
          <w:rFonts w:hint="eastAsia" w:hAnsi="宋体" w:cs="微软雅黑"/>
          <w:color w:val="000000"/>
          <w:sz w:val="24"/>
          <w:szCs w:val="24"/>
        </w:rPr>
        <w:t>单位名称：</w:t>
      </w:r>
    </w:p>
    <w:p>
      <w:pPr>
        <w:pStyle w:val="21"/>
        <w:pageBreakBefore w:val="0"/>
        <w:topLinePunct w:val="0"/>
        <w:bidi w:val="0"/>
        <w:adjustRightInd w:val="0"/>
        <w:snapToGrid w:val="0"/>
        <w:spacing w:line="360" w:lineRule="auto"/>
        <w:ind w:firstLine="480" w:firstLineChars="200"/>
        <w:rPr>
          <w:rFonts w:hAnsi="宋体" w:cs="微软雅黑"/>
          <w:color w:val="000000"/>
          <w:sz w:val="24"/>
          <w:szCs w:val="24"/>
        </w:rPr>
      </w:pPr>
      <w:r>
        <w:rPr>
          <w:rFonts w:hint="eastAsia" w:hAnsi="宋体" w:cs="微软雅黑"/>
          <w:color w:val="000000"/>
          <w:sz w:val="24"/>
          <w:szCs w:val="24"/>
        </w:rPr>
        <w:t>地址：</w:t>
      </w:r>
    </w:p>
    <w:p>
      <w:pPr>
        <w:pStyle w:val="21"/>
        <w:pageBreakBefore w:val="0"/>
        <w:topLinePunct w:val="0"/>
        <w:bidi w:val="0"/>
        <w:adjustRightInd w:val="0"/>
        <w:snapToGrid w:val="0"/>
        <w:spacing w:line="360" w:lineRule="auto"/>
        <w:ind w:firstLine="480" w:firstLineChars="200"/>
        <w:rPr>
          <w:rFonts w:hAnsi="宋体" w:cs="微软雅黑"/>
          <w:color w:val="000000"/>
          <w:sz w:val="24"/>
          <w:szCs w:val="24"/>
        </w:rPr>
      </w:pPr>
      <w:r>
        <w:rPr>
          <w:rFonts w:hint="eastAsia" w:hAnsi="宋体" w:cs="微软雅黑"/>
          <w:color w:val="000000"/>
          <w:sz w:val="24"/>
          <w:szCs w:val="24"/>
        </w:rPr>
        <w:t>姓名：             性别：          年龄：          职务：</w:t>
      </w:r>
    </w:p>
    <w:p>
      <w:pPr>
        <w:pStyle w:val="21"/>
        <w:pageBreakBefore w:val="0"/>
        <w:topLinePunct w:val="0"/>
        <w:bidi w:val="0"/>
        <w:adjustRightInd w:val="0"/>
        <w:snapToGrid w:val="0"/>
        <w:spacing w:line="360" w:lineRule="auto"/>
        <w:ind w:firstLine="1200" w:firstLineChars="500"/>
        <w:rPr>
          <w:rFonts w:hAnsi="宋体" w:cs="微软雅黑"/>
          <w:color w:val="000000"/>
          <w:sz w:val="24"/>
          <w:szCs w:val="24"/>
        </w:rPr>
      </w:pPr>
      <w:r>
        <w:rPr>
          <w:rFonts w:hint="eastAsia" w:hAnsi="宋体" w:cs="微软雅黑"/>
          <w:color w:val="000000"/>
          <w:sz w:val="24"/>
          <w:szCs w:val="24"/>
        </w:rPr>
        <w:t>系</w:t>
      </w:r>
      <w:r>
        <w:rPr>
          <w:rFonts w:hint="eastAsia" w:hAnsi="宋体" w:cs="微软雅黑"/>
          <w:color w:val="000000"/>
          <w:sz w:val="24"/>
          <w:szCs w:val="24"/>
          <w:u w:val="single"/>
          <w:lang w:val="en-US" w:eastAsia="zh-CN"/>
        </w:rPr>
        <w:t xml:space="preserve">      </w:t>
      </w:r>
      <w:r>
        <w:rPr>
          <w:rFonts w:hint="eastAsia" w:hAnsi="宋体" w:cs="微软雅黑"/>
          <w:color w:val="000000"/>
          <w:sz w:val="24"/>
          <w:szCs w:val="24"/>
        </w:rPr>
        <w:t>的法定代表人。为完成（项目名称），签署上述项目的投标文件、进行签署合同和处理与之有关的一切事务。</w:t>
      </w:r>
    </w:p>
    <w:p>
      <w:pPr>
        <w:pStyle w:val="21"/>
        <w:pageBreakBefore w:val="0"/>
        <w:topLinePunct w:val="0"/>
        <w:bidi w:val="0"/>
        <w:adjustRightInd w:val="0"/>
        <w:snapToGrid w:val="0"/>
        <w:spacing w:line="360" w:lineRule="auto"/>
        <w:ind w:firstLine="480" w:firstLineChars="200"/>
        <w:rPr>
          <w:rFonts w:hAnsi="宋体" w:cs="微软雅黑"/>
          <w:color w:val="000000"/>
          <w:sz w:val="24"/>
          <w:szCs w:val="24"/>
        </w:rPr>
      </w:pPr>
      <w:r>
        <w:rPr>
          <w:rFonts w:hint="eastAsia" w:hAnsi="宋体" w:cs="微软雅黑"/>
          <w:color w:val="000000"/>
          <w:sz w:val="24"/>
          <w:szCs w:val="24"/>
        </w:rPr>
        <w:t>特此证明。</w:t>
      </w:r>
    </w:p>
    <w:p>
      <w:pPr>
        <w:pStyle w:val="21"/>
        <w:pageBreakBefore w:val="0"/>
        <w:topLinePunct w:val="0"/>
        <w:bidi w:val="0"/>
        <w:adjustRightInd w:val="0"/>
        <w:snapToGrid w:val="0"/>
        <w:spacing w:line="360" w:lineRule="auto"/>
        <w:ind w:right="420" w:firstLine="480" w:firstLineChars="200"/>
        <w:rPr>
          <w:rFonts w:hAnsi="宋体" w:cs="微软雅黑"/>
          <w:color w:val="000000"/>
          <w:sz w:val="24"/>
          <w:szCs w:val="24"/>
        </w:rPr>
      </w:pPr>
    </w:p>
    <w:p>
      <w:pPr>
        <w:pStyle w:val="21"/>
        <w:pageBreakBefore w:val="0"/>
        <w:topLinePunct w:val="0"/>
        <w:bidi w:val="0"/>
        <w:adjustRightInd w:val="0"/>
        <w:snapToGrid w:val="0"/>
        <w:spacing w:line="360" w:lineRule="auto"/>
        <w:ind w:right="420" w:firstLine="7440" w:firstLineChars="3100"/>
        <w:rPr>
          <w:rFonts w:hAnsi="宋体" w:cs="微软雅黑"/>
          <w:color w:val="000000"/>
          <w:sz w:val="24"/>
          <w:szCs w:val="24"/>
        </w:rPr>
      </w:pPr>
      <w:r>
        <w:rPr>
          <w:rFonts w:hint="eastAsia" w:hAnsi="宋体" w:cs="微软雅黑"/>
          <w:color w:val="000000"/>
          <w:sz w:val="24"/>
          <w:szCs w:val="24"/>
        </w:rPr>
        <w:t>供应商：（盖章）</w:t>
      </w:r>
    </w:p>
    <w:p>
      <w:pPr>
        <w:pStyle w:val="21"/>
        <w:pageBreakBefore w:val="0"/>
        <w:topLinePunct w:val="0"/>
        <w:bidi w:val="0"/>
        <w:adjustRightInd w:val="0"/>
        <w:snapToGrid w:val="0"/>
        <w:spacing w:line="360" w:lineRule="auto"/>
        <w:ind w:firstLine="480" w:firstLineChars="200"/>
        <w:jc w:val="right"/>
        <w:rPr>
          <w:rFonts w:hAnsi="宋体" w:cs="微软雅黑"/>
          <w:color w:val="000000"/>
          <w:sz w:val="24"/>
          <w:szCs w:val="24"/>
        </w:rPr>
      </w:pPr>
    </w:p>
    <w:p>
      <w:pPr>
        <w:pStyle w:val="21"/>
        <w:pageBreakBefore w:val="0"/>
        <w:topLinePunct w:val="0"/>
        <w:bidi w:val="0"/>
        <w:adjustRightInd w:val="0"/>
        <w:snapToGrid w:val="0"/>
        <w:spacing w:line="360" w:lineRule="auto"/>
        <w:ind w:firstLine="480" w:firstLineChars="200"/>
        <w:jc w:val="right"/>
        <w:rPr>
          <w:rFonts w:hAnsi="宋体" w:cs="微软雅黑"/>
          <w:color w:val="000000"/>
          <w:sz w:val="24"/>
          <w:szCs w:val="24"/>
        </w:rPr>
      </w:pPr>
      <w:r>
        <w:rPr>
          <w:rFonts w:hint="eastAsia" w:hAnsi="宋体" w:cs="微软雅黑"/>
          <w:color w:val="000000"/>
          <w:sz w:val="24"/>
          <w:szCs w:val="24"/>
        </w:rPr>
        <w:t>日期：年 月  日</w:t>
      </w:r>
    </w:p>
    <w:p>
      <w:pPr>
        <w:pageBreakBefore w:val="0"/>
        <w:widowControl/>
        <w:topLinePunct w:val="0"/>
        <w:bidi w:val="0"/>
        <w:adjustRightInd w:val="0"/>
        <w:spacing w:line="360" w:lineRule="auto"/>
        <w:ind w:firstLine="420"/>
        <w:jc w:val="left"/>
        <w:rPr>
          <w:rFonts w:ascii="宋体" w:hAnsi="宋体" w:cs="微软雅黑"/>
          <w:b w:val="0"/>
          <w:bCs/>
          <w:color w:val="000000"/>
          <w:kern w:val="0"/>
          <w:szCs w:val="21"/>
          <w:lang w:val="zh-CN"/>
        </w:rPr>
      </w:pPr>
      <w:r>
        <w:rPr>
          <w:rFonts w:hint="eastAsia" w:ascii="宋体" w:hAnsi="宋体" w:cs="宋体"/>
          <w:szCs w:val="24"/>
          <w:u w:val="single" w:color="000000"/>
        </w:rPr>
        <w:br w:type="page"/>
      </w:r>
    </w:p>
    <w:p>
      <w:pPr>
        <w:pStyle w:val="41"/>
        <w:pageBreakBefore w:val="0"/>
        <w:topLinePunct w:val="0"/>
        <w:bidi w:val="0"/>
        <w:spacing w:line="360" w:lineRule="auto"/>
        <w:rPr>
          <w:color w:val="000000"/>
          <w:lang w:val="zh-CN"/>
        </w:rPr>
      </w:pPr>
    </w:p>
    <w:p>
      <w:pPr>
        <w:pageBreakBefore w:val="0"/>
        <w:widowControl/>
        <w:topLinePunct w:val="0"/>
        <w:bidi w:val="0"/>
        <w:adjustRightInd w:val="0"/>
        <w:spacing w:line="360" w:lineRule="auto"/>
        <w:ind w:firstLine="720"/>
        <w:jc w:val="center"/>
        <w:outlineLvl w:val="0"/>
        <w:rPr>
          <w:rFonts w:ascii="宋体" w:hAnsi="宋体" w:cs="微软雅黑"/>
          <w:color w:val="000000"/>
          <w:kern w:val="0"/>
          <w:sz w:val="36"/>
          <w:szCs w:val="36"/>
          <w:lang w:val="zh-CN"/>
        </w:rPr>
      </w:pPr>
      <w:r>
        <w:rPr>
          <w:rFonts w:hint="eastAsia" w:ascii="宋体" w:hAnsi="宋体" w:cs="微软雅黑"/>
          <w:b/>
          <w:bCs/>
          <w:color w:val="000000"/>
          <w:kern w:val="0"/>
          <w:sz w:val="32"/>
          <w:szCs w:val="32"/>
          <w:lang w:val="zh-CN"/>
        </w:rPr>
        <w:t>法定代表人授权委托书</w:t>
      </w:r>
    </w:p>
    <w:p>
      <w:pPr>
        <w:pageBreakBefore w:val="0"/>
        <w:widowControl/>
        <w:topLinePunct w:val="0"/>
        <w:bidi w:val="0"/>
        <w:adjustRightInd w:val="0"/>
        <w:spacing w:line="360" w:lineRule="auto"/>
        <w:ind w:firstLine="420"/>
        <w:jc w:val="left"/>
        <w:rPr>
          <w:rFonts w:ascii="宋体" w:hAnsi="宋体" w:cs="微软雅黑"/>
          <w:color w:val="000000"/>
          <w:kern w:val="0"/>
          <w:szCs w:val="21"/>
          <w:lang w:val="zh-CN"/>
        </w:rPr>
      </w:pPr>
    </w:p>
    <w:p>
      <w:pPr>
        <w:pageBreakBefore w:val="0"/>
        <w:widowControl/>
        <w:topLinePunct w:val="0"/>
        <w:bidi w:val="0"/>
        <w:adjustRightInd w:val="0"/>
        <w:spacing w:line="360" w:lineRule="auto"/>
        <w:ind w:firstLine="420"/>
        <w:jc w:val="left"/>
        <w:rPr>
          <w:rFonts w:ascii="宋体" w:hAnsi="宋体" w:cs="微软雅黑"/>
          <w:color w:val="000000"/>
          <w:kern w:val="0"/>
          <w:szCs w:val="21"/>
          <w:lang w:val="zh-CN"/>
        </w:rPr>
      </w:pPr>
      <w:r>
        <w:rPr>
          <w:rFonts w:hint="eastAsia" w:ascii="宋体" w:hAnsi="宋体" w:cs="微软雅黑"/>
          <w:color w:val="000000"/>
          <w:kern w:val="0"/>
          <w:szCs w:val="21"/>
          <w:lang w:val="zh-CN"/>
        </w:rPr>
        <w:t>本授权书声明：注册于（投标人住址）的（投标人名称）法定代表人（法定代表人姓名、职务）代表本公司授权在下面签字的（投标人代表姓名、职务）为本公司的合法代理人，就贵方组织的（项目名称）投标，以本公司名义处理一切与之有关的事务。</w:t>
      </w:r>
    </w:p>
    <w:p>
      <w:pPr>
        <w:pageBreakBefore w:val="0"/>
        <w:widowControl/>
        <w:topLinePunct w:val="0"/>
        <w:bidi w:val="0"/>
        <w:adjustRightInd w:val="0"/>
        <w:spacing w:line="360" w:lineRule="auto"/>
        <w:ind w:firstLine="408"/>
        <w:jc w:val="left"/>
        <w:rPr>
          <w:rFonts w:ascii="宋体" w:hAnsi="宋体" w:cs="微软雅黑"/>
          <w:color w:val="000000"/>
          <w:kern w:val="0"/>
          <w:szCs w:val="21"/>
          <w:lang w:val="zh-CN"/>
        </w:rPr>
      </w:pPr>
      <w:r>
        <w:rPr>
          <w:rFonts w:hint="eastAsia" w:ascii="宋体" w:hAnsi="宋体" w:cs="微软雅黑"/>
          <w:color w:val="000000"/>
          <w:kern w:val="0"/>
          <w:szCs w:val="21"/>
          <w:lang w:val="zh-CN"/>
        </w:rPr>
        <w:t>本授权书于    年  月  日签字生效，特此声明。</w:t>
      </w:r>
    </w:p>
    <w:p>
      <w:pPr>
        <w:pageBreakBefore w:val="0"/>
        <w:widowControl/>
        <w:topLinePunct w:val="0"/>
        <w:bidi w:val="0"/>
        <w:adjustRightInd w:val="0"/>
        <w:spacing w:line="360" w:lineRule="auto"/>
        <w:ind w:firstLine="408"/>
        <w:jc w:val="left"/>
        <w:rPr>
          <w:rFonts w:ascii="宋体" w:hAnsi="宋体" w:cs="微软雅黑"/>
          <w:color w:val="000000"/>
          <w:kern w:val="0"/>
          <w:szCs w:val="21"/>
          <w:lang w:val="zh-CN"/>
        </w:rPr>
      </w:pPr>
    </w:p>
    <w:p>
      <w:pPr>
        <w:pageBreakBefore w:val="0"/>
        <w:widowControl/>
        <w:topLinePunct w:val="0"/>
        <w:bidi w:val="0"/>
        <w:adjustRightInd w:val="0"/>
        <w:spacing w:line="360" w:lineRule="auto"/>
        <w:ind w:firstLine="420" w:firstLineChars="200"/>
        <w:jc w:val="left"/>
        <w:rPr>
          <w:rFonts w:ascii="宋体" w:hAnsi="宋体" w:cs="微软雅黑"/>
          <w:color w:val="000000"/>
          <w:kern w:val="0"/>
          <w:szCs w:val="21"/>
          <w:lang w:val="zh-CN"/>
        </w:rPr>
      </w:pPr>
      <w:r>
        <w:rPr>
          <w:rFonts w:hint="eastAsia" w:ascii="宋体" w:hAnsi="宋体" w:cs="微软雅黑"/>
          <w:color w:val="000000"/>
          <w:kern w:val="0"/>
          <w:szCs w:val="21"/>
          <w:lang w:val="zh-CN"/>
        </w:rPr>
        <w:t>法定代表人签字：</w:t>
      </w:r>
    </w:p>
    <w:p>
      <w:pPr>
        <w:pageBreakBefore w:val="0"/>
        <w:widowControl/>
        <w:topLinePunct w:val="0"/>
        <w:bidi w:val="0"/>
        <w:adjustRightInd w:val="0"/>
        <w:spacing w:line="360" w:lineRule="auto"/>
        <w:jc w:val="left"/>
        <w:rPr>
          <w:rFonts w:ascii="宋体" w:hAnsi="宋体" w:cs="微软雅黑"/>
          <w:color w:val="000000"/>
          <w:kern w:val="0"/>
          <w:szCs w:val="21"/>
          <w:lang w:val="zh-CN"/>
        </w:rPr>
      </w:pPr>
      <w:r>
        <w:rPr>
          <w:rFonts w:hint="eastAsia" w:ascii="宋体" w:hAnsi="宋体" w:cs="微软雅黑"/>
          <w:color w:val="000000"/>
          <w:kern w:val="0"/>
          <w:szCs w:val="21"/>
          <w:lang w:val="zh-CN"/>
        </w:rPr>
        <w:t xml:space="preserve">    授权委托人签字：                    </w:t>
      </w:r>
    </w:p>
    <w:p>
      <w:pPr>
        <w:pageBreakBefore w:val="0"/>
        <w:widowControl/>
        <w:tabs>
          <w:tab w:val="left" w:pos="1440"/>
        </w:tabs>
        <w:topLinePunct w:val="0"/>
        <w:bidi w:val="0"/>
        <w:adjustRightInd w:val="0"/>
        <w:spacing w:line="360" w:lineRule="auto"/>
        <w:ind w:firstLine="420"/>
        <w:jc w:val="left"/>
        <w:rPr>
          <w:rFonts w:ascii="宋体" w:hAnsi="宋体" w:cs="微软雅黑"/>
          <w:color w:val="000000"/>
          <w:kern w:val="0"/>
          <w:szCs w:val="21"/>
          <w:lang w:val="zh-CN"/>
        </w:rPr>
      </w:pPr>
      <w:r>
        <w:rPr>
          <w:rFonts w:hint="eastAsia" w:ascii="宋体" w:hAnsi="宋体" w:cs="微软雅黑"/>
          <w:color w:val="000000"/>
          <w:kern w:val="0"/>
          <w:szCs w:val="21"/>
          <w:lang w:val="zh-CN"/>
        </w:rPr>
        <w:t>日        期：        年    月    日</w:t>
      </w:r>
    </w:p>
    <w:p>
      <w:pPr>
        <w:pageBreakBefore w:val="0"/>
        <w:topLinePunct w:val="0"/>
        <w:bidi w:val="0"/>
        <w:spacing w:line="360" w:lineRule="auto"/>
        <w:rPr>
          <w:rFonts w:ascii="宋体" w:hAnsi="宋体" w:cs="宋体"/>
          <w:sz w:val="20"/>
        </w:rPr>
      </w:pPr>
      <w:r>
        <w:rPr>
          <w:rFonts w:hint="eastAsia" w:ascii="宋体" w:hAnsi="宋体" w:cs="宋体"/>
          <w:szCs w:val="24"/>
          <w:u w:val="single" w:color="000000"/>
        </w:rPr>
        <w:br w:type="page"/>
      </w:r>
    </w:p>
    <w:p>
      <w:pPr>
        <w:pageBreakBefore w:val="0"/>
        <w:widowControl/>
        <w:topLinePunct w:val="0"/>
        <w:bidi w:val="0"/>
        <w:adjustRightInd w:val="0"/>
        <w:spacing w:line="360" w:lineRule="auto"/>
        <w:jc w:val="left"/>
        <w:rPr>
          <w:rFonts w:ascii="宋体" w:hAnsi="宋体" w:cs="微软雅黑"/>
          <w:b/>
          <w:color w:val="000000"/>
          <w:kern w:val="0"/>
          <w:szCs w:val="21"/>
          <w:lang w:val="zh-CN"/>
        </w:rPr>
      </w:pPr>
      <w:r>
        <w:rPr>
          <w:rFonts w:hint="eastAsia" w:ascii="宋体" w:hAnsi="宋体" w:cs="微软雅黑"/>
          <w:b/>
          <w:color w:val="000000"/>
          <w:kern w:val="0"/>
          <w:szCs w:val="21"/>
          <w:lang w:val="zh-CN"/>
        </w:rPr>
        <w:t>附件三、开标一览表格式</w:t>
      </w:r>
    </w:p>
    <w:p>
      <w:pPr>
        <w:pageBreakBefore w:val="0"/>
        <w:topLinePunct w:val="0"/>
        <w:bidi w:val="0"/>
        <w:spacing w:line="360" w:lineRule="auto"/>
        <w:rPr>
          <w:rFonts w:ascii="宋体" w:hAnsi="宋体" w:cs="宋体"/>
        </w:rPr>
      </w:pPr>
    </w:p>
    <w:p>
      <w:pPr>
        <w:pStyle w:val="45"/>
        <w:pageBreakBefore w:val="0"/>
        <w:topLinePunct w:val="0"/>
        <w:bidi w:val="0"/>
        <w:spacing w:line="360" w:lineRule="auto"/>
        <w:jc w:val="center"/>
        <w:rPr>
          <w:rFonts w:ascii="宋体" w:hAnsi="宋体" w:eastAsia="宋体" w:cs="宋体"/>
          <w:b/>
          <w:bCs/>
          <w:sz w:val="32"/>
          <w:szCs w:val="32"/>
        </w:rPr>
      </w:pPr>
      <w:r>
        <w:rPr>
          <w:rFonts w:hint="eastAsia" w:ascii="宋体" w:hAnsi="宋体" w:eastAsia="宋体" w:cs="宋体"/>
          <w:b/>
          <w:bCs/>
          <w:sz w:val="32"/>
          <w:szCs w:val="32"/>
        </w:rPr>
        <w:t>开标一览表</w:t>
      </w:r>
    </w:p>
    <w:p>
      <w:pPr>
        <w:pageBreakBefore w:val="0"/>
        <w:topLinePunct w:val="0"/>
        <w:bidi w:val="0"/>
        <w:spacing w:line="360" w:lineRule="auto"/>
        <w:rPr>
          <w:rFonts w:ascii="宋体" w:hAnsi="宋体" w:cs="宋体"/>
        </w:rPr>
      </w:pPr>
      <w:bookmarkStart w:id="60" w:name="_Toc390413383"/>
      <w:bookmarkStart w:id="61" w:name="_Toc416273859"/>
      <w:bookmarkStart w:id="62" w:name="_Toc451622428"/>
      <w:bookmarkStart w:id="63" w:name="_Toc144974864"/>
      <w:bookmarkStart w:id="64" w:name="_Toc227984083"/>
      <w:bookmarkStart w:id="65" w:name="_Toc416273948"/>
      <w:bookmarkStart w:id="66" w:name="_Toc482980316"/>
      <w:bookmarkStart w:id="67" w:name="_Toc152045796"/>
      <w:bookmarkStart w:id="68" w:name="_Toc152042585"/>
    </w:p>
    <w:tbl>
      <w:tblPr>
        <w:tblStyle w:val="61"/>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957"/>
        <w:gridCol w:w="5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668" w:type="dxa"/>
          </w:tcPr>
          <w:p>
            <w:pPr>
              <w:pageBreakBefore w:val="0"/>
              <w:topLinePunct w:val="0"/>
              <w:bidi w:val="0"/>
              <w:spacing w:before="387" w:line="360" w:lineRule="auto"/>
              <w:ind w:firstLine="248"/>
              <w:rPr>
                <w:rFonts w:ascii="宋体" w:hAnsi="宋体" w:cs="宋体"/>
                <w:sz w:val="24"/>
                <w:szCs w:val="24"/>
              </w:rPr>
            </w:pPr>
            <w:r>
              <w:rPr>
                <w:rFonts w:hint="eastAsia" w:ascii="宋体" w:hAnsi="宋体" w:cs="宋体"/>
                <w:sz w:val="24"/>
                <w:szCs w:val="24"/>
              </w:rPr>
              <w:t>1</w:t>
            </w:r>
          </w:p>
        </w:tc>
        <w:tc>
          <w:tcPr>
            <w:tcW w:w="1957" w:type="dxa"/>
          </w:tcPr>
          <w:p>
            <w:pPr>
              <w:pageBreakBefore w:val="0"/>
              <w:topLinePunct w:val="0"/>
              <w:bidi w:val="0"/>
              <w:spacing w:before="373" w:line="360" w:lineRule="auto"/>
              <w:ind w:firstLine="497"/>
              <w:rPr>
                <w:rFonts w:ascii="宋体" w:hAnsi="宋体" w:cs="宋体"/>
                <w:sz w:val="24"/>
                <w:szCs w:val="24"/>
              </w:rPr>
            </w:pPr>
            <w:r>
              <w:rPr>
                <w:rFonts w:hint="eastAsia" w:ascii="宋体" w:hAnsi="宋体" w:cs="宋体"/>
                <w:spacing w:val="-1"/>
                <w:sz w:val="24"/>
                <w:szCs w:val="24"/>
              </w:rPr>
              <w:t>项目名称</w:t>
            </w:r>
          </w:p>
        </w:tc>
        <w:tc>
          <w:tcPr>
            <w:tcW w:w="5899" w:type="dxa"/>
          </w:tcPr>
          <w:p>
            <w:pPr>
              <w:pageBreakBefore w:val="0"/>
              <w:topLinePunct w:val="0"/>
              <w:bidi w:val="0"/>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668" w:type="dxa"/>
          </w:tcPr>
          <w:p>
            <w:pPr>
              <w:pageBreakBefore w:val="0"/>
              <w:topLinePunct w:val="0"/>
              <w:bidi w:val="0"/>
              <w:spacing w:line="360" w:lineRule="auto"/>
              <w:rPr>
                <w:rFonts w:ascii="宋体" w:hAnsi="宋体" w:cs="宋体"/>
              </w:rPr>
            </w:pPr>
          </w:p>
          <w:p>
            <w:pPr>
              <w:pageBreakBefore w:val="0"/>
              <w:topLinePunct w:val="0"/>
              <w:bidi w:val="0"/>
              <w:spacing w:before="103" w:line="360" w:lineRule="auto"/>
              <w:ind w:firstLine="240"/>
              <w:rPr>
                <w:rFonts w:ascii="宋体" w:hAnsi="宋体" w:cs="宋体"/>
                <w:sz w:val="24"/>
                <w:szCs w:val="24"/>
              </w:rPr>
            </w:pPr>
            <w:r>
              <w:rPr>
                <w:rFonts w:hint="eastAsia" w:ascii="宋体" w:hAnsi="宋体" w:cs="宋体"/>
                <w:sz w:val="24"/>
                <w:szCs w:val="24"/>
              </w:rPr>
              <w:t>2</w:t>
            </w:r>
          </w:p>
        </w:tc>
        <w:tc>
          <w:tcPr>
            <w:tcW w:w="1957" w:type="dxa"/>
          </w:tcPr>
          <w:p>
            <w:pPr>
              <w:pageBreakBefore w:val="0"/>
              <w:topLinePunct w:val="0"/>
              <w:bidi w:val="0"/>
              <w:spacing w:line="360" w:lineRule="auto"/>
              <w:rPr>
                <w:rFonts w:ascii="宋体" w:hAnsi="宋体" w:cs="宋体"/>
              </w:rPr>
            </w:pPr>
          </w:p>
          <w:p>
            <w:pPr>
              <w:pageBreakBefore w:val="0"/>
              <w:topLinePunct w:val="0"/>
              <w:bidi w:val="0"/>
              <w:spacing w:before="103" w:line="360" w:lineRule="auto"/>
              <w:ind w:firstLine="499"/>
              <w:rPr>
                <w:rFonts w:ascii="宋体" w:hAnsi="宋体" w:cs="宋体"/>
                <w:sz w:val="24"/>
                <w:szCs w:val="24"/>
              </w:rPr>
            </w:pPr>
            <w:r>
              <w:rPr>
                <w:rFonts w:hint="eastAsia" w:ascii="宋体" w:hAnsi="宋体" w:cs="宋体"/>
                <w:spacing w:val="-1"/>
                <w:sz w:val="24"/>
                <w:szCs w:val="24"/>
              </w:rPr>
              <w:t>投标报价</w:t>
            </w:r>
          </w:p>
        </w:tc>
        <w:tc>
          <w:tcPr>
            <w:tcW w:w="5899" w:type="dxa"/>
          </w:tcPr>
          <w:p>
            <w:pPr>
              <w:pageBreakBefore w:val="0"/>
              <w:topLinePunct w:val="0"/>
              <w:bidi w:val="0"/>
              <w:spacing w:before="87" w:line="360" w:lineRule="auto"/>
              <w:ind w:firstLine="107"/>
              <w:rPr>
                <w:rFonts w:ascii="宋体" w:hAnsi="宋体" w:cs="宋体"/>
                <w:sz w:val="24"/>
                <w:szCs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238760</wp:posOffset>
                      </wp:positionV>
                      <wp:extent cx="1752600" cy="8255"/>
                      <wp:effectExtent l="0" t="0" r="0" b="0"/>
                      <wp:wrapNone/>
                      <wp:docPr id="3" name="矩形 2"/>
                      <wp:cNvGraphicFramePr/>
                      <a:graphic xmlns:a="http://schemas.openxmlformats.org/drawingml/2006/main">
                        <a:graphicData uri="http://schemas.microsoft.com/office/word/2010/wordprocessingShape">
                          <wps:wsp>
                            <wps:cNvSpPr/>
                            <wps:spPr>
                              <a:xfrm>
                                <a:off x="0" y="0"/>
                                <a:ext cx="1752600" cy="8255"/>
                              </a:xfrm>
                              <a:prstGeom prst="rect">
                                <a:avLst/>
                              </a:prstGeom>
                              <a:solidFill>
                                <a:srgbClr val="000000">
                                  <a:alpha val="80392"/>
                                </a:srgbClr>
                              </a:solidFill>
                              <a:ln>
                                <a:noFill/>
                              </a:ln>
                              <a:effectLst/>
                            </wps:spPr>
                            <wps:txbx>
                              <w:txbxContent>
                                <w:p>
                                  <w:pPr>
                                    <w:jc w:val="center"/>
                                  </w:pPr>
                                </w:p>
                              </w:txbxContent>
                            </wps:txbx>
                            <wps:bodyPr upright="1"/>
                          </wps:wsp>
                        </a:graphicData>
                      </a:graphic>
                    </wp:anchor>
                  </w:drawing>
                </mc:Choice>
                <mc:Fallback>
                  <w:pict>
                    <v:rect id="矩形 2" o:spid="_x0000_s1026" o:spt="1" style="position:absolute;left:0pt;margin-left:5.1pt;margin-top:18.8pt;height:0.65pt;width:138pt;z-index:251660288;mso-width-relative:page;mso-height-relative:page;" fillcolor="#000000" filled="t" stroked="f" coordsize="21600,21600" o:gfxdata="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UVMp1wAAAAgBAAAPAAAAAAAAAAEAIAAAACIAAABkcnMvZG93&#10;bnJldi54bWxQSwECFAAUAAAACACHTuJA8LisLMgBAACXAwAADgAAAAAAAAABACAAAAAmAQAAZHJz&#10;L2Uyb0RvYy54bWxQSwUGAAAAAAYABgBZAQAAYAUAAAAA&#10;">
                      <v:fill on="t" opacity="52685f" focussize="0,0"/>
                      <v:stroke on="f"/>
                      <v:imagedata o:title=""/>
                      <o:lock v:ext="edit" aspectratio="f"/>
                      <v:textbox>
                        <w:txbxContent>
                          <w:p>
                            <w:pPr>
                              <w:jc w:val="center"/>
                            </w:pPr>
                          </w:p>
                        </w:txbxContent>
                      </v:textbox>
                    </v:rect>
                  </w:pict>
                </mc:Fallback>
              </mc:AlternateContent>
            </w:r>
            <w:r>
              <w:rPr>
                <w:rFonts w:hint="eastAsia" w:ascii="宋体" w:hAnsi="宋体" w:cs="宋体"/>
                <w:spacing w:val="-4"/>
                <w:sz w:val="24"/>
                <w:szCs w:val="24"/>
              </w:rPr>
              <w:t>人民币（大写）元整</w:t>
            </w:r>
          </w:p>
          <w:p>
            <w:pPr>
              <w:pageBreakBefore w:val="0"/>
              <w:topLinePunct w:val="0"/>
              <w:bidi w:val="0"/>
              <w:spacing w:before="109" w:line="360" w:lineRule="auto"/>
              <w:ind w:firstLine="157"/>
              <w:rPr>
                <w:rFonts w:ascii="宋体" w:hAnsi="宋体" w:cs="宋体"/>
                <w:sz w:val="24"/>
                <w:szCs w:val="24"/>
              </w:rPr>
            </w:pPr>
            <w:r>
              <w:rPr>
                <w:rFonts w:hint="eastAsia" w:ascii="宋体" w:hAnsi="宋体" w:cs="宋体"/>
              </w:rPr>
              <w:drawing>
                <wp:anchor distT="0" distB="0" distL="0" distR="0" simplePos="0" relativeHeight="251659264" behindDoc="0" locked="0" layoutInCell="1" allowOverlap="1">
                  <wp:simplePos x="0" y="0"/>
                  <wp:positionH relativeFrom="column">
                    <wp:posOffset>64770</wp:posOffset>
                  </wp:positionH>
                  <wp:positionV relativeFrom="paragraph">
                    <wp:posOffset>252730</wp:posOffset>
                  </wp:positionV>
                  <wp:extent cx="304800" cy="7620"/>
                  <wp:effectExtent l="0" t="0" r="0" b="0"/>
                  <wp:wrapNone/>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13"/>
                          <a:stretch>
                            <a:fillRect/>
                          </a:stretch>
                        </pic:blipFill>
                        <pic:spPr>
                          <a:xfrm>
                            <a:off x="0" y="0"/>
                            <a:ext cx="304800" cy="7620"/>
                          </a:xfrm>
                          <a:prstGeom prst="rect">
                            <a:avLst/>
                          </a:prstGeom>
                        </pic:spPr>
                      </pic:pic>
                    </a:graphicData>
                  </a:graphic>
                </wp:anchor>
              </w:drawing>
            </w:r>
            <w:r>
              <w:rPr>
                <w:rFonts w:hint="eastAsia" w:ascii="宋体" w:hAnsi="宋体" w:cs="宋体"/>
                <w:spacing w:val="-20"/>
                <w:w w:val="8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668" w:type="dxa"/>
            <w:vAlign w:val="center"/>
          </w:tcPr>
          <w:p>
            <w:pPr>
              <w:pageBreakBefore w:val="0"/>
              <w:topLinePunct w:val="0"/>
              <w:bidi w:val="0"/>
              <w:spacing w:before="307" w:line="360" w:lineRule="auto"/>
              <w:ind w:firstLine="244"/>
              <w:jc w:val="center"/>
              <w:rPr>
                <w:rFonts w:ascii="宋体" w:hAnsi="宋体" w:cs="宋体"/>
                <w:sz w:val="24"/>
                <w:szCs w:val="24"/>
              </w:rPr>
            </w:pPr>
            <w:r>
              <w:rPr>
                <w:rFonts w:hint="eastAsia" w:ascii="宋体" w:hAnsi="宋体" w:cs="宋体"/>
                <w:sz w:val="24"/>
                <w:szCs w:val="24"/>
              </w:rPr>
              <w:t>3</w:t>
            </w:r>
          </w:p>
        </w:tc>
        <w:tc>
          <w:tcPr>
            <w:tcW w:w="1957" w:type="dxa"/>
            <w:vAlign w:val="center"/>
          </w:tcPr>
          <w:p>
            <w:pPr>
              <w:pageBreakBefore w:val="0"/>
              <w:topLinePunct w:val="0"/>
              <w:bidi w:val="0"/>
              <w:spacing w:before="291" w:line="360" w:lineRule="auto"/>
              <w:ind w:firstLine="498"/>
              <w:rPr>
                <w:rFonts w:ascii="宋体" w:hAnsi="宋体" w:cs="宋体"/>
                <w:sz w:val="24"/>
                <w:szCs w:val="24"/>
              </w:rPr>
            </w:pPr>
            <w:r>
              <w:rPr>
                <w:rFonts w:hint="eastAsia" w:ascii="宋体" w:hAnsi="宋体" w:cs="宋体"/>
                <w:spacing w:val="-1"/>
                <w:sz w:val="24"/>
                <w:szCs w:val="24"/>
              </w:rPr>
              <w:t>进场时间</w:t>
            </w:r>
          </w:p>
        </w:tc>
        <w:tc>
          <w:tcPr>
            <w:tcW w:w="5899" w:type="dxa"/>
            <w:vAlign w:val="center"/>
          </w:tcPr>
          <w:p>
            <w:pPr>
              <w:pageBreakBefore w:val="0"/>
              <w:topLinePunct w:val="0"/>
              <w:bidi w:val="0"/>
              <w:spacing w:before="291" w:line="360" w:lineRule="auto"/>
              <w:rPr>
                <w:rFonts w:ascii="宋体" w:hAnsi="宋体" w:cs="宋体"/>
                <w:spacing w:val="-1"/>
                <w:sz w:val="24"/>
                <w:szCs w:val="24"/>
              </w:rPr>
            </w:pPr>
            <w:r>
              <w:rPr>
                <w:rFonts w:hint="eastAsia" w:ascii="宋体" w:hAnsi="宋体" w:cs="宋体"/>
                <w:sz w:val="24"/>
                <w:szCs w:val="24"/>
                <w:lang w:val="en-US" w:eastAsia="zh-CN"/>
              </w:rPr>
              <w:t>45日历</w:t>
            </w:r>
            <w:r>
              <w:rPr>
                <w:rFonts w:hint="eastAsia" w:ascii="宋体" w:hAnsi="宋体" w:cs="宋体"/>
                <w:sz w:val="24"/>
                <w:szCs w:val="24"/>
                <w:lang w:eastAsia="zh-CN"/>
              </w:rPr>
              <w:t>天（</w:t>
            </w:r>
            <w:r>
              <w:rPr>
                <w:rFonts w:hint="eastAsia" w:ascii="宋体" w:hAnsi="宋体" w:cs="宋体"/>
                <w:sz w:val="24"/>
                <w:szCs w:val="24"/>
              </w:rPr>
              <w:t>签订合同后20日历天内完成备货，接到采购人进场通知后5日历天内货到现场(至甲方指定位置)，20日历天内完成安装、调试并验收合格交付甲方使用。</w:t>
            </w:r>
            <w:r>
              <w:rPr>
                <w:rFonts w:hint="eastAsia" w:ascii="宋体" w:hAnsi="宋体" w:cs="宋体"/>
                <w:sz w:val="24"/>
                <w:szCs w:val="24"/>
                <w:lang w:eastAsia="zh-CN"/>
              </w:rPr>
              <w:t>）</w:t>
            </w:r>
          </w:p>
        </w:tc>
      </w:tr>
    </w:tbl>
    <w:p>
      <w:pPr>
        <w:pageBreakBefore w:val="0"/>
        <w:topLinePunct w:val="0"/>
        <w:bidi w:val="0"/>
        <w:spacing w:line="360" w:lineRule="auto"/>
        <w:rPr>
          <w:rFonts w:ascii="微软雅黑"/>
        </w:rPr>
      </w:pPr>
    </w:p>
    <w:p>
      <w:pPr>
        <w:pageBreakBefore w:val="0"/>
        <w:topLinePunct w:val="0"/>
        <w:bidi w:val="0"/>
        <w:spacing w:before="104" w:line="360" w:lineRule="auto"/>
        <w:ind w:firstLine="113"/>
        <w:rPr>
          <w:rFonts w:ascii="宋体" w:hAnsi="宋体" w:cs="宋体"/>
          <w:sz w:val="24"/>
          <w:szCs w:val="24"/>
        </w:rPr>
      </w:pPr>
      <w:r>
        <w:rPr>
          <w:rFonts w:hint="eastAsia" w:ascii="宋体" w:hAnsi="宋体" w:cs="宋体"/>
          <w:spacing w:val="2"/>
          <w:sz w:val="24"/>
          <w:szCs w:val="24"/>
        </w:rPr>
        <w:t>供应商全称（公章</w:t>
      </w:r>
      <w:r>
        <w:rPr>
          <w:rFonts w:hint="eastAsia" w:ascii="宋体" w:hAnsi="宋体" w:cs="宋体"/>
          <w:spacing w:val="-47"/>
          <w:sz w:val="24"/>
          <w:szCs w:val="24"/>
        </w:rPr>
        <w:t>）：</w:t>
      </w:r>
    </w:p>
    <w:p>
      <w:pPr>
        <w:pageBreakBefore w:val="0"/>
        <w:topLinePunct w:val="0"/>
        <w:bidi w:val="0"/>
        <w:spacing w:before="114" w:line="360" w:lineRule="auto"/>
        <w:ind w:firstLine="116"/>
        <w:rPr>
          <w:rFonts w:ascii="宋体" w:hAnsi="宋体" w:cs="宋体"/>
          <w:sz w:val="24"/>
          <w:szCs w:val="24"/>
        </w:rPr>
      </w:pPr>
      <w:r>
        <w:rPr>
          <w:rFonts w:hint="eastAsia" w:ascii="宋体" w:hAnsi="宋体" w:cs="宋体"/>
          <w:spacing w:val="6"/>
          <w:sz w:val="24"/>
          <w:szCs w:val="24"/>
        </w:rPr>
        <w:t>法定代表人（授权代表</w:t>
      </w:r>
      <w:r>
        <w:rPr>
          <w:rFonts w:hint="eastAsia" w:ascii="宋体" w:hAnsi="宋体" w:cs="宋体"/>
          <w:spacing w:val="-46"/>
          <w:sz w:val="24"/>
          <w:szCs w:val="24"/>
        </w:rPr>
        <w:t>）（</w:t>
      </w:r>
      <w:r>
        <w:rPr>
          <w:rFonts w:hint="eastAsia" w:ascii="宋体" w:hAnsi="宋体" w:cs="宋体"/>
          <w:spacing w:val="6"/>
          <w:sz w:val="24"/>
          <w:szCs w:val="24"/>
        </w:rPr>
        <w:t>签字或盖章</w:t>
      </w:r>
      <w:r>
        <w:rPr>
          <w:rFonts w:hint="eastAsia" w:ascii="宋体" w:hAnsi="宋体" w:cs="宋体"/>
          <w:spacing w:val="-46"/>
          <w:sz w:val="24"/>
          <w:szCs w:val="24"/>
        </w:rPr>
        <w:t>）：</w:t>
      </w:r>
    </w:p>
    <w:p>
      <w:pPr>
        <w:pageBreakBefore w:val="0"/>
        <w:topLinePunct w:val="0"/>
        <w:bidi w:val="0"/>
        <w:spacing w:line="360" w:lineRule="auto"/>
        <w:rPr>
          <w:rFonts w:ascii="宋体" w:hAnsi="宋体" w:cs="宋体"/>
        </w:rPr>
      </w:pPr>
    </w:p>
    <w:p>
      <w:pPr>
        <w:pageBreakBefore w:val="0"/>
        <w:topLinePunct w:val="0"/>
        <w:bidi w:val="0"/>
        <w:spacing w:before="78" w:line="360" w:lineRule="auto"/>
        <w:ind w:firstLine="383"/>
        <w:rPr>
          <w:rFonts w:ascii="宋体" w:hAnsi="宋体" w:cs="宋体"/>
          <w:szCs w:val="21"/>
        </w:rPr>
      </w:pPr>
      <w:r>
        <w:rPr>
          <w:rFonts w:hint="eastAsia" w:ascii="宋体" w:hAnsi="宋体" w:cs="宋体"/>
          <w:spacing w:val="-1"/>
          <w:szCs w:val="21"/>
        </w:rPr>
        <w:t>注意:</w:t>
      </w:r>
    </w:p>
    <w:p>
      <w:pPr>
        <w:pageBreakBefore w:val="0"/>
        <w:topLinePunct w:val="0"/>
        <w:bidi w:val="0"/>
        <w:spacing w:before="64" w:line="360" w:lineRule="auto"/>
        <w:ind w:firstLine="455"/>
        <w:rPr>
          <w:rFonts w:ascii="宋体" w:hAnsi="宋体" w:cs="宋体"/>
          <w:szCs w:val="21"/>
        </w:rPr>
      </w:pPr>
      <w:r>
        <w:rPr>
          <w:rFonts w:hint="eastAsia" w:ascii="宋体" w:hAnsi="宋体" w:cs="宋体"/>
          <w:spacing w:val="-4"/>
          <w:szCs w:val="21"/>
        </w:rPr>
        <w:t>（1）供应商不得实质性改动报价一览表格式及内容。</w:t>
      </w:r>
    </w:p>
    <w:p>
      <w:pPr>
        <w:pageBreakBefore w:val="0"/>
        <w:topLinePunct w:val="0"/>
        <w:bidi w:val="0"/>
        <w:spacing w:before="126" w:line="360" w:lineRule="auto"/>
        <w:ind w:left="114" w:right="110" w:firstLine="340"/>
        <w:rPr>
          <w:rFonts w:ascii="宋体" w:hAnsi="宋体" w:cs="宋体"/>
          <w:spacing w:val="-3"/>
          <w:szCs w:val="21"/>
        </w:rPr>
      </w:pPr>
      <w:r>
        <w:rPr>
          <w:rFonts w:hint="eastAsia" w:ascii="宋体" w:hAnsi="宋体" w:cs="宋体"/>
          <w:spacing w:val="-6"/>
          <w:szCs w:val="21"/>
        </w:rPr>
        <w:t>（2）开标一览表除了装订在投标文件中以外，还需要提供一份单独密封的开标一览表，单独密封的开</w:t>
      </w:r>
      <w:r>
        <w:rPr>
          <w:rFonts w:hint="eastAsia" w:ascii="宋体" w:hAnsi="宋体" w:cs="宋体"/>
          <w:spacing w:val="-3"/>
          <w:szCs w:val="21"/>
        </w:rPr>
        <w:t>标一览表仅是为方便唱标所用，如未提供，不构成投标文件的完整性偏离。</w:t>
      </w:r>
    </w:p>
    <w:p>
      <w:pPr>
        <w:pageBreakBefore w:val="0"/>
        <w:topLinePunct w:val="0"/>
        <w:bidi w:val="0"/>
        <w:spacing w:line="360" w:lineRule="auto"/>
        <w:rPr>
          <w:rFonts w:ascii="宋体" w:hAnsi="宋体" w:cs="宋体"/>
          <w:sz w:val="20"/>
        </w:rPr>
      </w:pPr>
      <w:r>
        <w:rPr>
          <w:rFonts w:hint="eastAsia" w:ascii="宋体" w:hAnsi="宋体" w:cs="宋体"/>
          <w:szCs w:val="24"/>
          <w:u w:val="single" w:color="000000"/>
        </w:rPr>
        <w:br w:type="page"/>
      </w:r>
    </w:p>
    <w:p>
      <w:pPr>
        <w:pageBreakBefore w:val="0"/>
        <w:widowControl/>
        <w:topLinePunct w:val="0"/>
        <w:bidi w:val="0"/>
        <w:adjustRightInd w:val="0"/>
        <w:spacing w:line="360" w:lineRule="auto"/>
        <w:jc w:val="left"/>
        <w:rPr>
          <w:rFonts w:ascii="宋体" w:hAnsi="宋体" w:cs="微软雅黑"/>
          <w:b/>
          <w:color w:val="000000"/>
          <w:kern w:val="0"/>
          <w:szCs w:val="21"/>
          <w:lang w:val="zh-CN"/>
        </w:rPr>
      </w:pPr>
      <w:r>
        <w:rPr>
          <w:rFonts w:hint="eastAsia" w:ascii="宋体" w:hAnsi="宋体" w:cs="微软雅黑"/>
          <w:b/>
          <w:color w:val="000000"/>
          <w:kern w:val="0"/>
          <w:szCs w:val="21"/>
          <w:lang w:val="zh-CN"/>
        </w:rPr>
        <w:t>附件四、分项报价表格式</w:t>
      </w:r>
    </w:p>
    <w:p>
      <w:pPr>
        <w:pageBreakBefore w:val="0"/>
        <w:widowControl/>
        <w:topLinePunct w:val="0"/>
        <w:bidi w:val="0"/>
        <w:adjustRightInd w:val="0"/>
        <w:spacing w:line="360" w:lineRule="auto"/>
        <w:jc w:val="left"/>
        <w:rPr>
          <w:rFonts w:ascii="宋体" w:hAnsi="宋体" w:cs="微软雅黑"/>
          <w:b/>
          <w:color w:val="000000"/>
          <w:kern w:val="0"/>
          <w:szCs w:val="21"/>
          <w:lang w:val="zh-CN"/>
        </w:rPr>
      </w:pPr>
    </w:p>
    <w:p>
      <w:pPr>
        <w:pageBreakBefore w:val="0"/>
        <w:widowControl/>
        <w:topLinePunct w:val="0"/>
        <w:bidi w:val="0"/>
        <w:adjustRightInd w:val="0"/>
        <w:spacing w:line="360" w:lineRule="auto"/>
        <w:jc w:val="center"/>
        <w:rPr>
          <w:rFonts w:ascii="宋体" w:hAnsi="宋体" w:cs="微软雅黑"/>
          <w:b/>
          <w:bCs/>
          <w:color w:val="000000"/>
          <w:kern w:val="0"/>
          <w:sz w:val="32"/>
          <w:szCs w:val="32"/>
          <w:lang w:val="zh-CN"/>
        </w:rPr>
      </w:pPr>
      <w:r>
        <w:rPr>
          <w:rFonts w:hint="eastAsia" w:ascii="宋体" w:hAnsi="宋体" w:cs="微软雅黑"/>
          <w:b/>
          <w:bCs/>
          <w:color w:val="000000"/>
          <w:kern w:val="0"/>
          <w:sz w:val="32"/>
          <w:szCs w:val="32"/>
          <w:lang w:val="zh-CN"/>
        </w:rPr>
        <w:t>分项报价表（分项报价内容见清单附件）</w:t>
      </w:r>
    </w:p>
    <w:p>
      <w:pPr>
        <w:pageBreakBefore w:val="0"/>
        <w:widowControl/>
        <w:topLinePunct w:val="0"/>
        <w:bidi w:val="0"/>
        <w:adjustRightInd w:val="0"/>
        <w:spacing w:line="360" w:lineRule="auto"/>
        <w:rPr>
          <w:rFonts w:ascii="宋体" w:hAnsi="宋体" w:cs="微软雅黑"/>
          <w:color w:val="000000"/>
          <w:kern w:val="0"/>
          <w:sz w:val="36"/>
          <w:szCs w:val="36"/>
          <w:lang w:val="zh-CN"/>
        </w:rPr>
      </w:pPr>
      <w:r>
        <w:rPr>
          <w:rFonts w:hint="eastAsia" w:ascii="宋体" w:hAnsi="宋体" w:cs="宋体"/>
          <w:color w:val="000000"/>
          <w:kern w:val="0"/>
          <w:lang w:val="zh-CN"/>
        </w:rPr>
        <w:t>项目名称：                                                         项目编号：</w:t>
      </w:r>
    </w:p>
    <w:tbl>
      <w:tblPr>
        <w:tblStyle w:val="29"/>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993"/>
        <w:gridCol w:w="1701"/>
        <w:gridCol w:w="685"/>
        <w:gridCol w:w="1276"/>
        <w:gridCol w:w="1306"/>
        <w:gridCol w:w="1206"/>
        <w:gridCol w:w="127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26" w:type="dxa"/>
            <w:tcBorders>
              <w:top w:val="single" w:color="auto" w:sz="4" w:space="0"/>
              <w:left w:val="single" w:color="auto" w:sz="4" w:space="0"/>
              <w:bottom w:val="single" w:color="auto" w:sz="4" w:space="0"/>
              <w:right w:val="single" w:color="auto" w:sz="4" w:space="0"/>
            </w:tcBorders>
            <w:vAlign w:val="center"/>
          </w:tcPr>
          <w:p>
            <w:pPr>
              <w:pageBreakBefore w:val="0"/>
              <w:widowControl/>
              <w:topLinePunct w:val="0"/>
              <w:bidi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 xml:space="preserve">序号 </w:t>
            </w:r>
          </w:p>
        </w:tc>
        <w:tc>
          <w:tcPr>
            <w:tcW w:w="993" w:type="dxa"/>
            <w:tcBorders>
              <w:top w:val="single" w:color="auto" w:sz="4" w:space="0"/>
              <w:left w:val="single" w:color="auto" w:sz="4" w:space="0"/>
              <w:right w:val="single" w:color="auto" w:sz="4" w:space="0"/>
            </w:tcBorders>
            <w:vAlign w:val="center"/>
          </w:tcPr>
          <w:p>
            <w:pPr>
              <w:pageBreakBefore w:val="0"/>
              <w:widowControl/>
              <w:topLinePunct w:val="0"/>
              <w:bidi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名称</w:t>
            </w:r>
          </w:p>
        </w:tc>
        <w:tc>
          <w:tcPr>
            <w:tcW w:w="1701" w:type="dxa"/>
            <w:tcBorders>
              <w:top w:val="single" w:color="auto" w:sz="4" w:space="0"/>
              <w:left w:val="single" w:color="auto" w:sz="4" w:space="0"/>
              <w:right w:val="single" w:color="auto" w:sz="4" w:space="0"/>
            </w:tcBorders>
            <w:vAlign w:val="center"/>
          </w:tcPr>
          <w:p>
            <w:pPr>
              <w:pageBreakBefore w:val="0"/>
              <w:widowControl/>
              <w:topLinePunct w:val="0"/>
              <w:bidi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品牌、规格或</w:t>
            </w:r>
          </w:p>
          <w:p>
            <w:pPr>
              <w:pageBreakBefore w:val="0"/>
              <w:widowControl/>
              <w:topLinePunct w:val="0"/>
              <w:bidi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型号</w:t>
            </w:r>
          </w:p>
        </w:tc>
        <w:tc>
          <w:tcPr>
            <w:tcW w:w="685" w:type="dxa"/>
            <w:tcBorders>
              <w:top w:val="single" w:color="auto" w:sz="4" w:space="0"/>
              <w:left w:val="single" w:color="auto" w:sz="4" w:space="0"/>
              <w:right w:val="single" w:color="auto" w:sz="4" w:space="0"/>
            </w:tcBorders>
            <w:vAlign w:val="center"/>
          </w:tcPr>
          <w:p>
            <w:pPr>
              <w:pageBreakBefore w:val="0"/>
              <w:widowControl/>
              <w:topLinePunct w:val="0"/>
              <w:bidi w:val="0"/>
              <w:adjustRightInd w:val="0"/>
              <w:spacing w:line="360" w:lineRule="auto"/>
              <w:jc w:val="center"/>
              <w:rPr>
                <w:rFonts w:ascii="宋体" w:hAnsi="宋体" w:cs="宋体"/>
                <w:color w:val="000000"/>
                <w:kern w:val="0"/>
                <w:szCs w:val="21"/>
                <w:lang w:val="zh-CN"/>
              </w:rPr>
            </w:pPr>
            <w:r>
              <w:rPr>
                <w:rFonts w:ascii="宋体" w:hAnsi="宋体" w:cs="宋体"/>
                <w:color w:val="000000"/>
                <w:kern w:val="0"/>
                <w:szCs w:val="21"/>
                <w:lang w:val="zh-CN"/>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widowControl/>
              <w:topLinePunct w:val="0"/>
              <w:bidi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单价</w:t>
            </w:r>
          </w:p>
          <w:p>
            <w:pPr>
              <w:pageBreakBefore w:val="0"/>
              <w:widowControl/>
              <w:topLinePunct w:val="0"/>
              <w:bidi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rPr>
              <w:t>（元）</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widowControl/>
              <w:topLinePunct w:val="0"/>
              <w:bidi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总价</w:t>
            </w:r>
          </w:p>
          <w:p>
            <w:pPr>
              <w:pageBreakBefore w:val="0"/>
              <w:widowControl/>
              <w:topLinePunct w:val="0"/>
              <w:bidi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（元）</w:t>
            </w:r>
          </w:p>
        </w:tc>
        <w:tc>
          <w:tcPr>
            <w:tcW w:w="1206" w:type="dxa"/>
            <w:tcBorders>
              <w:top w:val="single" w:color="auto" w:sz="4" w:space="0"/>
              <w:left w:val="single" w:color="auto" w:sz="4" w:space="0"/>
              <w:bottom w:val="single" w:color="auto" w:sz="4" w:space="0"/>
              <w:right w:val="single" w:color="auto" w:sz="4" w:space="0"/>
            </w:tcBorders>
            <w:vAlign w:val="center"/>
          </w:tcPr>
          <w:p>
            <w:pPr>
              <w:pageBreakBefore w:val="0"/>
              <w:widowControl/>
              <w:topLinePunct w:val="0"/>
              <w:bidi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rPr>
              <w:t>是否属于小、微型企业的产品</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topLinePunct w:val="0"/>
              <w:bidi w:val="0"/>
              <w:spacing w:line="360" w:lineRule="auto"/>
              <w:jc w:val="center"/>
              <w:rPr>
                <w:rFonts w:ascii="宋体" w:hAnsi="宋体"/>
                <w:color w:val="000000"/>
                <w:szCs w:val="21"/>
              </w:rPr>
            </w:pPr>
            <w:r>
              <w:rPr>
                <w:rFonts w:hint="eastAsia" w:ascii="宋体" w:hAnsi="宋体" w:cs="宋体"/>
                <w:color w:val="000000"/>
                <w:kern w:val="0"/>
                <w:szCs w:val="21"/>
              </w:rPr>
              <w:t>是否属于残疾人福利单位的产品</w:t>
            </w:r>
          </w:p>
        </w:tc>
        <w:tc>
          <w:tcPr>
            <w:tcW w:w="1128" w:type="dxa"/>
            <w:tcBorders>
              <w:top w:val="single" w:color="auto" w:sz="4" w:space="0"/>
              <w:left w:val="single" w:color="auto" w:sz="4" w:space="0"/>
              <w:bottom w:val="single" w:color="auto" w:sz="4" w:space="0"/>
              <w:right w:val="single" w:color="auto" w:sz="4" w:space="0"/>
            </w:tcBorders>
            <w:vAlign w:val="center"/>
          </w:tcPr>
          <w:p>
            <w:pPr>
              <w:pageBreakBefore w:val="0"/>
              <w:topLinePunct w:val="0"/>
              <w:bidi w:val="0"/>
              <w:spacing w:line="360" w:lineRule="auto"/>
              <w:jc w:val="center"/>
              <w:rPr>
                <w:rFonts w:ascii="宋体" w:hAnsi="宋体"/>
                <w:color w:val="000000"/>
                <w:szCs w:val="21"/>
              </w:rPr>
            </w:pPr>
            <w:r>
              <w:rPr>
                <w:rFonts w:hint="eastAsia" w:ascii="宋体" w:hAnsi="宋体" w:cs="宋体"/>
                <w:color w:val="000000"/>
                <w:kern w:val="0"/>
                <w:szCs w:val="21"/>
              </w:rPr>
              <w:t>是否属于监狱企业的产品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2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993"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701"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685"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7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30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0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7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128"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2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993"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701"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685"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7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30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0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7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128"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2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993"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701"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685"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7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30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0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7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128"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2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993"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701"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685"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7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30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0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7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128"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2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993"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701"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685"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7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30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0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7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128"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2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993"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701"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685" w:type="dxa"/>
            <w:tcBorders>
              <w:left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7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30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0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276"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c>
          <w:tcPr>
            <w:tcW w:w="1128" w:type="dxa"/>
            <w:tcBorders>
              <w:top w:val="single" w:color="auto" w:sz="4" w:space="0"/>
              <w:left w:val="single" w:color="auto" w:sz="4" w:space="0"/>
              <w:bottom w:val="single" w:color="auto" w:sz="4" w:space="0"/>
              <w:right w:val="single" w:color="auto" w:sz="4" w:space="0"/>
            </w:tcBorders>
          </w:tcPr>
          <w:p>
            <w:pPr>
              <w:pageBreakBefore w:val="0"/>
              <w:widowControl/>
              <w:topLinePunct w:val="0"/>
              <w:bidi w:val="0"/>
              <w:adjustRightInd w:val="0"/>
              <w:spacing w:line="360" w:lineRule="auto"/>
              <w:jc w:val="left"/>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281" w:type="dxa"/>
            <w:gridSpan w:val="5"/>
            <w:tcBorders>
              <w:top w:val="single" w:color="auto" w:sz="4" w:space="0"/>
              <w:left w:val="single" w:color="auto" w:sz="4" w:space="0"/>
              <w:bottom w:val="single" w:color="auto" w:sz="4" w:space="0"/>
              <w:right w:val="single" w:color="auto" w:sz="4" w:space="0"/>
            </w:tcBorders>
            <w:vAlign w:val="center"/>
          </w:tcPr>
          <w:p>
            <w:pPr>
              <w:pageBreakBefore w:val="0"/>
              <w:widowControl/>
              <w:topLinePunct w:val="0"/>
              <w:bidi w:val="0"/>
              <w:adjustRightInd w:val="0"/>
              <w:spacing w:line="360" w:lineRule="auto"/>
              <w:jc w:val="center"/>
              <w:rPr>
                <w:rFonts w:ascii="宋体" w:hAnsi="宋体" w:cs="宋体"/>
                <w:color w:val="000000"/>
                <w:kern w:val="0"/>
              </w:rPr>
            </w:pPr>
            <w:r>
              <w:rPr>
                <w:rFonts w:hint="eastAsia" w:ascii="宋体" w:hAnsi="宋体" w:cs="宋体"/>
                <w:color w:val="000000"/>
                <w:kern w:val="0"/>
              </w:rPr>
              <w:t>合计（人民币/元）</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widowControl/>
              <w:topLinePunct w:val="0"/>
              <w:bidi w:val="0"/>
              <w:adjustRightInd w:val="0"/>
              <w:spacing w:line="360" w:lineRule="auto"/>
              <w:rPr>
                <w:rFonts w:ascii="宋体" w:hAnsi="宋体" w:cs="宋体"/>
                <w:color w:val="000000"/>
                <w:kern w:val="0"/>
                <w:lang w:val="zh-CN"/>
              </w:rPr>
            </w:pPr>
          </w:p>
        </w:tc>
        <w:tc>
          <w:tcPr>
            <w:tcW w:w="1206" w:type="dxa"/>
            <w:tcBorders>
              <w:top w:val="single" w:color="auto" w:sz="4" w:space="0"/>
              <w:left w:val="single" w:color="auto" w:sz="4" w:space="0"/>
              <w:bottom w:val="single" w:color="auto" w:sz="4" w:space="0"/>
              <w:right w:val="single" w:color="auto" w:sz="4" w:space="0"/>
            </w:tcBorders>
            <w:vAlign w:val="center"/>
          </w:tcPr>
          <w:p>
            <w:pPr>
              <w:pageBreakBefore w:val="0"/>
              <w:widowControl/>
              <w:topLinePunct w:val="0"/>
              <w:bidi w:val="0"/>
              <w:adjustRightInd w:val="0"/>
              <w:spacing w:line="360" w:lineRule="auto"/>
              <w:rPr>
                <w:rFonts w:ascii="宋体" w:hAnsi="宋体" w:cs="宋体"/>
                <w:color w:val="000000"/>
                <w:kern w:val="0"/>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widowControl/>
              <w:topLinePunct w:val="0"/>
              <w:bidi w:val="0"/>
              <w:adjustRightInd w:val="0"/>
              <w:spacing w:line="360" w:lineRule="auto"/>
              <w:rPr>
                <w:rFonts w:ascii="宋体" w:hAnsi="宋体" w:cs="宋体"/>
                <w:color w:val="000000"/>
                <w:kern w:val="0"/>
                <w:lang w:val="zh-CN"/>
              </w:rPr>
            </w:pPr>
          </w:p>
        </w:tc>
        <w:tc>
          <w:tcPr>
            <w:tcW w:w="1128" w:type="dxa"/>
            <w:tcBorders>
              <w:top w:val="single" w:color="auto" w:sz="4" w:space="0"/>
              <w:left w:val="single" w:color="auto" w:sz="4" w:space="0"/>
              <w:bottom w:val="single" w:color="auto" w:sz="4" w:space="0"/>
              <w:right w:val="single" w:color="auto" w:sz="4" w:space="0"/>
            </w:tcBorders>
            <w:vAlign w:val="center"/>
          </w:tcPr>
          <w:p>
            <w:pPr>
              <w:pageBreakBefore w:val="0"/>
              <w:widowControl/>
              <w:topLinePunct w:val="0"/>
              <w:bidi w:val="0"/>
              <w:adjustRightInd w:val="0"/>
              <w:spacing w:line="360" w:lineRule="auto"/>
              <w:rPr>
                <w:rFonts w:ascii="宋体" w:hAnsi="宋体" w:cs="宋体"/>
                <w:color w:val="000000"/>
                <w:kern w:val="0"/>
                <w:lang w:val="zh-CN"/>
              </w:rPr>
            </w:pPr>
          </w:p>
        </w:tc>
      </w:tr>
    </w:tbl>
    <w:p>
      <w:pPr>
        <w:pageBreakBefore w:val="0"/>
        <w:widowControl/>
        <w:topLinePunct w:val="0"/>
        <w:bidi w:val="0"/>
        <w:adjustRightInd w:val="0"/>
        <w:spacing w:line="360" w:lineRule="auto"/>
        <w:jc w:val="left"/>
        <w:rPr>
          <w:rFonts w:ascii="宋体" w:hAnsi="宋体" w:cs="微软雅黑"/>
          <w:color w:val="000000"/>
          <w:kern w:val="0"/>
          <w:szCs w:val="21"/>
          <w:lang w:val="zh-CN"/>
        </w:rPr>
      </w:pPr>
    </w:p>
    <w:p>
      <w:pPr>
        <w:pageBreakBefore w:val="0"/>
        <w:widowControl/>
        <w:topLinePunct w:val="0"/>
        <w:bidi w:val="0"/>
        <w:adjustRightInd w:val="0"/>
        <w:spacing w:line="360" w:lineRule="auto"/>
        <w:jc w:val="left"/>
        <w:rPr>
          <w:rFonts w:ascii="宋体" w:hAnsi="宋体" w:cs="微软雅黑"/>
          <w:color w:val="000000"/>
          <w:kern w:val="0"/>
          <w:szCs w:val="21"/>
          <w:lang w:val="zh-CN"/>
        </w:rPr>
      </w:pPr>
      <w:r>
        <w:rPr>
          <w:rFonts w:hint="eastAsia" w:ascii="宋体" w:hAnsi="宋体" w:cs="微软雅黑"/>
          <w:color w:val="000000"/>
          <w:kern w:val="0"/>
          <w:szCs w:val="21"/>
          <w:lang w:val="zh-CN"/>
        </w:rPr>
        <w:t>供应商名称：（盖章）</w:t>
      </w:r>
    </w:p>
    <w:p>
      <w:pPr>
        <w:pageBreakBefore w:val="0"/>
        <w:widowControl/>
        <w:topLinePunct w:val="0"/>
        <w:bidi w:val="0"/>
        <w:adjustRightInd w:val="0"/>
        <w:spacing w:line="360" w:lineRule="auto"/>
        <w:jc w:val="left"/>
        <w:rPr>
          <w:rFonts w:ascii="宋体" w:hAnsi="宋体" w:cs="微软雅黑"/>
          <w:color w:val="000000"/>
          <w:kern w:val="0"/>
          <w:szCs w:val="21"/>
          <w:lang w:val="zh-CN"/>
        </w:rPr>
      </w:pPr>
      <w:r>
        <w:rPr>
          <w:rFonts w:hint="eastAsia" w:ascii="宋体" w:hAnsi="宋体" w:cs="微软雅黑"/>
          <w:color w:val="000000"/>
          <w:kern w:val="0"/>
          <w:szCs w:val="21"/>
          <w:lang w:val="zh-CN"/>
        </w:rPr>
        <w:t>说明：1、如果行数不够，请自行增加。</w:t>
      </w:r>
    </w:p>
    <w:p>
      <w:pPr>
        <w:keepNext w:val="0"/>
        <w:keepLines w:val="0"/>
        <w:pageBreakBefore w:val="0"/>
        <w:widowControl/>
        <w:kinsoku/>
        <w:wordWrap/>
        <w:overflowPunct/>
        <w:topLinePunct w:val="0"/>
        <w:autoSpaceDE/>
        <w:autoSpaceDN/>
        <w:bidi w:val="0"/>
        <w:adjustRightInd w:val="0"/>
        <w:snapToGrid/>
        <w:spacing w:line="360" w:lineRule="auto"/>
        <w:ind w:firstLine="630" w:firstLineChars="300"/>
        <w:jc w:val="left"/>
        <w:textAlignment w:val="auto"/>
        <w:rPr>
          <w:color w:val="000000"/>
          <w:lang w:val="zh-CN"/>
        </w:rPr>
      </w:pPr>
      <w:r>
        <w:rPr>
          <w:rFonts w:hint="eastAsia" w:ascii="宋体" w:hAnsi="宋体" w:cs="微软雅黑"/>
          <w:color w:val="000000"/>
          <w:kern w:val="0"/>
          <w:szCs w:val="21"/>
          <w:lang w:val="zh-CN"/>
        </w:rPr>
        <w:t>2、在“</w:t>
      </w:r>
      <w:r>
        <w:rPr>
          <w:rFonts w:hint="eastAsia" w:ascii="宋体" w:hAnsi="宋体" w:cs="微软雅黑"/>
          <w:color w:val="000000"/>
          <w:kern w:val="0"/>
          <w:szCs w:val="21"/>
        </w:rPr>
        <w:t>是否属于小、微型企业的产品</w:t>
      </w:r>
      <w:r>
        <w:rPr>
          <w:rFonts w:hint="eastAsia" w:ascii="宋体" w:hAnsi="宋体" w:cs="微软雅黑"/>
          <w:color w:val="000000"/>
          <w:kern w:val="0"/>
          <w:szCs w:val="21"/>
          <w:lang w:val="zh-CN"/>
        </w:rPr>
        <w:t>”“</w:t>
      </w:r>
      <w:r>
        <w:rPr>
          <w:rFonts w:hint="eastAsia" w:ascii="宋体" w:hAnsi="宋体" w:cs="微软雅黑"/>
          <w:color w:val="000000"/>
          <w:kern w:val="0"/>
          <w:szCs w:val="21"/>
        </w:rPr>
        <w:t>是否属于残疾人福利单位的产品</w:t>
      </w:r>
      <w:r>
        <w:rPr>
          <w:rFonts w:hint="eastAsia" w:ascii="宋体" w:hAnsi="宋体" w:cs="微软雅黑"/>
          <w:color w:val="000000"/>
          <w:kern w:val="0"/>
          <w:szCs w:val="21"/>
          <w:lang w:val="zh-CN"/>
        </w:rPr>
        <w:t>”“</w:t>
      </w:r>
      <w:r>
        <w:rPr>
          <w:rFonts w:hint="eastAsia" w:ascii="宋体" w:hAnsi="宋体" w:cs="微软雅黑"/>
          <w:color w:val="000000"/>
          <w:kern w:val="0"/>
          <w:szCs w:val="21"/>
        </w:rPr>
        <w:t>是否属于监狱企业的产品</w:t>
      </w:r>
      <w:r>
        <w:rPr>
          <w:rFonts w:hint="eastAsia" w:ascii="宋体" w:hAnsi="宋体" w:cs="微软雅黑"/>
          <w:color w:val="000000"/>
          <w:kern w:val="0"/>
          <w:szCs w:val="21"/>
          <w:lang w:val="zh-CN"/>
        </w:rPr>
        <w:t>”栏内，填写“是”或“否”</w:t>
      </w:r>
      <w:r>
        <w:rPr>
          <w:rFonts w:hint="eastAsia" w:ascii="宋体" w:hAnsi="宋体" w:cs="微软雅黑"/>
          <w:color w:val="000000"/>
          <w:kern w:val="0"/>
          <w:szCs w:val="21"/>
        </w:rPr>
        <w:t>，如果产品报价无法划分计算的，评标时将不予认可。</w:t>
      </w:r>
    </w:p>
    <w:p>
      <w:pPr>
        <w:pStyle w:val="41"/>
        <w:pageBreakBefore w:val="0"/>
        <w:topLinePunct w:val="0"/>
        <w:bidi w:val="0"/>
        <w:spacing w:line="360" w:lineRule="auto"/>
        <w:rPr>
          <w:color w:val="000000"/>
          <w:lang w:val="zh-CN"/>
        </w:rPr>
      </w:pPr>
    </w:p>
    <w:p>
      <w:pPr>
        <w:pStyle w:val="14"/>
        <w:pageBreakBefore w:val="0"/>
        <w:topLinePunct w:val="0"/>
        <w:bidi w:val="0"/>
        <w:spacing w:line="360" w:lineRule="auto"/>
        <w:sectPr>
          <w:headerReference r:id="rId6" w:type="default"/>
          <w:footerReference r:id="rId7" w:type="default"/>
          <w:pgSz w:w="11906" w:h="16839"/>
          <w:pgMar w:top="1440" w:right="1080" w:bottom="1440" w:left="1080" w:header="878" w:footer="1016" w:gutter="0"/>
          <w:cols w:space="720" w:num="1"/>
        </w:sectPr>
      </w:pPr>
    </w:p>
    <w:p>
      <w:pPr>
        <w:pageBreakBefore w:val="0"/>
        <w:topLinePunct w:val="0"/>
        <w:bidi w:val="0"/>
        <w:spacing w:line="360" w:lineRule="auto"/>
        <w:rPr>
          <w:rFonts w:ascii="宋体" w:hAnsi="宋体" w:cs="宋体"/>
        </w:rPr>
      </w:pPr>
    </w:p>
    <w:bookmarkEnd w:id="60"/>
    <w:bookmarkEnd w:id="61"/>
    <w:bookmarkEnd w:id="62"/>
    <w:bookmarkEnd w:id="63"/>
    <w:bookmarkEnd w:id="64"/>
    <w:bookmarkEnd w:id="65"/>
    <w:bookmarkEnd w:id="66"/>
    <w:bookmarkEnd w:id="67"/>
    <w:bookmarkEnd w:id="68"/>
    <w:p>
      <w:pPr>
        <w:pageBreakBefore w:val="0"/>
        <w:widowControl/>
        <w:topLinePunct w:val="0"/>
        <w:bidi w:val="0"/>
        <w:adjustRightInd w:val="0"/>
        <w:spacing w:line="360" w:lineRule="auto"/>
        <w:jc w:val="left"/>
        <w:rPr>
          <w:rFonts w:ascii="宋体" w:hAnsi="宋体" w:cs="微软雅黑"/>
          <w:b/>
          <w:color w:val="000000"/>
          <w:kern w:val="0"/>
          <w:szCs w:val="21"/>
          <w:lang w:val="zh-CN"/>
        </w:rPr>
      </w:pPr>
      <w:r>
        <w:rPr>
          <w:rFonts w:hint="eastAsia" w:ascii="宋体" w:hAnsi="宋体" w:cs="微软雅黑"/>
          <w:b/>
          <w:color w:val="000000"/>
          <w:kern w:val="0"/>
          <w:szCs w:val="21"/>
          <w:lang w:val="zh-CN"/>
        </w:rPr>
        <w:t>附件五、资格证明文件</w:t>
      </w:r>
    </w:p>
    <w:p>
      <w:pPr>
        <w:pStyle w:val="21"/>
        <w:pageBreakBefore w:val="0"/>
        <w:topLinePunct w:val="0"/>
        <w:bidi w:val="0"/>
        <w:spacing w:line="360" w:lineRule="auto"/>
        <w:rPr>
          <w:rFonts w:hAnsi="宋体" w:eastAsia="宋体" w:cs="宋体"/>
        </w:rPr>
      </w:pPr>
    </w:p>
    <w:p>
      <w:pPr>
        <w:pStyle w:val="21"/>
        <w:pageBreakBefore w:val="0"/>
        <w:topLinePunct w:val="0"/>
        <w:bidi w:val="0"/>
        <w:spacing w:line="360" w:lineRule="auto"/>
        <w:jc w:val="center"/>
        <w:rPr>
          <w:rFonts w:hAnsi="宋体" w:eastAsia="宋体" w:cs="宋体"/>
        </w:rPr>
      </w:pPr>
      <w:r>
        <w:rPr>
          <w:rFonts w:hint="eastAsia" w:hAnsi="宋体" w:eastAsia="宋体" w:cs="宋体"/>
        </w:rPr>
        <w:t>（包含不限于以下内容）</w:t>
      </w:r>
    </w:p>
    <w:p>
      <w:pPr>
        <w:pStyle w:val="21"/>
        <w:pageBreakBefore w:val="0"/>
        <w:topLinePunct w:val="0"/>
        <w:bidi w:val="0"/>
        <w:spacing w:line="360" w:lineRule="auto"/>
        <w:rPr>
          <w:rFonts w:hAnsi="宋体" w:eastAsia="宋体" w:cs="宋体"/>
        </w:rPr>
      </w:pPr>
    </w:p>
    <w:p>
      <w:pPr>
        <w:pageBreakBefore w:val="0"/>
        <w:topLinePunct w:val="0"/>
        <w:bidi w:val="0"/>
        <w:spacing w:line="360" w:lineRule="auto"/>
        <w:ind w:firstLine="420" w:firstLineChars="200"/>
        <w:rPr>
          <w:rFonts w:hint="eastAsia" w:ascii="宋体" w:hAnsi="宋体" w:cs="宋体"/>
          <w:szCs w:val="22"/>
        </w:rPr>
      </w:pPr>
      <w:bookmarkStart w:id="69" w:name="_Toc482980327"/>
      <w:r>
        <w:rPr>
          <w:rFonts w:hint="eastAsia" w:ascii="宋体" w:hAnsi="宋体" w:cs="宋体"/>
          <w:szCs w:val="22"/>
        </w:rPr>
        <w:t>1.满足《中华人民共和国政府采购法》第二十二条规定，并依照政府采购法实施条例第十七条规定提供材料：</w:t>
      </w:r>
    </w:p>
    <w:p>
      <w:pPr>
        <w:pageBreakBefore w:val="0"/>
        <w:topLinePunct w:val="0"/>
        <w:bidi w:val="0"/>
        <w:spacing w:line="360" w:lineRule="auto"/>
        <w:ind w:firstLine="420" w:firstLineChars="200"/>
        <w:rPr>
          <w:rFonts w:hint="eastAsia" w:ascii="宋体" w:hAnsi="宋体" w:cs="宋体"/>
          <w:szCs w:val="22"/>
        </w:rPr>
      </w:pPr>
      <w:r>
        <w:rPr>
          <w:rFonts w:hint="eastAsia" w:ascii="宋体" w:hAnsi="宋体" w:cs="宋体"/>
          <w:szCs w:val="22"/>
        </w:rPr>
        <w:t>（1）具有独立承担民事责任的能力（提供法人或者其他组织的营业执照，自然人的身份证）；</w:t>
      </w:r>
    </w:p>
    <w:p>
      <w:pPr>
        <w:pageBreakBefore w:val="0"/>
        <w:topLinePunct w:val="0"/>
        <w:bidi w:val="0"/>
        <w:spacing w:line="360" w:lineRule="auto"/>
        <w:ind w:firstLine="420" w:firstLineChars="200"/>
        <w:rPr>
          <w:rFonts w:hint="eastAsia" w:ascii="宋体" w:hAnsi="宋体" w:cs="宋体"/>
          <w:szCs w:val="22"/>
        </w:rPr>
      </w:pPr>
      <w:r>
        <w:rPr>
          <w:rFonts w:hint="eastAsia" w:ascii="宋体" w:hAnsi="宋体" w:cs="宋体"/>
          <w:szCs w:val="22"/>
        </w:rPr>
        <w:t>（2）具有良好的商业信誉和健全的财务会计制度（提供参加本次政府采购活动前的会计报表）；</w:t>
      </w:r>
    </w:p>
    <w:p>
      <w:pPr>
        <w:pageBreakBefore w:val="0"/>
        <w:topLinePunct w:val="0"/>
        <w:bidi w:val="0"/>
        <w:spacing w:line="360" w:lineRule="auto"/>
        <w:ind w:firstLine="420" w:firstLineChars="200"/>
        <w:rPr>
          <w:rFonts w:hint="eastAsia" w:ascii="宋体" w:hAnsi="宋体" w:cs="宋体"/>
          <w:szCs w:val="22"/>
        </w:rPr>
      </w:pPr>
      <w:r>
        <w:rPr>
          <w:rFonts w:hint="eastAsia" w:ascii="宋体" w:hAnsi="宋体" w:cs="宋体"/>
          <w:szCs w:val="22"/>
        </w:rPr>
        <w:t>（3）具有履行合同所必需的设备和专业技术能力（根据项目需求提供履行合同所必需的设备和专业技术能力的证明材料）；</w:t>
      </w:r>
    </w:p>
    <w:p>
      <w:pPr>
        <w:pageBreakBefore w:val="0"/>
        <w:topLinePunct w:val="0"/>
        <w:bidi w:val="0"/>
        <w:spacing w:line="360" w:lineRule="auto"/>
        <w:ind w:firstLine="420" w:firstLineChars="200"/>
        <w:rPr>
          <w:rFonts w:hint="eastAsia" w:ascii="宋体" w:hAnsi="宋体" w:cs="宋体"/>
          <w:szCs w:val="22"/>
        </w:rPr>
      </w:pPr>
      <w:r>
        <w:rPr>
          <w:rFonts w:hint="eastAsia" w:ascii="宋体" w:hAnsi="宋体" w:cs="宋体"/>
          <w:szCs w:val="22"/>
        </w:rPr>
        <w:t>（4）有依法缴纳税收和社会保障资金的良好记录（提供参加本次政府采购活动前半年内（至少一个月）依法缴纳税收和社会保障资金的相关材料）；</w:t>
      </w:r>
    </w:p>
    <w:p>
      <w:pPr>
        <w:pageBreakBefore w:val="0"/>
        <w:topLinePunct w:val="0"/>
        <w:bidi w:val="0"/>
        <w:spacing w:line="360" w:lineRule="auto"/>
        <w:ind w:firstLine="420" w:firstLineChars="200"/>
        <w:rPr>
          <w:rFonts w:hint="eastAsia" w:ascii="宋体" w:hAnsi="宋体" w:cs="宋体"/>
          <w:szCs w:val="22"/>
        </w:rPr>
      </w:pPr>
      <w:r>
        <w:rPr>
          <w:rFonts w:hint="eastAsia" w:ascii="宋体" w:hAnsi="宋体" w:cs="宋体"/>
          <w:szCs w:val="22"/>
        </w:rPr>
        <w:t>（5）参加政府采购活动前三年内，在经营活动中没有重大违法记录（提供参加本次政府采购活动前3年内在经营活动中没有重大违法记录的书面声明，格式自拟）；</w:t>
      </w:r>
    </w:p>
    <w:p>
      <w:pPr>
        <w:pageBreakBefore w:val="0"/>
        <w:topLinePunct w:val="0"/>
        <w:bidi w:val="0"/>
        <w:spacing w:line="360" w:lineRule="auto"/>
        <w:ind w:firstLine="420" w:firstLineChars="200"/>
        <w:rPr>
          <w:rFonts w:hint="eastAsia" w:ascii="宋体" w:hAnsi="宋体" w:cs="宋体"/>
          <w:szCs w:val="22"/>
        </w:rPr>
      </w:pPr>
      <w:r>
        <w:rPr>
          <w:rFonts w:hint="eastAsia" w:ascii="宋体" w:hAnsi="宋体" w:cs="宋体"/>
          <w:szCs w:val="22"/>
        </w:rPr>
        <w:t>（6）法律、行政法规规定的其他条件（提供项目实施所必须的许可资质证明材料）：无。</w:t>
      </w:r>
    </w:p>
    <w:p>
      <w:pPr>
        <w:pageBreakBefore w:val="0"/>
        <w:topLinePunct w:val="0"/>
        <w:bidi w:val="0"/>
        <w:spacing w:line="360" w:lineRule="auto"/>
        <w:ind w:firstLine="420" w:firstLineChars="200"/>
        <w:rPr>
          <w:rFonts w:hint="eastAsia" w:ascii="宋体" w:hAnsi="宋体" w:cs="宋体"/>
          <w:szCs w:val="22"/>
        </w:rPr>
      </w:pPr>
      <w:r>
        <w:rPr>
          <w:rFonts w:hint="eastAsia" w:ascii="宋体" w:hAnsi="宋体" w:cs="宋体"/>
          <w:szCs w:val="22"/>
        </w:rPr>
        <w:t>2.落实政府采购政策需满足的资格要求：无。</w:t>
      </w:r>
    </w:p>
    <w:p>
      <w:pPr>
        <w:pageBreakBefore w:val="0"/>
        <w:topLinePunct w:val="0"/>
        <w:bidi w:val="0"/>
        <w:spacing w:line="360" w:lineRule="auto"/>
        <w:ind w:firstLine="420" w:firstLineChars="200"/>
        <w:rPr>
          <w:rFonts w:hint="eastAsia" w:ascii="宋体" w:hAnsi="宋体" w:cs="宋体"/>
          <w:szCs w:val="22"/>
        </w:rPr>
      </w:pPr>
      <w:r>
        <w:rPr>
          <w:rFonts w:hint="eastAsia" w:ascii="宋体" w:hAnsi="宋体" w:cs="宋体"/>
          <w:szCs w:val="22"/>
        </w:rPr>
        <w:t>3.）投标人具有专业承包建筑机电安装工程三级(含)以上资质（提供资质证书复印件并加盖公章）。</w:t>
      </w:r>
    </w:p>
    <w:p>
      <w:pPr>
        <w:pageBreakBefore w:val="0"/>
        <w:topLinePunct w:val="0"/>
        <w:bidi w:val="0"/>
        <w:spacing w:line="360" w:lineRule="auto"/>
        <w:ind w:firstLine="420" w:firstLineChars="200"/>
        <w:rPr>
          <w:rFonts w:hint="eastAsia" w:ascii="宋体" w:hAnsi="宋体" w:cs="宋体"/>
          <w:szCs w:val="22"/>
        </w:rPr>
      </w:pPr>
      <w:r>
        <w:rPr>
          <w:rFonts w:hint="eastAsia" w:ascii="宋体" w:hAnsi="宋体" w:cs="宋体"/>
          <w:szCs w:val="22"/>
        </w:rPr>
        <w:t>4.提供投标人法定代表人授权委托书；并提供被授权人与投标人签订的劳动合同；提供社保机构出具近半年投标人为被授权人缴纳的养老保险金缴费证明材料(并加盖社保中心章或社保中心参保缴费证明电子专用章)。</w:t>
      </w:r>
    </w:p>
    <w:p>
      <w:pPr>
        <w:pageBreakBefore w:val="0"/>
        <w:topLinePunct w:val="0"/>
        <w:bidi w:val="0"/>
        <w:spacing w:line="360" w:lineRule="auto"/>
        <w:ind w:firstLine="420" w:firstLineChars="200"/>
        <w:rPr>
          <w:rFonts w:hint="eastAsia" w:ascii="宋体" w:hAnsi="宋体" w:cs="宋体"/>
          <w:szCs w:val="22"/>
        </w:rPr>
      </w:pPr>
      <w:r>
        <w:rPr>
          <w:rFonts w:hint="eastAsia" w:ascii="宋体" w:hAnsi="宋体" w:cs="宋体"/>
          <w:szCs w:val="22"/>
        </w:rPr>
        <w:t>5.投标人具备安全生产许可证（疫情期间建筑业企业资质证书延期遵循《住房和城乡建设部办公厅关于建设工程企业资质延续有关事项的通知》相关规定）。</w:t>
      </w:r>
    </w:p>
    <w:p>
      <w:pPr>
        <w:pageBreakBefore w:val="0"/>
        <w:topLinePunct w:val="0"/>
        <w:bidi w:val="0"/>
        <w:spacing w:line="360" w:lineRule="auto"/>
        <w:ind w:firstLine="420" w:firstLineChars="200"/>
        <w:rPr>
          <w:rFonts w:hint="eastAsia" w:ascii="宋体" w:hAnsi="宋体" w:cs="宋体"/>
          <w:szCs w:val="22"/>
        </w:rPr>
      </w:pPr>
      <w:r>
        <w:rPr>
          <w:rFonts w:hint="eastAsia" w:ascii="宋体" w:hAnsi="宋体" w:cs="宋体"/>
          <w:szCs w:val="22"/>
        </w:rPr>
        <w:t>6.疫情防控期间建设工程企业资质证书有效期延期和注册执业人员注册证书（含安全生产考核合格证书B类）有效期延期执行国家及省、市相关文件规定。</w:t>
      </w:r>
    </w:p>
    <w:p>
      <w:pPr>
        <w:pageBreakBefore w:val="0"/>
        <w:topLinePunct w:val="0"/>
        <w:bidi w:val="0"/>
        <w:spacing w:line="360" w:lineRule="auto"/>
        <w:ind w:firstLine="420" w:firstLineChars="200"/>
        <w:rPr>
          <w:rFonts w:hint="eastAsia" w:ascii="宋体" w:hAnsi="宋体" w:cs="宋体"/>
          <w:szCs w:val="22"/>
        </w:rPr>
      </w:pPr>
      <w:r>
        <w:rPr>
          <w:rFonts w:hint="eastAsia" w:ascii="宋体" w:hAnsi="宋体" w:cs="宋体"/>
          <w:szCs w:val="22"/>
        </w:rPr>
        <w:t>7.单位负责人为同一人或者存在直接控股、管理关系的不同供应商，不得参加同一合同项下的政府采购活动（提供承诺书加盖公章）。</w:t>
      </w:r>
    </w:p>
    <w:p>
      <w:pPr>
        <w:pageBreakBefore w:val="0"/>
        <w:topLinePunct w:val="0"/>
        <w:bidi w:val="0"/>
        <w:spacing w:line="360" w:lineRule="auto"/>
        <w:rPr>
          <w:rFonts w:ascii="宋体" w:hAnsi="宋体" w:cs="宋体"/>
        </w:rPr>
      </w:pPr>
      <w:r>
        <w:rPr>
          <w:rFonts w:hint="eastAsia" w:ascii="宋体" w:hAnsi="宋体" w:cs="宋体"/>
        </w:rPr>
        <w:br w:type="page"/>
      </w:r>
    </w:p>
    <w:p>
      <w:pPr>
        <w:pageBreakBefore w:val="0"/>
        <w:topLinePunct w:val="0"/>
        <w:autoSpaceDE w:val="0"/>
        <w:autoSpaceDN w:val="0"/>
        <w:bidi w:val="0"/>
        <w:adjustRightInd w:val="0"/>
        <w:spacing w:line="360" w:lineRule="auto"/>
        <w:jc w:val="left"/>
        <w:rPr>
          <w:rFonts w:ascii="宋体" w:hAnsi="宋体" w:cs="微软雅黑"/>
          <w:b/>
          <w:color w:val="000000"/>
          <w:kern w:val="0"/>
          <w:szCs w:val="21"/>
          <w:lang w:val="zh-CN"/>
        </w:rPr>
      </w:pPr>
      <w:r>
        <w:rPr>
          <w:rFonts w:hint="eastAsia" w:ascii="宋体" w:hAnsi="宋体" w:cs="微软雅黑"/>
          <w:b/>
          <w:color w:val="000000"/>
          <w:kern w:val="0"/>
          <w:szCs w:val="21"/>
          <w:lang w:val="zh-CN"/>
        </w:rPr>
        <w:t>附件六、投标人类似业绩情况表</w:t>
      </w:r>
    </w:p>
    <w:p>
      <w:pPr>
        <w:pageBreakBefore w:val="0"/>
        <w:topLinePunct w:val="0"/>
        <w:bidi w:val="0"/>
        <w:spacing w:line="360" w:lineRule="auto"/>
        <w:jc w:val="center"/>
        <w:rPr>
          <w:rFonts w:ascii="宋体" w:hAnsi="宋体" w:cs="微软雅黑"/>
          <w:color w:val="000000"/>
          <w:sz w:val="36"/>
          <w:szCs w:val="36"/>
        </w:rPr>
      </w:pPr>
    </w:p>
    <w:p>
      <w:pPr>
        <w:pStyle w:val="41"/>
        <w:pageBreakBefore w:val="0"/>
        <w:topLinePunct w:val="0"/>
        <w:bidi w:val="0"/>
        <w:spacing w:line="360" w:lineRule="auto"/>
        <w:rPr>
          <w:color w:val="000000"/>
        </w:rPr>
      </w:pPr>
    </w:p>
    <w:p>
      <w:pPr>
        <w:pageBreakBefore w:val="0"/>
        <w:topLinePunct w:val="0"/>
        <w:bidi w:val="0"/>
        <w:spacing w:line="360" w:lineRule="auto"/>
        <w:jc w:val="center"/>
        <w:rPr>
          <w:rFonts w:ascii="宋体" w:hAnsi="宋体" w:cs="微软雅黑"/>
          <w:b/>
          <w:bCs/>
          <w:color w:val="000000"/>
          <w:sz w:val="32"/>
          <w:szCs w:val="32"/>
        </w:rPr>
      </w:pPr>
      <w:r>
        <w:rPr>
          <w:rFonts w:hint="eastAsia" w:ascii="宋体" w:hAnsi="宋体" w:cs="微软雅黑"/>
          <w:b/>
          <w:bCs/>
          <w:color w:val="000000"/>
          <w:sz w:val="32"/>
          <w:szCs w:val="32"/>
        </w:rPr>
        <w:t>投标人近三年类似业绩情况表</w:t>
      </w:r>
    </w:p>
    <w:p>
      <w:pPr>
        <w:pageBreakBefore w:val="0"/>
        <w:widowControl/>
        <w:topLinePunct w:val="0"/>
        <w:bidi w:val="0"/>
        <w:adjustRightInd w:val="0"/>
        <w:spacing w:line="360" w:lineRule="auto"/>
        <w:ind w:firstLine="210" w:firstLineChars="100"/>
        <w:rPr>
          <w:rFonts w:ascii="宋体" w:hAnsi="宋体" w:cs="微软雅黑"/>
          <w:color w:val="000000"/>
          <w:kern w:val="0"/>
          <w:sz w:val="36"/>
          <w:szCs w:val="36"/>
          <w:lang w:val="zh-CN"/>
        </w:rPr>
      </w:pPr>
      <w:r>
        <w:rPr>
          <w:rFonts w:hint="eastAsia" w:ascii="宋体" w:hAnsi="宋体" w:cs="宋体"/>
          <w:color w:val="000000"/>
          <w:kern w:val="0"/>
          <w:lang w:val="zh-CN"/>
        </w:rPr>
        <w:t>项目名称：                                                           项目编号：</w:t>
      </w:r>
    </w:p>
    <w:tbl>
      <w:tblPr>
        <w:tblStyle w:val="29"/>
        <w:tblpPr w:leftFromText="180" w:rightFromText="180" w:vertAnchor="text" w:horzAnchor="margin" w:tblpX="118" w:tblpY="133"/>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58"/>
        <w:gridCol w:w="2601"/>
        <w:gridCol w:w="1425"/>
        <w:gridCol w:w="1669"/>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5" w:type="dxa"/>
            <w:vAlign w:val="center"/>
          </w:tcPr>
          <w:p>
            <w:pPr>
              <w:pageBreakBefore w:val="0"/>
              <w:topLinePunct w:val="0"/>
              <w:bidi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序号</w:t>
            </w:r>
          </w:p>
        </w:tc>
        <w:tc>
          <w:tcPr>
            <w:tcW w:w="2358" w:type="dxa"/>
            <w:vAlign w:val="center"/>
          </w:tcPr>
          <w:p>
            <w:pPr>
              <w:pageBreakBefore w:val="0"/>
              <w:topLinePunct w:val="0"/>
              <w:bidi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项目名称</w:t>
            </w:r>
          </w:p>
        </w:tc>
        <w:tc>
          <w:tcPr>
            <w:tcW w:w="2601" w:type="dxa"/>
            <w:vAlign w:val="center"/>
          </w:tcPr>
          <w:p>
            <w:pPr>
              <w:pageBreakBefore w:val="0"/>
              <w:topLinePunct w:val="0"/>
              <w:bidi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业主单位</w:t>
            </w:r>
          </w:p>
        </w:tc>
        <w:tc>
          <w:tcPr>
            <w:tcW w:w="1425" w:type="dxa"/>
            <w:vAlign w:val="center"/>
          </w:tcPr>
          <w:p>
            <w:pPr>
              <w:pageBreakBefore w:val="0"/>
              <w:topLinePunct w:val="0"/>
              <w:bidi w:val="0"/>
              <w:spacing w:line="360" w:lineRule="auto"/>
              <w:jc w:val="center"/>
              <w:rPr>
                <w:rFonts w:ascii="宋体" w:hAnsi="宋体" w:cs="微软雅黑"/>
                <w:color w:val="000000"/>
                <w:kern w:val="0"/>
                <w:lang w:val="zh-CN"/>
              </w:rPr>
            </w:pPr>
            <w:r>
              <w:rPr>
                <w:rFonts w:hint="eastAsia" w:ascii="宋体" w:hAnsi="宋体" w:cs="微软雅黑"/>
                <w:color w:val="000000"/>
                <w:kern w:val="0"/>
              </w:rPr>
              <w:t>合同金额          （万元）</w:t>
            </w:r>
          </w:p>
        </w:tc>
        <w:tc>
          <w:tcPr>
            <w:tcW w:w="1669" w:type="dxa"/>
            <w:vAlign w:val="center"/>
          </w:tcPr>
          <w:p>
            <w:pPr>
              <w:pageBreakBefore w:val="0"/>
              <w:topLinePunct w:val="0"/>
              <w:bidi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合同签订时间</w:t>
            </w:r>
          </w:p>
        </w:tc>
        <w:tc>
          <w:tcPr>
            <w:tcW w:w="806" w:type="dxa"/>
            <w:vAlign w:val="center"/>
          </w:tcPr>
          <w:p>
            <w:pPr>
              <w:pageBreakBefore w:val="0"/>
              <w:topLinePunct w:val="0"/>
              <w:bidi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5" w:type="dxa"/>
            <w:vAlign w:val="center"/>
          </w:tcPr>
          <w:p>
            <w:pPr>
              <w:pageBreakBefore w:val="0"/>
              <w:topLinePunct w:val="0"/>
              <w:bidi w:val="0"/>
              <w:spacing w:line="360" w:lineRule="auto"/>
              <w:jc w:val="center"/>
              <w:rPr>
                <w:rFonts w:ascii="宋体" w:hAnsi="宋体" w:cs="微软雅黑"/>
                <w:color w:val="000000"/>
                <w:kern w:val="0"/>
                <w:lang w:val="zh-CN"/>
              </w:rPr>
            </w:pPr>
          </w:p>
        </w:tc>
        <w:tc>
          <w:tcPr>
            <w:tcW w:w="2358" w:type="dxa"/>
            <w:vAlign w:val="center"/>
          </w:tcPr>
          <w:p>
            <w:pPr>
              <w:pageBreakBefore w:val="0"/>
              <w:topLinePunct w:val="0"/>
              <w:bidi w:val="0"/>
              <w:spacing w:line="360" w:lineRule="auto"/>
              <w:jc w:val="center"/>
              <w:rPr>
                <w:rFonts w:ascii="宋体" w:hAnsi="宋体" w:cs="微软雅黑"/>
                <w:color w:val="000000"/>
                <w:kern w:val="0"/>
                <w:lang w:val="zh-CN"/>
              </w:rPr>
            </w:pPr>
          </w:p>
        </w:tc>
        <w:tc>
          <w:tcPr>
            <w:tcW w:w="2601" w:type="dxa"/>
            <w:vAlign w:val="center"/>
          </w:tcPr>
          <w:p>
            <w:pPr>
              <w:pageBreakBefore w:val="0"/>
              <w:topLinePunct w:val="0"/>
              <w:bidi w:val="0"/>
              <w:spacing w:line="360" w:lineRule="auto"/>
              <w:jc w:val="center"/>
              <w:rPr>
                <w:rFonts w:ascii="宋体" w:hAnsi="宋体" w:cs="微软雅黑"/>
                <w:color w:val="000000"/>
                <w:kern w:val="0"/>
                <w:lang w:val="zh-CN"/>
              </w:rPr>
            </w:pPr>
          </w:p>
        </w:tc>
        <w:tc>
          <w:tcPr>
            <w:tcW w:w="1425" w:type="dxa"/>
            <w:vAlign w:val="center"/>
          </w:tcPr>
          <w:p>
            <w:pPr>
              <w:pageBreakBefore w:val="0"/>
              <w:topLinePunct w:val="0"/>
              <w:bidi w:val="0"/>
              <w:spacing w:line="360" w:lineRule="auto"/>
              <w:jc w:val="center"/>
              <w:rPr>
                <w:rFonts w:ascii="宋体" w:hAnsi="宋体" w:cs="微软雅黑"/>
                <w:color w:val="000000"/>
                <w:kern w:val="0"/>
                <w:lang w:val="zh-CN"/>
              </w:rPr>
            </w:pPr>
          </w:p>
        </w:tc>
        <w:tc>
          <w:tcPr>
            <w:tcW w:w="1669" w:type="dxa"/>
            <w:vAlign w:val="center"/>
          </w:tcPr>
          <w:p>
            <w:pPr>
              <w:pageBreakBefore w:val="0"/>
              <w:topLinePunct w:val="0"/>
              <w:bidi w:val="0"/>
              <w:spacing w:line="360" w:lineRule="auto"/>
              <w:jc w:val="center"/>
              <w:rPr>
                <w:rFonts w:ascii="宋体" w:hAnsi="宋体" w:cs="微软雅黑"/>
                <w:color w:val="000000"/>
                <w:kern w:val="0"/>
                <w:lang w:val="zh-CN"/>
              </w:rPr>
            </w:pPr>
          </w:p>
        </w:tc>
        <w:tc>
          <w:tcPr>
            <w:tcW w:w="806" w:type="dxa"/>
            <w:vAlign w:val="center"/>
          </w:tcPr>
          <w:p>
            <w:pPr>
              <w:pageBreakBefore w:val="0"/>
              <w:topLinePunct w:val="0"/>
              <w:bidi w:val="0"/>
              <w:spacing w:line="360" w:lineRule="auto"/>
              <w:jc w:val="center"/>
              <w:rPr>
                <w:rFonts w:ascii="宋体" w:hAnsi="宋体" w:cs="微软雅黑"/>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5" w:type="dxa"/>
            <w:vAlign w:val="center"/>
          </w:tcPr>
          <w:p>
            <w:pPr>
              <w:pageBreakBefore w:val="0"/>
              <w:topLinePunct w:val="0"/>
              <w:bidi w:val="0"/>
              <w:spacing w:line="360" w:lineRule="auto"/>
              <w:jc w:val="center"/>
              <w:rPr>
                <w:rFonts w:ascii="宋体" w:hAnsi="宋体" w:cs="微软雅黑"/>
                <w:color w:val="000000"/>
                <w:kern w:val="0"/>
                <w:lang w:val="zh-CN"/>
              </w:rPr>
            </w:pPr>
          </w:p>
        </w:tc>
        <w:tc>
          <w:tcPr>
            <w:tcW w:w="2358" w:type="dxa"/>
            <w:vAlign w:val="center"/>
          </w:tcPr>
          <w:p>
            <w:pPr>
              <w:pageBreakBefore w:val="0"/>
              <w:topLinePunct w:val="0"/>
              <w:bidi w:val="0"/>
              <w:spacing w:line="360" w:lineRule="auto"/>
              <w:jc w:val="center"/>
              <w:rPr>
                <w:rFonts w:ascii="宋体" w:hAnsi="宋体" w:cs="微软雅黑"/>
                <w:color w:val="000000"/>
                <w:kern w:val="0"/>
                <w:lang w:val="zh-CN"/>
              </w:rPr>
            </w:pPr>
          </w:p>
        </w:tc>
        <w:tc>
          <w:tcPr>
            <w:tcW w:w="2601" w:type="dxa"/>
            <w:vAlign w:val="center"/>
          </w:tcPr>
          <w:p>
            <w:pPr>
              <w:pageBreakBefore w:val="0"/>
              <w:topLinePunct w:val="0"/>
              <w:bidi w:val="0"/>
              <w:spacing w:line="360" w:lineRule="auto"/>
              <w:jc w:val="center"/>
              <w:rPr>
                <w:rFonts w:ascii="宋体" w:hAnsi="宋体" w:cs="微软雅黑"/>
                <w:color w:val="000000"/>
                <w:kern w:val="0"/>
                <w:lang w:val="zh-CN"/>
              </w:rPr>
            </w:pPr>
          </w:p>
        </w:tc>
        <w:tc>
          <w:tcPr>
            <w:tcW w:w="1425" w:type="dxa"/>
            <w:vAlign w:val="center"/>
          </w:tcPr>
          <w:p>
            <w:pPr>
              <w:pageBreakBefore w:val="0"/>
              <w:topLinePunct w:val="0"/>
              <w:bidi w:val="0"/>
              <w:spacing w:line="360" w:lineRule="auto"/>
              <w:jc w:val="center"/>
              <w:rPr>
                <w:rFonts w:ascii="宋体" w:hAnsi="宋体" w:cs="微软雅黑"/>
                <w:color w:val="000000"/>
                <w:kern w:val="0"/>
                <w:lang w:val="zh-CN"/>
              </w:rPr>
            </w:pPr>
          </w:p>
        </w:tc>
        <w:tc>
          <w:tcPr>
            <w:tcW w:w="1669" w:type="dxa"/>
            <w:vAlign w:val="center"/>
          </w:tcPr>
          <w:p>
            <w:pPr>
              <w:pageBreakBefore w:val="0"/>
              <w:topLinePunct w:val="0"/>
              <w:bidi w:val="0"/>
              <w:spacing w:line="360" w:lineRule="auto"/>
              <w:jc w:val="center"/>
              <w:rPr>
                <w:rFonts w:ascii="宋体" w:hAnsi="宋体" w:cs="微软雅黑"/>
                <w:color w:val="000000"/>
                <w:kern w:val="0"/>
                <w:lang w:val="zh-CN"/>
              </w:rPr>
            </w:pPr>
          </w:p>
        </w:tc>
        <w:tc>
          <w:tcPr>
            <w:tcW w:w="806" w:type="dxa"/>
            <w:vAlign w:val="center"/>
          </w:tcPr>
          <w:p>
            <w:pPr>
              <w:pageBreakBefore w:val="0"/>
              <w:topLinePunct w:val="0"/>
              <w:bidi w:val="0"/>
              <w:spacing w:line="360" w:lineRule="auto"/>
              <w:jc w:val="center"/>
              <w:rPr>
                <w:rFonts w:ascii="宋体" w:hAnsi="宋体" w:cs="微软雅黑"/>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5" w:type="dxa"/>
            <w:vAlign w:val="center"/>
          </w:tcPr>
          <w:p>
            <w:pPr>
              <w:pageBreakBefore w:val="0"/>
              <w:topLinePunct w:val="0"/>
              <w:bidi w:val="0"/>
              <w:spacing w:line="360" w:lineRule="auto"/>
              <w:jc w:val="center"/>
              <w:rPr>
                <w:rFonts w:ascii="宋体" w:hAnsi="宋体" w:cs="微软雅黑"/>
                <w:color w:val="000000"/>
                <w:kern w:val="0"/>
              </w:rPr>
            </w:pPr>
          </w:p>
        </w:tc>
        <w:tc>
          <w:tcPr>
            <w:tcW w:w="2358" w:type="dxa"/>
            <w:vAlign w:val="center"/>
          </w:tcPr>
          <w:p>
            <w:pPr>
              <w:pageBreakBefore w:val="0"/>
              <w:topLinePunct w:val="0"/>
              <w:bidi w:val="0"/>
              <w:spacing w:line="360" w:lineRule="auto"/>
              <w:jc w:val="center"/>
              <w:rPr>
                <w:rFonts w:ascii="宋体" w:hAnsi="宋体" w:cs="微软雅黑"/>
                <w:color w:val="000000"/>
                <w:kern w:val="0"/>
                <w:lang w:val="zh-CN"/>
              </w:rPr>
            </w:pPr>
          </w:p>
        </w:tc>
        <w:tc>
          <w:tcPr>
            <w:tcW w:w="2601" w:type="dxa"/>
            <w:vAlign w:val="center"/>
          </w:tcPr>
          <w:p>
            <w:pPr>
              <w:pageBreakBefore w:val="0"/>
              <w:topLinePunct w:val="0"/>
              <w:bidi w:val="0"/>
              <w:spacing w:line="360" w:lineRule="auto"/>
              <w:jc w:val="center"/>
              <w:rPr>
                <w:rFonts w:ascii="宋体" w:hAnsi="宋体" w:cs="微软雅黑"/>
                <w:color w:val="000000"/>
                <w:kern w:val="0"/>
                <w:lang w:val="zh-CN"/>
              </w:rPr>
            </w:pPr>
          </w:p>
        </w:tc>
        <w:tc>
          <w:tcPr>
            <w:tcW w:w="1425" w:type="dxa"/>
            <w:vAlign w:val="center"/>
          </w:tcPr>
          <w:p>
            <w:pPr>
              <w:pageBreakBefore w:val="0"/>
              <w:topLinePunct w:val="0"/>
              <w:bidi w:val="0"/>
              <w:spacing w:line="360" w:lineRule="auto"/>
              <w:jc w:val="center"/>
              <w:rPr>
                <w:rFonts w:ascii="宋体" w:hAnsi="宋体" w:cs="微软雅黑"/>
                <w:color w:val="000000"/>
                <w:kern w:val="0"/>
                <w:lang w:val="zh-CN"/>
              </w:rPr>
            </w:pPr>
          </w:p>
        </w:tc>
        <w:tc>
          <w:tcPr>
            <w:tcW w:w="1669" w:type="dxa"/>
            <w:vAlign w:val="center"/>
          </w:tcPr>
          <w:p>
            <w:pPr>
              <w:pageBreakBefore w:val="0"/>
              <w:topLinePunct w:val="0"/>
              <w:bidi w:val="0"/>
              <w:spacing w:line="360" w:lineRule="auto"/>
              <w:jc w:val="center"/>
              <w:rPr>
                <w:rFonts w:ascii="宋体" w:hAnsi="宋体" w:cs="微软雅黑"/>
                <w:color w:val="000000"/>
                <w:kern w:val="0"/>
                <w:lang w:val="zh-CN"/>
              </w:rPr>
            </w:pPr>
          </w:p>
        </w:tc>
        <w:tc>
          <w:tcPr>
            <w:tcW w:w="806" w:type="dxa"/>
            <w:vAlign w:val="center"/>
          </w:tcPr>
          <w:p>
            <w:pPr>
              <w:pageBreakBefore w:val="0"/>
              <w:topLinePunct w:val="0"/>
              <w:bidi w:val="0"/>
              <w:spacing w:line="360" w:lineRule="auto"/>
              <w:jc w:val="center"/>
              <w:rPr>
                <w:rFonts w:ascii="宋体" w:hAnsi="宋体" w:cs="微软雅黑"/>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5" w:type="dxa"/>
            <w:vAlign w:val="center"/>
          </w:tcPr>
          <w:p>
            <w:pPr>
              <w:pageBreakBefore w:val="0"/>
              <w:topLinePunct w:val="0"/>
              <w:bidi w:val="0"/>
              <w:spacing w:line="360" w:lineRule="auto"/>
              <w:jc w:val="center"/>
              <w:rPr>
                <w:rFonts w:ascii="宋体" w:hAnsi="宋体" w:cs="微软雅黑"/>
                <w:color w:val="000000"/>
                <w:kern w:val="0"/>
              </w:rPr>
            </w:pPr>
          </w:p>
        </w:tc>
        <w:tc>
          <w:tcPr>
            <w:tcW w:w="2358" w:type="dxa"/>
            <w:vAlign w:val="center"/>
          </w:tcPr>
          <w:p>
            <w:pPr>
              <w:pageBreakBefore w:val="0"/>
              <w:topLinePunct w:val="0"/>
              <w:bidi w:val="0"/>
              <w:spacing w:line="360" w:lineRule="auto"/>
              <w:jc w:val="center"/>
              <w:rPr>
                <w:rFonts w:ascii="宋体" w:hAnsi="宋体" w:cs="微软雅黑"/>
                <w:color w:val="000000"/>
                <w:kern w:val="0"/>
                <w:lang w:val="zh-CN"/>
              </w:rPr>
            </w:pPr>
          </w:p>
        </w:tc>
        <w:tc>
          <w:tcPr>
            <w:tcW w:w="2601" w:type="dxa"/>
            <w:vAlign w:val="center"/>
          </w:tcPr>
          <w:p>
            <w:pPr>
              <w:pageBreakBefore w:val="0"/>
              <w:topLinePunct w:val="0"/>
              <w:bidi w:val="0"/>
              <w:spacing w:line="360" w:lineRule="auto"/>
              <w:jc w:val="center"/>
              <w:rPr>
                <w:rFonts w:ascii="宋体" w:hAnsi="宋体" w:cs="微软雅黑"/>
                <w:color w:val="000000"/>
                <w:kern w:val="0"/>
                <w:lang w:val="zh-CN"/>
              </w:rPr>
            </w:pPr>
          </w:p>
        </w:tc>
        <w:tc>
          <w:tcPr>
            <w:tcW w:w="1425" w:type="dxa"/>
            <w:vAlign w:val="center"/>
          </w:tcPr>
          <w:p>
            <w:pPr>
              <w:pageBreakBefore w:val="0"/>
              <w:topLinePunct w:val="0"/>
              <w:bidi w:val="0"/>
              <w:spacing w:line="360" w:lineRule="auto"/>
              <w:jc w:val="center"/>
              <w:rPr>
                <w:rFonts w:ascii="宋体" w:hAnsi="宋体" w:cs="微软雅黑"/>
                <w:color w:val="000000"/>
                <w:kern w:val="0"/>
                <w:lang w:val="zh-CN"/>
              </w:rPr>
            </w:pPr>
          </w:p>
        </w:tc>
        <w:tc>
          <w:tcPr>
            <w:tcW w:w="1669" w:type="dxa"/>
            <w:vAlign w:val="center"/>
          </w:tcPr>
          <w:p>
            <w:pPr>
              <w:pageBreakBefore w:val="0"/>
              <w:topLinePunct w:val="0"/>
              <w:bidi w:val="0"/>
              <w:spacing w:line="360" w:lineRule="auto"/>
              <w:jc w:val="center"/>
              <w:rPr>
                <w:rFonts w:ascii="宋体" w:hAnsi="宋体" w:cs="微软雅黑"/>
                <w:color w:val="000000"/>
                <w:kern w:val="0"/>
                <w:lang w:val="zh-CN"/>
              </w:rPr>
            </w:pPr>
          </w:p>
        </w:tc>
        <w:tc>
          <w:tcPr>
            <w:tcW w:w="806" w:type="dxa"/>
            <w:vAlign w:val="center"/>
          </w:tcPr>
          <w:p>
            <w:pPr>
              <w:pageBreakBefore w:val="0"/>
              <w:topLinePunct w:val="0"/>
              <w:bidi w:val="0"/>
              <w:spacing w:line="360" w:lineRule="auto"/>
              <w:jc w:val="center"/>
              <w:rPr>
                <w:rFonts w:ascii="宋体" w:hAnsi="宋体" w:cs="微软雅黑"/>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5" w:type="dxa"/>
            <w:vAlign w:val="center"/>
          </w:tcPr>
          <w:p>
            <w:pPr>
              <w:pageBreakBefore w:val="0"/>
              <w:topLinePunct w:val="0"/>
              <w:bidi w:val="0"/>
              <w:spacing w:line="360" w:lineRule="auto"/>
              <w:jc w:val="center"/>
              <w:rPr>
                <w:rFonts w:ascii="宋体" w:hAnsi="宋体" w:cs="微软雅黑"/>
                <w:color w:val="000000"/>
                <w:kern w:val="0"/>
              </w:rPr>
            </w:pPr>
          </w:p>
        </w:tc>
        <w:tc>
          <w:tcPr>
            <w:tcW w:w="2358" w:type="dxa"/>
            <w:vAlign w:val="center"/>
          </w:tcPr>
          <w:p>
            <w:pPr>
              <w:pageBreakBefore w:val="0"/>
              <w:topLinePunct w:val="0"/>
              <w:bidi w:val="0"/>
              <w:spacing w:line="360" w:lineRule="auto"/>
              <w:jc w:val="center"/>
              <w:rPr>
                <w:rFonts w:ascii="宋体" w:hAnsi="宋体" w:cs="微软雅黑"/>
                <w:color w:val="000000"/>
                <w:kern w:val="0"/>
                <w:lang w:val="zh-CN"/>
              </w:rPr>
            </w:pPr>
          </w:p>
        </w:tc>
        <w:tc>
          <w:tcPr>
            <w:tcW w:w="2601" w:type="dxa"/>
            <w:vAlign w:val="center"/>
          </w:tcPr>
          <w:p>
            <w:pPr>
              <w:pageBreakBefore w:val="0"/>
              <w:topLinePunct w:val="0"/>
              <w:bidi w:val="0"/>
              <w:spacing w:line="360" w:lineRule="auto"/>
              <w:jc w:val="center"/>
              <w:rPr>
                <w:rFonts w:ascii="宋体" w:hAnsi="宋体" w:cs="微软雅黑"/>
                <w:color w:val="000000"/>
                <w:kern w:val="0"/>
                <w:lang w:val="zh-CN"/>
              </w:rPr>
            </w:pPr>
          </w:p>
        </w:tc>
        <w:tc>
          <w:tcPr>
            <w:tcW w:w="1425" w:type="dxa"/>
            <w:vAlign w:val="center"/>
          </w:tcPr>
          <w:p>
            <w:pPr>
              <w:pageBreakBefore w:val="0"/>
              <w:topLinePunct w:val="0"/>
              <w:bidi w:val="0"/>
              <w:spacing w:line="360" w:lineRule="auto"/>
              <w:jc w:val="center"/>
              <w:rPr>
                <w:rFonts w:ascii="宋体" w:hAnsi="宋体" w:cs="微软雅黑"/>
                <w:color w:val="000000"/>
                <w:kern w:val="0"/>
                <w:lang w:val="zh-CN"/>
              </w:rPr>
            </w:pPr>
          </w:p>
        </w:tc>
        <w:tc>
          <w:tcPr>
            <w:tcW w:w="1669" w:type="dxa"/>
            <w:vAlign w:val="center"/>
          </w:tcPr>
          <w:p>
            <w:pPr>
              <w:pageBreakBefore w:val="0"/>
              <w:topLinePunct w:val="0"/>
              <w:bidi w:val="0"/>
              <w:spacing w:line="360" w:lineRule="auto"/>
              <w:jc w:val="center"/>
              <w:rPr>
                <w:rFonts w:ascii="宋体" w:hAnsi="宋体" w:cs="微软雅黑"/>
                <w:color w:val="000000"/>
                <w:kern w:val="0"/>
                <w:lang w:val="zh-CN"/>
              </w:rPr>
            </w:pPr>
          </w:p>
        </w:tc>
        <w:tc>
          <w:tcPr>
            <w:tcW w:w="806" w:type="dxa"/>
            <w:vAlign w:val="center"/>
          </w:tcPr>
          <w:p>
            <w:pPr>
              <w:pageBreakBefore w:val="0"/>
              <w:topLinePunct w:val="0"/>
              <w:bidi w:val="0"/>
              <w:spacing w:line="360" w:lineRule="auto"/>
              <w:jc w:val="center"/>
              <w:rPr>
                <w:rFonts w:ascii="宋体" w:hAnsi="宋体" w:cs="微软雅黑"/>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5" w:type="dxa"/>
            <w:vAlign w:val="center"/>
          </w:tcPr>
          <w:p>
            <w:pPr>
              <w:pageBreakBefore w:val="0"/>
              <w:topLinePunct w:val="0"/>
              <w:bidi w:val="0"/>
              <w:spacing w:line="360" w:lineRule="auto"/>
              <w:jc w:val="center"/>
              <w:rPr>
                <w:rFonts w:ascii="宋体" w:hAnsi="宋体" w:cs="微软雅黑"/>
                <w:color w:val="000000"/>
                <w:kern w:val="0"/>
              </w:rPr>
            </w:pPr>
          </w:p>
        </w:tc>
        <w:tc>
          <w:tcPr>
            <w:tcW w:w="2358" w:type="dxa"/>
            <w:vAlign w:val="center"/>
          </w:tcPr>
          <w:p>
            <w:pPr>
              <w:pageBreakBefore w:val="0"/>
              <w:topLinePunct w:val="0"/>
              <w:bidi w:val="0"/>
              <w:spacing w:line="360" w:lineRule="auto"/>
              <w:jc w:val="center"/>
              <w:rPr>
                <w:rFonts w:ascii="宋体" w:hAnsi="宋体" w:cs="微软雅黑"/>
                <w:color w:val="000000"/>
                <w:kern w:val="0"/>
                <w:lang w:val="zh-CN"/>
              </w:rPr>
            </w:pPr>
          </w:p>
        </w:tc>
        <w:tc>
          <w:tcPr>
            <w:tcW w:w="2601" w:type="dxa"/>
            <w:vAlign w:val="center"/>
          </w:tcPr>
          <w:p>
            <w:pPr>
              <w:pageBreakBefore w:val="0"/>
              <w:topLinePunct w:val="0"/>
              <w:bidi w:val="0"/>
              <w:spacing w:line="360" w:lineRule="auto"/>
              <w:jc w:val="center"/>
              <w:rPr>
                <w:rFonts w:ascii="宋体" w:hAnsi="宋体" w:cs="微软雅黑"/>
                <w:color w:val="000000"/>
                <w:kern w:val="0"/>
                <w:lang w:val="zh-CN"/>
              </w:rPr>
            </w:pPr>
          </w:p>
        </w:tc>
        <w:tc>
          <w:tcPr>
            <w:tcW w:w="1425" w:type="dxa"/>
            <w:vAlign w:val="center"/>
          </w:tcPr>
          <w:p>
            <w:pPr>
              <w:pageBreakBefore w:val="0"/>
              <w:topLinePunct w:val="0"/>
              <w:bidi w:val="0"/>
              <w:spacing w:line="360" w:lineRule="auto"/>
              <w:jc w:val="center"/>
              <w:rPr>
                <w:rFonts w:ascii="宋体" w:hAnsi="宋体" w:cs="微软雅黑"/>
                <w:color w:val="000000"/>
                <w:kern w:val="0"/>
                <w:lang w:val="zh-CN"/>
              </w:rPr>
            </w:pPr>
          </w:p>
        </w:tc>
        <w:tc>
          <w:tcPr>
            <w:tcW w:w="1669" w:type="dxa"/>
            <w:vAlign w:val="center"/>
          </w:tcPr>
          <w:p>
            <w:pPr>
              <w:pageBreakBefore w:val="0"/>
              <w:topLinePunct w:val="0"/>
              <w:bidi w:val="0"/>
              <w:spacing w:line="360" w:lineRule="auto"/>
              <w:jc w:val="center"/>
              <w:rPr>
                <w:rFonts w:ascii="宋体" w:hAnsi="宋体" w:cs="微软雅黑"/>
                <w:color w:val="000000"/>
                <w:kern w:val="0"/>
                <w:lang w:val="zh-CN"/>
              </w:rPr>
            </w:pPr>
          </w:p>
        </w:tc>
        <w:tc>
          <w:tcPr>
            <w:tcW w:w="806" w:type="dxa"/>
            <w:vAlign w:val="center"/>
          </w:tcPr>
          <w:p>
            <w:pPr>
              <w:pageBreakBefore w:val="0"/>
              <w:topLinePunct w:val="0"/>
              <w:bidi w:val="0"/>
              <w:spacing w:line="360" w:lineRule="auto"/>
              <w:jc w:val="center"/>
              <w:rPr>
                <w:rFonts w:ascii="宋体" w:hAnsi="宋体" w:cs="微软雅黑"/>
                <w:color w:val="000000"/>
                <w:kern w:val="0"/>
                <w:lang w:val="zh-CN"/>
              </w:rPr>
            </w:pPr>
          </w:p>
        </w:tc>
      </w:tr>
    </w:tbl>
    <w:p>
      <w:pPr>
        <w:pageBreakBefore w:val="0"/>
        <w:topLinePunct w:val="0"/>
        <w:bidi w:val="0"/>
        <w:spacing w:line="360" w:lineRule="auto"/>
        <w:rPr>
          <w:rFonts w:ascii="宋体" w:hAnsi="宋体" w:cs="微软雅黑"/>
          <w:color w:val="000000"/>
          <w:kern w:val="0"/>
          <w:szCs w:val="21"/>
          <w:lang w:val="zh-CN"/>
        </w:rPr>
      </w:pPr>
    </w:p>
    <w:p>
      <w:pPr>
        <w:pageBreakBefore w:val="0"/>
        <w:topLinePunct w:val="0"/>
        <w:bidi w:val="0"/>
        <w:spacing w:line="360" w:lineRule="auto"/>
        <w:rPr>
          <w:rFonts w:ascii="宋体" w:hAnsi="宋体" w:cs="微软雅黑"/>
          <w:color w:val="000000"/>
          <w:kern w:val="0"/>
          <w:szCs w:val="21"/>
          <w:lang w:val="zh-CN"/>
        </w:rPr>
      </w:pPr>
      <w:r>
        <w:rPr>
          <w:rFonts w:hint="eastAsia" w:ascii="宋体" w:hAnsi="宋体" w:cs="微软雅黑"/>
          <w:color w:val="000000"/>
          <w:kern w:val="0"/>
          <w:szCs w:val="21"/>
          <w:lang w:val="zh-CN"/>
        </w:rPr>
        <w:t>供应商名称（盖章）：</w:t>
      </w:r>
    </w:p>
    <w:p>
      <w:pPr>
        <w:pStyle w:val="41"/>
        <w:pageBreakBefore w:val="0"/>
        <w:topLinePunct w:val="0"/>
        <w:bidi w:val="0"/>
        <w:spacing w:line="360" w:lineRule="auto"/>
        <w:rPr>
          <w:color w:val="000000"/>
          <w:sz w:val="21"/>
          <w:szCs w:val="21"/>
          <w:lang w:val="zh-CN"/>
        </w:rPr>
      </w:pPr>
      <w:r>
        <w:rPr>
          <w:rFonts w:hint="eastAsia"/>
          <w:color w:val="000000"/>
          <w:sz w:val="21"/>
          <w:szCs w:val="21"/>
          <w:lang w:val="zh-CN"/>
        </w:rPr>
        <w:t>授权代表（签字）：</w:t>
      </w:r>
    </w:p>
    <w:p>
      <w:pPr>
        <w:pageBreakBefore w:val="0"/>
        <w:topLinePunct w:val="0"/>
        <w:bidi w:val="0"/>
        <w:spacing w:line="360" w:lineRule="auto"/>
        <w:rPr>
          <w:rFonts w:ascii="宋体" w:hAnsi="宋体"/>
          <w:bCs/>
          <w:color w:val="000000"/>
          <w:kern w:val="0"/>
          <w:lang w:val="zh-CN"/>
        </w:rPr>
      </w:pPr>
      <w:r>
        <w:rPr>
          <w:rFonts w:hint="eastAsia" w:ascii="宋体" w:hAnsi="宋体"/>
          <w:bCs/>
          <w:color w:val="000000"/>
          <w:kern w:val="0"/>
          <w:lang w:val="zh-CN"/>
        </w:rPr>
        <w:t>注：合同复印件加盖公章附后</w:t>
      </w:r>
    </w:p>
    <w:p>
      <w:pPr>
        <w:pageBreakBefore w:val="0"/>
        <w:topLinePunct w:val="0"/>
        <w:bidi w:val="0"/>
        <w:spacing w:line="360" w:lineRule="auto"/>
        <w:rPr>
          <w:rFonts w:ascii="宋体" w:hAnsi="宋体" w:cs="宋体"/>
        </w:rPr>
      </w:pPr>
      <w:r>
        <w:rPr>
          <w:rFonts w:hint="eastAsia" w:ascii="宋体" w:hAnsi="宋体" w:cs="宋体"/>
        </w:rPr>
        <w:br w:type="page"/>
      </w:r>
    </w:p>
    <w:p>
      <w:pPr>
        <w:pageBreakBefore w:val="0"/>
        <w:topLinePunct w:val="0"/>
        <w:autoSpaceDE w:val="0"/>
        <w:autoSpaceDN w:val="0"/>
        <w:bidi w:val="0"/>
        <w:adjustRightInd w:val="0"/>
        <w:spacing w:line="360" w:lineRule="auto"/>
        <w:jc w:val="left"/>
        <w:rPr>
          <w:rFonts w:ascii="宋体" w:hAnsi="宋体" w:cs="微软雅黑"/>
          <w:b/>
          <w:color w:val="000000"/>
          <w:kern w:val="0"/>
          <w:szCs w:val="21"/>
          <w:lang w:val="zh-CN"/>
        </w:rPr>
      </w:pPr>
      <w:r>
        <w:rPr>
          <w:rFonts w:hint="eastAsia" w:ascii="宋体" w:hAnsi="宋体" w:cs="微软雅黑"/>
          <w:b/>
          <w:color w:val="000000"/>
          <w:kern w:val="0"/>
          <w:szCs w:val="21"/>
          <w:lang w:val="zh-CN"/>
        </w:rPr>
        <w:t>附件</w:t>
      </w:r>
      <w:r>
        <w:rPr>
          <w:rFonts w:hint="eastAsia" w:ascii="宋体" w:hAnsi="宋体" w:cs="微软雅黑"/>
          <w:b/>
          <w:color w:val="000000"/>
          <w:kern w:val="0"/>
          <w:szCs w:val="21"/>
        </w:rPr>
        <w:t>七</w:t>
      </w:r>
      <w:r>
        <w:rPr>
          <w:rFonts w:hint="eastAsia" w:ascii="宋体" w:hAnsi="宋体" w:cs="微软雅黑"/>
          <w:b/>
          <w:color w:val="000000"/>
          <w:kern w:val="0"/>
          <w:szCs w:val="21"/>
          <w:lang w:val="zh-CN"/>
        </w:rPr>
        <w:t>、拟投入项目的人员表格式</w:t>
      </w:r>
    </w:p>
    <w:p>
      <w:pPr>
        <w:pStyle w:val="14"/>
        <w:pageBreakBefore w:val="0"/>
        <w:topLinePunct w:val="0"/>
        <w:bidi w:val="0"/>
        <w:spacing w:line="360" w:lineRule="auto"/>
        <w:rPr>
          <w:lang w:val="zh-CN"/>
        </w:rPr>
      </w:pPr>
    </w:p>
    <w:p>
      <w:pPr>
        <w:pageBreakBefore w:val="0"/>
        <w:topLinePunct w:val="0"/>
        <w:bidi w:val="0"/>
        <w:spacing w:line="360" w:lineRule="auto"/>
        <w:jc w:val="center"/>
        <w:rPr>
          <w:rFonts w:ascii="宋体" w:hAnsi="宋体" w:cs="微软雅黑"/>
          <w:b/>
          <w:bCs/>
          <w:color w:val="000000"/>
          <w:sz w:val="36"/>
          <w:szCs w:val="36"/>
        </w:rPr>
      </w:pPr>
      <w:r>
        <w:rPr>
          <w:rFonts w:hint="eastAsia" w:ascii="宋体" w:hAnsi="宋体" w:cs="微软雅黑"/>
          <w:b/>
          <w:bCs/>
          <w:color w:val="000000"/>
          <w:sz w:val="32"/>
          <w:szCs w:val="32"/>
        </w:rPr>
        <w:t>拟投入项目的人员表</w:t>
      </w:r>
    </w:p>
    <w:p>
      <w:pPr>
        <w:pageBreakBefore w:val="0"/>
        <w:widowControl/>
        <w:topLinePunct w:val="0"/>
        <w:bidi w:val="0"/>
        <w:adjustRightInd w:val="0"/>
        <w:spacing w:line="360" w:lineRule="auto"/>
        <w:ind w:firstLine="420" w:firstLineChars="200"/>
        <w:rPr>
          <w:rFonts w:ascii="宋体" w:hAnsi="宋体" w:cs="微软雅黑"/>
          <w:color w:val="000000"/>
          <w:kern w:val="0"/>
          <w:sz w:val="36"/>
          <w:szCs w:val="36"/>
          <w:lang w:val="zh-CN"/>
        </w:rPr>
      </w:pPr>
      <w:r>
        <w:rPr>
          <w:rFonts w:hint="eastAsia" w:ascii="宋体" w:hAnsi="宋体" w:cs="宋体"/>
          <w:color w:val="000000"/>
          <w:kern w:val="0"/>
          <w:lang w:val="zh-CN"/>
        </w:rPr>
        <w:t>项目名称：                                                         项目编号：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476"/>
        <w:gridCol w:w="1548"/>
        <w:gridCol w:w="114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48" w:type="dxa"/>
            <w:vAlign w:val="center"/>
          </w:tcPr>
          <w:p>
            <w:pPr>
              <w:pageBreakBefore w:val="0"/>
              <w:topLinePunct w:val="0"/>
              <w:autoSpaceDE w:val="0"/>
              <w:autoSpaceDN w:val="0"/>
              <w:bidi w:val="0"/>
              <w:adjustRightInd w:val="0"/>
              <w:snapToGrid w:val="0"/>
              <w:spacing w:line="360" w:lineRule="auto"/>
              <w:ind w:left="-69" w:leftChars="-33"/>
              <w:jc w:val="center"/>
              <w:rPr>
                <w:rFonts w:ascii="宋体" w:hAnsi="宋体"/>
                <w:color w:val="000000"/>
                <w:szCs w:val="21"/>
              </w:rPr>
            </w:pPr>
            <w:r>
              <w:rPr>
                <w:rFonts w:hint="eastAsia" w:ascii="宋体" w:hAnsi="宋体"/>
                <w:color w:val="000000"/>
                <w:szCs w:val="21"/>
              </w:rPr>
              <w:t>姓名</w:t>
            </w:r>
          </w:p>
        </w:tc>
        <w:tc>
          <w:tcPr>
            <w:tcW w:w="1620" w:type="dxa"/>
            <w:vAlign w:val="center"/>
          </w:tcPr>
          <w:p>
            <w:pPr>
              <w:pageBreakBefore w:val="0"/>
              <w:topLinePunct w:val="0"/>
              <w:autoSpaceDE w:val="0"/>
              <w:autoSpaceDN w:val="0"/>
              <w:bidi w:val="0"/>
              <w:adjustRightInd w:val="0"/>
              <w:snapToGrid w:val="0"/>
              <w:spacing w:line="360" w:lineRule="auto"/>
              <w:ind w:left="-59" w:leftChars="-28"/>
              <w:jc w:val="center"/>
              <w:rPr>
                <w:rFonts w:ascii="宋体" w:hAnsi="宋体"/>
                <w:color w:val="000000"/>
                <w:szCs w:val="21"/>
              </w:rPr>
            </w:pPr>
            <w:r>
              <w:rPr>
                <w:rFonts w:hint="eastAsia" w:ascii="宋体" w:hAnsi="宋体"/>
                <w:color w:val="000000"/>
                <w:szCs w:val="21"/>
              </w:rPr>
              <w:t>学历</w:t>
            </w:r>
          </w:p>
        </w:tc>
        <w:tc>
          <w:tcPr>
            <w:tcW w:w="1476" w:type="dxa"/>
            <w:vAlign w:val="center"/>
          </w:tcPr>
          <w:p>
            <w:pPr>
              <w:pageBreakBefore w:val="0"/>
              <w:topLinePunct w:val="0"/>
              <w:autoSpaceDE w:val="0"/>
              <w:autoSpaceDN w:val="0"/>
              <w:bidi w:val="0"/>
              <w:adjustRightInd w:val="0"/>
              <w:snapToGrid w:val="0"/>
              <w:spacing w:line="360" w:lineRule="auto"/>
              <w:ind w:left="-120" w:leftChars="-57"/>
              <w:jc w:val="center"/>
              <w:rPr>
                <w:rFonts w:ascii="宋体" w:hAnsi="宋体"/>
                <w:color w:val="000000"/>
                <w:szCs w:val="21"/>
              </w:rPr>
            </w:pPr>
            <w:r>
              <w:rPr>
                <w:rFonts w:hint="eastAsia" w:ascii="宋体" w:hAnsi="宋体"/>
                <w:color w:val="000000"/>
                <w:szCs w:val="21"/>
              </w:rPr>
              <w:t>专业</w:t>
            </w:r>
          </w:p>
        </w:tc>
        <w:tc>
          <w:tcPr>
            <w:tcW w:w="1548" w:type="dxa"/>
            <w:vAlign w:val="center"/>
          </w:tcPr>
          <w:p>
            <w:pPr>
              <w:pageBreakBefore w:val="0"/>
              <w:topLinePunct w:val="0"/>
              <w:autoSpaceDE w:val="0"/>
              <w:autoSpaceDN w:val="0"/>
              <w:bidi w:val="0"/>
              <w:adjustRightInd w:val="0"/>
              <w:snapToGrid w:val="0"/>
              <w:spacing w:line="360" w:lineRule="auto"/>
              <w:ind w:left="-36" w:leftChars="-17"/>
              <w:jc w:val="center"/>
              <w:rPr>
                <w:rFonts w:ascii="宋体" w:hAnsi="宋体"/>
                <w:color w:val="000000"/>
                <w:szCs w:val="21"/>
              </w:rPr>
            </w:pPr>
            <w:r>
              <w:rPr>
                <w:rFonts w:hint="eastAsia" w:ascii="宋体" w:hAnsi="宋体"/>
                <w:color w:val="000000"/>
                <w:szCs w:val="21"/>
              </w:rPr>
              <w:t>职称</w:t>
            </w:r>
          </w:p>
        </w:tc>
        <w:tc>
          <w:tcPr>
            <w:tcW w:w="1146" w:type="dxa"/>
            <w:vAlign w:val="center"/>
          </w:tcPr>
          <w:p>
            <w:pPr>
              <w:pageBreakBefore w:val="0"/>
              <w:topLinePunct w:val="0"/>
              <w:autoSpaceDE w:val="0"/>
              <w:autoSpaceDN w:val="0"/>
              <w:bidi w:val="0"/>
              <w:adjustRightInd w:val="0"/>
              <w:snapToGrid w:val="0"/>
              <w:spacing w:line="360" w:lineRule="auto"/>
              <w:ind w:left="-166" w:leftChars="-79"/>
              <w:jc w:val="center"/>
              <w:rPr>
                <w:rFonts w:ascii="宋体" w:hAnsi="宋体"/>
                <w:color w:val="000000"/>
                <w:szCs w:val="21"/>
              </w:rPr>
            </w:pPr>
            <w:r>
              <w:rPr>
                <w:rFonts w:hint="eastAsia" w:ascii="宋体" w:hAnsi="宋体"/>
                <w:color w:val="000000"/>
                <w:szCs w:val="21"/>
              </w:rPr>
              <w:t>职务</w:t>
            </w:r>
          </w:p>
        </w:tc>
        <w:tc>
          <w:tcPr>
            <w:tcW w:w="1950" w:type="dxa"/>
            <w:vAlign w:val="center"/>
          </w:tcPr>
          <w:p>
            <w:pPr>
              <w:pageBreakBefore w:val="0"/>
              <w:topLinePunct w:val="0"/>
              <w:autoSpaceDE w:val="0"/>
              <w:autoSpaceDN w:val="0"/>
              <w:bidi w:val="0"/>
              <w:adjustRightInd w:val="0"/>
              <w:snapToGrid w:val="0"/>
              <w:spacing w:line="360" w:lineRule="auto"/>
              <w:jc w:val="center"/>
              <w:rPr>
                <w:rFonts w:ascii="宋体" w:hAnsi="宋体"/>
                <w:color w:val="000000"/>
                <w:szCs w:val="21"/>
              </w:rPr>
            </w:pPr>
            <w:r>
              <w:rPr>
                <w:rFonts w:hint="eastAsia" w:ascii="宋体" w:hAnsi="宋体"/>
                <w:color w:val="000000"/>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62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47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14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95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62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47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14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95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62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47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14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95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62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47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146" w:type="dxa"/>
            <w:vAlign w:val="center"/>
          </w:tcPr>
          <w:p>
            <w:pPr>
              <w:pageBreakBefore w:val="0"/>
              <w:topLinePunct w:val="0"/>
              <w:autoSpaceDE w:val="0"/>
              <w:autoSpaceDN w:val="0"/>
              <w:bidi w:val="0"/>
              <w:adjustRightInd w:val="0"/>
              <w:snapToGrid w:val="0"/>
              <w:spacing w:line="360" w:lineRule="auto"/>
              <w:ind w:leftChars="-11" w:hanging="23" w:hangingChars="11"/>
              <w:rPr>
                <w:rFonts w:ascii="宋体" w:hAnsi="宋体"/>
                <w:color w:val="000000"/>
                <w:szCs w:val="21"/>
              </w:rPr>
            </w:pPr>
          </w:p>
        </w:tc>
        <w:tc>
          <w:tcPr>
            <w:tcW w:w="195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48" w:type="dxa"/>
            <w:vAlign w:val="center"/>
          </w:tcPr>
          <w:p>
            <w:pPr>
              <w:pStyle w:val="41"/>
              <w:pageBreakBefore w:val="0"/>
              <w:topLinePunct w:val="0"/>
              <w:bidi w:val="0"/>
              <w:spacing w:line="360" w:lineRule="auto"/>
              <w:jc w:val="center"/>
              <w:rPr>
                <w:color w:val="000000"/>
              </w:rPr>
            </w:pPr>
          </w:p>
        </w:tc>
        <w:tc>
          <w:tcPr>
            <w:tcW w:w="162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47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146" w:type="dxa"/>
            <w:vAlign w:val="center"/>
          </w:tcPr>
          <w:p>
            <w:pPr>
              <w:pageBreakBefore w:val="0"/>
              <w:topLinePunct w:val="0"/>
              <w:autoSpaceDE w:val="0"/>
              <w:autoSpaceDN w:val="0"/>
              <w:bidi w:val="0"/>
              <w:adjustRightInd w:val="0"/>
              <w:snapToGrid w:val="0"/>
              <w:spacing w:line="360" w:lineRule="auto"/>
              <w:ind w:leftChars="-11" w:hanging="23" w:hangingChars="11"/>
              <w:rPr>
                <w:rFonts w:ascii="宋体" w:hAnsi="宋体"/>
                <w:color w:val="000000"/>
                <w:szCs w:val="21"/>
              </w:rPr>
            </w:pPr>
          </w:p>
        </w:tc>
        <w:tc>
          <w:tcPr>
            <w:tcW w:w="195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62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47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14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95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62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47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14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95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62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47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548"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146"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c>
          <w:tcPr>
            <w:tcW w:w="1950" w:type="dxa"/>
            <w:vAlign w:val="center"/>
          </w:tcPr>
          <w:p>
            <w:pPr>
              <w:pageBreakBefore w:val="0"/>
              <w:topLinePunct w:val="0"/>
              <w:autoSpaceDE w:val="0"/>
              <w:autoSpaceDN w:val="0"/>
              <w:bidi w:val="0"/>
              <w:adjustRightInd w:val="0"/>
              <w:snapToGrid w:val="0"/>
              <w:spacing w:line="360" w:lineRule="auto"/>
              <w:ind w:firstLine="420" w:firstLineChars="200"/>
              <w:rPr>
                <w:rFonts w:ascii="宋体" w:hAnsi="宋体"/>
                <w:color w:val="000000"/>
                <w:szCs w:val="21"/>
              </w:rPr>
            </w:pPr>
          </w:p>
        </w:tc>
      </w:tr>
    </w:tbl>
    <w:p>
      <w:pPr>
        <w:pageBreakBefore w:val="0"/>
        <w:topLinePunct w:val="0"/>
        <w:bidi w:val="0"/>
        <w:spacing w:line="360" w:lineRule="auto"/>
        <w:rPr>
          <w:rFonts w:ascii="宋体" w:hAnsi="宋体" w:cs="微软雅黑"/>
          <w:color w:val="000000"/>
          <w:kern w:val="0"/>
          <w:szCs w:val="21"/>
          <w:lang w:val="zh-CN"/>
        </w:rPr>
      </w:pPr>
    </w:p>
    <w:p>
      <w:pPr>
        <w:pageBreakBefore w:val="0"/>
        <w:topLinePunct w:val="0"/>
        <w:bidi w:val="0"/>
        <w:spacing w:line="360" w:lineRule="auto"/>
        <w:ind w:firstLine="210" w:firstLineChars="100"/>
        <w:rPr>
          <w:rFonts w:ascii="宋体" w:hAnsi="宋体" w:cs="微软雅黑"/>
          <w:color w:val="000000"/>
          <w:kern w:val="0"/>
          <w:szCs w:val="21"/>
          <w:lang w:val="zh-CN"/>
        </w:rPr>
      </w:pPr>
      <w:r>
        <w:rPr>
          <w:rFonts w:hint="eastAsia" w:ascii="宋体" w:hAnsi="宋体" w:cs="微软雅黑"/>
          <w:color w:val="000000"/>
          <w:kern w:val="0"/>
          <w:szCs w:val="21"/>
          <w:lang w:val="zh-CN"/>
        </w:rPr>
        <w:t>供应商名称（盖章）：</w:t>
      </w:r>
    </w:p>
    <w:p>
      <w:pPr>
        <w:pStyle w:val="41"/>
        <w:pageBreakBefore w:val="0"/>
        <w:topLinePunct w:val="0"/>
        <w:bidi w:val="0"/>
        <w:spacing w:line="360" w:lineRule="auto"/>
        <w:ind w:firstLine="210" w:firstLineChars="100"/>
        <w:rPr>
          <w:color w:val="000000"/>
          <w:sz w:val="21"/>
          <w:szCs w:val="21"/>
          <w:lang w:val="zh-CN"/>
        </w:rPr>
      </w:pPr>
      <w:r>
        <w:rPr>
          <w:rFonts w:hint="eastAsia"/>
          <w:color w:val="000000"/>
          <w:sz w:val="21"/>
          <w:szCs w:val="21"/>
          <w:lang w:val="zh-CN"/>
        </w:rPr>
        <w:t>授权代表（签字）：</w:t>
      </w:r>
    </w:p>
    <w:p>
      <w:pPr>
        <w:pageBreakBefore w:val="0"/>
        <w:topLinePunct w:val="0"/>
        <w:bidi w:val="0"/>
        <w:spacing w:line="360" w:lineRule="auto"/>
        <w:rPr>
          <w:rFonts w:ascii="宋体" w:hAnsi="宋体" w:cs="宋体"/>
        </w:rPr>
      </w:pPr>
      <w:r>
        <w:rPr>
          <w:rFonts w:hint="eastAsia" w:ascii="宋体" w:hAnsi="宋体" w:cs="宋体"/>
        </w:rPr>
        <w:br w:type="page"/>
      </w:r>
    </w:p>
    <w:p>
      <w:pPr>
        <w:pageBreakBefore w:val="0"/>
        <w:topLinePunct w:val="0"/>
        <w:bidi w:val="0"/>
        <w:spacing w:line="360" w:lineRule="auto"/>
        <w:rPr>
          <w:rFonts w:ascii="宋体" w:hAnsi="宋体" w:cs="微软雅黑"/>
          <w:b/>
          <w:bCs/>
          <w:color w:val="000000"/>
          <w:kern w:val="0"/>
          <w:lang w:val="zh-CN"/>
        </w:rPr>
      </w:pPr>
      <w:r>
        <w:rPr>
          <w:rFonts w:hint="eastAsia" w:ascii="宋体" w:hAnsi="宋体" w:cs="微软雅黑"/>
          <w:b/>
          <w:color w:val="000000"/>
          <w:kern w:val="0"/>
          <w:szCs w:val="21"/>
          <w:lang w:val="zh-CN"/>
        </w:rPr>
        <w:t>附件八</w:t>
      </w:r>
      <w:r>
        <w:rPr>
          <w:rFonts w:hint="eastAsia" w:ascii="宋体" w:hAnsi="宋体" w:cs="微软雅黑"/>
          <w:b/>
          <w:bCs/>
          <w:color w:val="000000"/>
          <w:kern w:val="0"/>
          <w:lang w:val="zh-CN"/>
        </w:rPr>
        <w:t>、商务条款偏离表格式</w:t>
      </w:r>
    </w:p>
    <w:p>
      <w:pPr>
        <w:pageBreakBefore w:val="0"/>
        <w:topLinePunct w:val="0"/>
        <w:bidi w:val="0"/>
        <w:spacing w:line="360" w:lineRule="auto"/>
        <w:jc w:val="center"/>
        <w:rPr>
          <w:rFonts w:ascii="宋体" w:hAnsi="宋体" w:cs="微软雅黑"/>
          <w:color w:val="000000"/>
          <w:kern w:val="0"/>
          <w:sz w:val="36"/>
          <w:szCs w:val="36"/>
          <w:lang w:val="zh-CN"/>
        </w:rPr>
      </w:pPr>
    </w:p>
    <w:p>
      <w:pPr>
        <w:pageBreakBefore w:val="0"/>
        <w:topLinePunct w:val="0"/>
        <w:bidi w:val="0"/>
        <w:spacing w:line="360" w:lineRule="auto"/>
        <w:jc w:val="center"/>
        <w:rPr>
          <w:rFonts w:ascii="宋体" w:hAnsi="宋体" w:cs="微软雅黑"/>
          <w:b/>
          <w:bCs/>
          <w:color w:val="000000"/>
          <w:kern w:val="0"/>
          <w:sz w:val="32"/>
          <w:szCs w:val="32"/>
          <w:lang w:val="zh-CN"/>
        </w:rPr>
      </w:pPr>
      <w:r>
        <w:rPr>
          <w:rFonts w:hint="eastAsia" w:ascii="宋体" w:hAnsi="宋体" w:cs="微软雅黑"/>
          <w:b/>
          <w:bCs/>
          <w:color w:val="000000"/>
          <w:kern w:val="0"/>
          <w:sz w:val="32"/>
          <w:szCs w:val="32"/>
          <w:lang w:val="zh-CN"/>
        </w:rPr>
        <w:t>商务条款偏离表</w:t>
      </w:r>
    </w:p>
    <w:p>
      <w:pPr>
        <w:pageBreakBefore w:val="0"/>
        <w:topLinePunct w:val="0"/>
        <w:bidi w:val="0"/>
        <w:spacing w:line="360" w:lineRule="auto"/>
        <w:ind w:firstLine="315" w:firstLineChars="150"/>
        <w:rPr>
          <w:rFonts w:ascii="宋体" w:hAnsi="宋体" w:cs="微软雅黑"/>
          <w:color w:val="000000"/>
          <w:kern w:val="0"/>
          <w:sz w:val="36"/>
          <w:szCs w:val="36"/>
          <w:lang w:val="zh-CN"/>
        </w:rPr>
      </w:pPr>
      <w:r>
        <w:rPr>
          <w:rFonts w:hint="eastAsia" w:ascii="宋体" w:hAnsi="宋体" w:cs="微软雅黑"/>
          <w:color w:val="000000"/>
          <w:kern w:val="0"/>
          <w:lang w:val="zh-CN"/>
        </w:rPr>
        <w:t>项目名称：                                            项目编号：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1620"/>
        <w:gridCol w:w="2700"/>
        <w:gridCol w:w="2873"/>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39" w:type="dxa"/>
            <w:vAlign w:val="center"/>
          </w:tcPr>
          <w:p>
            <w:pPr>
              <w:pageBreakBefore w:val="0"/>
              <w:topLinePunct w:val="0"/>
              <w:bidi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序号</w:t>
            </w:r>
          </w:p>
        </w:tc>
        <w:tc>
          <w:tcPr>
            <w:tcW w:w="1620" w:type="dxa"/>
            <w:vAlign w:val="center"/>
          </w:tcPr>
          <w:p>
            <w:pPr>
              <w:pageBreakBefore w:val="0"/>
              <w:topLinePunct w:val="0"/>
              <w:bidi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招标文件条目号</w:t>
            </w:r>
          </w:p>
        </w:tc>
        <w:tc>
          <w:tcPr>
            <w:tcW w:w="2700" w:type="dxa"/>
            <w:vAlign w:val="center"/>
          </w:tcPr>
          <w:p>
            <w:pPr>
              <w:pageBreakBefore w:val="0"/>
              <w:topLinePunct w:val="0"/>
              <w:bidi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招标文件要求的商务条款</w:t>
            </w:r>
          </w:p>
        </w:tc>
        <w:tc>
          <w:tcPr>
            <w:tcW w:w="2873" w:type="dxa"/>
            <w:vAlign w:val="center"/>
          </w:tcPr>
          <w:p>
            <w:pPr>
              <w:pageBreakBefore w:val="0"/>
              <w:topLinePunct w:val="0"/>
              <w:bidi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投标响应</w:t>
            </w:r>
          </w:p>
        </w:tc>
        <w:tc>
          <w:tcPr>
            <w:tcW w:w="1547" w:type="dxa"/>
            <w:vAlign w:val="center"/>
          </w:tcPr>
          <w:p>
            <w:pPr>
              <w:pageBreakBefore w:val="0"/>
              <w:topLinePunct w:val="0"/>
              <w:bidi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39" w:type="dxa"/>
            <w:vAlign w:val="center"/>
          </w:tcPr>
          <w:p>
            <w:pPr>
              <w:pageBreakBefore w:val="0"/>
              <w:topLinePunct w:val="0"/>
              <w:bidi w:val="0"/>
              <w:spacing w:line="360" w:lineRule="auto"/>
              <w:rPr>
                <w:rFonts w:ascii="宋体" w:hAnsi="宋体" w:cs="微软雅黑"/>
                <w:color w:val="000000"/>
                <w:kern w:val="0"/>
                <w:lang w:val="zh-CN"/>
              </w:rPr>
            </w:pPr>
          </w:p>
        </w:tc>
        <w:tc>
          <w:tcPr>
            <w:tcW w:w="1620" w:type="dxa"/>
            <w:vAlign w:val="center"/>
          </w:tcPr>
          <w:p>
            <w:pPr>
              <w:pageBreakBefore w:val="0"/>
              <w:topLinePunct w:val="0"/>
              <w:bidi w:val="0"/>
              <w:spacing w:line="360" w:lineRule="auto"/>
              <w:rPr>
                <w:rFonts w:ascii="宋体" w:hAnsi="宋体" w:cs="微软雅黑"/>
                <w:color w:val="000000"/>
                <w:kern w:val="0"/>
                <w:lang w:val="zh-CN"/>
              </w:rPr>
            </w:pPr>
          </w:p>
        </w:tc>
        <w:tc>
          <w:tcPr>
            <w:tcW w:w="2700" w:type="dxa"/>
            <w:vAlign w:val="center"/>
          </w:tcPr>
          <w:p>
            <w:pPr>
              <w:pageBreakBefore w:val="0"/>
              <w:topLinePunct w:val="0"/>
              <w:bidi w:val="0"/>
              <w:spacing w:line="360" w:lineRule="auto"/>
              <w:rPr>
                <w:rFonts w:ascii="宋体" w:hAnsi="宋体" w:cs="微软雅黑"/>
                <w:color w:val="000000"/>
                <w:kern w:val="0"/>
                <w:lang w:val="zh-CN"/>
              </w:rPr>
            </w:pPr>
          </w:p>
        </w:tc>
        <w:tc>
          <w:tcPr>
            <w:tcW w:w="2873" w:type="dxa"/>
            <w:vAlign w:val="center"/>
          </w:tcPr>
          <w:p>
            <w:pPr>
              <w:pageBreakBefore w:val="0"/>
              <w:topLinePunct w:val="0"/>
              <w:bidi w:val="0"/>
              <w:spacing w:line="360" w:lineRule="auto"/>
              <w:rPr>
                <w:rFonts w:ascii="宋体" w:hAnsi="宋体" w:cs="微软雅黑"/>
                <w:color w:val="000000"/>
                <w:kern w:val="0"/>
                <w:lang w:val="zh-CN"/>
              </w:rPr>
            </w:pPr>
          </w:p>
        </w:tc>
        <w:tc>
          <w:tcPr>
            <w:tcW w:w="1547" w:type="dxa"/>
            <w:vAlign w:val="center"/>
          </w:tcPr>
          <w:p>
            <w:pPr>
              <w:pageBreakBefore w:val="0"/>
              <w:topLinePunct w:val="0"/>
              <w:bidi w:val="0"/>
              <w:spacing w:line="360" w:lineRule="auto"/>
              <w:rPr>
                <w:rFonts w:ascii="宋体" w:hAnsi="宋体" w:cs="微软雅黑"/>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39" w:type="dxa"/>
            <w:vAlign w:val="center"/>
          </w:tcPr>
          <w:p>
            <w:pPr>
              <w:pageBreakBefore w:val="0"/>
              <w:topLinePunct w:val="0"/>
              <w:bidi w:val="0"/>
              <w:spacing w:line="360" w:lineRule="auto"/>
              <w:rPr>
                <w:rFonts w:ascii="宋体" w:hAnsi="宋体" w:cs="微软雅黑"/>
                <w:color w:val="000000"/>
                <w:kern w:val="0"/>
                <w:lang w:val="zh-CN"/>
              </w:rPr>
            </w:pPr>
          </w:p>
        </w:tc>
        <w:tc>
          <w:tcPr>
            <w:tcW w:w="1620" w:type="dxa"/>
            <w:vAlign w:val="center"/>
          </w:tcPr>
          <w:p>
            <w:pPr>
              <w:pageBreakBefore w:val="0"/>
              <w:topLinePunct w:val="0"/>
              <w:bidi w:val="0"/>
              <w:spacing w:line="360" w:lineRule="auto"/>
              <w:rPr>
                <w:rFonts w:ascii="宋体" w:hAnsi="宋体" w:cs="微软雅黑"/>
                <w:color w:val="000000"/>
                <w:kern w:val="0"/>
                <w:lang w:val="zh-CN"/>
              </w:rPr>
            </w:pPr>
          </w:p>
        </w:tc>
        <w:tc>
          <w:tcPr>
            <w:tcW w:w="2700" w:type="dxa"/>
            <w:vAlign w:val="center"/>
          </w:tcPr>
          <w:p>
            <w:pPr>
              <w:pageBreakBefore w:val="0"/>
              <w:topLinePunct w:val="0"/>
              <w:bidi w:val="0"/>
              <w:spacing w:line="360" w:lineRule="auto"/>
              <w:rPr>
                <w:rFonts w:ascii="宋体" w:hAnsi="宋体" w:cs="微软雅黑"/>
                <w:color w:val="000000"/>
                <w:kern w:val="0"/>
                <w:lang w:val="zh-CN"/>
              </w:rPr>
            </w:pPr>
          </w:p>
        </w:tc>
        <w:tc>
          <w:tcPr>
            <w:tcW w:w="2873" w:type="dxa"/>
            <w:vAlign w:val="center"/>
          </w:tcPr>
          <w:p>
            <w:pPr>
              <w:pageBreakBefore w:val="0"/>
              <w:topLinePunct w:val="0"/>
              <w:bidi w:val="0"/>
              <w:spacing w:line="360" w:lineRule="auto"/>
              <w:rPr>
                <w:rFonts w:ascii="宋体" w:hAnsi="宋体" w:cs="微软雅黑"/>
                <w:color w:val="000000"/>
                <w:kern w:val="0"/>
                <w:lang w:val="zh-CN"/>
              </w:rPr>
            </w:pPr>
          </w:p>
        </w:tc>
        <w:tc>
          <w:tcPr>
            <w:tcW w:w="1547" w:type="dxa"/>
            <w:vAlign w:val="center"/>
          </w:tcPr>
          <w:p>
            <w:pPr>
              <w:pageBreakBefore w:val="0"/>
              <w:topLinePunct w:val="0"/>
              <w:bidi w:val="0"/>
              <w:spacing w:line="360" w:lineRule="auto"/>
              <w:rPr>
                <w:rFonts w:ascii="宋体" w:hAnsi="宋体" w:cs="微软雅黑"/>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39" w:type="dxa"/>
            <w:vAlign w:val="center"/>
          </w:tcPr>
          <w:p>
            <w:pPr>
              <w:pageBreakBefore w:val="0"/>
              <w:topLinePunct w:val="0"/>
              <w:bidi w:val="0"/>
              <w:spacing w:line="360" w:lineRule="auto"/>
              <w:rPr>
                <w:rFonts w:ascii="宋体" w:hAnsi="宋体" w:cs="微软雅黑"/>
                <w:color w:val="000000"/>
                <w:kern w:val="0"/>
                <w:lang w:val="zh-CN"/>
              </w:rPr>
            </w:pPr>
          </w:p>
        </w:tc>
        <w:tc>
          <w:tcPr>
            <w:tcW w:w="1620" w:type="dxa"/>
            <w:vAlign w:val="center"/>
          </w:tcPr>
          <w:p>
            <w:pPr>
              <w:pageBreakBefore w:val="0"/>
              <w:topLinePunct w:val="0"/>
              <w:bidi w:val="0"/>
              <w:spacing w:line="360" w:lineRule="auto"/>
              <w:rPr>
                <w:rFonts w:ascii="宋体" w:hAnsi="宋体" w:cs="微软雅黑"/>
                <w:color w:val="000000"/>
                <w:kern w:val="0"/>
                <w:lang w:val="zh-CN"/>
              </w:rPr>
            </w:pPr>
          </w:p>
        </w:tc>
        <w:tc>
          <w:tcPr>
            <w:tcW w:w="2700" w:type="dxa"/>
            <w:vAlign w:val="center"/>
          </w:tcPr>
          <w:p>
            <w:pPr>
              <w:pageBreakBefore w:val="0"/>
              <w:topLinePunct w:val="0"/>
              <w:bidi w:val="0"/>
              <w:spacing w:line="360" w:lineRule="auto"/>
              <w:rPr>
                <w:rFonts w:ascii="宋体" w:hAnsi="宋体" w:cs="微软雅黑"/>
                <w:color w:val="000000"/>
                <w:kern w:val="0"/>
                <w:lang w:val="zh-CN"/>
              </w:rPr>
            </w:pPr>
          </w:p>
        </w:tc>
        <w:tc>
          <w:tcPr>
            <w:tcW w:w="2873" w:type="dxa"/>
            <w:vAlign w:val="center"/>
          </w:tcPr>
          <w:p>
            <w:pPr>
              <w:pageBreakBefore w:val="0"/>
              <w:topLinePunct w:val="0"/>
              <w:bidi w:val="0"/>
              <w:spacing w:line="360" w:lineRule="auto"/>
              <w:rPr>
                <w:rFonts w:ascii="宋体" w:hAnsi="宋体" w:cs="微软雅黑"/>
                <w:color w:val="000000"/>
                <w:kern w:val="0"/>
                <w:lang w:val="zh-CN"/>
              </w:rPr>
            </w:pPr>
          </w:p>
        </w:tc>
        <w:tc>
          <w:tcPr>
            <w:tcW w:w="1547" w:type="dxa"/>
            <w:vAlign w:val="center"/>
          </w:tcPr>
          <w:p>
            <w:pPr>
              <w:pageBreakBefore w:val="0"/>
              <w:topLinePunct w:val="0"/>
              <w:bidi w:val="0"/>
              <w:spacing w:line="360" w:lineRule="auto"/>
              <w:rPr>
                <w:rFonts w:ascii="宋体" w:hAnsi="宋体" w:cs="微软雅黑"/>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39" w:type="dxa"/>
            <w:vAlign w:val="center"/>
          </w:tcPr>
          <w:p>
            <w:pPr>
              <w:pageBreakBefore w:val="0"/>
              <w:topLinePunct w:val="0"/>
              <w:bidi w:val="0"/>
              <w:spacing w:line="360" w:lineRule="auto"/>
              <w:rPr>
                <w:rFonts w:ascii="宋体" w:hAnsi="宋体" w:cs="微软雅黑"/>
                <w:color w:val="000000"/>
                <w:kern w:val="0"/>
                <w:lang w:val="zh-CN"/>
              </w:rPr>
            </w:pPr>
          </w:p>
        </w:tc>
        <w:tc>
          <w:tcPr>
            <w:tcW w:w="1620" w:type="dxa"/>
            <w:vAlign w:val="center"/>
          </w:tcPr>
          <w:p>
            <w:pPr>
              <w:pageBreakBefore w:val="0"/>
              <w:topLinePunct w:val="0"/>
              <w:bidi w:val="0"/>
              <w:spacing w:line="360" w:lineRule="auto"/>
              <w:rPr>
                <w:rFonts w:ascii="宋体" w:hAnsi="宋体" w:cs="微软雅黑"/>
                <w:color w:val="000000"/>
                <w:kern w:val="0"/>
                <w:lang w:val="zh-CN"/>
              </w:rPr>
            </w:pPr>
          </w:p>
        </w:tc>
        <w:tc>
          <w:tcPr>
            <w:tcW w:w="2700" w:type="dxa"/>
            <w:vAlign w:val="center"/>
          </w:tcPr>
          <w:p>
            <w:pPr>
              <w:pageBreakBefore w:val="0"/>
              <w:topLinePunct w:val="0"/>
              <w:bidi w:val="0"/>
              <w:spacing w:line="360" w:lineRule="auto"/>
              <w:rPr>
                <w:rFonts w:ascii="宋体" w:hAnsi="宋体" w:cs="微软雅黑"/>
                <w:color w:val="000000"/>
                <w:kern w:val="0"/>
                <w:lang w:val="zh-CN"/>
              </w:rPr>
            </w:pPr>
          </w:p>
        </w:tc>
        <w:tc>
          <w:tcPr>
            <w:tcW w:w="2873" w:type="dxa"/>
            <w:vAlign w:val="center"/>
          </w:tcPr>
          <w:p>
            <w:pPr>
              <w:pageBreakBefore w:val="0"/>
              <w:topLinePunct w:val="0"/>
              <w:bidi w:val="0"/>
              <w:spacing w:line="360" w:lineRule="auto"/>
              <w:rPr>
                <w:rFonts w:ascii="宋体" w:hAnsi="宋体" w:cs="微软雅黑"/>
                <w:color w:val="000000"/>
                <w:kern w:val="0"/>
                <w:lang w:val="zh-CN"/>
              </w:rPr>
            </w:pPr>
          </w:p>
        </w:tc>
        <w:tc>
          <w:tcPr>
            <w:tcW w:w="1547" w:type="dxa"/>
            <w:vAlign w:val="center"/>
          </w:tcPr>
          <w:p>
            <w:pPr>
              <w:pageBreakBefore w:val="0"/>
              <w:topLinePunct w:val="0"/>
              <w:bidi w:val="0"/>
              <w:spacing w:line="360" w:lineRule="auto"/>
              <w:rPr>
                <w:rFonts w:ascii="宋体" w:hAnsi="宋体" w:cs="微软雅黑"/>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39" w:type="dxa"/>
            <w:vAlign w:val="center"/>
          </w:tcPr>
          <w:p>
            <w:pPr>
              <w:pageBreakBefore w:val="0"/>
              <w:topLinePunct w:val="0"/>
              <w:bidi w:val="0"/>
              <w:spacing w:line="360" w:lineRule="auto"/>
              <w:rPr>
                <w:rFonts w:ascii="宋体" w:hAnsi="宋体" w:cs="微软雅黑"/>
                <w:color w:val="000000"/>
                <w:kern w:val="0"/>
                <w:lang w:val="zh-CN"/>
              </w:rPr>
            </w:pPr>
          </w:p>
        </w:tc>
        <w:tc>
          <w:tcPr>
            <w:tcW w:w="1620" w:type="dxa"/>
            <w:vAlign w:val="center"/>
          </w:tcPr>
          <w:p>
            <w:pPr>
              <w:pageBreakBefore w:val="0"/>
              <w:topLinePunct w:val="0"/>
              <w:bidi w:val="0"/>
              <w:spacing w:line="360" w:lineRule="auto"/>
              <w:rPr>
                <w:rFonts w:ascii="宋体" w:hAnsi="宋体" w:cs="微软雅黑"/>
                <w:color w:val="000000"/>
                <w:kern w:val="0"/>
                <w:lang w:val="zh-CN"/>
              </w:rPr>
            </w:pPr>
          </w:p>
        </w:tc>
        <w:tc>
          <w:tcPr>
            <w:tcW w:w="2700" w:type="dxa"/>
            <w:vAlign w:val="center"/>
          </w:tcPr>
          <w:p>
            <w:pPr>
              <w:pageBreakBefore w:val="0"/>
              <w:topLinePunct w:val="0"/>
              <w:bidi w:val="0"/>
              <w:spacing w:line="360" w:lineRule="auto"/>
              <w:rPr>
                <w:rFonts w:ascii="宋体" w:hAnsi="宋体" w:cs="微软雅黑"/>
                <w:color w:val="000000"/>
                <w:kern w:val="0"/>
                <w:lang w:val="zh-CN"/>
              </w:rPr>
            </w:pPr>
          </w:p>
        </w:tc>
        <w:tc>
          <w:tcPr>
            <w:tcW w:w="2873" w:type="dxa"/>
            <w:vAlign w:val="center"/>
          </w:tcPr>
          <w:p>
            <w:pPr>
              <w:pageBreakBefore w:val="0"/>
              <w:topLinePunct w:val="0"/>
              <w:bidi w:val="0"/>
              <w:spacing w:line="360" w:lineRule="auto"/>
              <w:rPr>
                <w:rFonts w:ascii="宋体" w:hAnsi="宋体" w:cs="微软雅黑"/>
                <w:color w:val="000000"/>
                <w:kern w:val="0"/>
                <w:lang w:val="zh-CN"/>
              </w:rPr>
            </w:pPr>
          </w:p>
        </w:tc>
        <w:tc>
          <w:tcPr>
            <w:tcW w:w="1547" w:type="dxa"/>
            <w:vAlign w:val="center"/>
          </w:tcPr>
          <w:p>
            <w:pPr>
              <w:pageBreakBefore w:val="0"/>
              <w:topLinePunct w:val="0"/>
              <w:bidi w:val="0"/>
              <w:spacing w:line="360" w:lineRule="auto"/>
              <w:rPr>
                <w:rFonts w:ascii="宋体" w:hAnsi="宋体" w:cs="微软雅黑"/>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39" w:type="dxa"/>
            <w:vAlign w:val="center"/>
          </w:tcPr>
          <w:p>
            <w:pPr>
              <w:pageBreakBefore w:val="0"/>
              <w:topLinePunct w:val="0"/>
              <w:bidi w:val="0"/>
              <w:spacing w:line="360" w:lineRule="auto"/>
              <w:rPr>
                <w:rFonts w:ascii="宋体" w:hAnsi="宋体" w:cs="微软雅黑"/>
                <w:color w:val="000000"/>
                <w:kern w:val="0"/>
                <w:lang w:val="zh-CN"/>
              </w:rPr>
            </w:pPr>
          </w:p>
        </w:tc>
        <w:tc>
          <w:tcPr>
            <w:tcW w:w="1620" w:type="dxa"/>
            <w:vAlign w:val="center"/>
          </w:tcPr>
          <w:p>
            <w:pPr>
              <w:pageBreakBefore w:val="0"/>
              <w:topLinePunct w:val="0"/>
              <w:bidi w:val="0"/>
              <w:spacing w:line="360" w:lineRule="auto"/>
              <w:rPr>
                <w:rFonts w:ascii="宋体" w:hAnsi="宋体" w:cs="微软雅黑"/>
                <w:color w:val="000000"/>
                <w:kern w:val="0"/>
                <w:lang w:val="zh-CN"/>
              </w:rPr>
            </w:pPr>
          </w:p>
        </w:tc>
        <w:tc>
          <w:tcPr>
            <w:tcW w:w="2700" w:type="dxa"/>
            <w:vAlign w:val="center"/>
          </w:tcPr>
          <w:p>
            <w:pPr>
              <w:pageBreakBefore w:val="0"/>
              <w:topLinePunct w:val="0"/>
              <w:bidi w:val="0"/>
              <w:spacing w:line="360" w:lineRule="auto"/>
              <w:rPr>
                <w:rFonts w:ascii="宋体" w:hAnsi="宋体" w:cs="微软雅黑"/>
                <w:color w:val="000000"/>
                <w:kern w:val="0"/>
                <w:lang w:val="zh-CN"/>
              </w:rPr>
            </w:pPr>
          </w:p>
        </w:tc>
        <w:tc>
          <w:tcPr>
            <w:tcW w:w="2873" w:type="dxa"/>
            <w:vAlign w:val="center"/>
          </w:tcPr>
          <w:p>
            <w:pPr>
              <w:pageBreakBefore w:val="0"/>
              <w:topLinePunct w:val="0"/>
              <w:bidi w:val="0"/>
              <w:spacing w:line="360" w:lineRule="auto"/>
              <w:rPr>
                <w:rFonts w:ascii="宋体" w:hAnsi="宋体" w:cs="微软雅黑"/>
                <w:color w:val="000000"/>
                <w:kern w:val="0"/>
                <w:lang w:val="zh-CN"/>
              </w:rPr>
            </w:pPr>
          </w:p>
        </w:tc>
        <w:tc>
          <w:tcPr>
            <w:tcW w:w="1547" w:type="dxa"/>
            <w:vAlign w:val="center"/>
          </w:tcPr>
          <w:p>
            <w:pPr>
              <w:pageBreakBefore w:val="0"/>
              <w:topLinePunct w:val="0"/>
              <w:bidi w:val="0"/>
              <w:spacing w:line="360" w:lineRule="auto"/>
              <w:rPr>
                <w:rFonts w:ascii="宋体" w:hAnsi="宋体" w:cs="微软雅黑"/>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39" w:type="dxa"/>
            <w:vAlign w:val="center"/>
          </w:tcPr>
          <w:p>
            <w:pPr>
              <w:pageBreakBefore w:val="0"/>
              <w:topLinePunct w:val="0"/>
              <w:bidi w:val="0"/>
              <w:spacing w:line="360" w:lineRule="auto"/>
              <w:rPr>
                <w:rFonts w:ascii="宋体" w:hAnsi="宋体" w:cs="微软雅黑"/>
                <w:color w:val="000000"/>
                <w:kern w:val="0"/>
              </w:rPr>
            </w:pPr>
          </w:p>
        </w:tc>
        <w:tc>
          <w:tcPr>
            <w:tcW w:w="1620" w:type="dxa"/>
            <w:vAlign w:val="center"/>
          </w:tcPr>
          <w:p>
            <w:pPr>
              <w:pageBreakBefore w:val="0"/>
              <w:topLinePunct w:val="0"/>
              <w:bidi w:val="0"/>
              <w:spacing w:line="360" w:lineRule="auto"/>
              <w:rPr>
                <w:rFonts w:ascii="宋体" w:hAnsi="宋体" w:cs="微软雅黑"/>
                <w:color w:val="000000"/>
                <w:kern w:val="0"/>
              </w:rPr>
            </w:pPr>
          </w:p>
        </w:tc>
        <w:tc>
          <w:tcPr>
            <w:tcW w:w="2700" w:type="dxa"/>
            <w:vAlign w:val="center"/>
          </w:tcPr>
          <w:p>
            <w:pPr>
              <w:pageBreakBefore w:val="0"/>
              <w:topLinePunct w:val="0"/>
              <w:bidi w:val="0"/>
              <w:spacing w:line="360" w:lineRule="auto"/>
              <w:rPr>
                <w:rFonts w:ascii="宋体" w:hAnsi="宋体" w:cs="微软雅黑"/>
                <w:color w:val="000000"/>
                <w:kern w:val="0"/>
              </w:rPr>
            </w:pPr>
          </w:p>
        </w:tc>
        <w:tc>
          <w:tcPr>
            <w:tcW w:w="2873" w:type="dxa"/>
            <w:vAlign w:val="center"/>
          </w:tcPr>
          <w:p>
            <w:pPr>
              <w:pageBreakBefore w:val="0"/>
              <w:topLinePunct w:val="0"/>
              <w:bidi w:val="0"/>
              <w:spacing w:line="360" w:lineRule="auto"/>
              <w:rPr>
                <w:rFonts w:ascii="宋体" w:hAnsi="宋体" w:cs="微软雅黑"/>
                <w:color w:val="000000"/>
                <w:kern w:val="0"/>
              </w:rPr>
            </w:pPr>
          </w:p>
        </w:tc>
        <w:tc>
          <w:tcPr>
            <w:tcW w:w="1547" w:type="dxa"/>
            <w:vAlign w:val="center"/>
          </w:tcPr>
          <w:p>
            <w:pPr>
              <w:pageBreakBefore w:val="0"/>
              <w:topLinePunct w:val="0"/>
              <w:bidi w:val="0"/>
              <w:spacing w:line="360" w:lineRule="auto"/>
              <w:rPr>
                <w:rFonts w:ascii="宋体" w:hAnsi="宋体" w:cs="微软雅黑"/>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39" w:type="dxa"/>
            <w:vAlign w:val="center"/>
          </w:tcPr>
          <w:p>
            <w:pPr>
              <w:pageBreakBefore w:val="0"/>
              <w:topLinePunct w:val="0"/>
              <w:bidi w:val="0"/>
              <w:spacing w:line="360" w:lineRule="auto"/>
              <w:rPr>
                <w:rFonts w:ascii="宋体" w:hAnsi="宋体" w:cs="微软雅黑"/>
                <w:color w:val="000000"/>
                <w:kern w:val="0"/>
              </w:rPr>
            </w:pPr>
          </w:p>
        </w:tc>
        <w:tc>
          <w:tcPr>
            <w:tcW w:w="1620" w:type="dxa"/>
            <w:vAlign w:val="center"/>
          </w:tcPr>
          <w:p>
            <w:pPr>
              <w:pageBreakBefore w:val="0"/>
              <w:topLinePunct w:val="0"/>
              <w:bidi w:val="0"/>
              <w:spacing w:line="360" w:lineRule="auto"/>
              <w:rPr>
                <w:rFonts w:ascii="宋体" w:hAnsi="宋体" w:cs="微软雅黑"/>
                <w:color w:val="000000"/>
                <w:kern w:val="0"/>
              </w:rPr>
            </w:pPr>
          </w:p>
        </w:tc>
        <w:tc>
          <w:tcPr>
            <w:tcW w:w="2700" w:type="dxa"/>
            <w:vAlign w:val="center"/>
          </w:tcPr>
          <w:p>
            <w:pPr>
              <w:pageBreakBefore w:val="0"/>
              <w:topLinePunct w:val="0"/>
              <w:bidi w:val="0"/>
              <w:spacing w:line="360" w:lineRule="auto"/>
              <w:rPr>
                <w:rFonts w:ascii="宋体" w:hAnsi="宋体" w:cs="微软雅黑"/>
                <w:color w:val="000000"/>
                <w:kern w:val="0"/>
              </w:rPr>
            </w:pPr>
          </w:p>
        </w:tc>
        <w:tc>
          <w:tcPr>
            <w:tcW w:w="2873" w:type="dxa"/>
            <w:vAlign w:val="center"/>
          </w:tcPr>
          <w:p>
            <w:pPr>
              <w:pageBreakBefore w:val="0"/>
              <w:topLinePunct w:val="0"/>
              <w:bidi w:val="0"/>
              <w:spacing w:line="360" w:lineRule="auto"/>
              <w:rPr>
                <w:rFonts w:ascii="宋体" w:hAnsi="宋体" w:cs="微软雅黑"/>
                <w:color w:val="000000"/>
                <w:kern w:val="0"/>
              </w:rPr>
            </w:pPr>
          </w:p>
        </w:tc>
        <w:tc>
          <w:tcPr>
            <w:tcW w:w="1547" w:type="dxa"/>
            <w:vAlign w:val="center"/>
          </w:tcPr>
          <w:p>
            <w:pPr>
              <w:pageBreakBefore w:val="0"/>
              <w:topLinePunct w:val="0"/>
              <w:bidi w:val="0"/>
              <w:spacing w:line="360" w:lineRule="auto"/>
              <w:rPr>
                <w:rFonts w:ascii="宋体" w:hAnsi="宋体" w:cs="微软雅黑"/>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39" w:type="dxa"/>
            <w:vAlign w:val="center"/>
          </w:tcPr>
          <w:p>
            <w:pPr>
              <w:pageBreakBefore w:val="0"/>
              <w:topLinePunct w:val="0"/>
              <w:bidi w:val="0"/>
              <w:spacing w:line="360" w:lineRule="auto"/>
              <w:rPr>
                <w:rFonts w:ascii="宋体" w:hAnsi="宋体" w:cs="微软雅黑"/>
                <w:color w:val="000000"/>
                <w:kern w:val="0"/>
              </w:rPr>
            </w:pPr>
          </w:p>
        </w:tc>
        <w:tc>
          <w:tcPr>
            <w:tcW w:w="1620" w:type="dxa"/>
            <w:vAlign w:val="center"/>
          </w:tcPr>
          <w:p>
            <w:pPr>
              <w:pageBreakBefore w:val="0"/>
              <w:topLinePunct w:val="0"/>
              <w:bidi w:val="0"/>
              <w:spacing w:line="360" w:lineRule="auto"/>
              <w:rPr>
                <w:rFonts w:ascii="宋体" w:hAnsi="宋体" w:cs="微软雅黑"/>
                <w:color w:val="000000"/>
                <w:kern w:val="0"/>
              </w:rPr>
            </w:pPr>
          </w:p>
        </w:tc>
        <w:tc>
          <w:tcPr>
            <w:tcW w:w="2700" w:type="dxa"/>
            <w:vAlign w:val="center"/>
          </w:tcPr>
          <w:p>
            <w:pPr>
              <w:pageBreakBefore w:val="0"/>
              <w:topLinePunct w:val="0"/>
              <w:bidi w:val="0"/>
              <w:spacing w:line="360" w:lineRule="auto"/>
              <w:rPr>
                <w:rFonts w:ascii="宋体" w:hAnsi="宋体" w:cs="微软雅黑"/>
                <w:color w:val="000000"/>
                <w:kern w:val="0"/>
              </w:rPr>
            </w:pPr>
          </w:p>
        </w:tc>
        <w:tc>
          <w:tcPr>
            <w:tcW w:w="2873" w:type="dxa"/>
            <w:vAlign w:val="center"/>
          </w:tcPr>
          <w:p>
            <w:pPr>
              <w:pageBreakBefore w:val="0"/>
              <w:topLinePunct w:val="0"/>
              <w:bidi w:val="0"/>
              <w:spacing w:line="360" w:lineRule="auto"/>
              <w:rPr>
                <w:rFonts w:ascii="宋体" w:hAnsi="宋体" w:cs="微软雅黑"/>
                <w:color w:val="000000"/>
                <w:kern w:val="0"/>
              </w:rPr>
            </w:pPr>
          </w:p>
        </w:tc>
        <w:tc>
          <w:tcPr>
            <w:tcW w:w="1547" w:type="dxa"/>
            <w:vAlign w:val="center"/>
          </w:tcPr>
          <w:p>
            <w:pPr>
              <w:pageBreakBefore w:val="0"/>
              <w:topLinePunct w:val="0"/>
              <w:bidi w:val="0"/>
              <w:spacing w:line="360" w:lineRule="auto"/>
              <w:rPr>
                <w:rFonts w:ascii="宋体" w:hAnsi="宋体" w:cs="微软雅黑"/>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39" w:type="dxa"/>
            <w:vAlign w:val="center"/>
          </w:tcPr>
          <w:p>
            <w:pPr>
              <w:pageBreakBefore w:val="0"/>
              <w:topLinePunct w:val="0"/>
              <w:bidi w:val="0"/>
              <w:spacing w:line="360" w:lineRule="auto"/>
              <w:rPr>
                <w:rFonts w:ascii="宋体" w:hAnsi="宋体" w:cs="微软雅黑"/>
                <w:color w:val="000000"/>
                <w:kern w:val="0"/>
              </w:rPr>
            </w:pPr>
          </w:p>
        </w:tc>
        <w:tc>
          <w:tcPr>
            <w:tcW w:w="1620" w:type="dxa"/>
            <w:vAlign w:val="center"/>
          </w:tcPr>
          <w:p>
            <w:pPr>
              <w:pageBreakBefore w:val="0"/>
              <w:topLinePunct w:val="0"/>
              <w:bidi w:val="0"/>
              <w:spacing w:line="360" w:lineRule="auto"/>
              <w:rPr>
                <w:rFonts w:ascii="宋体" w:hAnsi="宋体" w:cs="微软雅黑"/>
                <w:color w:val="000000"/>
                <w:kern w:val="0"/>
              </w:rPr>
            </w:pPr>
          </w:p>
        </w:tc>
        <w:tc>
          <w:tcPr>
            <w:tcW w:w="2700" w:type="dxa"/>
            <w:vAlign w:val="center"/>
          </w:tcPr>
          <w:p>
            <w:pPr>
              <w:pageBreakBefore w:val="0"/>
              <w:topLinePunct w:val="0"/>
              <w:bidi w:val="0"/>
              <w:spacing w:line="360" w:lineRule="auto"/>
              <w:rPr>
                <w:rFonts w:ascii="宋体" w:hAnsi="宋体" w:cs="微软雅黑"/>
                <w:color w:val="000000"/>
                <w:kern w:val="0"/>
              </w:rPr>
            </w:pPr>
          </w:p>
        </w:tc>
        <w:tc>
          <w:tcPr>
            <w:tcW w:w="2873" w:type="dxa"/>
            <w:vAlign w:val="center"/>
          </w:tcPr>
          <w:p>
            <w:pPr>
              <w:pageBreakBefore w:val="0"/>
              <w:topLinePunct w:val="0"/>
              <w:bidi w:val="0"/>
              <w:spacing w:line="360" w:lineRule="auto"/>
              <w:rPr>
                <w:rFonts w:ascii="宋体" w:hAnsi="宋体" w:cs="微软雅黑"/>
                <w:color w:val="000000"/>
                <w:kern w:val="0"/>
              </w:rPr>
            </w:pPr>
          </w:p>
        </w:tc>
        <w:tc>
          <w:tcPr>
            <w:tcW w:w="1547" w:type="dxa"/>
            <w:vAlign w:val="center"/>
          </w:tcPr>
          <w:p>
            <w:pPr>
              <w:pageBreakBefore w:val="0"/>
              <w:topLinePunct w:val="0"/>
              <w:bidi w:val="0"/>
              <w:spacing w:line="360" w:lineRule="auto"/>
              <w:rPr>
                <w:rFonts w:ascii="宋体" w:hAnsi="宋体" w:cs="微软雅黑"/>
                <w:color w:val="000000"/>
                <w:kern w:val="0"/>
              </w:rPr>
            </w:pPr>
          </w:p>
        </w:tc>
      </w:tr>
    </w:tbl>
    <w:p>
      <w:pPr>
        <w:pageBreakBefore w:val="0"/>
        <w:topLinePunct w:val="0"/>
        <w:bidi w:val="0"/>
        <w:spacing w:beforeLines="100" w:line="360" w:lineRule="auto"/>
        <w:ind w:firstLine="283" w:firstLineChars="135"/>
        <w:jc w:val="left"/>
        <w:rPr>
          <w:rFonts w:ascii="宋体" w:hAnsi="宋体" w:cs="微软雅黑"/>
          <w:color w:val="000000"/>
          <w:kern w:val="0"/>
          <w:lang w:val="zh-CN"/>
        </w:rPr>
      </w:pPr>
      <w:r>
        <w:rPr>
          <w:rFonts w:hint="eastAsia" w:ascii="宋体" w:hAnsi="宋体" w:cs="微软雅黑"/>
          <w:color w:val="000000"/>
          <w:kern w:val="0"/>
          <w:lang w:val="zh-CN"/>
        </w:rPr>
        <w:t>供应商名称：（盖章）</w:t>
      </w:r>
    </w:p>
    <w:p>
      <w:pPr>
        <w:pageBreakBefore w:val="0"/>
        <w:topLinePunct w:val="0"/>
        <w:bidi w:val="0"/>
        <w:spacing w:line="360" w:lineRule="auto"/>
        <w:ind w:firstLine="315" w:firstLineChars="150"/>
        <w:jc w:val="left"/>
        <w:rPr>
          <w:rFonts w:ascii="宋体" w:hAnsi="宋体" w:cs="微软雅黑"/>
          <w:color w:val="000000"/>
          <w:kern w:val="0"/>
          <w:lang w:val="zh-CN"/>
        </w:rPr>
      </w:pPr>
      <w:r>
        <w:rPr>
          <w:rFonts w:hint="eastAsia" w:ascii="宋体" w:hAnsi="宋体" w:cs="微软雅黑"/>
          <w:color w:val="000000"/>
          <w:kern w:val="0"/>
          <w:lang w:val="zh-CN"/>
        </w:rPr>
        <w:t>说明：如果行数不够，请自行增加。</w:t>
      </w:r>
    </w:p>
    <w:p>
      <w:pPr>
        <w:pageBreakBefore w:val="0"/>
        <w:topLinePunct w:val="0"/>
        <w:bidi w:val="0"/>
        <w:spacing w:line="360" w:lineRule="auto"/>
        <w:rPr>
          <w:rFonts w:ascii="宋体" w:hAnsi="宋体" w:cs="宋体"/>
        </w:rPr>
      </w:pPr>
      <w:r>
        <w:rPr>
          <w:rFonts w:hint="eastAsia" w:ascii="宋体" w:hAnsi="宋体" w:cs="宋体"/>
        </w:rPr>
        <w:br w:type="page"/>
      </w:r>
    </w:p>
    <w:p>
      <w:pPr>
        <w:pageBreakBefore w:val="0"/>
        <w:topLinePunct w:val="0"/>
        <w:bidi w:val="0"/>
        <w:spacing w:line="360" w:lineRule="auto"/>
        <w:rPr>
          <w:rFonts w:ascii="宋体" w:hAnsi="宋体" w:cs="微软雅黑"/>
          <w:b/>
          <w:bCs/>
          <w:color w:val="000000"/>
          <w:kern w:val="0"/>
          <w:lang w:val="zh-CN"/>
        </w:rPr>
      </w:pPr>
      <w:r>
        <w:rPr>
          <w:rFonts w:hint="eastAsia" w:ascii="宋体" w:hAnsi="宋体" w:cs="微软雅黑"/>
          <w:b/>
          <w:color w:val="000000"/>
          <w:kern w:val="0"/>
          <w:szCs w:val="21"/>
          <w:lang w:val="zh-CN"/>
        </w:rPr>
        <w:t>附件</w:t>
      </w:r>
      <w:r>
        <w:rPr>
          <w:rFonts w:hint="eastAsia" w:ascii="宋体" w:hAnsi="宋体" w:cs="微软雅黑"/>
          <w:b/>
          <w:bCs/>
          <w:color w:val="000000"/>
          <w:kern w:val="0"/>
        </w:rPr>
        <w:t>九</w:t>
      </w:r>
      <w:r>
        <w:rPr>
          <w:rFonts w:hint="eastAsia" w:ascii="宋体" w:hAnsi="宋体" w:cs="微软雅黑"/>
          <w:b/>
          <w:bCs/>
          <w:color w:val="000000"/>
          <w:kern w:val="0"/>
          <w:lang w:val="zh-CN"/>
        </w:rPr>
        <w:t>、技术条款偏离表格式</w:t>
      </w:r>
    </w:p>
    <w:p>
      <w:pPr>
        <w:pageBreakBefore w:val="0"/>
        <w:topLinePunct w:val="0"/>
        <w:bidi w:val="0"/>
        <w:spacing w:line="360" w:lineRule="auto"/>
        <w:jc w:val="center"/>
        <w:rPr>
          <w:rFonts w:ascii="宋体" w:hAnsi="宋体" w:cs="微软雅黑"/>
          <w:color w:val="000000"/>
          <w:kern w:val="0"/>
          <w:sz w:val="36"/>
          <w:szCs w:val="36"/>
          <w:lang w:val="zh-CN"/>
        </w:rPr>
      </w:pPr>
    </w:p>
    <w:p>
      <w:pPr>
        <w:pageBreakBefore w:val="0"/>
        <w:topLinePunct w:val="0"/>
        <w:bidi w:val="0"/>
        <w:spacing w:line="360" w:lineRule="auto"/>
        <w:jc w:val="center"/>
        <w:rPr>
          <w:rFonts w:ascii="宋体" w:hAnsi="宋体" w:cs="微软雅黑"/>
          <w:b/>
          <w:bCs/>
          <w:color w:val="000000"/>
          <w:kern w:val="0"/>
          <w:sz w:val="32"/>
          <w:szCs w:val="32"/>
          <w:lang w:val="zh-CN"/>
        </w:rPr>
      </w:pPr>
      <w:r>
        <w:rPr>
          <w:rFonts w:hint="eastAsia" w:ascii="宋体" w:hAnsi="宋体" w:cs="微软雅黑"/>
          <w:b/>
          <w:bCs/>
          <w:color w:val="000000"/>
          <w:kern w:val="0"/>
          <w:sz w:val="32"/>
          <w:szCs w:val="32"/>
          <w:lang w:val="zh-CN"/>
        </w:rPr>
        <w:t>技术条款偏离表</w:t>
      </w:r>
    </w:p>
    <w:p>
      <w:pPr>
        <w:pageBreakBefore w:val="0"/>
        <w:topLinePunct w:val="0"/>
        <w:bidi w:val="0"/>
        <w:spacing w:line="360" w:lineRule="auto"/>
        <w:ind w:firstLine="315" w:firstLineChars="150"/>
        <w:rPr>
          <w:rFonts w:ascii="宋体" w:hAnsi="宋体" w:cs="微软雅黑"/>
          <w:color w:val="000000"/>
          <w:kern w:val="0"/>
          <w:lang w:val="zh-CN"/>
        </w:rPr>
      </w:pPr>
      <w:r>
        <w:rPr>
          <w:rFonts w:hint="eastAsia" w:ascii="宋体" w:hAnsi="宋体" w:cs="微软雅黑"/>
          <w:color w:val="000000"/>
          <w:kern w:val="0"/>
          <w:lang w:val="zh-CN"/>
        </w:rPr>
        <w:t>项目名称：                                                 项目编号：</w:t>
      </w:r>
    </w:p>
    <w:tbl>
      <w:tblPr>
        <w:tblStyle w:val="29"/>
        <w:tblW w:w="9720" w:type="dxa"/>
        <w:jc w:val="center"/>
        <w:tblLayout w:type="fixed"/>
        <w:tblCellMar>
          <w:top w:w="0" w:type="dxa"/>
          <w:left w:w="0" w:type="dxa"/>
          <w:bottom w:w="0" w:type="dxa"/>
          <w:right w:w="0" w:type="dxa"/>
        </w:tblCellMar>
      </w:tblPr>
      <w:tblGrid>
        <w:gridCol w:w="765"/>
        <w:gridCol w:w="1620"/>
        <w:gridCol w:w="2700"/>
        <w:gridCol w:w="3240"/>
        <w:gridCol w:w="1395"/>
      </w:tblGrid>
      <w:tr>
        <w:tblPrEx>
          <w:tblCellMar>
            <w:top w:w="0" w:type="dxa"/>
            <w:left w:w="0" w:type="dxa"/>
            <w:bottom w:w="0" w:type="dxa"/>
            <w:right w:w="0" w:type="dxa"/>
          </w:tblCellMar>
        </w:tblPrEx>
        <w:trPr>
          <w:trHeight w:val="65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招标文件条目号</w:t>
            </w:r>
          </w:p>
        </w:tc>
        <w:tc>
          <w:tcPr>
            <w:tcW w:w="270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center"/>
              <w:rPr>
                <w:rFonts w:ascii="宋体" w:hAnsi="宋体" w:cs="微软雅黑"/>
                <w:color w:val="000000"/>
                <w:kern w:val="0"/>
              </w:rPr>
            </w:pPr>
            <w:r>
              <w:rPr>
                <w:rFonts w:hint="eastAsia" w:ascii="宋体" w:hAnsi="宋体" w:cs="微软雅黑"/>
                <w:color w:val="000000"/>
                <w:kern w:val="0"/>
                <w:lang w:val="zh-CN"/>
              </w:rPr>
              <w:t>招标要求规格</w:t>
            </w:r>
            <w:r>
              <w:rPr>
                <w:rFonts w:hint="eastAsia" w:ascii="宋体" w:hAnsi="宋体" w:cs="微软雅黑"/>
                <w:color w:val="000000"/>
                <w:kern w:val="0"/>
              </w:rPr>
              <w:t>参数</w:t>
            </w:r>
          </w:p>
        </w:tc>
        <w:tc>
          <w:tcPr>
            <w:tcW w:w="324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投标响应</w:t>
            </w:r>
          </w:p>
        </w:tc>
        <w:tc>
          <w:tcPr>
            <w:tcW w:w="139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偏离</w:t>
            </w:r>
          </w:p>
        </w:tc>
      </w:tr>
      <w:tr>
        <w:tblPrEx>
          <w:tblCellMar>
            <w:top w:w="0" w:type="dxa"/>
            <w:left w:w="0" w:type="dxa"/>
            <w:bottom w:w="0" w:type="dxa"/>
            <w:right w:w="0" w:type="dxa"/>
          </w:tblCellMar>
        </w:tblPrEx>
        <w:trPr>
          <w:trHeight w:val="479"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39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r>
      <w:tr>
        <w:tblPrEx>
          <w:tblCellMar>
            <w:top w:w="0" w:type="dxa"/>
            <w:left w:w="0" w:type="dxa"/>
            <w:bottom w:w="0" w:type="dxa"/>
            <w:right w:w="0" w:type="dxa"/>
          </w:tblCellMar>
        </w:tblPrEx>
        <w:trPr>
          <w:trHeight w:val="479"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39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r>
      <w:tr>
        <w:tblPrEx>
          <w:tblCellMar>
            <w:top w:w="0" w:type="dxa"/>
            <w:left w:w="0" w:type="dxa"/>
            <w:bottom w:w="0" w:type="dxa"/>
            <w:right w:w="0" w:type="dxa"/>
          </w:tblCellMar>
        </w:tblPrEx>
        <w:trPr>
          <w:trHeight w:val="479"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39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r>
      <w:tr>
        <w:tblPrEx>
          <w:tblCellMar>
            <w:top w:w="0" w:type="dxa"/>
            <w:left w:w="0" w:type="dxa"/>
            <w:bottom w:w="0" w:type="dxa"/>
            <w:right w:w="0" w:type="dxa"/>
          </w:tblCellMar>
        </w:tblPrEx>
        <w:trPr>
          <w:trHeight w:val="479"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39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r>
      <w:tr>
        <w:tblPrEx>
          <w:tblCellMar>
            <w:top w:w="0" w:type="dxa"/>
            <w:left w:w="0" w:type="dxa"/>
            <w:bottom w:w="0" w:type="dxa"/>
            <w:right w:w="0" w:type="dxa"/>
          </w:tblCellMar>
        </w:tblPrEx>
        <w:trPr>
          <w:trHeight w:val="479"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39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r>
      <w:tr>
        <w:tblPrEx>
          <w:tblCellMar>
            <w:top w:w="0" w:type="dxa"/>
            <w:left w:w="0" w:type="dxa"/>
            <w:bottom w:w="0" w:type="dxa"/>
            <w:right w:w="0" w:type="dxa"/>
          </w:tblCellMar>
        </w:tblPrEx>
        <w:trPr>
          <w:trHeight w:val="479"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39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r>
      <w:tr>
        <w:tblPrEx>
          <w:tblCellMar>
            <w:top w:w="0" w:type="dxa"/>
            <w:left w:w="0" w:type="dxa"/>
            <w:bottom w:w="0" w:type="dxa"/>
            <w:right w:w="0" w:type="dxa"/>
          </w:tblCellMar>
        </w:tblPrEx>
        <w:trPr>
          <w:trHeight w:val="479"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39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r>
      <w:tr>
        <w:tblPrEx>
          <w:tblCellMar>
            <w:top w:w="0" w:type="dxa"/>
            <w:left w:w="0" w:type="dxa"/>
            <w:bottom w:w="0" w:type="dxa"/>
            <w:right w:w="0" w:type="dxa"/>
          </w:tblCellMar>
        </w:tblPrEx>
        <w:trPr>
          <w:trHeight w:val="479"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39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r>
      <w:tr>
        <w:tblPrEx>
          <w:tblCellMar>
            <w:top w:w="0" w:type="dxa"/>
            <w:left w:w="0" w:type="dxa"/>
            <w:bottom w:w="0" w:type="dxa"/>
            <w:right w:w="0" w:type="dxa"/>
          </w:tblCellMar>
        </w:tblPrEx>
        <w:trPr>
          <w:trHeight w:val="479"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c>
          <w:tcPr>
            <w:tcW w:w="1395" w:type="dxa"/>
            <w:tcBorders>
              <w:top w:val="single" w:color="auto" w:sz="6" w:space="0"/>
              <w:left w:val="single" w:color="auto" w:sz="6" w:space="0"/>
              <w:bottom w:val="single" w:color="auto" w:sz="6" w:space="0"/>
              <w:right w:val="single" w:color="auto" w:sz="6" w:space="0"/>
            </w:tcBorders>
            <w:vAlign w:val="center"/>
          </w:tcPr>
          <w:p>
            <w:pPr>
              <w:pageBreakBefore w:val="0"/>
              <w:topLinePunct w:val="0"/>
              <w:bidi w:val="0"/>
              <w:snapToGrid w:val="0"/>
              <w:spacing w:line="360" w:lineRule="auto"/>
              <w:jc w:val="left"/>
              <w:rPr>
                <w:rFonts w:ascii="宋体" w:hAnsi="宋体" w:cs="微软雅黑"/>
                <w:color w:val="000000"/>
                <w:kern w:val="0"/>
                <w:lang w:val="zh-CN"/>
              </w:rPr>
            </w:pPr>
          </w:p>
        </w:tc>
      </w:tr>
    </w:tbl>
    <w:p>
      <w:pPr>
        <w:pageBreakBefore w:val="0"/>
        <w:topLinePunct w:val="0"/>
        <w:bidi w:val="0"/>
        <w:snapToGrid w:val="0"/>
        <w:spacing w:line="360" w:lineRule="auto"/>
        <w:ind w:firstLine="420" w:firstLineChars="200"/>
        <w:jc w:val="left"/>
        <w:rPr>
          <w:rFonts w:ascii="宋体" w:hAnsi="宋体" w:cs="微软雅黑"/>
          <w:color w:val="000000"/>
          <w:kern w:val="0"/>
          <w:lang w:val="zh-CN"/>
        </w:rPr>
      </w:pPr>
    </w:p>
    <w:p>
      <w:pPr>
        <w:pageBreakBefore w:val="0"/>
        <w:topLinePunct w:val="0"/>
        <w:bidi w:val="0"/>
        <w:snapToGrid w:val="0"/>
        <w:spacing w:line="360" w:lineRule="auto"/>
        <w:ind w:firstLine="210" w:firstLineChars="100"/>
        <w:jc w:val="left"/>
        <w:rPr>
          <w:rFonts w:ascii="宋体" w:hAnsi="宋体" w:cs="微软雅黑"/>
          <w:color w:val="000000"/>
          <w:kern w:val="0"/>
          <w:lang w:val="zh-CN"/>
        </w:rPr>
      </w:pPr>
      <w:r>
        <w:rPr>
          <w:rFonts w:hint="eastAsia" w:ascii="宋体" w:hAnsi="宋体" w:cs="微软雅黑"/>
          <w:color w:val="000000"/>
          <w:kern w:val="0"/>
          <w:lang w:val="zh-CN"/>
        </w:rPr>
        <w:t>供应商名称：（盖章）</w:t>
      </w:r>
    </w:p>
    <w:p>
      <w:pPr>
        <w:pageBreakBefore w:val="0"/>
        <w:topLinePunct w:val="0"/>
        <w:bidi w:val="0"/>
        <w:snapToGrid w:val="0"/>
        <w:spacing w:line="360" w:lineRule="auto"/>
        <w:ind w:firstLine="210" w:firstLineChars="100"/>
        <w:jc w:val="left"/>
        <w:rPr>
          <w:rFonts w:ascii="宋体" w:hAnsi="宋体" w:cs="微软雅黑"/>
          <w:color w:val="000000"/>
          <w:kern w:val="0"/>
          <w:lang w:val="zh-CN"/>
        </w:rPr>
      </w:pPr>
      <w:r>
        <w:rPr>
          <w:rFonts w:hint="eastAsia" w:ascii="宋体" w:hAnsi="宋体" w:cs="微软雅黑"/>
          <w:color w:val="000000"/>
          <w:kern w:val="0"/>
          <w:lang w:val="zh-CN"/>
        </w:rPr>
        <w:t>说明：</w:t>
      </w:r>
      <w:r>
        <w:rPr>
          <w:rFonts w:hint="eastAsia" w:ascii="宋体" w:hAnsi="宋体" w:cs="微软雅黑"/>
          <w:color w:val="000000"/>
          <w:kern w:val="0"/>
        </w:rPr>
        <w:t>1</w:t>
      </w:r>
      <w:r>
        <w:rPr>
          <w:rFonts w:hint="eastAsia" w:ascii="宋体" w:hAnsi="宋体" w:cs="微软雅黑"/>
          <w:color w:val="000000"/>
          <w:kern w:val="0"/>
          <w:lang w:val="zh-CN"/>
        </w:rPr>
        <w:t>、如果行数不够，请自行增加。</w:t>
      </w:r>
    </w:p>
    <w:p>
      <w:pPr>
        <w:pageBreakBefore w:val="0"/>
        <w:topLinePunct w:val="0"/>
        <w:bidi w:val="0"/>
        <w:spacing w:line="360" w:lineRule="auto"/>
        <w:rPr>
          <w:rFonts w:ascii="宋体" w:hAnsi="宋体" w:cs="宋体"/>
        </w:rPr>
      </w:pPr>
      <w:r>
        <w:rPr>
          <w:rFonts w:hint="eastAsia" w:ascii="宋体" w:hAnsi="宋体" w:cs="宋体"/>
        </w:rPr>
        <w:br w:type="page"/>
      </w:r>
    </w:p>
    <w:p>
      <w:pPr>
        <w:pStyle w:val="41"/>
        <w:pageBreakBefore w:val="0"/>
        <w:topLinePunct w:val="0"/>
        <w:bidi w:val="0"/>
        <w:spacing w:line="360" w:lineRule="auto"/>
        <w:rPr>
          <w:color w:val="000000"/>
          <w:lang w:val="zh-CN"/>
        </w:rPr>
      </w:pPr>
    </w:p>
    <w:p>
      <w:pPr>
        <w:pageBreakBefore w:val="0"/>
        <w:topLinePunct w:val="0"/>
        <w:bidi w:val="0"/>
        <w:spacing w:line="360" w:lineRule="auto"/>
        <w:rPr>
          <w:rFonts w:ascii="宋体" w:hAnsi="宋体" w:cs="微软雅黑"/>
          <w:b/>
          <w:bCs/>
          <w:color w:val="000000"/>
        </w:rPr>
      </w:pPr>
      <w:r>
        <w:rPr>
          <w:rFonts w:hint="eastAsia" w:ascii="宋体" w:hAnsi="宋体" w:cs="微软雅黑"/>
          <w:b/>
          <w:color w:val="000000"/>
          <w:kern w:val="0"/>
          <w:szCs w:val="21"/>
          <w:lang w:val="zh-CN"/>
        </w:rPr>
        <w:t>附件</w:t>
      </w:r>
      <w:r>
        <w:rPr>
          <w:rFonts w:hint="eastAsia" w:ascii="宋体" w:hAnsi="宋体" w:cs="微软雅黑"/>
          <w:b/>
          <w:bCs/>
          <w:color w:val="000000"/>
        </w:rPr>
        <w:t>十、服务方案、质量保证</w:t>
      </w:r>
    </w:p>
    <w:p>
      <w:pPr>
        <w:pageBreakBefore w:val="0"/>
        <w:topLinePunct w:val="0"/>
        <w:bidi w:val="0"/>
        <w:spacing w:line="360" w:lineRule="auto"/>
        <w:jc w:val="center"/>
        <w:rPr>
          <w:rFonts w:ascii="宋体" w:hAnsi="宋体" w:cs="微软雅黑"/>
          <w:color w:val="000000"/>
          <w:kern w:val="0"/>
          <w:sz w:val="36"/>
          <w:szCs w:val="36"/>
        </w:rPr>
      </w:pPr>
    </w:p>
    <w:p>
      <w:pPr>
        <w:pageBreakBefore w:val="0"/>
        <w:topLinePunct w:val="0"/>
        <w:bidi w:val="0"/>
        <w:spacing w:line="360" w:lineRule="auto"/>
        <w:jc w:val="center"/>
        <w:rPr>
          <w:rFonts w:ascii="宋体" w:hAnsi="宋体"/>
          <w:b/>
          <w:bCs/>
          <w:color w:val="000000"/>
          <w:kern w:val="0"/>
          <w:sz w:val="32"/>
          <w:szCs w:val="32"/>
        </w:rPr>
      </w:pPr>
      <w:r>
        <w:rPr>
          <w:rFonts w:hint="eastAsia" w:ascii="宋体" w:hAnsi="宋体" w:cs="微软雅黑"/>
          <w:b/>
          <w:bCs/>
          <w:color w:val="000000"/>
          <w:kern w:val="0"/>
          <w:sz w:val="32"/>
          <w:szCs w:val="32"/>
        </w:rPr>
        <w:t>服务方案、质量保证</w:t>
      </w:r>
    </w:p>
    <w:p>
      <w:pPr>
        <w:pageBreakBefore w:val="0"/>
        <w:topLinePunct w:val="0"/>
        <w:bidi w:val="0"/>
        <w:spacing w:line="360" w:lineRule="auto"/>
        <w:jc w:val="center"/>
        <w:rPr>
          <w:rFonts w:ascii="宋体" w:hAnsi="宋体" w:cs="微软雅黑"/>
          <w:color w:val="000000"/>
          <w:kern w:val="0"/>
          <w:lang w:val="zh-CN"/>
        </w:rPr>
      </w:pPr>
      <w:r>
        <w:rPr>
          <w:rFonts w:hint="eastAsia" w:ascii="宋体" w:hAnsi="宋体" w:cs="微软雅黑"/>
          <w:color w:val="000000"/>
          <w:kern w:val="0"/>
          <w:lang w:val="zh-CN"/>
        </w:rPr>
        <w:t>（包含但不限于评分办法中的得分点内容，格式自拟）</w:t>
      </w:r>
    </w:p>
    <w:p>
      <w:pPr>
        <w:pStyle w:val="41"/>
        <w:pageBreakBefore w:val="0"/>
        <w:topLinePunct w:val="0"/>
        <w:bidi w:val="0"/>
        <w:spacing w:line="360" w:lineRule="auto"/>
        <w:rPr>
          <w:rFonts w:ascii="宋体" w:hAnsi="宋体" w:cs="微软雅黑"/>
          <w:color w:val="000000"/>
          <w:sz w:val="21"/>
          <w:lang w:val="zh-CN"/>
        </w:rPr>
      </w:pPr>
    </w:p>
    <w:p>
      <w:pPr>
        <w:pStyle w:val="41"/>
        <w:pageBreakBefore w:val="0"/>
        <w:topLinePunct w:val="0"/>
        <w:bidi w:val="0"/>
        <w:spacing w:line="360" w:lineRule="auto"/>
        <w:rPr>
          <w:color w:val="000000"/>
        </w:rPr>
      </w:pPr>
    </w:p>
    <w:p>
      <w:pPr>
        <w:pStyle w:val="41"/>
        <w:pageBreakBefore w:val="0"/>
        <w:topLinePunct w:val="0"/>
        <w:bidi w:val="0"/>
        <w:spacing w:line="360" w:lineRule="auto"/>
        <w:rPr>
          <w:color w:val="000000"/>
        </w:rPr>
      </w:pPr>
    </w:p>
    <w:p>
      <w:pPr>
        <w:pStyle w:val="41"/>
        <w:pageBreakBefore w:val="0"/>
        <w:topLinePunct w:val="0"/>
        <w:bidi w:val="0"/>
        <w:spacing w:line="360" w:lineRule="auto"/>
        <w:rPr>
          <w:color w:val="000000"/>
        </w:rPr>
      </w:pPr>
    </w:p>
    <w:p>
      <w:pPr>
        <w:pageBreakBefore w:val="0"/>
        <w:topLinePunct w:val="0"/>
        <w:bidi w:val="0"/>
        <w:spacing w:line="360" w:lineRule="auto"/>
        <w:rPr>
          <w:rFonts w:ascii="宋体" w:hAnsi="宋体" w:cs="微软雅黑"/>
          <w:b/>
          <w:color w:val="000000"/>
        </w:rPr>
      </w:pPr>
      <w:r>
        <w:rPr>
          <w:rFonts w:hint="eastAsia" w:ascii="宋体" w:hAnsi="宋体" w:cs="微软雅黑"/>
          <w:b/>
          <w:color w:val="000000"/>
          <w:kern w:val="0"/>
          <w:szCs w:val="21"/>
          <w:lang w:val="zh-CN"/>
        </w:rPr>
        <w:t>附件十一、供应商认为需要提供的其他资格证明文件和商务资料等。</w:t>
      </w:r>
    </w:p>
    <w:p>
      <w:pPr>
        <w:pageBreakBefore w:val="0"/>
        <w:topLinePunct w:val="0"/>
        <w:bidi w:val="0"/>
        <w:spacing w:line="360" w:lineRule="auto"/>
        <w:rPr>
          <w:rFonts w:ascii="宋体" w:hAnsi="宋体" w:cs="微软雅黑"/>
          <w:b/>
          <w:color w:val="000000"/>
        </w:rPr>
      </w:pPr>
    </w:p>
    <w:p>
      <w:pPr>
        <w:pageBreakBefore w:val="0"/>
        <w:topLinePunct w:val="0"/>
        <w:bidi w:val="0"/>
        <w:spacing w:line="360" w:lineRule="auto"/>
        <w:jc w:val="center"/>
        <w:rPr>
          <w:rFonts w:ascii="宋体" w:hAnsi="宋体" w:cs="微软雅黑"/>
          <w:b/>
          <w:bCs/>
          <w:color w:val="000000"/>
          <w:sz w:val="32"/>
          <w:szCs w:val="32"/>
        </w:rPr>
      </w:pPr>
      <w:r>
        <w:rPr>
          <w:rFonts w:hint="eastAsia" w:ascii="宋体" w:hAnsi="宋体" w:cs="微软雅黑"/>
          <w:b/>
          <w:bCs/>
          <w:color w:val="000000"/>
          <w:sz w:val="32"/>
          <w:szCs w:val="32"/>
        </w:rPr>
        <w:t>其他资格证明文件和商务资料等</w:t>
      </w:r>
    </w:p>
    <w:p>
      <w:pPr>
        <w:pageBreakBefore w:val="0"/>
        <w:topLinePunct w:val="0"/>
        <w:bidi w:val="0"/>
        <w:spacing w:line="360" w:lineRule="auto"/>
        <w:rPr>
          <w:rFonts w:ascii="宋体" w:hAnsi="宋体" w:cs="宋体"/>
        </w:rPr>
      </w:pPr>
      <w:r>
        <w:rPr>
          <w:rFonts w:hint="eastAsia" w:ascii="宋体" w:hAnsi="宋体" w:cs="宋体"/>
        </w:rPr>
        <w:br w:type="page"/>
      </w:r>
    </w:p>
    <w:p>
      <w:pPr>
        <w:pStyle w:val="41"/>
        <w:pageBreakBefore w:val="0"/>
        <w:topLinePunct w:val="0"/>
        <w:bidi w:val="0"/>
        <w:spacing w:line="360" w:lineRule="auto"/>
        <w:rPr>
          <w:color w:val="000000"/>
        </w:rPr>
      </w:pPr>
    </w:p>
    <w:p>
      <w:pPr>
        <w:pageBreakBefore w:val="0"/>
        <w:topLinePunct w:val="0"/>
        <w:bidi w:val="0"/>
        <w:spacing w:line="360" w:lineRule="auto"/>
        <w:rPr>
          <w:rFonts w:hint="eastAsia" w:ascii="宋体" w:hAnsi="宋体" w:cs="微软雅黑"/>
          <w:b/>
          <w:color w:val="000000"/>
        </w:rPr>
      </w:pPr>
      <w:r>
        <w:rPr>
          <w:rFonts w:hint="eastAsia" w:ascii="宋体" w:hAnsi="宋体" w:cs="微软雅黑"/>
          <w:b/>
          <w:color w:val="000000"/>
          <w:kern w:val="0"/>
          <w:szCs w:val="21"/>
          <w:lang w:val="zh-CN"/>
        </w:rPr>
        <w:t>附件十二</w:t>
      </w:r>
      <w:r>
        <w:rPr>
          <w:rFonts w:hint="eastAsia" w:ascii="宋体" w:hAnsi="宋体" w:cs="微软雅黑"/>
          <w:b/>
          <w:color w:val="000000"/>
        </w:rPr>
        <w:t>、中小企业声明函格式（如有）</w:t>
      </w:r>
    </w:p>
    <w:p>
      <w:pPr>
        <w:pStyle w:val="2"/>
      </w:pPr>
    </w:p>
    <w:p>
      <w:pPr>
        <w:pageBreakBefore w:val="0"/>
        <w:topLinePunct w:val="0"/>
        <w:bidi w:val="0"/>
        <w:spacing w:line="360" w:lineRule="auto"/>
        <w:jc w:val="center"/>
        <w:rPr>
          <w:rFonts w:hint="eastAsia" w:ascii="宋体" w:hAnsi="宋体" w:cs="微软雅黑"/>
          <w:b/>
          <w:bCs/>
          <w:color w:val="000000"/>
          <w:kern w:val="0"/>
          <w:sz w:val="32"/>
          <w:szCs w:val="32"/>
        </w:rPr>
      </w:pPr>
      <w:r>
        <w:rPr>
          <w:rFonts w:hint="eastAsia" w:ascii="宋体" w:hAnsi="宋体" w:cs="微软雅黑"/>
          <w:b/>
          <w:bCs/>
          <w:color w:val="000000"/>
          <w:kern w:val="0"/>
          <w:sz w:val="32"/>
          <w:szCs w:val="32"/>
        </w:rPr>
        <w:t>中小企业声明函</w:t>
      </w:r>
    </w:p>
    <w:p>
      <w:pPr>
        <w:pStyle w:val="2"/>
        <w:rPr>
          <w:rFonts w:hint="eastAsia"/>
        </w:rPr>
      </w:pPr>
    </w:p>
    <w:p>
      <w:pPr>
        <w:widowControl/>
        <w:spacing w:line="360" w:lineRule="auto"/>
        <w:ind w:firstLine="480" w:firstLineChars="2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本公司（联合体）郑重声明，根据《政府采购促进中小企业发展管理办法》（财库〔2020）46号）的规定，本公司（联合体）参加</w:t>
      </w:r>
      <w:r>
        <w:rPr>
          <w:rFonts w:hint="eastAsia" w:ascii="宋体" w:hAnsi="宋体" w:cs="宋体"/>
          <w:snapToGrid w:val="0"/>
          <w:color w:val="auto"/>
          <w:kern w:val="0"/>
          <w:sz w:val="24"/>
          <w:szCs w:val="24"/>
          <w:highlight w:val="none"/>
          <w:u w:val="single"/>
        </w:rPr>
        <w:t>（单位名称）</w:t>
      </w:r>
      <w:r>
        <w:rPr>
          <w:rFonts w:hint="eastAsia" w:ascii="宋体" w:hAnsi="宋体" w:cs="宋体"/>
          <w:snapToGrid w:val="0"/>
          <w:color w:val="auto"/>
          <w:kern w:val="0"/>
          <w:sz w:val="24"/>
          <w:szCs w:val="24"/>
          <w:highlight w:val="none"/>
        </w:rPr>
        <w:t>的</w:t>
      </w:r>
      <w:r>
        <w:rPr>
          <w:rFonts w:hint="eastAsia" w:ascii="宋体" w:hAnsi="宋体" w:cs="宋体"/>
          <w:snapToGrid w:val="0"/>
          <w:color w:val="auto"/>
          <w:kern w:val="0"/>
          <w:sz w:val="24"/>
          <w:szCs w:val="24"/>
          <w:highlight w:val="none"/>
          <w:u w:val="single"/>
        </w:rPr>
        <w:t>（项目名称）</w:t>
      </w:r>
      <w:r>
        <w:rPr>
          <w:rFonts w:hint="eastAsia" w:ascii="宋体" w:hAnsi="宋体" w:cs="宋体"/>
          <w:snapToGrid w:val="0"/>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hint="eastAsia" w:ascii="宋体" w:hAnsi="宋体" w:cs="宋体"/>
          <w:snapToGrid w:val="0"/>
          <w:color w:val="auto"/>
          <w:kern w:val="0"/>
          <w:sz w:val="24"/>
          <w:szCs w:val="24"/>
          <w:highlight w:val="none"/>
        </w:rPr>
      </w:pPr>
      <w:bookmarkStart w:id="70" w:name="bookmark35"/>
      <w:bookmarkEnd w:id="70"/>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u w:val="single"/>
        </w:rPr>
        <w:t>（标的名称）</w:t>
      </w:r>
      <w:r>
        <w:rPr>
          <w:rFonts w:hint="eastAsia" w:ascii="宋体" w:hAnsi="宋体" w:cs="宋体"/>
          <w:snapToGrid w:val="0"/>
          <w:color w:val="auto"/>
          <w:kern w:val="0"/>
          <w:sz w:val="24"/>
          <w:szCs w:val="24"/>
          <w:highlight w:val="none"/>
        </w:rPr>
        <w:t>，属于</w:t>
      </w:r>
      <w:r>
        <w:rPr>
          <w:rFonts w:hint="eastAsia" w:ascii="宋体" w:hAnsi="宋体" w:cs="宋体"/>
          <w:snapToGrid w:val="0"/>
          <w:color w:val="auto"/>
          <w:kern w:val="0"/>
          <w:sz w:val="24"/>
          <w:szCs w:val="24"/>
          <w:highlight w:val="none"/>
          <w:u w:val="single"/>
        </w:rPr>
        <w:t>（采购文件中明确的所属行业）</w:t>
      </w:r>
      <w:r>
        <w:rPr>
          <w:rFonts w:hint="eastAsia" w:ascii="宋体" w:hAnsi="宋体" w:cs="宋体"/>
          <w:snapToGrid w:val="0"/>
          <w:color w:val="auto"/>
          <w:kern w:val="0"/>
          <w:sz w:val="24"/>
          <w:szCs w:val="24"/>
          <w:highlight w:val="none"/>
        </w:rPr>
        <w:t>，承建（承接）企业为</w:t>
      </w:r>
      <w:r>
        <w:rPr>
          <w:rFonts w:hint="eastAsia" w:ascii="宋体" w:hAnsi="宋体" w:cs="宋体"/>
          <w:snapToGrid w:val="0"/>
          <w:color w:val="auto"/>
          <w:kern w:val="0"/>
          <w:sz w:val="24"/>
          <w:szCs w:val="24"/>
          <w:highlight w:val="none"/>
          <w:u w:val="single"/>
        </w:rPr>
        <w:t>（企业名称）</w:t>
      </w:r>
      <w:r>
        <w:rPr>
          <w:rFonts w:hint="eastAsia" w:ascii="宋体" w:hAnsi="宋体" w:cs="宋体"/>
          <w:snapToGrid w:val="0"/>
          <w:color w:val="auto"/>
          <w:kern w:val="0"/>
          <w:sz w:val="24"/>
          <w:szCs w:val="24"/>
          <w:highlight w:val="none"/>
        </w:rPr>
        <w:t>，从业人员</w:t>
      </w:r>
      <w:r>
        <w:rPr>
          <w:rFonts w:hint="eastAsia" w:ascii="宋体" w:hAnsi="宋体" w:cs="宋体"/>
          <w:snapToGrid w:val="0"/>
          <w:color w:val="auto"/>
          <w:kern w:val="0"/>
          <w:sz w:val="24"/>
          <w:szCs w:val="24"/>
          <w:highlight w:val="none"/>
          <w:u w:val="single"/>
        </w:rPr>
        <w:tab/>
      </w:r>
      <w:r>
        <w:rPr>
          <w:rFonts w:hint="eastAsia" w:ascii="宋体" w:hAnsi="宋体" w:cs="宋体"/>
          <w:snapToGrid w:val="0"/>
          <w:color w:val="auto"/>
          <w:kern w:val="0"/>
          <w:sz w:val="24"/>
          <w:szCs w:val="24"/>
          <w:highlight w:val="none"/>
        </w:rPr>
        <w:t>人，营业收入为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万元，资产总额为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万元，属于</w:t>
      </w:r>
      <w:r>
        <w:rPr>
          <w:rFonts w:hint="eastAsia" w:ascii="宋体" w:hAnsi="宋体" w:cs="宋体"/>
          <w:snapToGrid w:val="0"/>
          <w:color w:val="auto"/>
          <w:kern w:val="0"/>
          <w:sz w:val="24"/>
          <w:szCs w:val="24"/>
          <w:highlight w:val="none"/>
          <w:u w:val="single"/>
        </w:rPr>
        <w:t>（中型企业、小型企业、微型企业）</w:t>
      </w:r>
      <w:r>
        <w:rPr>
          <w:rFonts w:hint="eastAsia" w:ascii="宋体" w:hAnsi="宋体" w:cs="宋体"/>
          <w:snapToGrid w:val="0"/>
          <w:color w:val="auto"/>
          <w:kern w:val="0"/>
          <w:sz w:val="24"/>
          <w:szCs w:val="24"/>
          <w:highlight w:val="none"/>
        </w:rPr>
        <w:t>；</w:t>
      </w:r>
    </w:p>
    <w:p>
      <w:pPr>
        <w:widowControl/>
        <w:spacing w:line="360" w:lineRule="auto"/>
        <w:ind w:firstLine="480" w:firstLineChars="200"/>
        <w:jc w:val="left"/>
        <w:rPr>
          <w:rFonts w:hint="eastAsia" w:ascii="宋体" w:hAnsi="宋体" w:cs="宋体"/>
          <w:snapToGrid w:val="0"/>
          <w:color w:val="auto"/>
          <w:kern w:val="0"/>
          <w:sz w:val="24"/>
          <w:szCs w:val="24"/>
          <w:highlight w:val="none"/>
        </w:rPr>
      </w:pPr>
      <w:bookmarkStart w:id="71" w:name="bookmark36"/>
      <w:bookmarkEnd w:id="71"/>
      <w:r>
        <w:rPr>
          <w:rFonts w:hint="eastAsia" w:ascii="宋体" w:hAnsi="宋体" w:cs="宋体"/>
          <w:snapToGrid w:val="0"/>
          <w:color w:val="auto"/>
          <w:kern w:val="0"/>
          <w:sz w:val="24"/>
          <w:szCs w:val="24"/>
          <w:highlight w:val="none"/>
        </w:rPr>
        <w:t>2、</w:t>
      </w:r>
      <w:r>
        <w:rPr>
          <w:rFonts w:hint="eastAsia" w:ascii="宋体" w:hAnsi="宋体" w:cs="宋体"/>
          <w:snapToGrid w:val="0"/>
          <w:color w:val="auto"/>
          <w:kern w:val="0"/>
          <w:sz w:val="24"/>
          <w:szCs w:val="24"/>
          <w:highlight w:val="none"/>
          <w:u w:val="single"/>
        </w:rPr>
        <w:t>（标的名称）</w:t>
      </w:r>
      <w:r>
        <w:rPr>
          <w:rFonts w:hint="eastAsia" w:ascii="宋体" w:hAnsi="宋体" w:cs="宋体"/>
          <w:snapToGrid w:val="0"/>
          <w:color w:val="auto"/>
          <w:kern w:val="0"/>
          <w:sz w:val="24"/>
          <w:szCs w:val="24"/>
          <w:highlight w:val="none"/>
        </w:rPr>
        <w:t>，属于</w:t>
      </w:r>
      <w:r>
        <w:rPr>
          <w:rFonts w:hint="eastAsia" w:ascii="宋体" w:hAnsi="宋体" w:cs="宋体"/>
          <w:snapToGrid w:val="0"/>
          <w:color w:val="auto"/>
          <w:kern w:val="0"/>
          <w:sz w:val="24"/>
          <w:szCs w:val="24"/>
          <w:highlight w:val="none"/>
          <w:u w:val="single"/>
        </w:rPr>
        <w:t>（采购文件中明确的所属行业）</w:t>
      </w:r>
      <w:r>
        <w:rPr>
          <w:rFonts w:hint="eastAsia" w:ascii="宋体" w:hAnsi="宋体" w:cs="宋体"/>
          <w:snapToGrid w:val="0"/>
          <w:color w:val="auto"/>
          <w:kern w:val="0"/>
          <w:sz w:val="24"/>
          <w:szCs w:val="24"/>
          <w:highlight w:val="none"/>
        </w:rPr>
        <w:t>，承建（承接）企业为</w:t>
      </w:r>
      <w:r>
        <w:rPr>
          <w:rFonts w:hint="eastAsia" w:ascii="宋体" w:hAnsi="宋体" w:cs="宋体"/>
          <w:snapToGrid w:val="0"/>
          <w:color w:val="auto"/>
          <w:kern w:val="0"/>
          <w:sz w:val="24"/>
          <w:szCs w:val="24"/>
          <w:highlight w:val="none"/>
          <w:u w:val="single"/>
        </w:rPr>
        <w:t>（企业名称）</w:t>
      </w:r>
      <w:r>
        <w:rPr>
          <w:rFonts w:hint="eastAsia" w:ascii="宋体" w:hAnsi="宋体" w:cs="宋体"/>
          <w:snapToGrid w:val="0"/>
          <w:color w:val="auto"/>
          <w:kern w:val="0"/>
          <w:sz w:val="24"/>
          <w:szCs w:val="24"/>
          <w:highlight w:val="none"/>
        </w:rPr>
        <w:t>，从业人员</w:t>
      </w:r>
      <w:r>
        <w:rPr>
          <w:rFonts w:hint="eastAsia" w:ascii="宋体" w:hAnsi="宋体" w:cs="宋体"/>
          <w:snapToGrid w:val="0"/>
          <w:color w:val="auto"/>
          <w:kern w:val="0"/>
          <w:sz w:val="24"/>
          <w:szCs w:val="24"/>
          <w:highlight w:val="none"/>
          <w:u w:val="single"/>
        </w:rPr>
        <w:tab/>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人，营业收入为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万元，资产总额为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万元，属于</w:t>
      </w:r>
      <w:r>
        <w:rPr>
          <w:rFonts w:hint="eastAsia" w:ascii="宋体" w:hAnsi="宋体" w:cs="宋体"/>
          <w:snapToGrid w:val="0"/>
          <w:color w:val="auto"/>
          <w:kern w:val="0"/>
          <w:sz w:val="24"/>
          <w:szCs w:val="24"/>
          <w:highlight w:val="none"/>
          <w:u w:val="single"/>
        </w:rPr>
        <w:t>（中型企业、小型企业、微型企</w:t>
      </w:r>
      <w:r>
        <w:rPr>
          <w:rFonts w:hint="eastAsia" w:ascii="宋体" w:hAnsi="宋体" w:cs="宋体"/>
          <w:snapToGrid w:val="0"/>
          <w:color w:val="auto"/>
          <w:kern w:val="0"/>
          <w:sz w:val="24"/>
          <w:szCs w:val="24"/>
          <w:highlight w:val="none"/>
          <w:u w:val="single"/>
          <w:lang w:val="zh-CN"/>
        </w:rPr>
        <w:t>业）</w:t>
      </w:r>
      <w:r>
        <w:rPr>
          <w:rFonts w:hint="eastAsia" w:ascii="宋体" w:hAnsi="宋体" w:cs="宋体"/>
          <w:snapToGrid w:val="0"/>
          <w:color w:val="auto"/>
          <w:kern w:val="0"/>
          <w:sz w:val="24"/>
          <w:szCs w:val="24"/>
          <w:highlight w:val="none"/>
          <w:lang w:val="zh-CN"/>
        </w:rPr>
        <w:t>；</w:t>
      </w:r>
      <w:r>
        <w:rPr>
          <w:rFonts w:hint="eastAsia" w:ascii="宋体" w:hAnsi="宋体" w:cs="宋体"/>
          <w:snapToGrid w:val="0"/>
          <w:color w:val="auto"/>
          <w:kern w:val="0"/>
          <w:sz w:val="24"/>
          <w:szCs w:val="24"/>
          <w:highlight w:val="none"/>
        </w:rPr>
        <w:tab/>
      </w:r>
    </w:p>
    <w:p>
      <w:pPr>
        <w:widowControl/>
        <w:spacing w:line="360" w:lineRule="auto"/>
        <w:ind w:firstLine="480" w:firstLineChars="2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本企业对上述声明内容的真实性负责。如有虚假，将依法承担相应责任。</w:t>
      </w:r>
    </w:p>
    <w:p>
      <w:pPr>
        <w:widowControl/>
        <w:spacing w:line="360" w:lineRule="auto"/>
        <w:ind w:firstLine="4800" w:firstLineChars="2000"/>
        <w:rPr>
          <w:rFonts w:hint="eastAsia" w:ascii="宋体" w:hAnsi="宋体" w:cs="宋体"/>
          <w:snapToGrid w:val="0"/>
          <w:color w:val="auto"/>
          <w:kern w:val="0"/>
          <w:sz w:val="24"/>
          <w:szCs w:val="24"/>
          <w:highlight w:val="none"/>
        </w:rPr>
      </w:pPr>
    </w:p>
    <w:p>
      <w:pPr>
        <w:widowControl/>
        <w:spacing w:line="360" w:lineRule="auto"/>
        <w:ind w:firstLine="4800" w:firstLineChars="2000"/>
        <w:rPr>
          <w:rFonts w:hint="eastAsia" w:ascii="宋体" w:hAnsi="宋体" w:cs="宋体"/>
          <w:snapToGrid w:val="0"/>
          <w:color w:val="auto"/>
          <w:kern w:val="0"/>
          <w:sz w:val="24"/>
          <w:szCs w:val="24"/>
          <w:highlight w:val="none"/>
        </w:rPr>
      </w:pPr>
    </w:p>
    <w:p>
      <w:pPr>
        <w:widowControl/>
        <w:spacing w:line="360" w:lineRule="auto"/>
        <w:ind w:firstLine="4800" w:firstLineChars="20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企业名称（盖章）：           </w:t>
      </w:r>
    </w:p>
    <w:p>
      <w:pPr>
        <w:widowControl/>
        <w:spacing w:line="360" w:lineRule="auto"/>
        <w:ind w:firstLine="4800" w:firstLineChars="2000"/>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日期</w:t>
      </w:r>
      <w:r>
        <w:rPr>
          <w:rFonts w:hint="eastAsia" w:ascii="宋体" w:hAnsi="宋体" w:cs="宋体"/>
          <w:color w:val="auto"/>
          <w:sz w:val="24"/>
          <w:szCs w:val="24"/>
          <w:highlight w:val="none"/>
        </w:rPr>
        <w:t>：</w:t>
      </w:r>
    </w:p>
    <w:p>
      <w:pPr>
        <w:pageBreakBefore w:val="0"/>
        <w:topLinePunct w:val="0"/>
        <w:bidi w:val="0"/>
        <w:spacing w:line="360" w:lineRule="auto"/>
        <w:rPr>
          <w:rFonts w:ascii="宋体" w:hAnsi="宋体" w:cs="宋体"/>
        </w:rPr>
      </w:pPr>
      <w:r>
        <w:rPr>
          <w:rFonts w:hint="eastAsia" w:ascii="宋体" w:hAnsi="宋体" w:cs="宋体"/>
        </w:rPr>
        <w:br w:type="page"/>
      </w:r>
    </w:p>
    <w:p>
      <w:pPr>
        <w:pageBreakBefore w:val="0"/>
        <w:widowControl/>
        <w:topLinePunct w:val="0"/>
        <w:bidi w:val="0"/>
        <w:adjustRightInd w:val="0"/>
        <w:spacing w:line="360" w:lineRule="auto"/>
        <w:rPr>
          <w:rFonts w:ascii="宋体" w:hAnsi="宋体" w:cs="微软雅黑"/>
          <w:b/>
          <w:color w:val="000000"/>
        </w:rPr>
      </w:pPr>
      <w:r>
        <w:rPr>
          <w:rFonts w:hint="eastAsia" w:ascii="宋体" w:hAnsi="宋体" w:cs="微软雅黑"/>
          <w:b/>
          <w:color w:val="000000"/>
        </w:rPr>
        <w:t>附件十三、无重大违法记录声明格式</w:t>
      </w:r>
    </w:p>
    <w:p>
      <w:pPr>
        <w:pageBreakBefore w:val="0"/>
        <w:topLinePunct w:val="0"/>
        <w:bidi w:val="0"/>
        <w:spacing w:afterLines="100" w:line="360" w:lineRule="auto"/>
        <w:jc w:val="center"/>
        <w:rPr>
          <w:rFonts w:ascii="宋体" w:hAnsi="宋体" w:cs="微软雅黑"/>
          <w:color w:val="000000"/>
          <w:sz w:val="36"/>
          <w:szCs w:val="36"/>
        </w:rPr>
      </w:pPr>
    </w:p>
    <w:p>
      <w:pPr>
        <w:pageBreakBefore w:val="0"/>
        <w:topLinePunct w:val="0"/>
        <w:bidi w:val="0"/>
        <w:spacing w:afterLines="100" w:line="360" w:lineRule="auto"/>
        <w:jc w:val="center"/>
        <w:rPr>
          <w:rFonts w:ascii="宋体" w:hAnsi="宋体" w:cs="微软雅黑"/>
          <w:b/>
          <w:bCs/>
          <w:color w:val="000000"/>
          <w:sz w:val="32"/>
          <w:szCs w:val="32"/>
        </w:rPr>
      </w:pPr>
      <w:r>
        <w:rPr>
          <w:rFonts w:hint="eastAsia" w:ascii="宋体" w:hAnsi="宋体" w:cs="微软雅黑"/>
          <w:b/>
          <w:bCs/>
          <w:color w:val="000000"/>
          <w:sz w:val="32"/>
          <w:szCs w:val="32"/>
        </w:rPr>
        <w:t>无重大违法记录声明</w:t>
      </w:r>
    </w:p>
    <w:p>
      <w:pPr>
        <w:pageBreakBefore w:val="0"/>
        <w:topLinePunct w:val="0"/>
        <w:bidi w:val="0"/>
        <w:snapToGrid w:val="0"/>
        <w:spacing w:line="360" w:lineRule="auto"/>
        <w:jc w:val="left"/>
        <w:rPr>
          <w:rFonts w:ascii="宋体" w:hAnsi="宋体" w:cs="微软雅黑"/>
          <w:color w:val="000000"/>
          <w:sz w:val="24"/>
          <w:szCs w:val="24"/>
        </w:rPr>
      </w:pPr>
      <w:r>
        <w:rPr>
          <w:rFonts w:hint="eastAsia" w:ascii="宋体" w:hAnsi="宋体" w:cs="微软雅黑"/>
          <w:color w:val="000000"/>
          <w:sz w:val="24"/>
          <w:szCs w:val="24"/>
          <w:u w:val="single"/>
        </w:rPr>
        <w:t xml:space="preserve">      （招标人）       </w:t>
      </w:r>
      <w:r>
        <w:rPr>
          <w:rFonts w:hint="eastAsia" w:ascii="宋体" w:hAnsi="宋体" w:cs="微软雅黑"/>
          <w:color w:val="000000"/>
          <w:sz w:val="24"/>
          <w:szCs w:val="24"/>
        </w:rPr>
        <w:t>：</w:t>
      </w:r>
    </w:p>
    <w:p>
      <w:pPr>
        <w:pageBreakBefore w:val="0"/>
        <w:topLinePunct w:val="0"/>
        <w:bidi w:val="0"/>
        <w:snapToGrid w:val="0"/>
        <w:spacing w:line="360" w:lineRule="auto"/>
        <w:jc w:val="left"/>
        <w:rPr>
          <w:rFonts w:ascii="宋体" w:hAnsi="宋体" w:cs="微软雅黑"/>
          <w:color w:val="000000"/>
          <w:sz w:val="24"/>
          <w:szCs w:val="24"/>
        </w:rPr>
      </w:pPr>
      <w:r>
        <w:rPr>
          <w:rFonts w:hint="eastAsia" w:ascii="宋体" w:hAnsi="宋体" w:cs="微软雅黑"/>
          <w:color w:val="000000"/>
          <w:sz w:val="24"/>
          <w:szCs w:val="24"/>
        </w:rPr>
        <w:t xml:space="preserve">    我单位 （供应商名称）郑重声明：</w:t>
      </w:r>
    </w:p>
    <w:p>
      <w:pPr>
        <w:pageBreakBefore w:val="0"/>
        <w:topLinePunct w:val="0"/>
        <w:bidi w:val="0"/>
        <w:snapToGrid w:val="0"/>
        <w:spacing w:line="360" w:lineRule="auto"/>
        <w:jc w:val="left"/>
        <w:rPr>
          <w:rFonts w:ascii="宋体" w:hAnsi="宋体" w:cs="微软雅黑"/>
          <w:color w:val="000000"/>
          <w:sz w:val="24"/>
          <w:szCs w:val="24"/>
        </w:rPr>
      </w:pPr>
      <w:r>
        <w:rPr>
          <w:rFonts w:hint="eastAsia" w:ascii="宋体" w:hAnsi="宋体" w:cs="微软雅黑"/>
          <w:color w:val="000000"/>
          <w:sz w:val="24"/>
          <w:szCs w:val="24"/>
        </w:rPr>
        <w:t xml:space="preserve">    参加政府采购活动前3年内在经营活动中（在下划线上如实填写：有或没有）重大违法记录。</w:t>
      </w:r>
    </w:p>
    <w:p>
      <w:pPr>
        <w:pageBreakBefore w:val="0"/>
        <w:topLinePunct w:val="0"/>
        <w:bidi w:val="0"/>
        <w:snapToGrid w:val="0"/>
        <w:spacing w:line="360" w:lineRule="auto"/>
        <w:jc w:val="left"/>
        <w:rPr>
          <w:rFonts w:ascii="宋体" w:hAnsi="宋体" w:cs="微软雅黑"/>
          <w:color w:val="000000"/>
          <w:sz w:val="24"/>
          <w:szCs w:val="24"/>
        </w:rPr>
      </w:pPr>
      <w:r>
        <w:rPr>
          <w:rFonts w:hint="eastAsia" w:ascii="宋体" w:hAnsi="宋体" w:cs="微软雅黑"/>
          <w:color w:val="000000"/>
          <w:sz w:val="24"/>
          <w:szCs w:val="24"/>
        </w:rPr>
        <w:t xml:space="preserve">    （说明：政府采购法第二十二条第一款第五项所称重大违法记录，是指供应商因违法经营受到刑事处罚或者责令停产停业、吊销许可证或者执照、较大数额罚款等行政处罚。）</w:t>
      </w:r>
    </w:p>
    <w:p>
      <w:pPr>
        <w:pageBreakBefore w:val="0"/>
        <w:topLinePunct w:val="0"/>
        <w:bidi w:val="0"/>
        <w:snapToGrid w:val="0"/>
        <w:spacing w:line="360" w:lineRule="auto"/>
        <w:jc w:val="left"/>
        <w:rPr>
          <w:rFonts w:ascii="宋体" w:hAnsi="宋体" w:cs="微软雅黑"/>
          <w:color w:val="000000"/>
          <w:sz w:val="24"/>
          <w:szCs w:val="24"/>
        </w:rPr>
      </w:pPr>
    </w:p>
    <w:p>
      <w:pPr>
        <w:pageBreakBefore w:val="0"/>
        <w:topLinePunct w:val="0"/>
        <w:bidi w:val="0"/>
        <w:snapToGrid w:val="0"/>
        <w:spacing w:line="360" w:lineRule="auto"/>
        <w:jc w:val="left"/>
        <w:rPr>
          <w:rFonts w:ascii="宋体" w:hAnsi="宋体" w:cs="微软雅黑"/>
          <w:color w:val="000000"/>
          <w:sz w:val="24"/>
          <w:szCs w:val="24"/>
        </w:rPr>
      </w:pPr>
    </w:p>
    <w:p>
      <w:pPr>
        <w:pageBreakBefore w:val="0"/>
        <w:topLinePunct w:val="0"/>
        <w:bidi w:val="0"/>
        <w:snapToGrid w:val="0"/>
        <w:spacing w:line="360" w:lineRule="auto"/>
        <w:ind w:firstLine="7440" w:firstLineChars="3100"/>
        <w:jc w:val="left"/>
        <w:rPr>
          <w:rFonts w:ascii="宋体" w:hAnsi="宋体" w:cs="微软雅黑"/>
          <w:color w:val="000000"/>
          <w:sz w:val="24"/>
          <w:szCs w:val="24"/>
        </w:rPr>
      </w:pPr>
      <w:r>
        <w:rPr>
          <w:rFonts w:hint="eastAsia" w:ascii="宋体" w:hAnsi="宋体" w:cs="微软雅黑"/>
          <w:color w:val="000000"/>
          <w:sz w:val="24"/>
          <w:szCs w:val="24"/>
        </w:rPr>
        <w:t xml:space="preserve"> 声明人：（公章）</w:t>
      </w:r>
    </w:p>
    <w:p>
      <w:pPr>
        <w:pageBreakBefore w:val="0"/>
        <w:topLinePunct w:val="0"/>
        <w:bidi w:val="0"/>
        <w:snapToGrid w:val="0"/>
        <w:spacing w:line="360" w:lineRule="auto"/>
        <w:jc w:val="left"/>
        <w:rPr>
          <w:rFonts w:ascii="宋体" w:hAnsi="宋体" w:cs="微软雅黑"/>
          <w:color w:val="000000"/>
          <w:sz w:val="24"/>
          <w:szCs w:val="24"/>
        </w:rPr>
      </w:pPr>
      <w:r>
        <w:rPr>
          <w:rFonts w:hint="eastAsia" w:ascii="宋体" w:hAnsi="宋体" w:cs="微软雅黑"/>
          <w:color w:val="000000"/>
          <w:sz w:val="24"/>
          <w:szCs w:val="24"/>
        </w:rPr>
        <w:t>年     月    日</w:t>
      </w:r>
    </w:p>
    <w:p>
      <w:pPr>
        <w:pageBreakBefore w:val="0"/>
        <w:topLinePunct w:val="0"/>
        <w:bidi w:val="0"/>
        <w:spacing w:line="360" w:lineRule="auto"/>
        <w:rPr>
          <w:rFonts w:hint="eastAsia" w:ascii="宋体" w:hAnsi="宋体" w:cs="微软雅黑"/>
          <w:b/>
          <w:color w:val="000000"/>
          <w:sz w:val="24"/>
          <w:szCs w:val="24"/>
        </w:rPr>
      </w:pPr>
      <w:r>
        <w:rPr>
          <w:rFonts w:hint="eastAsia" w:ascii="宋体" w:hAnsi="宋体" w:cs="微软雅黑"/>
          <w:b/>
          <w:color w:val="000000"/>
          <w:sz w:val="24"/>
          <w:szCs w:val="24"/>
        </w:rPr>
        <w:br w:type="page"/>
      </w:r>
    </w:p>
    <w:p>
      <w:pPr>
        <w:pageBreakBefore w:val="0"/>
        <w:topLinePunct w:val="0"/>
        <w:bidi w:val="0"/>
        <w:spacing w:line="360" w:lineRule="auto"/>
        <w:rPr>
          <w:rFonts w:ascii="宋体" w:hAnsi="宋体" w:cs="微软雅黑"/>
          <w:b/>
          <w:color w:val="000000"/>
        </w:rPr>
      </w:pPr>
      <w:r>
        <w:rPr>
          <w:rFonts w:hint="eastAsia" w:ascii="宋体" w:hAnsi="宋体" w:cs="微软雅黑"/>
          <w:b/>
          <w:color w:val="000000"/>
        </w:rPr>
        <w:t>附件十四、具备履行合同所必需的设备和专业技术能力的声明格式及证明材料</w:t>
      </w:r>
    </w:p>
    <w:p>
      <w:pPr>
        <w:pageBreakBefore w:val="0"/>
        <w:topLinePunct w:val="0"/>
        <w:bidi w:val="0"/>
        <w:spacing w:afterLines="100" w:line="360" w:lineRule="auto"/>
        <w:jc w:val="center"/>
        <w:rPr>
          <w:rFonts w:ascii="宋体" w:hAnsi="宋体" w:cs="微软雅黑"/>
          <w:b/>
          <w:bCs/>
          <w:color w:val="000000"/>
          <w:sz w:val="36"/>
          <w:szCs w:val="36"/>
        </w:rPr>
      </w:pPr>
    </w:p>
    <w:p>
      <w:pPr>
        <w:pageBreakBefore w:val="0"/>
        <w:topLinePunct w:val="0"/>
        <w:bidi w:val="0"/>
        <w:spacing w:afterLines="100" w:line="360" w:lineRule="auto"/>
        <w:jc w:val="center"/>
        <w:rPr>
          <w:rFonts w:ascii="宋体" w:hAnsi="宋体" w:cs="微软雅黑"/>
          <w:b/>
          <w:bCs/>
          <w:color w:val="000000"/>
          <w:sz w:val="32"/>
          <w:szCs w:val="32"/>
        </w:rPr>
      </w:pPr>
      <w:r>
        <w:rPr>
          <w:rFonts w:hint="eastAsia" w:ascii="宋体" w:hAnsi="宋体" w:cs="微软雅黑"/>
          <w:b/>
          <w:bCs/>
          <w:color w:val="000000"/>
          <w:sz w:val="32"/>
          <w:szCs w:val="32"/>
        </w:rPr>
        <w:t>具备履行合同所必需的设备和专业技术能力的声明格式</w:t>
      </w:r>
    </w:p>
    <w:p>
      <w:pPr>
        <w:pageBreakBefore w:val="0"/>
        <w:topLinePunct w:val="0"/>
        <w:bidi w:val="0"/>
        <w:spacing w:line="360" w:lineRule="auto"/>
        <w:jc w:val="left"/>
        <w:rPr>
          <w:rFonts w:ascii="宋体" w:hAnsi="宋体" w:cs="微软雅黑"/>
          <w:color w:val="000000"/>
          <w:sz w:val="24"/>
          <w:szCs w:val="24"/>
        </w:rPr>
      </w:pPr>
      <w:r>
        <w:rPr>
          <w:rFonts w:hint="eastAsia" w:ascii="宋体" w:hAnsi="宋体" w:cs="微软雅黑"/>
          <w:color w:val="000000"/>
          <w:sz w:val="24"/>
          <w:szCs w:val="24"/>
          <w:lang w:val="zh-CN"/>
        </w:rPr>
        <w:t>中国药科大学：</w:t>
      </w:r>
    </w:p>
    <w:p>
      <w:pPr>
        <w:pageBreakBefore w:val="0"/>
        <w:topLinePunct w:val="0"/>
        <w:bidi w:val="0"/>
        <w:spacing w:line="360" w:lineRule="auto"/>
        <w:ind w:firstLine="492"/>
        <w:jc w:val="left"/>
        <w:rPr>
          <w:rFonts w:ascii="宋体" w:hAnsi="宋体" w:cs="微软雅黑"/>
          <w:color w:val="000000"/>
          <w:sz w:val="24"/>
          <w:szCs w:val="24"/>
        </w:rPr>
      </w:pPr>
      <w:r>
        <w:rPr>
          <w:rFonts w:hint="eastAsia" w:ascii="宋体" w:hAnsi="宋体" w:cs="微软雅黑"/>
          <w:color w:val="000000"/>
          <w:sz w:val="24"/>
          <w:szCs w:val="24"/>
        </w:rPr>
        <w:t>我单位</w:t>
      </w:r>
      <w:r>
        <w:rPr>
          <w:rFonts w:hint="eastAsia" w:ascii="宋体" w:hAnsi="宋体" w:cs="微软雅黑"/>
          <w:color w:val="000000"/>
          <w:sz w:val="24"/>
          <w:szCs w:val="24"/>
          <w:u w:val="single"/>
        </w:rPr>
        <w:t xml:space="preserve">  （供应商名称）</w:t>
      </w:r>
      <w:r>
        <w:rPr>
          <w:rFonts w:hint="eastAsia" w:ascii="宋体" w:hAnsi="宋体" w:cs="微软雅黑"/>
          <w:color w:val="000000"/>
          <w:sz w:val="24"/>
          <w:szCs w:val="24"/>
        </w:rPr>
        <w:t>郑重声明：我公司具备履行本项采购合同所必需的设备和专业技术能力，为履行本项采购合同我单位具备如下主要设备和主要专业技术能力：</w:t>
      </w:r>
    </w:p>
    <w:p>
      <w:pPr>
        <w:pageBreakBefore w:val="0"/>
        <w:topLinePunct w:val="0"/>
        <w:bidi w:val="0"/>
        <w:spacing w:line="360" w:lineRule="auto"/>
        <w:ind w:firstLine="492"/>
        <w:jc w:val="left"/>
        <w:rPr>
          <w:rFonts w:ascii="宋体" w:hAnsi="宋体" w:cs="微软雅黑"/>
          <w:color w:val="000000"/>
          <w:sz w:val="24"/>
          <w:szCs w:val="24"/>
        </w:rPr>
      </w:pPr>
      <w:r>
        <w:rPr>
          <w:rFonts w:hint="eastAsia" w:ascii="宋体" w:hAnsi="宋体" w:cs="微软雅黑"/>
          <w:color w:val="000000"/>
          <w:sz w:val="24"/>
          <w:szCs w:val="24"/>
        </w:rPr>
        <w:t>主要设备有：</w:t>
      </w:r>
      <w:r>
        <w:rPr>
          <w:rFonts w:hint="eastAsia" w:ascii="宋体" w:hAnsi="宋体" w:cs="微软雅黑"/>
          <w:color w:val="000000"/>
          <w:sz w:val="24"/>
          <w:szCs w:val="24"/>
          <w:u w:val="single"/>
          <w:lang w:val="en-US" w:eastAsia="zh-CN"/>
        </w:rPr>
        <w:t xml:space="preserve">            </w:t>
      </w:r>
      <w:r>
        <w:rPr>
          <w:rFonts w:hint="eastAsia" w:ascii="宋体" w:hAnsi="宋体" w:cs="微软雅黑"/>
          <w:color w:val="000000"/>
          <w:sz w:val="24"/>
          <w:szCs w:val="24"/>
        </w:rPr>
        <w:t>。（须提供相关证明材料）</w:t>
      </w:r>
    </w:p>
    <w:p>
      <w:pPr>
        <w:pageBreakBefore w:val="0"/>
        <w:topLinePunct w:val="0"/>
        <w:bidi w:val="0"/>
        <w:spacing w:line="360" w:lineRule="auto"/>
        <w:ind w:firstLine="492"/>
        <w:jc w:val="left"/>
        <w:rPr>
          <w:rFonts w:ascii="宋体" w:hAnsi="宋体" w:cs="微软雅黑"/>
          <w:color w:val="000000"/>
          <w:sz w:val="24"/>
          <w:szCs w:val="24"/>
        </w:rPr>
      </w:pPr>
      <w:r>
        <w:rPr>
          <w:rFonts w:hint="eastAsia" w:ascii="宋体" w:hAnsi="宋体" w:cs="微软雅黑"/>
          <w:color w:val="000000"/>
          <w:sz w:val="24"/>
          <w:szCs w:val="24"/>
        </w:rPr>
        <w:t>主要专业技术能力有：</w:t>
      </w:r>
      <w:r>
        <w:rPr>
          <w:rFonts w:hint="eastAsia" w:ascii="宋体" w:hAnsi="宋体" w:cs="微软雅黑"/>
          <w:color w:val="000000"/>
          <w:sz w:val="24"/>
          <w:szCs w:val="24"/>
          <w:u w:val="single"/>
          <w:lang w:val="en-US" w:eastAsia="zh-CN"/>
        </w:rPr>
        <w:t xml:space="preserve">               </w:t>
      </w:r>
      <w:r>
        <w:rPr>
          <w:rFonts w:hint="eastAsia" w:ascii="宋体" w:hAnsi="宋体" w:cs="微软雅黑"/>
          <w:color w:val="000000"/>
          <w:sz w:val="24"/>
          <w:szCs w:val="24"/>
        </w:rPr>
        <w:t>。（须提供相关证明材料）</w:t>
      </w:r>
    </w:p>
    <w:p>
      <w:pPr>
        <w:pageBreakBefore w:val="0"/>
        <w:topLinePunct w:val="0"/>
        <w:bidi w:val="0"/>
        <w:spacing w:line="360" w:lineRule="auto"/>
        <w:rPr>
          <w:rFonts w:ascii="宋体" w:hAnsi="宋体" w:cs="微软雅黑"/>
          <w:color w:val="000000"/>
          <w:sz w:val="24"/>
          <w:szCs w:val="24"/>
        </w:rPr>
      </w:pPr>
    </w:p>
    <w:p>
      <w:pPr>
        <w:pageBreakBefore w:val="0"/>
        <w:topLinePunct w:val="0"/>
        <w:bidi w:val="0"/>
        <w:spacing w:line="360" w:lineRule="auto"/>
        <w:rPr>
          <w:rFonts w:ascii="宋体" w:hAnsi="宋体" w:cs="微软雅黑"/>
          <w:color w:val="000000"/>
          <w:sz w:val="24"/>
          <w:szCs w:val="24"/>
        </w:rPr>
      </w:pPr>
    </w:p>
    <w:p>
      <w:pPr>
        <w:pageBreakBefore w:val="0"/>
        <w:topLinePunct w:val="0"/>
        <w:bidi w:val="0"/>
        <w:spacing w:line="360" w:lineRule="auto"/>
        <w:rPr>
          <w:rFonts w:ascii="宋体" w:hAnsi="宋体" w:cs="微软雅黑"/>
          <w:color w:val="000000"/>
          <w:sz w:val="24"/>
          <w:szCs w:val="24"/>
        </w:rPr>
      </w:pPr>
      <w:r>
        <w:rPr>
          <w:rFonts w:hint="eastAsia" w:ascii="宋体" w:hAnsi="宋体" w:cs="微软雅黑"/>
          <w:color w:val="000000"/>
          <w:sz w:val="24"/>
          <w:szCs w:val="24"/>
        </w:rPr>
        <w:t xml:space="preserve">                                           声明人：（公章）</w:t>
      </w:r>
    </w:p>
    <w:p>
      <w:pPr>
        <w:pageBreakBefore w:val="0"/>
        <w:topLinePunct w:val="0"/>
        <w:bidi w:val="0"/>
        <w:spacing w:line="360" w:lineRule="auto"/>
        <w:rPr>
          <w:rFonts w:ascii="宋体" w:hAnsi="宋体" w:cs="微软雅黑"/>
          <w:color w:val="000000"/>
          <w:sz w:val="24"/>
          <w:szCs w:val="24"/>
        </w:rPr>
      </w:pPr>
      <w:r>
        <w:rPr>
          <w:rFonts w:hint="eastAsia" w:ascii="宋体" w:hAnsi="宋体" w:cs="微软雅黑"/>
          <w:color w:val="000000"/>
          <w:sz w:val="24"/>
          <w:szCs w:val="24"/>
        </w:rPr>
        <w:t>日期：    年    月    日</w:t>
      </w:r>
    </w:p>
    <w:p>
      <w:pPr>
        <w:pStyle w:val="41"/>
        <w:pageBreakBefore w:val="0"/>
        <w:topLinePunct w:val="0"/>
        <w:bidi w:val="0"/>
        <w:spacing w:line="360" w:lineRule="auto"/>
        <w:rPr>
          <w:color w:val="000000"/>
        </w:rPr>
      </w:pPr>
    </w:p>
    <w:p>
      <w:pPr>
        <w:pageBreakBefore w:val="0"/>
        <w:topLinePunct w:val="0"/>
        <w:bidi w:val="0"/>
        <w:spacing w:line="360" w:lineRule="auto"/>
        <w:rPr>
          <w:rFonts w:hint="eastAsia" w:ascii="宋体" w:hAnsi="宋体" w:cs="微软雅黑"/>
          <w:b/>
          <w:color w:val="000000"/>
        </w:rPr>
      </w:pPr>
      <w:r>
        <w:rPr>
          <w:rFonts w:hint="eastAsia" w:ascii="宋体" w:hAnsi="宋体" w:cs="微软雅黑"/>
          <w:b/>
          <w:color w:val="000000"/>
        </w:rPr>
        <w:br w:type="page"/>
      </w:r>
    </w:p>
    <w:p>
      <w:pPr>
        <w:pageBreakBefore w:val="0"/>
        <w:topLinePunct w:val="0"/>
        <w:autoSpaceDE w:val="0"/>
        <w:autoSpaceDN w:val="0"/>
        <w:bidi w:val="0"/>
        <w:spacing w:before="20" w:line="360" w:lineRule="auto"/>
        <w:jc w:val="left"/>
        <w:outlineLvl w:val="4"/>
        <w:rPr>
          <w:rFonts w:ascii="宋体" w:hAnsi="宋体" w:cs="宋体"/>
          <w:b/>
          <w:bCs/>
          <w:color w:val="000000"/>
          <w:kern w:val="0"/>
          <w:sz w:val="24"/>
          <w:lang w:val="zh-CN" w:bidi="zh-CN"/>
        </w:rPr>
      </w:pPr>
      <w:r>
        <w:rPr>
          <w:rFonts w:hint="eastAsia" w:ascii="宋体" w:hAnsi="宋体" w:cs="微软雅黑"/>
          <w:b/>
          <w:color w:val="000000"/>
        </w:rPr>
        <w:t>附件十五、</w:t>
      </w:r>
      <w:r>
        <w:rPr>
          <w:b/>
          <w:color w:val="000000"/>
        </w:rPr>
        <w:t>残疾人福利性单位声明函格式</w:t>
      </w:r>
    </w:p>
    <w:p>
      <w:pPr>
        <w:pageBreakBefore w:val="0"/>
        <w:topLinePunct w:val="0"/>
        <w:bidi w:val="0"/>
        <w:spacing w:line="360" w:lineRule="auto"/>
        <w:rPr>
          <w:rFonts w:ascii="宋体" w:hAnsi="宋体"/>
          <w:b/>
          <w:color w:val="000000"/>
          <w:sz w:val="28"/>
          <w:lang w:val="zh-CN"/>
        </w:rPr>
      </w:pPr>
    </w:p>
    <w:p>
      <w:pPr>
        <w:pageBreakBefore w:val="0"/>
        <w:topLinePunct w:val="0"/>
        <w:autoSpaceDE w:val="0"/>
        <w:autoSpaceDN w:val="0"/>
        <w:bidi w:val="0"/>
        <w:spacing w:before="167" w:line="360" w:lineRule="auto"/>
        <w:ind w:left="618"/>
        <w:jc w:val="center"/>
        <w:outlineLvl w:val="4"/>
        <w:rPr>
          <w:b/>
          <w:color w:val="000000"/>
          <w:sz w:val="32"/>
          <w:szCs w:val="32"/>
        </w:rPr>
      </w:pPr>
      <w:r>
        <w:rPr>
          <w:b/>
          <w:color w:val="000000"/>
          <w:sz w:val="32"/>
          <w:szCs w:val="32"/>
        </w:rPr>
        <w:t>残疾人福利性单位声明函</w:t>
      </w:r>
    </w:p>
    <w:p>
      <w:pPr>
        <w:pageBreakBefore w:val="0"/>
        <w:topLinePunct w:val="0"/>
        <w:bidi w:val="0"/>
        <w:spacing w:before="7" w:line="360" w:lineRule="auto"/>
        <w:rPr>
          <w:rFonts w:ascii="宋体" w:hAnsi="宋体"/>
          <w:b/>
          <w:color w:val="000000"/>
          <w:szCs w:val="21"/>
          <w:lang w:val="zh-CN"/>
        </w:rPr>
      </w:pPr>
    </w:p>
    <w:p>
      <w:pPr>
        <w:pageBreakBefore w:val="0"/>
        <w:tabs>
          <w:tab w:val="left" w:pos="3711"/>
          <w:tab w:val="left" w:pos="5985"/>
        </w:tabs>
        <w:topLinePunct w:val="0"/>
        <w:bidi w:val="0"/>
        <w:adjustRightInd w:val="0"/>
        <w:snapToGrid w:val="0"/>
        <w:spacing w:line="360" w:lineRule="auto"/>
        <w:ind w:firstLine="480"/>
        <w:jc w:val="left"/>
        <w:rPr>
          <w:color w:val="000000"/>
          <w:sz w:val="24"/>
          <w:szCs w:val="24"/>
          <w:lang w:val="zh-CN"/>
        </w:rPr>
      </w:pPr>
      <w:r>
        <w:rPr>
          <w:color w:val="000000"/>
          <w:sz w:val="24"/>
          <w:szCs w:val="24"/>
          <w:lang w:val="zh-CN"/>
        </w:rPr>
        <w:t>本单位郑重声明，根据《财政部 民政部 中国残疾人联合会关于促进残疾人就业政府采购政策的通知》（财库〔2017〕141号）的规定，本单位为符合条件的残疾人福利性单位，且本单位参加</w:t>
      </w:r>
      <w:r>
        <w:rPr>
          <w:color w:val="000000"/>
          <w:sz w:val="24"/>
          <w:szCs w:val="24"/>
          <w:u w:val="single"/>
          <w:lang w:val="zh-CN"/>
        </w:rPr>
        <w:tab/>
      </w:r>
      <w:r>
        <w:rPr>
          <w:color w:val="000000"/>
          <w:sz w:val="24"/>
          <w:szCs w:val="24"/>
          <w:lang w:val="zh-CN"/>
        </w:rPr>
        <w:t>单位的</w:t>
      </w:r>
      <w:r>
        <w:rPr>
          <w:color w:val="000000"/>
          <w:sz w:val="24"/>
          <w:szCs w:val="24"/>
          <w:u w:val="single"/>
          <w:lang w:val="zh-CN"/>
        </w:rPr>
        <w:tab/>
      </w:r>
      <w:r>
        <w:rPr>
          <w:color w:val="000000"/>
          <w:sz w:val="24"/>
          <w:szCs w:val="24"/>
          <w:lang w:val="zh-CN"/>
        </w:rPr>
        <w:t>项目采购活动提供本单位制造的货物（由本单位承担工程</w:t>
      </w:r>
      <w:r>
        <w:rPr>
          <w:rFonts w:hint="eastAsia"/>
          <w:color w:val="000000"/>
          <w:sz w:val="24"/>
          <w:szCs w:val="24"/>
          <w:lang w:val="zh-CN"/>
        </w:rPr>
        <w:t>/</w:t>
      </w:r>
      <w:r>
        <w:rPr>
          <w:color w:val="000000"/>
          <w:sz w:val="24"/>
          <w:szCs w:val="24"/>
          <w:lang w:val="zh-CN"/>
        </w:rPr>
        <w:t>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 w:val="24"/>
          <w:szCs w:val="24"/>
          <w:lang w:val="zh-CN"/>
        </w:rPr>
      </w:pPr>
      <w:r>
        <w:rPr>
          <w:color w:val="000000"/>
          <w:sz w:val="24"/>
          <w:szCs w:val="24"/>
          <w:lang w:val="zh-CN"/>
        </w:rPr>
        <w:t>本单位对上述声明的真实性负责。如有虚假，将依法承担相应责任。</w:t>
      </w:r>
    </w:p>
    <w:p>
      <w:pPr>
        <w:pageBreakBefore w:val="0"/>
        <w:topLinePunct w:val="0"/>
        <w:bidi w:val="0"/>
        <w:adjustRightInd w:val="0"/>
        <w:snapToGrid w:val="0"/>
        <w:spacing w:line="360" w:lineRule="auto"/>
        <w:rPr>
          <w:color w:val="000000"/>
          <w:sz w:val="24"/>
          <w:szCs w:val="24"/>
          <w:lang w:val="zh-CN"/>
        </w:rPr>
      </w:pPr>
    </w:p>
    <w:p>
      <w:pPr>
        <w:pageBreakBefore w:val="0"/>
        <w:tabs>
          <w:tab w:val="left" w:pos="7098"/>
        </w:tabs>
        <w:topLinePunct w:val="0"/>
        <w:bidi w:val="0"/>
        <w:adjustRightInd w:val="0"/>
        <w:snapToGrid w:val="0"/>
        <w:spacing w:line="360" w:lineRule="auto"/>
        <w:ind w:firstLine="6960" w:firstLineChars="2900"/>
        <w:rPr>
          <w:color w:val="000000"/>
          <w:sz w:val="24"/>
          <w:szCs w:val="24"/>
          <w:lang w:val="zh-CN"/>
        </w:rPr>
      </w:pPr>
    </w:p>
    <w:p>
      <w:pPr>
        <w:pageBreakBefore w:val="0"/>
        <w:tabs>
          <w:tab w:val="left" w:pos="7098"/>
        </w:tabs>
        <w:topLinePunct w:val="0"/>
        <w:bidi w:val="0"/>
        <w:adjustRightInd w:val="0"/>
        <w:snapToGrid w:val="0"/>
        <w:spacing w:line="360" w:lineRule="auto"/>
        <w:ind w:firstLine="6960" w:firstLineChars="2900"/>
        <w:rPr>
          <w:color w:val="000000"/>
          <w:sz w:val="24"/>
          <w:szCs w:val="24"/>
          <w:lang w:val="zh-CN"/>
        </w:rPr>
      </w:pPr>
      <w:r>
        <w:rPr>
          <w:color w:val="000000"/>
          <w:sz w:val="24"/>
          <w:szCs w:val="24"/>
          <w:lang w:val="zh-CN"/>
        </w:rPr>
        <w:t>单位名称（盖章）：</w:t>
      </w:r>
    </w:p>
    <w:p>
      <w:pPr>
        <w:pageBreakBefore w:val="0"/>
        <w:tabs>
          <w:tab w:val="left" w:pos="7098"/>
          <w:tab w:val="left" w:pos="9070"/>
        </w:tabs>
        <w:topLinePunct w:val="0"/>
        <w:bidi w:val="0"/>
        <w:adjustRightInd w:val="0"/>
        <w:snapToGrid w:val="0"/>
        <w:spacing w:line="360" w:lineRule="auto"/>
        <w:ind w:firstLine="6840" w:firstLineChars="2850"/>
        <w:rPr>
          <w:color w:val="000000"/>
          <w:sz w:val="24"/>
          <w:szCs w:val="24"/>
          <w:lang w:val="zh-CN"/>
        </w:rPr>
      </w:pPr>
      <w:r>
        <w:rPr>
          <w:color w:val="000000"/>
          <w:sz w:val="24"/>
          <w:szCs w:val="24"/>
          <w:lang w:val="zh-CN"/>
        </w:rPr>
        <w:t xml:space="preserve"> 日期：</w:t>
      </w:r>
    </w:p>
    <w:p>
      <w:pPr>
        <w:pageBreakBefore w:val="0"/>
        <w:topLinePunct w:val="0"/>
        <w:bidi w:val="0"/>
        <w:spacing w:line="360" w:lineRule="auto"/>
        <w:rPr>
          <w:rFonts w:ascii="宋体" w:hAnsi="宋体" w:cs="宋体"/>
        </w:rPr>
      </w:pPr>
      <w:r>
        <w:rPr>
          <w:rFonts w:hint="eastAsia" w:ascii="宋体" w:hAnsi="宋体" w:cs="宋体"/>
        </w:rPr>
        <w:br w:type="page"/>
      </w:r>
    </w:p>
    <w:p>
      <w:pPr>
        <w:pageBreakBefore w:val="0"/>
        <w:topLinePunct w:val="0"/>
        <w:autoSpaceDE w:val="0"/>
        <w:autoSpaceDN w:val="0"/>
        <w:bidi w:val="0"/>
        <w:spacing w:line="360" w:lineRule="auto"/>
        <w:jc w:val="left"/>
        <w:outlineLvl w:val="4"/>
        <w:rPr>
          <w:b/>
          <w:color w:val="000000"/>
        </w:rPr>
      </w:pPr>
      <w:r>
        <w:rPr>
          <w:rFonts w:hint="eastAsia"/>
          <w:b/>
          <w:color w:val="000000"/>
        </w:rPr>
        <w:t>附件十六、</w:t>
      </w:r>
      <w:r>
        <w:rPr>
          <w:b/>
          <w:color w:val="000000"/>
        </w:rPr>
        <w:t>属于监狱企业的证明文件</w:t>
      </w:r>
    </w:p>
    <w:p>
      <w:pPr>
        <w:pageBreakBefore w:val="0"/>
        <w:topLinePunct w:val="0"/>
        <w:bidi w:val="0"/>
        <w:spacing w:line="360" w:lineRule="auto"/>
        <w:rPr>
          <w:rFonts w:ascii="宋体" w:hAnsi="宋体"/>
          <w:b/>
          <w:color w:val="000000"/>
          <w:sz w:val="28"/>
          <w:lang w:val="zh-CN"/>
        </w:rPr>
      </w:pPr>
    </w:p>
    <w:p>
      <w:pPr>
        <w:pageBreakBefore w:val="0"/>
        <w:topLinePunct w:val="0"/>
        <w:autoSpaceDE w:val="0"/>
        <w:autoSpaceDN w:val="0"/>
        <w:bidi w:val="0"/>
        <w:spacing w:before="167" w:line="360" w:lineRule="auto"/>
        <w:ind w:left="618"/>
        <w:jc w:val="center"/>
        <w:outlineLvl w:val="4"/>
        <w:rPr>
          <w:b/>
          <w:color w:val="000000"/>
          <w:sz w:val="32"/>
          <w:szCs w:val="32"/>
        </w:rPr>
      </w:pPr>
      <w:r>
        <w:rPr>
          <w:b/>
          <w:color w:val="000000"/>
          <w:sz w:val="32"/>
          <w:szCs w:val="32"/>
        </w:rPr>
        <w:t>属于监狱企业的证明文件</w:t>
      </w:r>
    </w:p>
    <w:p>
      <w:pPr>
        <w:pStyle w:val="2"/>
        <w:rPr>
          <w:lang w:val="zh-CN"/>
        </w:rPr>
      </w:pPr>
      <w:bookmarkStart w:id="76" w:name="_GoBack"/>
      <w:bookmarkEnd w:id="76"/>
    </w:p>
    <w:p>
      <w:pPr>
        <w:pageBreakBefore w:val="0"/>
        <w:topLinePunct w:val="0"/>
        <w:bidi w:val="0"/>
        <w:spacing w:before="165" w:line="360" w:lineRule="auto"/>
        <w:ind w:right="-3" w:firstLine="480"/>
        <w:rPr>
          <w:color w:val="000000"/>
          <w:szCs w:val="21"/>
          <w:lang w:val="zh-CN"/>
        </w:rPr>
      </w:pPr>
      <w:r>
        <w:rPr>
          <w:color w:val="000000"/>
          <w:szCs w:val="21"/>
          <w:lang w:val="zh-CN"/>
        </w:rPr>
        <w:t>提供由省级以上监狱管理局、戒毒管理局</w:t>
      </w:r>
      <w:r>
        <w:rPr>
          <w:rFonts w:hint="eastAsia"/>
          <w:color w:val="000000"/>
          <w:szCs w:val="21"/>
          <w:lang w:val="zh-CN"/>
        </w:rPr>
        <w:t>（</w:t>
      </w:r>
      <w:r>
        <w:rPr>
          <w:color w:val="000000"/>
          <w:szCs w:val="21"/>
          <w:lang w:val="zh-CN"/>
        </w:rPr>
        <w:t>含新疆生产建设兵团</w:t>
      </w:r>
      <w:r>
        <w:rPr>
          <w:rFonts w:hint="eastAsia"/>
          <w:color w:val="000000"/>
          <w:szCs w:val="21"/>
          <w:lang w:val="zh-CN"/>
        </w:rPr>
        <w:t>）</w:t>
      </w:r>
      <w:r>
        <w:rPr>
          <w:color w:val="000000"/>
          <w:szCs w:val="21"/>
          <w:lang w:val="zh-CN"/>
        </w:rPr>
        <w:t>出具的属于监狱企业的证明文件</w:t>
      </w:r>
      <w:r>
        <w:rPr>
          <w:rFonts w:hint="eastAsia"/>
          <w:color w:val="000000"/>
          <w:szCs w:val="21"/>
          <w:lang w:val="zh-CN"/>
        </w:rPr>
        <w:t>。</w:t>
      </w:r>
    </w:p>
    <w:p>
      <w:pPr>
        <w:pageBreakBefore w:val="0"/>
        <w:topLinePunct w:val="0"/>
        <w:bidi w:val="0"/>
        <w:spacing w:line="360" w:lineRule="auto"/>
        <w:rPr>
          <w:rFonts w:ascii="宋体" w:hAnsi="宋体" w:cs="宋体"/>
        </w:rPr>
      </w:pPr>
      <w:r>
        <w:rPr>
          <w:rFonts w:hint="eastAsia" w:ascii="宋体" w:hAnsi="宋体" w:cs="宋体"/>
        </w:rPr>
        <w:br w:type="page"/>
      </w:r>
    </w:p>
    <w:bookmarkEnd w:id="69"/>
    <w:p>
      <w:pPr>
        <w:pageBreakBefore w:val="0"/>
        <w:topLinePunct w:val="0"/>
        <w:autoSpaceDE w:val="0"/>
        <w:autoSpaceDN w:val="0"/>
        <w:bidi w:val="0"/>
        <w:spacing w:line="360" w:lineRule="auto"/>
        <w:jc w:val="left"/>
        <w:outlineLvl w:val="4"/>
        <w:rPr>
          <w:rFonts w:hint="eastAsia" w:eastAsia="宋体"/>
          <w:b/>
          <w:color w:val="000000"/>
          <w:lang w:val="en-US" w:eastAsia="zh-CN"/>
        </w:rPr>
      </w:pPr>
      <w:r>
        <w:rPr>
          <w:rFonts w:hint="eastAsia"/>
          <w:b/>
          <w:color w:val="000000"/>
        </w:rPr>
        <w:t>附件十七、承诺书</w:t>
      </w:r>
      <w:r>
        <w:rPr>
          <w:rFonts w:hint="eastAsia"/>
          <w:b/>
          <w:color w:val="000000"/>
          <w:lang w:eastAsia="zh-CN"/>
        </w:rPr>
        <w:t>①</w:t>
      </w:r>
    </w:p>
    <w:p>
      <w:pPr>
        <w:pageBreakBefore w:val="0"/>
        <w:topLinePunct w:val="0"/>
        <w:bidi w:val="0"/>
        <w:spacing w:line="360" w:lineRule="auto"/>
        <w:jc w:val="center"/>
        <w:rPr>
          <w:rFonts w:ascii="宋体" w:hAnsi="宋体" w:cs="宋体"/>
          <w:b/>
          <w:bCs/>
          <w:sz w:val="24"/>
          <w:szCs w:val="24"/>
        </w:rPr>
      </w:pPr>
    </w:p>
    <w:p>
      <w:pPr>
        <w:pageBreakBefore w:val="0"/>
        <w:topLinePunct w:val="0"/>
        <w:bidi w:val="0"/>
        <w:spacing w:line="360" w:lineRule="auto"/>
        <w:jc w:val="center"/>
        <w:rPr>
          <w:rFonts w:ascii="宋体" w:hAnsi="宋体" w:cs="宋体"/>
          <w:b/>
          <w:bCs/>
          <w:sz w:val="32"/>
          <w:szCs w:val="32"/>
        </w:rPr>
      </w:pPr>
      <w:r>
        <w:rPr>
          <w:rFonts w:hint="eastAsia" w:ascii="宋体" w:hAnsi="宋体" w:cs="宋体"/>
          <w:b/>
          <w:bCs/>
          <w:sz w:val="32"/>
          <w:szCs w:val="32"/>
        </w:rPr>
        <w:t>投标单位廉政承诺书</w:t>
      </w:r>
    </w:p>
    <w:p>
      <w:pPr>
        <w:pStyle w:val="2"/>
        <w:pageBreakBefore w:val="0"/>
        <w:topLinePunct w:val="0"/>
        <w:bidi w:val="0"/>
        <w:spacing w:line="360" w:lineRule="auto"/>
        <w:rPr>
          <w:rFonts w:ascii="宋体" w:hAnsi="宋体" w:cs="宋体"/>
        </w:rPr>
      </w:pP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为充分体现公开、公平、公正、诚实信用原则，维护招标采购环节秩序，本单位承诺在参与项目投标过程中无任何违法、违规、违纪行为，自觉接受监督。承诺如下：</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1、不以不正当手段向招标人谋取资格预审及投标的不正当照顾。</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2、不使用不正当手段妨碍、排挤其他投标单位。</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3、严格按照招标文件规定的方式进行投标，不隐瞒本单位任何真实情况。不以其他人名义投标或以其他方式弄虚作假，骗取中标。</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4、不与其他投标人相互串标，不联合其他单位进行围标。</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5、不以任何方式向招标相关人员或评标人员赠送礼品、礼金、有价证券等；不宴请或邀请招标相关人员参加娱乐消费、旅游等活动；不以任何形式报销招标相关人员及其亲友的各种票据、费用。不向任何涉及招标的部门和个人支付好处费、介绍费等，或购置、提供通讯工具、交通工具、各类电子设备等。</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6、一旦发现招标相关人员在招标过程中有不廉洁行为，立即向招标方举报。</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7、中标后及时与招标人按招投标文件签订合同，不订立背离合同实质性内容的协议。</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8、自愿将本承诺作为投标文件及合同的附件，具有同等法律效力。</w:t>
      </w:r>
    </w:p>
    <w:p>
      <w:pPr>
        <w:pageBreakBefore w:val="0"/>
        <w:topLinePunct w:val="0"/>
        <w:bidi w:val="0"/>
        <w:spacing w:line="360" w:lineRule="auto"/>
        <w:ind w:firstLine="480" w:firstLineChars="200"/>
        <w:rPr>
          <w:rFonts w:hint="eastAsia" w:ascii="宋体" w:hAnsi="宋体" w:cs="宋体"/>
          <w:sz w:val="24"/>
          <w:szCs w:val="24"/>
        </w:rPr>
      </w:pPr>
      <w:r>
        <w:rPr>
          <w:rFonts w:hint="eastAsia" w:ascii="宋体" w:hAnsi="宋体" w:cs="宋体"/>
          <w:sz w:val="24"/>
          <w:szCs w:val="24"/>
        </w:rPr>
        <w:t>9、若出现违反上述承诺或有关法律、法规及贵单位相关规定，三年内不参与贵单位所有采购项目投标，无条件承担招标人或相关部门在各类媒体公开我单位“不诚信或不廉洁”信息所造成的一切后果。并承担贵单位相关损失以及一切法律责任。</w:t>
      </w:r>
    </w:p>
    <w:p>
      <w:pPr>
        <w:pStyle w:val="2"/>
        <w:rPr>
          <w:rFonts w:hint="eastAsia" w:ascii="宋体" w:hAnsi="宋体" w:cs="宋体"/>
          <w:sz w:val="24"/>
          <w:szCs w:val="24"/>
        </w:rPr>
      </w:pPr>
    </w:p>
    <w:p>
      <w:pPr>
        <w:pStyle w:val="3"/>
      </w:pPr>
    </w:p>
    <w:p>
      <w:pPr>
        <w:pageBreakBefore w:val="0"/>
        <w:topLinePunct w:val="0"/>
        <w:bidi w:val="0"/>
        <w:spacing w:line="360" w:lineRule="auto"/>
        <w:ind w:firstLine="3480" w:firstLineChars="1450"/>
        <w:rPr>
          <w:rFonts w:ascii="宋体" w:hAnsi="宋体" w:cs="宋体"/>
          <w:sz w:val="24"/>
          <w:szCs w:val="24"/>
        </w:rPr>
      </w:pPr>
      <w:r>
        <w:rPr>
          <w:rFonts w:hint="eastAsia" w:ascii="宋体" w:hAnsi="宋体" w:cs="宋体"/>
          <w:sz w:val="24"/>
          <w:szCs w:val="24"/>
        </w:rPr>
        <w:t>法定代表人（签名）：</w:t>
      </w:r>
    </w:p>
    <w:p>
      <w:pPr>
        <w:pageBreakBefore w:val="0"/>
        <w:topLinePunct w:val="0"/>
        <w:bidi w:val="0"/>
        <w:spacing w:line="360" w:lineRule="auto"/>
        <w:ind w:firstLine="3480" w:firstLineChars="1450"/>
        <w:rPr>
          <w:rFonts w:ascii="宋体" w:hAnsi="宋体" w:cs="宋体"/>
          <w:sz w:val="24"/>
          <w:szCs w:val="24"/>
        </w:rPr>
      </w:pPr>
      <w:r>
        <w:rPr>
          <w:rFonts w:hint="eastAsia" w:ascii="宋体" w:hAnsi="宋体" w:cs="宋体"/>
          <w:sz w:val="24"/>
          <w:szCs w:val="24"/>
        </w:rPr>
        <w:t>单位盖章：</w:t>
      </w:r>
    </w:p>
    <w:p>
      <w:pPr>
        <w:pageBreakBefore w:val="0"/>
        <w:topLinePunct w:val="0"/>
        <w:bidi w:val="0"/>
        <w:spacing w:line="360" w:lineRule="auto"/>
        <w:ind w:firstLine="3480" w:firstLineChars="1450"/>
        <w:rPr>
          <w:rFonts w:ascii="宋体" w:hAnsi="宋体" w:cs="宋体"/>
          <w:sz w:val="24"/>
          <w:szCs w:val="24"/>
        </w:rPr>
      </w:pPr>
      <w:r>
        <w:rPr>
          <w:rFonts w:hint="eastAsia" w:ascii="宋体" w:hAnsi="宋体" w:cs="宋体"/>
          <w:sz w:val="24"/>
          <w:szCs w:val="24"/>
        </w:rPr>
        <w:t>承诺日期：   年  月  日</w:t>
      </w:r>
      <w:r>
        <w:rPr>
          <w:rFonts w:hint="eastAsia" w:ascii="宋体" w:hAnsi="宋体" w:cs="宋体"/>
          <w:sz w:val="24"/>
          <w:szCs w:val="24"/>
        </w:rPr>
        <w:br w:type="page"/>
      </w:r>
    </w:p>
    <w:p>
      <w:pPr>
        <w:pageBreakBefore w:val="0"/>
        <w:topLinePunct w:val="0"/>
        <w:bidi w:val="0"/>
        <w:spacing w:line="360" w:lineRule="auto"/>
        <w:rPr>
          <w:rFonts w:hint="eastAsia" w:ascii="宋体" w:hAnsi="宋体" w:cs="宋体"/>
          <w:b/>
          <w:bCs/>
          <w:sz w:val="21"/>
          <w:szCs w:val="21"/>
          <w:lang w:eastAsia="zh-CN"/>
        </w:rPr>
      </w:pPr>
      <w:r>
        <w:rPr>
          <w:rFonts w:hint="eastAsia" w:ascii="宋体" w:hAnsi="宋体" w:cs="宋体"/>
          <w:b/>
          <w:bCs/>
          <w:sz w:val="21"/>
          <w:szCs w:val="21"/>
          <w:lang w:eastAsia="zh-CN"/>
        </w:rPr>
        <w:t>附件十八、承诺书②</w:t>
      </w:r>
    </w:p>
    <w:p>
      <w:pPr>
        <w:pStyle w:val="2"/>
        <w:rPr>
          <w:rFonts w:hint="eastAsia"/>
          <w:lang w:eastAsia="zh-CN"/>
        </w:rPr>
      </w:pPr>
    </w:p>
    <w:p>
      <w:pPr>
        <w:pageBreakBefore w:val="0"/>
        <w:topLinePunct w:val="0"/>
        <w:bidi w:val="0"/>
        <w:spacing w:line="360" w:lineRule="auto"/>
        <w:jc w:val="center"/>
        <w:rPr>
          <w:rFonts w:ascii="宋体" w:hAnsi="宋体" w:cs="宋体"/>
          <w:b/>
          <w:bCs/>
          <w:color w:val="333333"/>
          <w:sz w:val="32"/>
          <w:szCs w:val="32"/>
          <w:shd w:val="clear" w:color="auto" w:fill="FFFFFF"/>
        </w:rPr>
      </w:pPr>
      <w:r>
        <w:rPr>
          <w:rFonts w:hint="eastAsia" w:ascii="宋体" w:hAnsi="宋体" w:cs="宋体"/>
          <w:b/>
          <w:bCs/>
          <w:kern w:val="0"/>
          <w:sz w:val="32"/>
          <w:szCs w:val="32"/>
          <w:lang w:val="zh-CN"/>
        </w:rPr>
        <w:t>不存在与参加本项目的其他供应商</w:t>
      </w:r>
      <w:r>
        <w:rPr>
          <w:rFonts w:hint="eastAsia" w:ascii="宋体" w:hAnsi="宋体" w:cs="宋体"/>
          <w:b/>
          <w:bCs/>
          <w:color w:val="333333"/>
          <w:sz w:val="32"/>
          <w:szCs w:val="32"/>
          <w:shd w:val="clear" w:color="auto" w:fill="FFFFFF"/>
          <w:lang w:val="zh-CN"/>
        </w:rPr>
        <w:t>单位负责人为同一人或者存在直接控股、管理关系</w:t>
      </w:r>
      <w:r>
        <w:rPr>
          <w:rFonts w:hint="eastAsia" w:ascii="宋体" w:hAnsi="宋体" w:cs="宋体"/>
          <w:b/>
          <w:bCs/>
          <w:color w:val="333333"/>
          <w:sz w:val="32"/>
          <w:szCs w:val="32"/>
          <w:shd w:val="clear" w:color="auto" w:fill="FFFFFF"/>
        </w:rPr>
        <w:t>的承诺书</w:t>
      </w:r>
    </w:p>
    <w:p>
      <w:pPr>
        <w:pStyle w:val="2"/>
        <w:pageBreakBefore w:val="0"/>
        <w:topLinePunct w:val="0"/>
        <w:bidi w:val="0"/>
        <w:spacing w:line="360" w:lineRule="auto"/>
        <w:ind w:left="0" w:leftChars="0"/>
        <w:rPr>
          <w:rFonts w:ascii="宋体" w:hAnsi="宋体" w:cs="宋体"/>
        </w:rPr>
      </w:pPr>
    </w:p>
    <w:p>
      <w:pPr>
        <w:pStyle w:val="3"/>
        <w:pageBreakBefore w:val="0"/>
        <w:topLinePunct w:val="0"/>
        <w:bidi w:val="0"/>
        <w:spacing w:line="360" w:lineRule="auto"/>
        <w:rPr>
          <w:rFonts w:hAnsi="宋体" w:cs="宋体"/>
        </w:rPr>
      </w:pPr>
    </w:p>
    <w:p>
      <w:pPr>
        <w:pStyle w:val="3"/>
        <w:pageBreakBefore w:val="0"/>
        <w:topLinePunct w:val="0"/>
        <w:bidi w:val="0"/>
        <w:spacing w:before="0" w:after="0" w:line="360" w:lineRule="auto"/>
        <w:ind w:left="0" w:firstLine="0"/>
        <w:jc w:val="both"/>
        <w:rPr>
          <w:rFonts w:hAnsi="宋体" w:cs="宋体"/>
          <w:sz w:val="24"/>
          <w:szCs w:val="24"/>
        </w:rPr>
      </w:pPr>
      <w:r>
        <w:rPr>
          <w:rFonts w:hint="eastAsia" w:hAnsi="宋体" w:cs="宋体"/>
          <w:sz w:val="24"/>
          <w:szCs w:val="24"/>
        </w:rPr>
        <w:t>致中国药科大学：</w:t>
      </w:r>
    </w:p>
    <w:p>
      <w:pPr>
        <w:pageBreakBefore w:val="0"/>
        <w:topLinePunct w:val="0"/>
        <w:bidi w:val="0"/>
        <w:spacing w:line="360" w:lineRule="auto"/>
        <w:rPr>
          <w:rFonts w:ascii="宋体" w:hAnsi="宋体" w:cs="宋体"/>
          <w:sz w:val="24"/>
          <w:szCs w:val="24"/>
        </w:rPr>
      </w:pP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本单位</w:t>
      </w:r>
      <w:r>
        <w:rPr>
          <w:rFonts w:hint="eastAsia" w:ascii="宋体" w:hAnsi="宋体" w:cs="宋体"/>
          <w:sz w:val="24"/>
          <w:szCs w:val="24"/>
          <w:u w:val="single"/>
        </w:rPr>
        <w:t xml:space="preserve">（公司名称） </w:t>
      </w:r>
      <w:r>
        <w:rPr>
          <w:rFonts w:hint="eastAsia" w:ascii="宋体" w:hAnsi="宋体" w:cs="宋体"/>
          <w:sz w:val="24"/>
          <w:szCs w:val="24"/>
        </w:rPr>
        <w:t>郑重承诺对于</w:t>
      </w:r>
      <w:r>
        <w:rPr>
          <w:rFonts w:hint="eastAsia" w:ascii="宋体" w:hAnsi="宋体" w:cs="宋体"/>
          <w:sz w:val="24"/>
          <w:szCs w:val="24"/>
          <w:u w:val="single"/>
        </w:rPr>
        <w:t xml:space="preserve"> （项目名称） </w:t>
      </w:r>
      <w:r>
        <w:rPr>
          <w:rFonts w:hint="eastAsia" w:ascii="宋体" w:hAnsi="宋体" w:cs="宋体"/>
          <w:sz w:val="24"/>
          <w:szCs w:val="24"/>
        </w:rPr>
        <w:t>采购活动不存在与参加本项目的其他供应商单位负责人为同一人或者存在直接控股、管理关系的情况。</w:t>
      </w:r>
    </w:p>
    <w:p>
      <w:pPr>
        <w:pageBreakBefore w:val="0"/>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如存在与参加本项目的其他供应商单位负责人为同一人或者存在直接控股、管理关系的情况，将无条件承担所有由此造成的后果和给招标人造成的一切损失。</w:t>
      </w:r>
    </w:p>
    <w:p>
      <w:pPr>
        <w:pageBreakBefore w:val="0"/>
        <w:topLinePunct w:val="0"/>
        <w:bidi w:val="0"/>
        <w:spacing w:line="360" w:lineRule="auto"/>
        <w:rPr>
          <w:rFonts w:ascii="宋体" w:hAnsi="宋体" w:cs="宋体"/>
          <w:sz w:val="24"/>
          <w:szCs w:val="24"/>
        </w:rPr>
      </w:pPr>
    </w:p>
    <w:p>
      <w:pPr>
        <w:pageBreakBefore w:val="0"/>
        <w:topLinePunct w:val="0"/>
        <w:bidi w:val="0"/>
        <w:spacing w:line="360" w:lineRule="auto"/>
        <w:jc w:val="left"/>
        <w:rPr>
          <w:rFonts w:ascii="宋体" w:hAnsi="宋体" w:cs="宋体"/>
          <w:sz w:val="24"/>
          <w:szCs w:val="24"/>
        </w:rPr>
      </w:pPr>
    </w:p>
    <w:p>
      <w:pPr>
        <w:pageBreakBefore w:val="0"/>
        <w:topLinePunct w:val="0"/>
        <w:bidi w:val="0"/>
        <w:spacing w:line="360" w:lineRule="auto"/>
        <w:jc w:val="center"/>
        <w:rPr>
          <w:rFonts w:ascii="宋体" w:hAnsi="宋体" w:cs="宋体"/>
          <w:sz w:val="24"/>
          <w:szCs w:val="24"/>
        </w:rPr>
      </w:pPr>
      <w:r>
        <w:rPr>
          <w:rFonts w:hint="eastAsia" w:ascii="宋体" w:hAnsi="宋体" w:cs="宋体"/>
          <w:sz w:val="24"/>
          <w:szCs w:val="24"/>
        </w:rPr>
        <w:t>法定代表人（签名）：</w:t>
      </w:r>
    </w:p>
    <w:p>
      <w:pPr>
        <w:pageBreakBefore w:val="0"/>
        <w:topLinePunct w:val="0"/>
        <w:bidi w:val="0"/>
        <w:spacing w:line="360" w:lineRule="auto"/>
        <w:jc w:val="center"/>
        <w:rPr>
          <w:rFonts w:ascii="宋体" w:hAnsi="宋体" w:cs="宋体"/>
          <w:sz w:val="24"/>
          <w:szCs w:val="24"/>
        </w:rPr>
      </w:pPr>
      <w:r>
        <w:rPr>
          <w:rFonts w:hint="eastAsia" w:ascii="宋体" w:hAnsi="宋体" w:cs="宋体"/>
          <w:sz w:val="24"/>
          <w:szCs w:val="24"/>
        </w:rPr>
        <w:t>单位盖章：</w:t>
      </w:r>
    </w:p>
    <w:p>
      <w:pPr>
        <w:pageBreakBefore w:val="0"/>
        <w:topLinePunct w:val="0"/>
        <w:bidi w:val="0"/>
        <w:spacing w:line="360" w:lineRule="auto"/>
        <w:jc w:val="center"/>
        <w:rPr>
          <w:rFonts w:ascii="宋体" w:hAnsi="宋体" w:cs="宋体"/>
          <w:sz w:val="24"/>
          <w:szCs w:val="24"/>
        </w:rPr>
      </w:pPr>
      <w:r>
        <w:rPr>
          <w:rFonts w:hint="eastAsia" w:ascii="宋体" w:hAnsi="宋体" w:cs="宋体"/>
          <w:sz w:val="24"/>
          <w:szCs w:val="24"/>
        </w:rPr>
        <w:t>承诺日期：   年  月  日</w:t>
      </w:r>
      <w:r>
        <w:rPr>
          <w:rFonts w:hint="eastAsia" w:ascii="宋体" w:hAnsi="宋体" w:cs="宋体"/>
          <w:sz w:val="24"/>
          <w:szCs w:val="24"/>
        </w:rPr>
        <w:br w:type="page"/>
      </w:r>
    </w:p>
    <w:p>
      <w:pPr>
        <w:pageBreakBefore w:val="0"/>
        <w:topLinePunct w:val="0"/>
        <w:bidi w:val="0"/>
        <w:spacing w:line="360" w:lineRule="auto"/>
        <w:rPr>
          <w:rFonts w:ascii="宋体" w:hAnsi="宋体" w:cs="宋体"/>
          <w:b/>
          <w:bCs/>
          <w:sz w:val="24"/>
          <w:szCs w:val="24"/>
        </w:rPr>
      </w:pPr>
    </w:p>
    <w:p>
      <w:pPr>
        <w:pageBreakBefore w:val="0"/>
        <w:topLinePunct w:val="0"/>
        <w:bidi w:val="0"/>
        <w:spacing w:line="360" w:lineRule="auto"/>
        <w:outlineLvl w:val="0"/>
        <w:rPr>
          <w:rFonts w:ascii="宋体" w:hAnsi="宋体" w:cs="宋体"/>
          <w:b/>
          <w:bCs/>
          <w:sz w:val="24"/>
          <w:szCs w:val="24"/>
        </w:rPr>
      </w:pPr>
      <w:bookmarkStart w:id="72" w:name="_Toc22106"/>
      <w:bookmarkStart w:id="73" w:name="_Toc12143"/>
      <w:r>
        <w:rPr>
          <w:rFonts w:hint="eastAsia"/>
          <w:b/>
          <w:color w:val="000000"/>
        </w:rPr>
        <w:t>附件十</w:t>
      </w:r>
      <w:r>
        <w:rPr>
          <w:rFonts w:hint="eastAsia"/>
          <w:b/>
          <w:color w:val="000000"/>
          <w:lang w:eastAsia="zh-CN"/>
        </w:rPr>
        <w:t>九</w:t>
      </w:r>
      <w:r>
        <w:rPr>
          <w:rFonts w:hint="eastAsia"/>
          <w:b/>
          <w:color w:val="000000"/>
        </w:rPr>
        <w:t>、节能产品认证文件（如有须提供）</w:t>
      </w:r>
      <w:bookmarkEnd w:id="72"/>
      <w:bookmarkEnd w:id="73"/>
    </w:p>
    <w:p>
      <w:pPr>
        <w:pageBreakBefore w:val="0"/>
        <w:topLinePunct w:val="0"/>
        <w:bidi w:val="0"/>
        <w:spacing w:line="360" w:lineRule="auto"/>
        <w:ind w:firstLine="482" w:firstLineChars="200"/>
        <w:rPr>
          <w:rFonts w:ascii="宋体" w:hAnsi="宋体" w:cs="宋体"/>
          <w:b/>
          <w:bCs/>
          <w:sz w:val="24"/>
          <w:szCs w:val="24"/>
        </w:rPr>
      </w:pPr>
    </w:p>
    <w:p>
      <w:pPr>
        <w:pageBreakBefore w:val="0"/>
        <w:topLinePunct w:val="0"/>
        <w:bidi w:val="0"/>
        <w:spacing w:line="360" w:lineRule="auto"/>
        <w:ind w:firstLine="480" w:firstLineChars="200"/>
        <w:rPr>
          <w:rFonts w:ascii="宋体" w:hAnsi="宋体" w:cs="宋体"/>
          <w:b/>
          <w:bCs/>
          <w:sz w:val="24"/>
          <w:szCs w:val="24"/>
        </w:rPr>
      </w:pPr>
      <w:r>
        <w:rPr>
          <w:rFonts w:hint="eastAsia" w:ascii="宋体" w:hAnsi="宋体" w:cs="宋体"/>
          <w:sz w:val="24"/>
          <w:szCs w:val="24"/>
        </w:rPr>
        <w:t>提供其投标产品在《节能产品政府采购清单》中相应的页面截图或相关认证证明材料</w:t>
      </w:r>
    </w:p>
    <w:p>
      <w:pPr>
        <w:pageBreakBefore w:val="0"/>
        <w:topLinePunct w:val="0"/>
        <w:bidi w:val="0"/>
        <w:spacing w:line="360" w:lineRule="auto"/>
        <w:rPr>
          <w:rFonts w:ascii="宋体" w:hAnsi="宋体" w:cs="宋体"/>
          <w:b/>
          <w:bCs/>
          <w:sz w:val="24"/>
          <w:szCs w:val="24"/>
        </w:rPr>
      </w:pPr>
    </w:p>
    <w:p>
      <w:pPr>
        <w:pStyle w:val="2"/>
      </w:pPr>
    </w:p>
    <w:p>
      <w:pPr>
        <w:pageBreakBefore w:val="0"/>
        <w:topLinePunct w:val="0"/>
        <w:bidi w:val="0"/>
        <w:spacing w:line="360" w:lineRule="auto"/>
        <w:outlineLvl w:val="0"/>
        <w:rPr>
          <w:rFonts w:ascii="宋体" w:hAnsi="宋体" w:cs="宋体"/>
          <w:b/>
          <w:bCs/>
          <w:sz w:val="24"/>
          <w:szCs w:val="24"/>
        </w:rPr>
      </w:pPr>
      <w:bookmarkStart w:id="74" w:name="_Toc11980"/>
      <w:bookmarkStart w:id="75" w:name="_Toc6109"/>
      <w:r>
        <w:rPr>
          <w:rFonts w:hint="eastAsia"/>
          <w:b/>
          <w:color w:val="000000"/>
        </w:rPr>
        <w:t>附件</w:t>
      </w:r>
      <w:r>
        <w:rPr>
          <w:rFonts w:hint="eastAsia"/>
          <w:b/>
          <w:color w:val="000000"/>
          <w:lang w:eastAsia="zh-CN"/>
        </w:rPr>
        <w:t>二十</w:t>
      </w:r>
      <w:r>
        <w:rPr>
          <w:rFonts w:hint="eastAsia"/>
          <w:b/>
          <w:color w:val="000000"/>
        </w:rPr>
        <w:t>、环境标志产品认证文件（如有须提供）</w:t>
      </w:r>
      <w:bookmarkEnd w:id="74"/>
      <w:bookmarkEnd w:id="75"/>
    </w:p>
    <w:p>
      <w:pPr>
        <w:pageBreakBefore w:val="0"/>
        <w:topLinePunct w:val="0"/>
        <w:bidi w:val="0"/>
        <w:spacing w:line="360" w:lineRule="auto"/>
        <w:rPr>
          <w:rFonts w:ascii="宋体" w:hAnsi="宋体" w:cs="宋体"/>
        </w:rPr>
      </w:pPr>
    </w:p>
    <w:sectPr>
      <w:headerReference r:id="rId8" w:type="default"/>
      <w:footerReference r:id="rId9" w:type="default"/>
      <w:pgSz w:w="11911" w:h="16838"/>
      <w:pgMar w:top="1440" w:right="1080" w:bottom="1440" w:left="1080" w:header="0" w:footer="1406"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8A6ED3B6-0581-4718-A16A-BBE6BD6EA8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ËÎÌå">
    <w:altName w:val="Times New Roman"/>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2" w:fontKey="{8C58E8AC-74E4-4080-8B01-A07FDAD26031}"/>
  </w:font>
  <w:font w:name="微软雅黑">
    <w:panose1 w:val="020B0503020204020204"/>
    <w:charset w:val="86"/>
    <w:family w:val="swiss"/>
    <w:pitch w:val="default"/>
    <w:sig w:usb0="80000287" w:usb1="280F3C52" w:usb2="00000016" w:usb3="00000000" w:csb0="0004001F" w:csb1="00000000"/>
    <w:embedRegular r:id="rId3" w:fontKey="{0E451A22-9EFB-4055-A330-41453FFDE5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350" cy="635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33350" cy="6350"/>
                      </a:xfrm>
                      <a:prstGeom prst="rect">
                        <a:avLst/>
                      </a:prstGeom>
                      <a:noFill/>
                      <a:ln w="6350">
                        <a:noFill/>
                      </a:ln>
                      <a:effectLst/>
                    </wps:spPr>
                    <wps:txbx>
                      <w:txbxContent>
                        <w:p>
                          <w:pPr>
                            <w:pStyle w:val="2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0.5pt;width:10.5pt;mso-position-horizontal:center;mso-position-horizontal-relative:margin;mso-wrap-style:none;z-index:251661312;mso-width-relative:page;mso-height-relative:page;" filled="f" stroked="f" coordsize="21600,21600" o:gfxdata="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DngOTPAAAAAgEAAA8AAAAAAAAAAQAgAAAAIgAAAGRycy9kb3ducmV2LnhtbFBLAQIUABQAAAAI&#10;AIdO4kDrS0KsLwIAAGEEAAAOAAAAAAAAAAEAIAAAAB4BAABkcnMvZTJvRG9jLnhtbFBLBQYAAAAA&#10;BgAGAFkBAA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3350" cy="635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33350" cy="6350"/>
                      </a:xfrm>
                      <a:prstGeom prst="rect">
                        <a:avLst/>
                      </a:prstGeom>
                      <a:noFill/>
                      <a:ln w="6350">
                        <a:noFill/>
                      </a:ln>
                      <a:effectLst/>
                    </wps:spPr>
                    <wps:txbx>
                      <w:txbxContent>
                        <w:p>
                          <w:pPr>
                            <w:pStyle w:val="2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0.5pt;width:10.5pt;mso-position-horizontal:center;mso-position-horizontal-relative:margin;mso-wrap-style:none;z-index:251662336;mso-width-relative:page;mso-height-relative:page;" filled="f" stroked="f" coordsize="21600,21600" o:gfxdata="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DngOTPAAAAAgEAAA8AAAAAAAAAAQAgAAAAIgAAAGRycy9kb3ducmV2LnhtbFBLAQIUABQAAAAI&#10;AIdO4kCBDArkLwIAAGEEAAAOAAAAAAAAAAEAIAAAAB4BAABkcnMvZTJvRG9jLnhtbFBLBQYAAAAA&#10;BgAGAFkBAA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3"/>
                          </w:pPr>
                          <w:r>
                            <w:fldChar w:fldCharType="begin"/>
                          </w:r>
                          <w:r>
                            <w:instrText xml:space="preserve"> PAGE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6Rjc0BAACnAwAADgAAAGRycy9lMm9Eb2MueG1srVPNjtMwEL4j8Q6W&#10;7zRpJ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swKQw9++f7t8uPX5edX9jLJ&#10;03usqOrOU10c3rqBlmaOIwUT66ENJn2JD6M8iXu+igtDZDJdWq/W65JSknKzQ/jFw3UfML4DZ1gy&#10;ah7o9bKo4vQB41g6l6Ru1t0qrfMLavtXgDDHCOQVmG4nJuPEyYrDfpjo7V1zJnY9rUHNLW09Z/q9&#10;JZXTxsxGmI39bBx9UIeOBl3mKdG/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k6Rjc0BAACnAwAADgAAAAAAAAABACAAAAAeAQAAZHJzL2Uy&#10;b0RvYy54bWxQSwUGAAAAAAYABgBZAQAAXQ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6BEA1"/>
    <w:multiLevelType w:val="singleLevel"/>
    <w:tmpl w:val="9FD6BEA1"/>
    <w:lvl w:ilvl="0" w:tentative="0">
      <w:start w:val="6"/>
      <w:numFmt w:val="chineseCounting"/>
      <w:suff w:val="nothing"/>
      <w:lvlText w:val="%1、"/>
      <w:lvlJc w:val="left"/>
      <w:rPr>
        <w:rFonts w:hint="eastAsia"/>
      </w:rPr>
    </w:lvl>
  </w:abstractNum>
  <w:abstractNum w:abstractNumId="1">
    <w:nsid w:val="AF799CA0"/>
    <w:multiLevelType w:val="singleLevel"/>
    <w:tmpl w:val="AF799CA0"/>
    <w:lvl w:ilvl="0" w:tentative="0">
      <w:start w:val="3"/>
      <w:numFmt w:val="chineseCounting"/>
      <w:suff w:val="space"/>
      <w:lvlText w:val="第%1章"/>
      <w:lvlJc w:val="left"/>
      <w:rPr>
        <w:rFonts w:hint="eastAsia"/>
      </w:rPr>
    </w:lvl>
  </w:abstractNum>
  <w:abstractNum w:abstractNumId="2">
    <w:nsid w:val="BC0F499E"/>
    <w:multiLevelType w:val="singleLevel"/>
    <w:tmpl w:val="BC0F499E"/>
    <w:lvl w:ilvl="0" w:tentative="0">
      <w:start w:val="1"/>
      <w:numFmt w:val="chineseCounting"/>
      <w:suff w:val="nothing"/>
      <w:lvlText w:val="%1、"/>
      <w:lvlJc w:val="left"/>
      <w:rPr>
        <w:rFonts w:hint="eastAsia"/>
      </w:rPr>
    </w:lvl>
  </w:abstractNum>
  <w:abstractNum w:abstractNumId="3">
    <w:nsid w:val="CB153F12"/>
    <w:multiLevelType w:val="singleLevel"/>
    <w:tmpl w:val="CB153F12"/>
    <w:lvl w:ilvl="0" w:tentative="0">
      <w:start w:val="1"/>
      <w:numFmt w:val="decimal"/>
      <w:suff w:val="nothing"/>
      <w:lvlText w:val="（%1）"/>
      <w:lvlJc w:val="left"/>
    </w:lvl>
  </w:abstractNum>
  <w:abstractNum w:abstractNumId="4">
    <w:nsid w:val="4C3075FF"/>
    <w:multiLevelType w:val="singleLevel"/>
    <w:tmpl w:val="4C3075FF"/>
    <w:lvl w:ilvl="0" w:tentative="0">
      <w:start w:val="1"/>
      <w:numFmt w:val="decimal"/>
      <w:suff w:val="nothing"/>
      <w:lvlText w:val="%1、"/>
      <w:lvlJc w:val="left"/>
      <w:pPr>
        <w:ind w:left="-60"/>
      </w:pPr>
    </w:lvl>
  </w:abstractNum>
  <w:abstractNum w:abstractNumId="5">
    <w:nsid w:val="5B613877"/>
    <w:multiLevelType w:val="singleLevel"/>
    <w:tmpl w:val="5B613877"/>
    <w:lvl w:ilvl="0" w:tentative="0">
      <w:start w:val="1"/>
      <w:numFmt w:val="decimal"/>
      <w:suff w:val="nothing"/>
      <w:lvlText w:val="%1."/>
      <w:lvlJc w:val="left"/>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OWRmM2UwNTVjZTVjMDcwM2RiODhkODM3MGQ2NjYifQ=="/>
  </w:docVars>
  <w:rsids>
    <w:rsidRoot w:val="16764CB7"/>
    <w:rsid w:val="00022D2F"/>
    <w:rsid w:val="0007409F"/>
    <w:rsid w:val="001D1FBD"/>
    <w:rsid w:val="0020071D"/>
    <w:rsid w:val="00286964"/>
    <w:rsid w:val="0039737D"/>
    <w:rsid w:val="00441F78"/>
    <w:rsid w:val="00591CDF"/>
    <w:rsid w:val="005D565F"/>
    <w:rsid w:val="00615D2C"/>
    <w:rsid w:val="00652456"/>
    <w:rsid w:val="006F0A7C"/>
    <w:rsid w:val="007C2666"/>
    <w:rsid w:val="008055AA"/>
    <w:rsid w:val="00813A17"/>
    <w:rsid w:val="0082385C"/>
    <w:rsid w:val="00842080"/>
    <w:rsid w:val="00853BE7"/>
    <w:rsid w:val="0092715F"/>
    <w:rsid w:val="00B7128C"/>
    <w:rsid w:val="00BD348D"/>
    <w:rsid w:val="00C13EEF"/>
    <w:rsid w:val="00CB18B0"/>
    <w:rsid w:val="00CF4589"/>
    <w:rsid w:val="00E22E32"/>
    <w:rsid w:val="00E7559F"/>
    <w:rsid w:val="00EC0365"/>
    <w:rsid w:val="00F44900"/>
    <w:rsid w:val="00F51E8D"/>
    <w:rsid w:val="00F53FF4"/>
    <w:rsid w:val="00F541FC"/>
    <w:rsid w:val="00F564F1"/>
    <w:rsid w:val="023F6090"/>
    <w:rsid w:val="02620111"/>
    <w:rsid w:val="02783976"/>
    <w:rsid w:val="02A14EBF"/>
    <w:rsid w:val="038558AB"/>
    <w:rsid w:val="03BB1D6C"/>
    <w:rsid w:val="0406304E"/>
    <w:rsid w:val="04275653"/>
    <w:rsid w:val="04497102"/>
    <w:rsid w:val="045855B3"/>
    <w:rsid w:val="07A174CB"/>
    <w:rsid w:val="082D4967"/>
    <w:rsid w:val="088C3CD7"/>
    <w:rsid w:val="08E753B1"/>
    <w:rsid w:val="08EF6757"/>
    <w:rsid w:val="094D4CA9"/>
    <w:rsid w:val="095962AF"/>
    <w:rsid w:val="0A3A33E2"/>
    <w:rsid w:val="0AB47515"/>
    <w:rsid w:val="0B6F6D66"/>
    <w:rsid w:val="0C017795"/>
    <w:rsid w:val="0C1C5226"/>
    <w:rsid w:val="0C956D45"/>
    <w:rsid w:val="0D87617E"/>
    <w:rsid w:val="0DB57B57"/>
    <w:rsid w:val="0E1A3FD9"/>
    <w:rsid w:val="0EB2020F"/>
    <w:rsid w:val="0ED131F4"/>
    <w:rsid w:val="0EE646C2"/>
    <w:rsid w:val="0F747D98"/>
    <w:rsid w:val="0FEB3F6C"/>
    <w:rsid w:val="10792762"/>
    <w:rsid w:val="114B5091"/>
    <w:rsid w:val="116C0B49"/>
    <w:rsid w:val="120738D1"/>
    <w:rsid w:val="12490E8B"/>
    <w:rsid w:val="13C75F2E"/>
    <w:rsid w:val="13CE5AEB"/>
    <w:rsid w:val="14C173FE"/>
    <w:rsid w:val="15143298"/>
    <w:rsid w:val="16322A9A"/>
    <w:rsid w:val="16764CB7"/>
    <w:rsid w:val="1780606D"/>
    <w:rsid w:val="17FD0E3A"/>
    <w:rsid w:val="183864AB"/>
    <w:rsid w:val="18510A99"/>
    <w:rsid w:val="187471C2"/>
    <w:rsid w:val="18B61B59"/>
    <w:rsid w:val="194F4FD8"/>
    <w:rsid w:val="19773305"/>
    <w:rsid w:val="1A715300"/>
    <w:rsid w:val="1A8D6A9D"/>
    <w:rsid w:val="1A9107E3"/>
    <w:rsid w:val="1B212A8B"/>
    <w:rsid w:val="1C2D2531"/>
    <w:rsid w:val="1C550139"/>
    <w:rsid w:val="1CD001DE"/>
    <w:rsid w:val="1CD57A6C"/>
    <w:rsid w:val="1D1F0564"/>
    <w:rsid w:val="1D507571"/>
    <w:rsid w:val="1DB21FDA"/>
    <w:rsid w:val="1E157818"/>
    <w:rsid w:val="1E713795"/>
    <w:rsid w:val="1ED80866"/>
    <w:rsid w:val="1EF24CEF"/>
    <w:rsid w:val="1F1D7927"/>
    <w:rsid w:val="1FDE0E64"/>
    <w:rsid w:val="203B617F"/>
    <w:rsid w:val="206E1617"/>
    <w:rsid w:val="20D66AA1"/>
    <w:rsid w:val="210448FA"/>
    <w:rsid w:val="2117610B"/>
    <w:rsid w:val="215B784A"/>
    <w:rsid w:val="21D02A2F"/>
    <w:rsid w:val="223643DF"/>
    <w:rsid w:val="22BA4548"/>
    <w:rsid w:val="230A1F70"/>
    <w:rsid w:val="246A0F18"/>
    <w:rsid w:val="252D0008"/>
    <w:rsid w:val="25AE12D9"/>
    <w:rsid w:val="25CE035B"/>
    <w:rsid w:val="25FC33D9"/>
    <w:rsid w:val="26340729"/>
    <w:rsid w:val="266D65F7"/>
    <w:rsid w:val="266E02D9"/>
    <w:rsid w:val="26D07E49"/>
    <w:rsid w:val="26DE174A"/>
    <w:rsid w:val="26E96660"/>
    <w:rsid w:val="272B4523"/>
    <w:rsid w:val="2887069C"/>
    <w:rsid w:val="28CB7D2A"/>
    <w:rsid w:val="298B5241"/>
    <w:rsid w:val="2A373F65"/>
    <w:rsid w:val="2A3A313B"/>
    <w:rsid w:val="2A5A6C6E"/>
    <w:rsid w:val="2A7E31D1"/>
    <w:rsid w:val="2B475678"/>
    <w:rsid w:val="2B57244D"/>
    <w:rsid w:val="2B765957"/>
    <w:rsid w:val="2BD7621D"/>
    <w:rsid w:val="2C041C52"/>
    <w:rsid w:val="2C620A7A"/>
    <w:rsid w:val="2DB33930"/>
    <w:rsid w:val="2DF121E3"/>
    <w:rsid w:val="2E0E3C33"/>
    <w:rsid w:val="2F013C21"/>
    <w:rsid w:val="2F636ECC"/>
    <w:rsid w:val="2F995CCA"/>
    <w:rsid w:val="302428C3"/>
    <w:rsid w:val="30EB1633"/>
    <w:rsid w:val="31164E6E"/>
    <w:rsid w:val="312E082E"/>
    <w:rsid w:val="31A302CE"/>
    <w:rsid w:val="31CB2860"/>
    <w:rsid w:val="31F26400"/>
    <w:rsid w:val="323112C7"/>
    <w:rsid w:val="32EA5E95"/>
    <w:rsid w:val="333929DF"/>
    <w:rsid w:val="33AF4B9A"/>
    <w:rsid w:val="33BA7131"/>
    <w:rsid w:val="3414192E"/>
    <w:rsid w:val="344828F8"/>
    <w:rsid w:val="34BB24A6"/>
    <w:rsid w:val="3504046E"/>
    <w:rsid w:val="352B46F4"/>
    <w:rsid w:val="354E02FE"/>
    <w:rsid w:val="356A2E86"/>
    <w:rsid w:val="36646B4C"/>
    <w:rsid w:val="37031712"/>
    <w:rsid w:val="3805122C"/>
    <w:rsid w:val="39047696"/>
    <w:rsid w:val="396578D8"/>
    <w:rsid w:val="396E7B33"/>
    <w:rsid w:val="397A3554"/>
    <w:rsid w:val="3AA16C0A"/>
    <w:rsid w:val="3ABD50C8"/>
    <w:rsid w:val="3B4B164C"/>
    <w:rsid w:val="3BE058B8"/>
    <w:rsid w:val="3E743366"/>
    <w:rsid w:val="3F60143E"/>
    <w:rsid w:val="3F93536F"/>
    <w:rsid w:val="401623C4"/>
    <w:rsid w:val="40AD4AAD"/>
    <w:rsid w:val="40AF5E62"/>
    <w:rsid w:val="40B90027"/>
    <w:rsid w:val="41614FF9"/>
    <w:rsid w:val="41673C9E"/>
    <w:rsid w:val="41A53056"/>
    <w:rsid w:val="41BB2288"/>
    <w:rsid w:val="426B47A5"/>
    <w:rsid w:val="42792EAC"/>
    <w:rsid w:val="42874137"/>
    <w:rsid w:val="42AF0DEA"/>
    <w:rsid w:val="42F17DCA"/>
    <w:rsid w:val="43B35FE0"/>
    <w:rsid w:val="450E4647"/>
    <w:rsid w:val="456A57F8"/>
    <w:rsid w:val="459B7DF3"/>
    <w:rsid w:val="45A7047E"/>
    <w:rsid w:val="45A86500"/>
    <w:rsid w:val="46865156"/>
    <w:rsid w:val="46BE3550"/>
    <w:rsid w:val="46CF6D9E"/>
    <w:rsid w:val="46D17B21"/>
    <w:rsid w:val="48276B7A"/>
    <w:rsid w:val="49065551"/>
    <w:rsid w:val="4B9506C1"/>
    <w:rsid w:val="4BF70A34"/>
    <w:rsid w:val="4C207F8B"/>
    <w:rsid w:val="4C3C3795"/>
    <w:rsid w:val="4C4938FB"/>
    <w:rsid w:val="4CC76658"/>
    <w:rsid w:val="4F610FE6"/>
    <w:rsid w:val="4F724B0D"/>
    <w:rsid w:val="51E33768"/>
    <w:rsid w:val="528C2795"/>
    <w:rsid w:val="52C15DA5"/>
    <w:rsid w:val="52E92EA8"/>
    <w:rsid w:val="53DD2CA6"/>
    <w:rsid w:val="53DD4D4E"/>
    <w:rsid w:val="54240834"/>
    <w:rsid w:val="542F4278"/>
    <w:rsid w:val="558570B1"/>
    <w:rsid w:val="55C43FFE"/>
    <w:rsid w:val="55EF0115"/>
    <w:rsid w:val="56813763"/>
    <w:rsid w:val="577D02EE"/>
    <w:rsid w:val="57874C19"/>
    <w:rsid w:val="57947A7F"/>
    <w:rsid w:val="57DF15C0"/>
    <w:rsid w:val="583D33C0"/>
    <w:rsid w:val="58F21F9B"/>
    <w:rsid w:val="59066A47"/>
    <w:rsid w:val="59B9557B"/>
    <w:rsid w:val="5A2F2DB5"/>
    <w:rsid w:val="5A76409B"/>
    <w:rsid w:val="5B6E1EEF"/>
    <w:rsid w:val="5BA569E2"/>
    <w:rsid w:val="5BD42698"/>
    <w:rsid w:val="5C084F8E"/>
    <w:rsid w:val="5C8835A6"/>
    <w:rsid w:val="5CD87C27"/>
    <w:rsid w:val="5D3B7904"/>
    <w:rsid w:val="5DFE6F3B"/>
    <w:rsid w:val="5E4C4C10"/>
    <w:rsid w:val="5E5C03DC"/>
    <w:rsid w:val="5E873F6F"/>
    <w:rsid w:val="5F137C44"/>
    <w:rsid w:val="5F425EF4"/>
    <w:rsid w:val="5F4D50E3"/>
    <w:rsid w:val="5F69081A"/>
    <w:rsid w:val="5F981780"/>
    <w:rsid w:val="60065292"/>
    <w:rsid w:val="604751DF"/>
    <w:rsid w:val="60B117AD"/>
    <w:rsid w:val="60B90BF4"/>
    <w:rsid w:val="60D333C6"/>
    <w:rsid w:val="61031E60"/>
    <w:rsid w:val="633F23E5"/>
    <w:rsid w:val="63E5429E"/>
    <w:rsid w:val="64502F80"/>
    <w:rsid w:val="65B7743A"/>
    <w:rsid w:val="65C326DF"/>
    <w:rsid w:val="66921EF4"/>
    <w:rsid w:val="6694769A"/>
    <w:rsid w:val="66D6087F"/>
    <w:rsid w:val="66F531E4"/>
    <w:rsid w:val="673204AE"/>
    <w:rsid w:val="678B4118"/>
    <w:rsid w:val="67F76824"/>
    <w:rsid w:val="68B4258B"/>
    <w:rsid w:val="68D71444"/>
    <w:rsid w:val="69164798"/>
    <w:rsid w:val="6918017E"/>
    <w:rsid w:val="6A540DB2"/>
    <w:rsid w:val="6B4078AA"/>
    <w:rsid w:val="6B8D7AA5"/>
    <w:rsid w:val="6C0F5E46"/>
    <w:rsid w:val="6C1B20C5"/>
    <w:rsid w:val="6C1D408F"/>
    <w:rsid w:val="6C3A6E3C"/>
    <w:rsid w:val="6C811182"/>
    <w:rsid w:val="6C950E4F"/>
    <w:rsid w:val="6CEE2F0E"/>
    <w:rsid w:val="6D160E43"/>
    <w:rsid w:val="6D3A657B"/>
    <w:rsid w:val="6D7370C3"/>
    <w:rsid w:val="6DA31CF6"/>
    <w:rsid w:val="6DD8026E"/>
    <w:rsid w:val="6F0D0D3F"/>
    <w:rsid w:val="6F534380"/>
    <w:rsid w:val="6F7B5355"/>
    <w:rsid w:val="700C5324"/>
    <w:rsid w:val="70B442FB"/>
    <w:rsid w:val="714E5CD8"/>
    <w:rsid w:val="71855149"/>
    <w:rsid w:val="71A20FA3"/>
    <w:rsid w:val="71DF714A"/>
    <w:rsid w:val="72D05384"/>
    <w:rsid w:val="72F86E79"/>
    <w:rsid w:val="73F3218A"/>
    <w:rsid w:val="74311F2E"/>
    <w:rsid w:val="746D4F92"/>
    <w:rsid w:val="760E1484"/>
    <w:rsid w:val="76B6724A"/>
    <w:rsid w:val="77512E3F"/>
    <w:rsid w:val="77E2174E"/>
    <w:rsid w:val="77E97A7C"/>
    <w:rsid w:val="78830D54"/>
    <w:rsid w:val="794C218B"/>
    <w:rsid w:val="79537342"/>
    <w:rsid w:val="79A8143C"/>
    <w:rsid w:val="7A4B56C1"/>
    <w:rsid w:val="7C0B6494"/>
    <w:rsid w:val="7C280612"/>
    <w:rsid w:val="7C4B227C"/>
    <w:rsid w:val="7C9E21F4"/>
    <w:rsid w:val="7E6B60AA"/>
    <w:rsid w:val="7F25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12">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13">
    <w:name w:val="heading 3"/>
    <w:basedOn w:val="1"/>
    <w:next w:val="1"/>
    <w:qFormat/>
    <w:uiPriority w:val="1"/>
    <w:pPr>
      <w:ind w:left="710"/>
      <w:outlineLvl w:val="2"/>
    </w:pPr>
    <w:rPr>
      <w:rFonts w:ascii="宋体" w:hAnsi="宋体" w:cs="宋体"/>
      <w:b/>
      <w:bCs/>
      <w:sz w:val="31"/>
      <w:szCs w:val="31"/>
    </w:rPr>
  </w:style>
  <w:style w:type="paragraph" w:styleId="1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customStyle="1" w:styleId="3">
    <w:name w:val="xl75"/>
    <w:basedOn w:val="1"/>
    <w:next w:val="4"/>
    <w:qFormat/>
    <w:uiPriority w:val="0"/>
    <w:pPr>
      <w:widowControl/>
      <w:spacing w:before="280" w:after="280"/>
      <w:ind w:left="200" w:firstLine="5320"/>
      <w:jc w:val="center"/>
    </w:pPr>
    <w:rPr>
      <w:rFonts w:ascii="宋体"/>
    </w:rPr>
  </w:style>
  <w:style w:type="paragraph" w:customStyle="1" w:styleId="4">
    <w:name w:val="Test2"/>
    <w:basedOn w:val="5"/>
    <w:next w:val="6"/>
    <w:qFormat/>
    <w:uiPriority w:val="0"/>
    <w:pPr>
      <w:widowControl/>
      <w:spacing w:before="156" w:after="156" w:line="480" w:lineRule="exact"/>
      <w:ind w:left="200" w:firstLine="14"/>
      <w:jc w:val="center"/>
    </w:pPr>
  </w:style>
  <w:style w:type="paragraph" w:customStyle="1" w:styleId="6">
    <w:name w:val="xl59"/>
    <w:basedOn w:val="1"/>
    <w:next w:val="7"/>
    <w:qFormat/>
    <w:uiPriority w:val="0"/>
    <w:pPr>
      <w:widowControl/>
      <w:spacing w:before="280" w:after="280"/>
      <w:ind w:left="200" w:firstLine="5320"/>
      <w:jc w:val="center"/>
    </w:pPr>
    <w:rPr>
      <w:rFonts w:ascii="Calibri"/>
    </w:rPr>
  </w:style>
  <w:style w:type="paragraph" w:customStyle="1" w:styleId="7">
    <w:name w:val="方案正文"/>
    <w:basedOn w:val="1"/>
    <w:next w:val="8"/>
    <w:qFormat/>
    <w:uiPriority w:val="0"/>
    <w:pPr>
      <w:spacing w:before="156" w:line="360" w:lineRule="auto"/>
      <w:ind w:left="359" w:firstLine="3687"/>
    </w:pPr>
  </w:style>
  <w:style w:type="paragraph" w:customStyle="1" w:styleId="8">
    <w:name w:val="小四 段落 宋体 Char Char Char Char"/>
    <w:basedOn w:val="1"/>
    <w:next w:val="9"/>
    <w:qFormat/>
    <w:uiPriority w:val="0"/>
    <w:pPr>
      <w:spacing w:line="360" w:lineRule="auto"/>
      <w:ind w:left="480" w:right="-33" w:firstLine="3808"/>
    </w:pPr>
  </w:style>
  <w:style w:type="paragraph" w:customStyle="1" w:styleId="9">
    <w:name w:val="flType"/>
    <w:basedOn w:val="10"/>
    <w:next w:val="1"/>
    <w:qFormat/>
    <w:uiPriority w:val="0"/>
    <w:pPr>
      <w:spacing w:after="284"/>
      <w:ind w:firstLine="4608"/>
    </w:pPr>
    <w:rPr>
      <w:rFonts w:ascii="Calibri" w:eastAsia="宋体"/>
    </w:rPr>
  </w:style>
  <w:style w:type="paragraph" w:customStyle="1" w:styleId="10">
    <w:name w:val="flName"/>
    <w:basedOn w:val="11"/>
    <w:qFormat/>
    <w:uiPriority w:val="0"/>
    <w:pPr>
      <w:spacing w:before="0" w:line="113" w:lineRule="atLeast"/>
    </w:pPr>
  </w:style>
  <w:style w:type="paragraph" w:customStyle="1" w:styleId="11">
    <w:name w:val="flNote"/>
    <w:basedOn w:val="1"/>
    <w:qFormat/>
    <w:uiPriority w:val="0"/>
    <w:pPr>
      <w:adjustRightInd w:val="0"/>
      <w:spacing w:before="567" w:line="360" w:lineRule="atLeast"/>
      <w:jc w:val="center"/>
      <w:textAlignment w:val="baseline"/>
    </w:pPr>
    <w:rPr>
      <w:rFonts w:eastAsia="黑体"/>
      <w:b/>
      <w:kern w:val="0"/>
      <w:sz w:val="24"/>
    </w:rPr>
  </w:style>
  <w:style w:type="paragraph" w:styleId="15">
    <w:name w:val="Normal Indent"/>
    <w:basedOn w:val="1"/>
    <w:qFormat/>
    <w:uiPriority w:val="99"/>
    <w:pPr>
      <w:ind w:firstLine="420"/>
    </w:pPr>
  </w:style>
  <w:style w:type="paragraph" w:styleId="16">
    <w:name w:val="annotation text"/>
    <w:basedOn w:val="1"/>
    <w:link w:val="48"/>
    <w:qFormat/>
    <w:uiPriority w:val="0"/>
    <w:pPr>
      <w:jc w:val="left"/>
    </w:pPr>
  </w:style>
  <w:style w:type="paragraph" w:styleId="17">
    <w:name w:val="Body Text"/>
    <w:basedOn w:val="1"/>
    <w:qFormat/>
    <w:uiPriority w:val="1"/>
    <w:rPr>
      <w:rFonts w:ascii="宋体" w:hAnsi="宋体" w:cs="宋体"/>
      <w:sz w:val="24"/>
      <w:szCs w:val="24"/>
    </w:rPr>
  </w:style>
  <w:style w:type="paragraph" w:styleId="18">
    <w:name w:val="Body Text Indent"/>
    <w:basedOn w:val="1"/>
    <w:qFormat/>
    <w:uiPriority w:val="0"/>
    <w:pPr>
      <w:spacing w:after="120"/>
      <w:ind w:left="420" w:leftChars="200"/>
    </w:pPr>
  </w:style>
  <w:style w:type="paragraph" w:styleId="19">
    <w:name w:val="Block Text"/>
    <w:basedOn w:val="1"/>
    <w:unhideWhenUsed/>
    <w:qFormat/>
    <w:uiPriority w:val="99"/>
    <w:pPr>
      <w:spacing w:after="120"/>
      <w:ind w:left="1440" w:leftChars="700" w:right="1440" w:rightChars="700"/>
    </w:pPr>
  </w:style>
  <w:style w:type="paragraph" w:styleId="20">
    <w:name w:val="index 4"/>
    <w:basedOn w:val="1"/>
    <w:next w:val="1"/>
    <w:unhideWhenUsed/>
    <w:qFormat/>
    <w:uiPriority w:val="99"/>
    <w:pPr>
      <w:ind w:left="600" w:leftChars="600"/>
    </w:pPr>
    <w:rPr>
      <w:rFonts w:ascii="Verdana" w:hAnsi="Verdana"/>
    </w:rPr>
  </w:style>
  <w:style w:type="paragraph" w:styleId="21">
    <w:name w:val="Plain Text"/>
    <w:basedOn w:val="1"/>
    <w:qFormat/>
    <w:uiPriority w:val="0"/>
    <w:rPr>
      <w:rFonts w:ascii="宋体" w:hAnsi="Courier New" w:eastAsiaTheme="minorEastAsia" w:cstheme="minorBidi"/>
      <w:szCs w:val="22"/>
    </w:rPr>
  </w:style>
  <w:style w:type="paragraph" w:styleId="22">
    <w:name w:val="Balloon Text"/>
    <w:basedOn w:val="1"/>
    <w:link w:val="47"/>
    <w:qFormat/>
    <w:uiPriority w:val="0"/>
    <w:rPr>
      <w:sz w:val="18"/>
      <w:szCs w:val="18"/>
    </w:rPr>
  </w:style>
  <w:style w:type="paragraph" w:styleId="23">
    <w:name w:val="footer"/>
    <w:basedOn w:val="1"/>
    <w:qFormat/>
    <w:uiPriority w:val="99"/>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27">
    <w:name w:val="Normal (Web)"/>
    <w:basedOn w:val="1"/>
    <w:qFormat/>
    <w:uiPriority w:val="99"/>
    <w:pPr>
      <w:spacing w:beforeAutospacing="1" w:afterAutospacing="1"/>
      <w:jc w:val="left"/>
    </w:pPr>
    <w:rPr>
      <w:kern w:val="0"/>
      <w:sz w:val="24"/>
      <w:szCs w:val="24"/>
    </w:rPr>
  </w:style>
  <w:style w:type="paragraph" w:styleId="28">
    <w:name w:val="Body Text First Indent 2"/>
    <w:basedOn w:val="18"/>
    <w:qFormat/>
    <w:uiPriority w:val="99"/>
    <w:pPr>
      <w:ind w:firstLine="420" w:firstLineChars="200"/>
    </w:p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FollowedHyperlink"/>
    <w:basedOn w:val="31"/>
    <w:qFormat/>
    <w:uiPriority w:val="0"/>
    <w:rPr>
      <w:color w:val="156356"/>
      <w:u w:val="none"/>
    </w:rPr>
  </w:style>
  <w:style w:type="character" w:styleId="34">
    <w:name w:val="HTML Typewriter"/>
    <w:basedOn w:val="31"/>
    <w:qFormat/>
    <w:uiPriority w:val="0"/>
    <w:rPr>
      <w:rFonts w:hint="default" w:ascii="monospace" w:hAnsi="monospace" w:eastAsia="monospace" w:cs="monospace"/>
      <w:sz w:val="20"/>
    </w:rPr>
  </w:style>
  <w:style w:type="character" w:styleId="35">
    <w:name w:val="HTML Acronym"/>
    <w:basedOn w:val="31"/>
    <w:qFormat/>
    <w:uiPriority w:val="0"/>
  </w:style>
  <w:style w:type="character" w:styleId="36">
    <w:name w:val="Hyperlink"/>
    <w:basedOn w:val="31"/>
    <w:qFormat/>
    <w:uiPriority w:val="0"/>
    <w:rPr>
      <w:color w:val="156356"/>
      <w:u w:val="none"/>
    </w:rPr>
  </w:style>
  <w:style w:type="character" w:styleId="37">
    <w:name w:val="HTML Code"/>
    <w:basedOn w:val="31"/>
    <w:qFormat/>
    <w:uiPriority w:val="0"/>
    <w:rPr>
      <w:rFonts w:hint="default" w:ascii="monospace" w:hAnsi="monospace" w:eastAsia="monospace" w:cs="monospace"/>
      <w:sz w:val="20"/>
    </w:rPr>
  </w:style>
  <w:style w:type="character" w:styleId="38">
    <w:name w:val="annotation reference"/>
    <w:basedOn w:val="31"/>
    <w:qFormat/>
    <w:uiPriority w:val="0"/>
    <w:rPr>
      <w:sz w:val="21"/>
      <w:szCs w:val="21"/>
    </w:rPr>
  </w:style>
  <w:style w:type="character" w:styleId="39">
    <w:name w:val="HTML Keyboard"/>
    <w:basedOn w:val="31"/>
    <w:qFormat/>
    <w:uiPriority w:val="0"/>
    <w:rPr>
      <w:rFonts w:hint="default" w:ascii="monospace" w:hAnsi="monospace" w:eastAsia="monospace" w:cs="monospace"/>
      <w:sz w:val="20"/>
    </w:rPr>
  </w:style>
  <w:style w:type="character" w:styleId="40">
    <w:name w:val="HTML Sample"/>
    <w:basedOn w:val="31"/>
    <w:qFormat/>
    <w:uiPriority w:val="0"/>
    <w:rPr>
      <w:rFonts w:ascii="monospace" w:hAnsi="monospace" w:eastAsia="monospace" w:cs="monospace"/>
    </w:rPr>
  </w:style>
  <w:style w:type="paragraph" w:customStyle="1" w:styleId="41">
    <w:name w:val="BodyText"/>
    <w:basedOn w:val="1"/>
    <w:qFormat/>
    <w:uiPriority w:val="0"/>
    <w:pPr>
      <w:spacing w:after="120"/>
      <w:textAlignment w:val="baseline"/>
    </w:pPr>
    <w:rPr>
      <w:kern w:val="0"/>
      <w:sz w:val="20"/>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styleId="43">
    <w:name w:val="List Paragraph"/>
    <w:basedOn w:val="1"/>
    <w:qFormat/>
    <w:uiPriority w:val="34"/>
    <w:pPr>
      <w:ind w:firstLine="420" w:firstLineChars="200"/>
    </w:pPr>
  </w:style>
  <w:style w:type="paragraph" w:customStyle="1" w:styleId="44">
    <w:name w:val="Table Paragraph"/>
    <w:basedOn w:val="1"/>
    <w:qFormat/>
    <w:uiPriority w:val="1"/>
    <w:rPr>
      <w:rFonts w:ascii="宋体" w:hAnsi="宋体" w:cs="宋体"/>
    </w:rPr>
  </w:style>
  <w:style w:type="paragraph" w:customStyle="1" w:styleId="45">
    <w:name w:val="样式 标题 2 + Times New Roman 四号 非加粗 段前: 5 磅 段后: 0 磅 行距: 固定值 20..."/>
    <w:basedOn w:val="5"/>
    <w:qFormat/>
    <w:uiPriority w:val="0"/>
    <w:pPr>
      <w:spacing w:before="100" w:after="0" w:line="400" w:lineRule="exact"/>
    </w:pPr>
    <w:rPr>
      <w:rFonts w:ascii="Times New Roman" w:hAnsi="Times New Roman"/>
      <w:b w:val="0"/>
      <w:sz w:val="28"/>
    </w:rPr>
  </w:style>
  <w:style w:type="paragraph" w:customStyle="1" w:styleId="46">
    <w:name w:val="样式 标题 3 + (中文) 黑体 小四 非加粗 段前: 7.8 磅 段后: 0 磅 行距: 固定值 20 磅"/>
    <w:basedOn w:val="13"/>
    <w:qFormat/>
    <w:uiPriority w:val="0"/>
    <w:pPr>
      <w:spacing w:line="400" w:lineRule="exact"/>
    </w:pPr>
    <w:rPr>
      <w:rFonts w:eastAsia="黑体"/>
      <w:b w:val="0"/>
      <w:sz w:val="24"/>
    </w:rPr>
  </w:style>
  <w:style w:type="character" w:customStyle="1" w:styleId="47">
    <w:name w:val="批注框文本 Char"/>
    <w:basedOn w:val="31"/>
    <w:link w:val="22"/>
    <w:qFormat/>
    <w:uiPriority w:val="0"/>
    <w:rPr>
      <w:rFonts w:ascii="Times New Roman" w:hAnsi="Times New Roman" w:eastAsia="宋体" w:cs="Times New Roman"/>
      <w:kern w:val="2"/>
      <w:sz w:val="18"/>
      <w:szCs w:val="18"/>
    </w:rPr>
  </w:style>
  <w:style w:type="character" w:customStyle="1" w:styleId="48">
    <w:name w:val="批注文字 Char"/>
    <w:link w:val="16"/>
    <w:qFormat/>
    <w:uiPriority w:val="0"/>
    <w:rPr>
      <w:rFonts w:ascii="Times New Roman" w:hAnsi="Times New Roman" w:eastAsia="宋体" w:cs="Times New Roman"/>
      <w:kern w:val="2"/>
      <w:sz w:val="21"/>
    </w:rPr>
  </w:style>
  <w:style w:type="character" w:customStyle="1" w:styleId="49">
    <w:name w:val="layui-this"/>
    <w:basedOn w:val="31"/>
    <w:qFormat/>
    <w:uiPriority w:val="0"/>
    <w:rPr>
      <w:bdr w:val="single" w:color="EEEEEE" w:sz="6" w:space="0"/>
      <w:shd w:val="clear" w:color="auto" w:fill="FFFFFF"/>
    </w:rPr>
  </w:style>
  <w:style w:type="character" w:customStyle="1" w:styleId="50">
    <w:name w:val="layui-laypage-curr"/>
    <w:basedOn w:val="31"/>
    <w:qFormat/>
    <w:uiPriority w:val="0"/>
  </w:style>
  <w:style w:type="character" w:customStyle="1" w:styleId="51">
    <w:name w:val="hover12"/>
    <w:basedOn w:val="31"/>
    <w:qFormat/>
    <w:uiPriority w:val="0"/>
  </w:style>
  <w:style w:type="character" w:customStyle="1" w:styleId="52">
    <w:name w:val="first-child"/>
    <w:basedOn w:val="31"/>
    <w:qFormat/>
    <w:uiPriority w:val="0"/>
  </w:style>
  <w:style w:type="character" w:customStyle="1" w:styleId="53">
    <w:name w:val="label"/>
    <w:basedOn w:val="31"/>
    <w:qFormat/>
    <w:uiPriority w:val="0"/>
    <w:rPr>
      <w:color w:val="999999"/>
    </w:rPr>
  </w:style>
  <w:style w:type="character" w:customStyle="1" w:styleId="54">
    <w:name w:val="hover13"/>
    <w:basedOn w:val="31"/>
    <w:qFormat/>
    <w:uiPriority w:val="0"/>
  </w:style>
  <w:style w:type="character" w:customStyle="1" w:styleId="55">
    <w:name w:val="first-child1"/>
    <w:basedOn w:val="31"/>
    <w:qFormat/>
    <w:uiPriority w:val="0"/>
  </w:style>
  <w:style w:type="character" w:customStyle="1" w:styleId="56">
    <w:name w:val="layui-this2"/>
    <w:basedOn w:val="31"/>
    <w:qFormat/>
    <w:uiPriority w:val="0"/>
    <w:rPr>
      <w:bdr w:val="single" w:color="EEEEEE" w:sz="6" w:space="0"/>
      <w:shd w:val="clear" w:color="auto" w:fill="FFFFFF"/>
    </w:rPr>
  </w:style>
  <w:style w:type="paragraph" w:customStyle="1" w:styleId="57">
    <w:name w:val="0"/>
    <w:basedOn w:val="1"/>
    <w:qFormat/>
    <w:uiPriority w:val="0"/>
    <w:pPr>
      <w:widowControl/>
    </w:pPr>
    <w:rPr>
      <w:kern w:val="0"/>
    </w:rPr>
  </w:style>
  <w:style w:type="paragraph" w:customStyle="1" w:styleId="58">
    <w:name w:val="Char Char Char"/>
    <w:basedOn w:val="1"/>
    <w:qFormat/>
    <w:uiPriority w:val="0"/>
    <w:pPr>
      <w:widowControl/>
      <w:tabs>
        <w:tab w:val="left" w:pos="360"/>
      </w:tabs>
      <w:jc w:val="left"/>
    </w:pPr>
  </w:style>
  <w:style w:type="character" w:customStyle="1" w:styleId="59">
    <w:name w:val="hover10"/>
    <w:basedOn w:val="31"/>
    <w:qFormat/>
    <w:uiPriority w:val="0"/>
  </w:style>
  <w:style w:type="character" w:customStyle="1" w:styleId="60">
    <w:name w:val="hover"/>
    <w:basedOn w:val="31"/>
    <w:qFormat/>
    <w:uiPriority w:val="0"/>
  </w:style>
  <w:style w:type="table" w:customStyle="1" w:styleId="61">
    <w:name w:val="Table Normal"/>
    <w:semiHidden/>
    <w:unhideWhenUsed/>
    <w:qFormat/>
    <w:uiPriority w:val="0"/>
    <w:tblPr>
      <w:tblCellMar>
        <w:top w:w="0" w:type="dxa"/>
        <w:left w:w="0" w:type="dxa"/>
        <w:bottom w:w="0" w:type="dxa"/>
        <w:right w:w="0" w:type="dxa"/>
      </w:tblCellMar>
    </w:tblPr>
  </w:style>
  <w:style w:type="character" w:customStyle="1" w:styleId="62">
    <w:name w:val="font11"/>
    <w:basedOn w:val="31"/>
    <w:qFormat/>
    <w:uiPriority w:val="0"/>
    <w:rPr>
      <w:rFonts w:hint="eastAsia" w:ascii="宋体" w:hAnsi="宋体" w:eastAsia="宋体" w:cs="宋体"/>
      <w:color w:val="000000"/>
      <w:sz w:val="18"/>
      <w:szCs w:val="18"/>
      <w:u w:val="none"/>
    </w:rPr>
  </w:style>
  <w:style w:type="character" w:customStyle="1" w:styleId="63">
    <w:name w:val="font41"/>
    <w:basedOn w:val="31"/>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83B6E-F8D3-4EB4-A74E-C0E288589B44}">
  <ds:schemaRefs/>
</ds:datastoreItem>
</file>

<file path=docProps/app.xml><?xml version="1.0" encoding="utf-8"?>
<Properties xmlns="http://schemas.openxmlformats.org/officeDocument/2006/extended-properties" xmlns:vt="http://schemas.openxmlformats.org/officeDocument/2006/docPropsVTypes">
  <Template>Normal</Template>
  <Pages>68</Pages>
  <Words>32221</Words>
  <Characters>33490</Characters>
  <Lines>263</Lines>
  <Paragraphs>74</Paragraphs>
  <TotalTime>0</TotalTime>
  <ScaleCrop>false</ScaleCrop>
  <LinksUpToDate>false</LinksUpToDate>
  <CharactersWithSpaces>34326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2021-02-05T09:15:00Z</dcterms:created>
  <dc:creator>张明月</dc:creator>
  <cp:lastModifiedBy>cici</cp:lastModifiedBy>
  <cp:lastPrinted>2021-03-09T04:33:00Z</cp:lastPrinted>
  <dcterms:modified xsi:type="dcterms:W3CDTF">2022-07-22T02:53:36Z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430FB88DD5BC4FC48234B792C6C09903</vt:lpwstr>
  </property>
</Properties>
</file>