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广西中信恒泰工程顾问有限公司关于广西金融职业技术学院（广西银行学校）相思湖校区体育馆等10个项目施工过程跟踪审计和结算审核服务采购(</w:t>
      </w:r>
      <w:r>
        <w:rPr>
          <w:rFonts w:hint="eastAsia" w:asciiTheme="majorEastAsia" w:hAnsiTheme="majorEastAsia" w:eastAsiaTheme="majorEastAsia"/>
          <w:b/>
          <w:sz w:val="28"/>
          <w:szCs w:val="28"/>
          <w:lang w:eastAsia="zh-CN"/>
        </w:rPr>
        <w:t>项目</w:t>
      </w:r>
      <w:r>
        <w:rPr>
          <w:rFonts w:hint="eastAsia" w:asciiTheme="majorEastAsia" w:hAnsiTheme="majorEastAsia" w:eastAsiaTheme="majorEastAsia"/>
          <w:b/>
          <w:sz w:val="28"/>
          <w:szCs w:val="28"/>
        </w:rPr>
        <w:t>编号：GXZC2022-C3-002327-GXZX)成交公告</w:t>
      </w:r>
    </w:p>
    <w:p>
      <w:pPr>
        <w:spacing w:line="360" w:lineRule="auto"/>
        <w:rPr>
          <w:rFonts w:hint="eastAsia" w:asciiTheme="minorEastAsia" w:hAnsiTheme="minorEastAsia" w:eastAsiaTheme="minorEastAsia"/>
          <w:sz w:val="24"/>
          <w:szCs w:val="24"/>
          <w:lang w:eastAsia="zh-CN"/>
        </w:rPr>
      </w:pPr>
      <w:r>
        <w:rPr>
          <w:rFonts w:hint="eastAsia"/>
          <w:b/>
          <w:sz w:val="24"/>
          <w:szCs w:val="24"/>
        </w:rPr>
        <w:t>一、项目编号：</w:t>
      </w:r>
      <w:r>
        <w:rPr>
          <w:rFonts w:hint="eastAsia" w:ascii="宋体" w:hAnsi="宋体" w:eastAsia="宋体" w:cs="宋体"/>
          <w:color w:val="auto"/>
          <w:sz w:val="24"/>
        </w:rPr>
        <w:t>GXZC2022-C3-002327-GXZX</w:t>
      </w:r>
    </w:p>
    <w:p>
      <w:pPr>
        <w:spacing w:line="360" w:lineRule="auto"/>
        <w:rPr>
          <w:rFonts w:hint="eastAsia" w:eastAsiaTheme="minorEastAsia"/>
          <w:sz w:val="24"/>
          <w:szCs w:val="24"/>
          <w:lang w:eastAsia="zh-CN"/>
        </w:rPr>
      </w:pPr>
      <w:r>
        <w:rPr>
          <w:rFonts w:hint="eastAsia"/>
          <w:b/>
          <w:sz w:val="24"/>
          <w:szCs w:val="24"/>
        </w:rPr>
        <w:t>二、项目名称：</w:t>
      </w:r>
      <w:r>
        <w:rPr>
          <w:rFonts w:hint="eastAsia"/>
          <w:b w:val="0"/>
          <w:bCs/>
          <w:sz w:val="24"/>
          <w:szCs w:val="24"/>
        </w:rPr>
        <w:t>广西金融职业技术学院（广西银行学校）相思湖校区体育馆等10个项目施工过程跟踪审计和结算审核服务采购</w:t>
      </w:r>
    </w:p>
    <w:p>
      <w:pPr>
        <w:spacing w:line="360" w:lineRule="auto"/>
        <w:rPr>
          <w:b/>
          <w:sz w:val="24"/>
          <w:szCs w:val="24"/>
        </w:rPr>
      </w:pPr>
      <w:r>
        <w:rPr>
          <w:rFonts w:hint="eastAsia"/>
          <w:b/>
          <w:sz w:val="24"/>
          <w:szCs w:val="24"/>
        </w:rPr>
        <w:t>三、成交信息</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成交供应商名称：</w:t>
      </w:r>
      <w:r>
        <w:rPr>
          <w:rFonts w:hint="eastAsia" w:ascii="宋体" w:hAnsi="宋体" w:cs="宋体"/>
          <w:color w:val="auto"/>
          <w:sz w:val="24"/>
          <w:szCs w:val="24"/>
        </w:rPr>
        <w:t>广西君兴工程咨询有限公司</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 xml:space="preserve">成交供应商地址：南宁市青秀区桂雅路11号凤岭·麒麟堡B单元602、603、606、607号 </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成交金额：过程跟踪审核</w:t>
      </w:r>
      <w:r>
        <w:rPr>
          <w:rFonts w:hint="eastAsia" w:ascii="宋体" w:hAnsi="宋体" w:eastAsia="宋体" w:cs="宋体"/>
          <w:color w:val="auto"/>
          <w:sz w:val="24"/>
          <w:lang w:eastAsia="zh-CN"/>
        </w:rPr>
        <w:t>：</w:t>
      </w:r>
      <w:r>
        <w:rPr>
          <w:rFonts w:hint="eastAsia" w:ascii="宋体" w:hAnsi="宋体" w:eastAsia="宋体" w:cs="宋体"/>
          <w:color w:val="auto"/>
          <w:sz w:val="24"/>
          <w:szCs w:val="24"/>
          <w:lang w:eastAsia="zh-CN"/>
        </w:rPr>
        <w:t>0.23%；</w:t>
      </w:r>
      <w:r>
        <w:rPr>
          <w:rFonts w:hint="eastAsia" w:ascii="宋体" w:hAnsi="宋体" w:eastAsia="宋体" w:cs="宋体"/>
          <w:sz w:val="24"/>
          <w:szCs w:val="24"/>
        </w:rPr>
        <w:t>工程结算审核(计算式 二)</w:t>
      </w:r>
      <w:r>
        <w:rPr>
          <w:rFonts w:hint="eastAsia" w:ascii="宋体" w:hAnsi="宋体" w:eastAsia="宋体" w:cs="宋体"/>
          <w:sz w:val="24"/>
          <w:szCs w:val="24"/>
          <w:lang w:eastAsia="zh-CN"/>
        </w:rPr>
        <w:t>：</w:t>
      </w:r>
      <w:r>
        <w:rPr>
          <w:rFonts w:hint="eastAsia" w:ascii="宋体" w:hAnsi="宋体" w:cs="宋体"/>
          <w:color w:val="auto"/>
          <w:sz w:val="24"/>
          <w:szCs w:val="24"/>
        </w:rPr>
        <w:t>4%</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cs="宋体"/>
          <w:sz w:val="24"/>
          <w:szCs w:val="24"/>
        </w:rPr>
        <w:t>服务期限</w:t>
      </w:r>
      <w:r>
        <w:rPr>
          <w:rFonts w:hint="eastAsia" w:ascii="宋体" w:hAnsi="宋体" w:eastAsia="宋体" w:cs="宋体"/>
          <w:color w:val="auto"/>
          <w:sz w:val="24"/>
          <w:szCs w:val="24"/>
        </w:rPr>
        <w:t>：</w:t>
      </w:r>
      <w:r>
        <w:rPr>
          <w:rFonts w:hint="eastAsia" w:ascii="宋体" w:hAnsi="宋体" w:cs="宋体"/>
          <w:color w:val="auto"/>
          <w:sz w:val="24"/>
          <w:szCs w:val="24"/>
        </w:rPr>
        <w:t>自签订合同之日起至项目全部竣工结算审核完成并提交审核报告等成果文件为止。</w:t>
      </w:r>
    </w:p>
    <w:p>
      <w:pPr>
        <w:numPr>
          <w:ilvl w:val="0"/>
          <w:numId w:val="1"/>
        </w:numPr>
        <w:spacing w:line="360" w:lineRule="auto"/>
        <w:rPr>
          <w:rFonts w:hint="eastAsia"/>
          <w:b/>
          <w:sz w:val="24"/>
          <w:szCs w:val="24"/>
        </w:rPr>
      </w:pPr>
      <w:r>
        <w:rPr>
          <w:rFonts w:hint="eastAsia"/>
          <w:b/>
          <w:sz w:val="24"/>
          <w:szCs w:val="24"/>
        </w:rPr>
        <w:t>主要标的信息</w:t>
      </w:r>
    </w:p>
    <w:p>
      <w:pPr>
        <w:spacing w:line="360" w:lineRule="auto"/>
        <w:ind w:firstLine="480" w:firstLineChars="200"/>
        <w:rPr>
          <w:rFonts w:hint="eastAsia" w:ascii="宋体" w:hAnsi="宋体" w:cs="宋体" w:eastAsiaTheme="minorEastAsia"/>
          <w:color w:val="auto"/>
          <w:sz w:val="24"/>
          <w:szCs w:val="24"/>
          <w:highlight w:val="none"/>
          <w:lang w:val="en-US" w:eastAsia="zh-CN"/>
        </w:rPr>
      </w:pPr>
      <w:r>
        <w:rPr>
          <w:rFonts w:hint="eastAsia"/>
          <w:b w:val="0"/>
          <w:bCs/>
          <w:sz w:val="24"/>
          <w:szCs w:val="24"/>
        </w:rPr>
        <w:t>广西金融职业技术学院（广西银行学校）相思湖校区体育馆等10个项目施工过程跟踪审计和结算审核服务采购</w:t>
      </w:r>
      <w:r>
        <w:rPr>
          <w:rFonts w:hint="eastAsia" w:ascii="宋体" w:hAnsi="宋体" w:eastAsia="宋体" w:cs="宋体"/>
          <w:color w:val="auto"/>
          <w:sz w:val="24"/>
          <w:szCs w:val="24"/>
          <w:highlight w:val="none"/>
          <w:lang w:val="en-US" w:eastAsia="zh-CN"/>
        </w:rPr>
        <w:t>一项，</w:t>
      </w:r>
      <w:r>
        <w:rPr>
          <w:rFonts w:hint="eastAsia" w:ascii="宋体" w:hAnsi="宋体" w:cs="宋体"/>
          <w:kern w:val="0"/>
          <w:szCs w:val="21"/>
        </w:rPr>
        <w:t>详见采购文件第三章“</w:t>
      </w:r>
      <w:r>
        <w:rPr>
          <w:rFonts w:ascii="宋体" w:hAnsi="宋体" w:cs="宋体"/>
          <w:kern w:val="0"/>
          <w:szCs w:val="21"/>
        </w:rPr>
        <w:t>采购需求</w:t>
      </w:r>
      <w:r>
        <w:rPr>
          <w:rFonts w:hint="eastAsia" w:ascii="宋体" w:hAnsi="宋体" w:cs="宋体"/>
          <w:kern w:val="0"/>
          <w:szCs w:val="21"/>
        </w:rPr>
        <w:t>”</w:t>
      </w:r>
      <w:r>
        <w:rPr>
          <w:rFonts w:hint="eastAsia" w:ascii="宋体" w:hAnsi="宋体" w:cs="宋体"/>
          <w:kern w:val="0"/>
          <w:szCs w:val="21"/>
          <w:lang w:eastAsia="zh-CN"/>
        </w:rPr>
        <w:t>。</w:t>
      </w:r>
    </w:p>
    <w:p>
      <w:pPr>
        <w:spacing w:line="360" w:lineRule="auto"/>
        <w:rPr>
          <w:bCs/>
          <w:color w:val="auto"/>
          <w:sz w:val="24"/>
          <w:szCs w:val="24"/>
        </w:rPr>
      </w:pPr>
      <w:r>
        <w:rPr>
          <w:rFonts w:hint="eastAsia"/>
          <w:b/>
          <w:sz w:val="24"/>
          <w:szCs w:val="24"/>
        </w:rPr>
        <w:t>五、评审专家名单：</w:t>
      </w:r>
      <w:r>
        <w:rPr>
          <w:rFonts w:hint="eastAsia"/>
          <w:b w:val="0"/>
          <w:bCs/>
          <w:sz w:val="24"/>
          <w:szCs w:val="24"/>
          <w:highlight w:val="none"/>
        </w:rPr>
        <w:t>李露</w:t>
      </w:r>
      <w:r>
        <w:rPr>
          <w:rFonts w:hint="eastAsia" w:asciiTheme="majorEastAsia" w:hAnsiTheme="majorEastAsia" w:eastAsiaTheme="majorEastAsia"/>
          <w:b w:val="0"/>
          <w:bCs/>
          <w:color w:val="auto"/>
          <w:sz w:val="24"/>
          <w:szCs w:val="24"/>
          <w:highlight w:val="none"/>
        </w:rPr>
        <w:t>（组长）、孙中凤</w:t>
      </w:r>
      <w:r>
        <w:rPr>
          <w:rFonts w:hint="eastAsia" w:asciiTheme="majorEastAsia" w:hAnsiTheme="majorEastAsia" w:eastAsiaTheme="majorEastAsia"/>
          <w:b w:val="0"/>
          <w:bCs/>
          <w:color w:val="auto"/>
          <w:sz w:val="24"/>
          <w:szCs w:val="24"/>
          <w:highlight w:val="none"/>
          <w:lang w:eastAsia="zh-CN"/>
        </w:rPr>
        <w:t>、</w:t>
      </w:r>
      <w:r>
        <w:rPr>
          <w:rFonts w:hint="eastAsia" w:asciiTheme="majorEastAsia" w:hAnsiTheme="majorEastAsia" w:eastAsiaTheme="majorEastAsia"/>
          <w:b w:val="0"/>
          <w:bCs/>
          <w:color w:val="auto"/>
          <w:sz w:val="24"/>
          <w:szCs w:val="24"/>
          <w:highlight w:val="none"/>
          <w:lang w:val="en-US" w:eastAsia="zh-CN"/>
        </w:rPr>
        <w:t>滕玲</w:t>
      </w:r>
      <w:r>
        <w:rPr>
          <w:rFonts w:hint="eastAsia" w:asciiTheme="majorEastAsia" w:hAnsiTheme="majorEastAsia" w:eastAsiaTheme="majorEastAsia"/>
          <w:b w:val="0"/>
          <w:bCs/>
          <w:color w:val="auto"/>
          <w:sz w:val="24"/>
          <w:szCs w:val="24"/>
          <w:highlight w:val="none"/>
        </w:rPr>
        <w:t>（采购人代表）</w:t>
      </w:r>
    </w:p>
    <w:p>
      <w:pPr>
        <w:spacing w:line="360" w:lineRule="auto"/>
        <w:rPr>
          <w:b/>
          <w:sz w:val="24"/>
          <w:szCs w:val="24"/>
        </w:rPr>
      </w:pPr>
      <w:r>
        <w:rPr>
          <w:rFonts w:hint="eastAsia"/>
          <w:b/>
          <w:sz w:val="24"/>
          <w:szCs w:val="24"/>
        </w:rPr>
        <w:t>六、代理服务收费标准及金额</w:t>
      </w:r>
    </w:p>
    <w:p>
      <w:pPr>
        <w:spacing w:line="360" w:lineRule="auto"/>
        <w:ind w:firstLine="480" w:firstLineChars="200"/>
        <w:rPr>
          <w:rFonts w:hint="eastAsia"/>
          <w:b w:val="0"/>
          <w:bCs/>
          <w:sz w:val="24"/>
          <w:szCs w:val="24"/>
        </w:rPr>
      </w:pPr>
      <w:r>
        <w:rPr>
          <w:rFonts w:hint="eastAsia"/>
          <w:b w:val="0"/>
          <w:bCs/>
          <w:sz w:val="24"/>
          <w:szCs w:val="24"/>
        </w:rPr>
        <w:t>根据有关收费规定并经双方商定，本项目招标代理服务费按人民币壹万陆仟元整（¥16000.00）由成交供应商向采购代理机构支付。</w:t>
      </w:r>
    </w:p>
    <w:p>
      <w:pPr>
        <w:spacing w:line="360" w:lineRule="auto"/>
        <w:rPr>
          <w:sz w:val="24"/>
          <w:szCs w:val="24"/>
        </w:rPr>
      </w:pPr>
      <w:r>
        <w:rPr>
          <w:rFonts w:hint="eastAsia"/>
          <w:b/>
          <w:sz w:val="24"/>
          <w:szCs w:val="24"/>
        </w:rPr>
        <w:t>七、公告期限：</w:t>
      </w:r>
      <w:r>
        <w:rPr>
          <w:rFonts w:hint="eastAsia"/>
          <w:sz w:val="24"/>
          <w:szCs w:val="24"/>
        </w:rPr>
        <w:t>自本公告发布</w:t>
      </w:r>
      <w:r>
        <w:rPr>
          <w:rFonts w:hint="eastAsia" w:ascii="宋体" w:hAnsi="宋体" w:eastAsia="宋体" w:cs="宋体"/>
          <w:sz w:val="24"/>
          <w:szCs w:val="24"/>
        </w:rPr>
        <w:t>之日起1个</w:t>
      </w:r>
      <w:r>
        <w:rPr>
          <w:rFonts w:hint="eastAsia"/>
          <w:sz w:val="24"/>
          <w:szCs w:val="24"/>
        </w:rPr>
        <w:t>工作日。</w:t>
      </w:r>
    </w:p>
    <w:p>
      <w:pPr>
        <w:spacing w:line="360" w:lineRule="auto"/>
        <w:rPr>
          <w:rFonts w:hint="eastAsia"/>
          <w:b/>
          <w:sz w:val="24"/>
          <w:szCs w:val="24"/>
        </w:rPr>
      </w:pPr>
      <w:r>
        <w:rPr>
          <w:rFonts w:hint="eastAsia"/>
          <w:b/>
          <w:sz w:val="24"/>
          <w:szCs w:val="24"/>
        </w:rPr>
        <w:t xml:space="preserve">八、其他补充事宜 </w:t>
      </w:r>
    </w:p>
    <w:p>
      <w:pPr>
        <w:pStyle w:val="2"/>
        <w:ind w:firstLine="630" w:firstLineChars="300"/>
      </w:pPr>
      <w:r>
        <w:rPr>
          <w:rFonts w:hint="eastAsia"/>
        </w:rPr>
        <w:t>网上查询地址</w:t>
      </w:r>
      <w:r>
        <w:rPr>
          <w:rFonts w:hint="eastAsia"/>
          <w:lang w:eastAsia="zh-CN"/>
        </w:rPr>
        <w:t>：</w:t>
      </w:r>
      <w:r>
        <w:rPr>
          <w:rFonts w:hint="eastAsia"/>
        </w:rPr>
        <w:t>www.ccgp.gov.cn（中国政府采购网）、zfcg.gxzf.gov.cn（广西壮族自治区政府采购网）。</w:t>
      </w:r>
    </w:p>
    <w:p>
      <w:pPr>
        <w:spacing w:line="360" w:lineRule="auto"/>
        <w:ind w:firstLine="480" w:firstLineChars="200"/>
        <w:rPr>
          <w:sz w:val="24"/>
          <w:szCs w:val="24"/>
        </w:rPr>
      </w:pPr>
      <w:r>
        <w:rPr>
          <w:rFonts w:hint="eastAsia"/>
          <w:sz w:val="24"/>
          <w:szCs w:val="24"/>
        </w:rPr>
        <w:t>供应商认为成交结果使自己的权益受到损害的，可以在成交结果公告期限届满之日起七个工作日内以书面形式向采购代理机构提出质疑，逾期将不再受理。</w:t>
      </w:r>
    </w:p>
    <w:p>
      <w:pPr>
        <w:spacing w:line="360" w:lineRule="auto"/>
        <w:ind w:firstLine="480" w:firstLineChars="200"/>
        <w:rPr>
          <w:rFonts w:ascii="宋体" w:hAnsi="宋体" w:eastAsia="宋体" w:cs="宋体"/>
          <w:color w:val="FF0000"/>
          <w:sz w:val="24"/>
          <w:szCs w:val="24"/>
        </w:rPr>
      </w:pPr>
      <w:r>
        <w:rPr>
          <w:rFonts w:hint="eastAsia"/>
          <w:sz w:val="24"/>
          <w:szCs w:val="24"/>
        </w:rPr>
        <w:t>质疑联系人：刘清源，联</w:t>
      </w:r>
      <w:r>
        <w:rPr>
          <w:rFonts w:hint="eastAsia" w:ascii="宋体" w:hAnsi="宋体" w:eastAsia="宋体" w:cs="宋体"/>
          <w:sz w:val="24"/>
          <w:szCs w:val="24"/>
        </w:rPr>
        <w:t>系电话: 0771-5776251</w:t>
      </w:r>
    </w:p>
    <w:p>
      <w:pPr>
        <w:spacing w:line="360" w:lineRule="auto"/>
        <w:rPr>
          <w:sz w:val="24"/>
          <w:szCs w:val="24"/>
        </w:rPr>
      </w:pPr>
      <w:r>
        <w:rPr>
          <w:rFonts w:hint="eastAsia"/>
          <w:b/>
          <w:sz w:val="24"/>
          <w:szCs w:val="24"/>
        </w:rPr>
        <w:t>九、凡对本次公告内容提出询问，请按以下方式联系</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1.采购人信息</w:t>
      </w:r>
    </w:p>
    <w:p>
      <w:pPr>
        <w:widowControl/>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名    称：广西金融职业技术学院</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地    址：南宁市大学西路168号</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联系方式：0771-3481381</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2.采购代理机构信息</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名    称：广西中信恒泰工程顾问有限公司</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地　　址：南宁市青秀区云景路69号轨道交通大厦B栋9层</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联系方式：0771-5776251</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3.项目联系方式</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采购人联系人：蔡老师  </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联系方式：0771-3481381</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采购代理机构联系人：</w:t>
      </w:r>
      <w:r>
        <w:rPr>
          <w:rFonts w:hint="eastAsia"/>
          <w:sz w:val="24"/>
          <w:szCs w:val="24"/>
        </w:rPr>
        <w:t>刘清源</w:t>
      </w:r>
    </w:p>
    <w:p>
      <w:pPr>
        <w:widowControl/>
        <w:spacing w:line="360" w:lineRule="auto"/>
        <w:ind w:firstLine="480" w:firstLineChars="200"/>
        <w:jc w:val="left"/>
      </w:pPr>
      <w:r>
        <w:rPr>
          <w:rFonts w:hint="eastAsia" w:ascii="宋体" w:hAnsi="宋体" w:eastAsia="宋体" w:cs="宋体"/>
          <w:sz w:val="24"/>
          <w:szCs w:val="24"/>
        </w:rPr>
        <w:t>联系电话: 0771-5776251   传真：0771-5776251</w:t>
      </w:r>
    </w:p>
    <w:p>
      <w:pPr>
        <w:spacing w:line="360" w:lineRule="auto"/>
        <w:rPr>
          <w:sz w:val="24"/>
          <w:szCs w:val="24"/>
        </w:rPr>
      </w:pPr>
    </w:p>
    <w:p>
      <w:pPr>
        <w:pStyle w:val="2"/>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附件：1、中小企业声明函；</w:t>
      </w:r>
    </w:p>
    <w:p>
      <w:pPr>
        <w:pStyle w:val="2"/>
        <w:ind w:firstLine="1200" w:firstLineChars="500"/>
        <w:rPr>
          <w:rFonts w:hint="default"/>
          <w:lang w:val="en-US" w:eastAsia="zh-CN"/>
        </w:rPr>
      </w:pPr>
      <w:r>
        <w:rPr>
          <w:rFonts w:hint="eastAsia" w:ascii="宋体" w:hAnsi="宋体" w:eastAsia="宋体" w:cs="宋体"/>
          <w:kern w:val="2"/>
          <w:sz w:val="24"/>
          <w:szCs w:val="24"/>
          <w:lang w:val="en-US" w:eastAsia="zh-CN" w:bidi="ar-SA"/>
        </w:rPr>
        <w:t>2、采购文件。</w:t>
      </w:r>
    </w:p>
    <w:p>
      <w:pPr>
        <w:pStyle w:val="2"/>
        <w:rPr>
          <w:rFonts w:hint="default"/>
          <w:lang w:val="en-US" w:eastAsia="zh-CN"/>
        </w:rPr>
      </w:pPr>
    </w:p>
    <w:p>
      <w:pPr>
        <w:pStyle w:val="2"/>
        <w:rPr>
          <w:rFonts w:hint="default"/>
          <w:lang w:val="en-US" w:eastAsia="zh-CN"/>
        </w:rPr>
      </w:pPr>
    </w:p>
    <w:p>
      <w:pPr>
        <w:pStyle w:val="2"/>
        <w:jc w:val="right"/>
        <w:rPr>
          <w:rFonts w:hint="eastAsia" w:eastAsia="宋体"/>
          <w:lang w:eastAsia="zh-CN"/>
        </w:rPr>
      </w:pPr>
    </w:p>
    <w:p>
      <w:pPr>
        <w:spacing w:line="360" w:lineRule="auto"/>
        <w:jc w:val="right"/>
        <w:rPr>
          <w:rFonts w:ascii="宋体" w:hAnsi="宋体" w:eastAsia="宋体" w:cs="宋体"/>
          <w:sz w:val="24"/>
          <w:szCs w:val="24"/>
        </w:rPr>
      </w:pPr>
      <w:r>
        <w:rPr>
          <w:rFonts w:hint="eastAsia" w:ascii="宋体" w:hAnsi="宋体" w:eastAsia="宋体" w:cs="宋体"/>
          <w:sz w:val="24"/>
          <w:szCs w:val="24"/>
        </w:rPr>
        <w:t>采购代理机构</w:t>
      </w:r>
      <w:r>
        <w:rPr>
          <w:rFonts w:hint="eastAsia" w:ascii="宋体" w:hAnsi="宋体" w:eastAsia="宋体" w:cs="宋体"/>
          <w:sz w:val="24"/>
          <w:szCs w:val="24"/>
          <w:lang w:eastAsia="zh-CN"/>
        </w:rPr>
        <w:t>：</w:t>
      </w:r>
      <w:r>
        <w:rPr>
          <w:rFonts w:hint="eastAsia"/>
          <w:sz w:val="24"/>
          <w:szCs w:val="24"/>
        </w:rPr>
        <w:t>广西中</w:t>
      </w:r>
      <w:r>
        <w:rPr>
          <w:rFonts w:hint="eastAsia" w:ascii="宋体" w:hAnsi="宋体" w:eastAsia="宋体" w:cs="宋体"/>
          <w:sz w:val="24"/>
          <w:szCs w:val="24"/>
        </w:rPr>
        <w:t>信恒泰工程顾问有限公司</w:t>
      </w:r>
    </w:p>
    <w:p>
      <w:pPr>
        <w:spacing w:line="360" w:lineRule="auto"/>
        <w:jc w:val="right"/>
        <w:rPr>
          <w:rFonts w:hint="eastAsia" w:ascii="宋体" w:hAnsi="宋体" w:eastAsia="宋体" w:cs="宋体"/>
          <w:color w:val="0000FF"/>
          <w:sz w:val="24"/>
          <w:szCs w:val="24"/>
          <w:highlight w:val="none"/>
          <w:lang w:eastAsia="zh-CN"/>
        </w:rPr>
      </w:pPr>
      <w:bookmarkStart w:id="0" w:name="_GoBack"/>
      <w:r>
        <w:rPr>
          <w:rFonts w:hint="eastAsia" w:ascii="宋体" w:hAnsi="宋体" w:eastAsia="宋体" w:cs="宋体"/>
          <w:color w:val="0000FF"/>
          <w:sz w:val="24"/>
          <w:szCs w:val="24"/>
          <w:highlight w:val="none"/>
          <w:lang w:eastAsia="zh-CN"/>
        </w:rPr>
        <w:t>20</w:t>
      </w:r>
      <w:r>
        <w:rPr>
          <w:rFonts w:hint="eastAsia" w:ascii="宋体" w:hAnsi="宋体" w:eastAsia="宋体" w:cs="宋体"/>
          <w:color w:val="0000FF"/>
          <w:sz w:val="24"/>
          <w:szCs w:val="24"/>
          <w:highlight w:val="none"/>
          <w:lang w:val="en-US" w:eastAsia="zh-CN"/>
        </w:rPr>
        <w:t>22</w:t>
      </w:r>
      <w:r>
        <w:rPr>
          <w:rFonts w:hint="eastAsia" w:ascii="宋体" w:hAnsi="宋体" w:eastAsia="宋体" w:cs="宋体"/>
          <w:color w:val="0000FF"/>
          <w:sz w:val="24"/>
          <w:szCs w:val="24"/>
          <w:highlight w:val="none"/>
          <w:lang w:eastAsia="zh-CN"/>
        </w:rPr>
        <w:t>年</w:t>
      </w:r>
      <w:r>
        <w:rPr>
          <w:rFonts w:hint="eastAsia" w:ascii="宋体" w:hAnsi="宋体" w:eastAsia="宋体" w:cs="宋体"/>
          <w:color w:val="0000FF"/>
          <w:sz w:val="24"/>
          <w:szCs w:val="24"/>
          <w:highlight w:val="none"/>
          <w:lang w:val="en-US" w:eastAsia="zh-CN"/>
        </w:rPr>
        <w:t>08</w:t>
      </w:r>
      <w:r>
        <w:rPr>
          <w:rFonts w:hint="eastAsia" w:ascii="宋体" w:hAnsi="宋体" w:eastAsia="宋体" w:cs="宋体"/>
          <w:color w:val="0000FF"/>
          <w:sz w:val="24"/>
          <w:szCs w:val="24"/>
          <w:highlight w:val="none"/>
          <w:lang w:eastAsia="zh-CN"/>
        </w:rPr>
        <w:t>月</w:t>
      </w:r>
      <w:r>
        <w:rPr>
          <w:rFonts w:hint="eastAsia" w:ascii="宋体" w:hAnsi="宋体" w:eastAsia="宋体" w:cs="宋体"/>
          <w:color w:val="0000FF"/>
          <w:sz w:val="24"/>
          <w:szCs w:val="24"/>
          <w:highlight w:val="none"/>
          <w:lang w:val="en-US" w:eastAsia="zh-CN"/>
        </w:rPr>
        <w:t>24</w:t>
      </w:r>
      <w:r>
        <w:rPr>
          <w:rFonts w:hint="eastAsia" w:ascii="宋体" w:hAnsi="宋体" w:eastAsia="宋体" w:cs="宋体"/>
          <w:color w:val="0000FF"/>
          <w:sz w:val="24"/>
          <w:szCs w:val="24"/>
          <w:highlight w:val="none"/>
          <w:lang w:eastAsia="zh-CN"/>
        </w:rPr>
        <w:t>日</w:t>
      </w:r>
    </w:p>
    <w:bookmarkEnd w:id="0"/>
    <w:p>
      <w:pPr>
        <w:widowControl/>
        <w:jc w:val="left"/>
        <w:rPr>
          <w:color w:val="FF0000"/>
          <w:sz w:val="24"/>
          <w:szCs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039CED"/>
    <w:multiLevelType w:val="singleLevel"/>
    <w:tmpl w:val="0C039CE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YzMDM0YTMyN2ZmM2NjMTRmYWQ0ZGE3Y2M2MzNjMTMifQ=="/>
  </w:docVars>
  <w:rsids>
    <w:rsidRoot w:val="00D27EB2"/>
    <w:rsid w:val="00036BB1"/>
    <w:rsid w:val="00085F5E"/>
    <w:rsid w:val="00091433"/>
    <w:rsid w:val="00131906"/>
    <w:rsid w:val="00134186"/>
    <w:rsid w:val="0013548F"/>
    <w:rsid w:val="00136677"/>
    <w:rsid w:val="00185F59"/>
    <w:rsid w:val="001A636C"/>
    <w:rsid w:val="001D0D49"/>
    <w:rsid w:val="001E5ADC"/>
    <w:rsid w:val="001F5FC7"/>
    <w:rsid w:val="00241A01"/>
    <w:rsid w:val="00246451"/>
    <w:rsid w:val="002641FC"/>
    <w:rsid w:val="00295D67"/>
    <w:rsid w:val="002D0868"/>
    <w:rsid w:val="002F13FD"/>
    <w:rsid w:val="00323622"/>
    <w:rsid w:val="00363815"/>
    <w:rsid w:val="003D701A"/>
    <w:rsid w:val="003E107D"/>
    <w:rsid w:val="003F7703"/>
    <w:rsid w:val="00411ABC"/>
    <w:rsid w:val="00461649"/>
    <w:rsid w:val="00492188"/>
    <w:rsid w:val="004E4A4A"/>
    <w:rsid w:val="00517FC7"/>
    <w:rsid w:val="005209C8"/>
    <w:rsid w:val="00523B58"/>
    <w:rsid w:val="00540ED6"/>
    <w:rsid w:val="005475F1"/>
    <w:rsid w:val="00551D25"/>
    <w:rsid w:val="005E498A"/>
    <w:rsid w:val="005E6498"/>
    <w:rsid w:val="006224DC"/>
    <w:rsid w:val="00641070"/>
    <w:rsid w:val="00662EF3"/>
    <w:rsid w:val="006951DD"/>
    <w:rsid w:val="006A449C"/>
    <w:rsid w:val="006B0A0A"/>
    <w:rsid w:val="006F7FF8"/>
    <w:rsid w:val="00726D6A"/>
    <w:rsid w:val="00750267"/>
    <w:rsid w:val="007A4D1A"/>
    <w:rsid w:val="007E4684"/>
    <w:rsid w:val="00800478"/>
    <w:rsid w:val="0080650E"/>
    <w:rsid w:val="0081086D"/>
    <w:rsid w:val="008240AF"/>
    <w:rsid w:val="00875E45"/>
    <w:rsid w:val="00901F98"/>
    <w:rsid w:val="00910E52"/>
    <w:rsid w:val="00917629"/>
    <w:rsid w:val="00974451"/>
    <w:rsid w:val="009B1310"/>
    <w:rsid w:val="009D15B6"/>
    <w:rsid w:val="009E1517"/>
    <w:rsid w:val="00A43996"/>
    <w:rsid w:val="00A62A20"/>
    <w:rsid w:val="00AB65B0"/>
    <w:rsid w:val="00AC7941"/>
    <w:rsid w:val="00B5254F"/>
    <w:rsid w:val="00C04E42"/>
    <w:rsid w:val="00C1450D"/>
    <w:rsid w:val="00C36323"/>
    <w:rsid w:val="00C504A1"/>
    <w:rsid w:val="00C723EC"/>
    <w:rsid w:val="00C81363"/>
    <w:rsid w:val="00CC3CB7"/>
    <w:rsid w:val="00CE695F"/>
    <w:rsid w:val="00D10DA4"/>
    <w:rsid w:val="00D27EB2"/>
    <w:rsid w:val="00D50A6D"/>
    <w:rsid w:val="00D60F5A"/>
    <w:rsid w:val="00DA44F7"/>
    <w:rsid w:val="00DA56D7"/>
    <w:rsid w:val="00DC6C13"/>
    <w:rsid w:val="00DE1A64"/>
    <w:rsid w:val="00E12FE7"/>
    <w:rsid w:val="00E24B88"/>
    <w:rsid w:val="00E5123A"/>
    <w:rsid w:val="00E9588A"/>
    <w:rsid w:val="00EB09A5"/>
    <w:rsid w:val="00EB79CE"/>
    <w:rsid w:val="00EC72C3"/>
    <w:rsid w:val="00F91C4C"/>
    <w:rsid w:val="00FD34C7"/>
    <w:rsid w:val="00FE7644"/>
    <w:rsid w:val="00FF1669"/>
    <w:rsid w:val="014945C2"/>
    <w:rsid w:val="023A7B6F"/>
    <w:rsid w:val="025F3B87"/>
    <w:rsid w:val="032A3538"/>
    <w:rsid w:val="08960FA6"/>
    <w:rsid w:val="0D22169D"/>
    <w:rsid w:val="13E73A49"/>
    <w:rsid w:val="149D363A"/>
    <w:rsid w:val="15B12B29"/>
    <w:rsid w:val="1634587C"/>
    <w:rsid w:val="188154E0"/>
    <w:rsid w:val="246D1E33"/>
    <w:rsid w:val="29BC6AFF"/>
    <w:rsid w:val="2BCF4C39"/>
    <w:rsid w:val="35CD4E7F"/>
    <w:rsid w:val="3B052194"/>
    <w:rsid w:val="3B512D5E"/>
    <w:rsid w:val="3F896DDE"/>
    <w:rsid w:val="45391D49"/>
    <w:rsid w:val="46EB4C38"/>
    <w:rsid w:val="4D5A6343"/>
    <w:rsid w:val="5B9E1886"/>
    <w:rsid w:val="5E430423"/>
    <w:rsid w:val="60A401E8"/>
    <w:rsid w:val="61FD037F"/>
    <w:rsid w:val="64420D29"/>
    <w:rsid w:val="669914D1"/>
    <w:rsid w:val="684472DA"/>
    <w:rsid w:val="6BEF5F59"/>
    <w:rsid w:val="6C994FBF"/>
    <w:rsid w:val="739D3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unhideWhenUsed/>
    <w:qFormat/>
    <w:uiPriority w:val="99"/>
    <w:pPr>
      <w:spacing w:after="120"/>
    </w:pPr>
  </w:style>
  <w:style w:type="paragraph" w:styleId="4">
    <w:name w:val="Balloon Text"/>
    <w:basedOn w:val="1"/>
    <w:link w:val="23"/>
    <w:semiHidden/>
    <w:unhideWhenUsed/>
    <w:qFormat/>
    <w:uiPriority w:val="99"/>
    <w:rPr>
      <w:sz w:val="18"/>
      <w:szCs w:val="18"/>
    </w:rPr>
  </w:style>
  <w:style w:type="paragraph" w:styleId="5">
    <w:name w:val="footer"/>
    <w:basedOn w:val="1"/>
    <w:link w:val="21"/>
    <w:semiHidden/>
    <w:unhideWhenUsed/>
    <w:qFormat/>
    <w:uiPriority w:val="99"/>
    <w:pPr>
      <w:tabs>
        <w:tab w:val="center" w:pos="4153"/>
        <w:tab w:val="right" w:pos="8306"/>
      </w:tabs>
      <w:snapToGrid w:val="0"/>
      <w:jc w:val="left"/>
    </w:pPr>
    <w:rPr>
      <w:sz w:val="18"/>
      <w:szCs w:val="18"/>
    </w:rPr>
  </w:style>
  <w:style w:type="paragraph" w:styleId="6">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2"/>
    <w:basedOn w:val="1"/>
    <w:next w:val="1"/>
    <w:unhideWhenUsed/>
    <w:qFormat/>
    <w:uiPriority w:val="39"/>
    <w:pPr>
      <w:ind w:left="420" w:leftChars="200"/>
    </w:p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Strong"/>
    <w:basedOn w:val="10"/>
    <w:qFormat/>
    <w:uiPriority w:val="22"/>
  </w:style>
  <w:style w:type="character" w:styleId="12">
    <w:name w:val="FollowedHyperlink"/>
    <w:basedOn w:val="10"/>
    <w:semiHidden/>
    <w:unhideWhenUsed/>
    <w:qFormat/>
    <w:uiPriority w:val="99"/>
    <w:rPr>
      <w:color w:val="000000"/>
      <w:u w:val="none"/>
    </w:rPr>
  </w:style>
  <w:style w:type="character" w:styleId="13">
    <w:name w:val="Emphasis"/>
    <w:basedOn w:val="10"/>
    <w:qFormat/>
    <w:uiPriority w:val="20"/>
  </w:style>
  <w:style w:type="character" w:styleId="14">
    <w:name w:val="HTML Definition"/>
    <w:basedOn w:val="10"/>
    <w:semiHidden/>
    <w:unhideWhenUsed/>
    <w:qFormat/>
    <w:uiPriority w:val="99"/>
  </w:style>
  <w:style w:type="character" w:styleId="15">
    <w:name w:val="HTML Acronym"/>
    <w:basedOn w:val="10"/>
    <w:semiHidden/>
    <w:unhideWhenUsed/>
    <w:qFormat/>
    <w:uiPriority w:val="99"/>
  </w:style>
  <w:style w:type="character" w:styleId="16">
    <w:name w:val="HTML Variable"/>
    <w:basedOn w:val="10"/>
    <w:semiHidden/>
    <w:unhideWhenUsed/>
    <w:qFormat/>
    <w:uiPriority w:val="99"/>
  </w:style>
  <w:style w:type="character" w:styleId="17">
    <w:name w:val="Hyperlink"/>
    <w:basedOn w:val="10"/>
    <w:semiHidden/>
    <w:unhideWhenUsed/>
    <w:qFormat/>
    <w:uiPriority w:val="99"/>
    <w:rPr>
      <w:color w:val="000000"/>
      <w:u w:val="none"/>
    </w:rPr>
  </w:style>
  <w:style w:type="character" w:styleId="18">
    <w:name w:val="HTML Code"/>
    <w:basedOn w:val="10"/>
    <w:semiHidden/>
    <w:unhideWhenUsed/>
    <w:qFormat/>
    <w:uiPriority w:val="99"/>
    <w:rPr>
      <w:rFonts w:ascii="Courier New" w:hAnsi="Courier New"/>
      <w:sz w:val="20"/>
    </w:rPr>
  </w:style>
  <w:style w:type="character" w:styleId="19">
    <w:name w:val="HTML Cite"/>
    <w:basedOn w:val="10"/>
    <w:semiHidden/>
    <w:unhideWhenUsed/>
    <w:qFormat/>
    <w:uiPriority w:val="99"/>
  </w:style>
  <w:style w:type="character" w:customStyle="1" w:styleId="20">
    <w:name w:val="页眉 Char"/>
    <w:basedOn w:val="10"/>
    <w:link w:val="6"/>
    <w:semiHidden/>
    <w:qFormat/>
    <w:uiPriority w:val="99"/>
    <w:rPr>
      <w:sz w:val="18"/>
      <w:szCs w:val="18"/>
    </w:rPr>
  </w:style>
  <w:style w:type="character" w:customStyle="1" w:styleId="21">
    <w:name w:val="页脚 Char"/>
    <w:basedOn w:val="10"/>
    <w:link w:val="5"/>
    <w:semiHidden/>
    <w:qFormat/>
    <w:uiPriority w:val="99"/>
    <w:rPr>
      <w:sz w:val="18"/>
      <w:szCs w:val="18"/>
    </w:rPr>
  </w:style>
  <w:style w:type="character" w:customStyle="1" w:styleId="22">
    <w:name w:val="正文文本 Char"/>
    <w:basedOn w:val="10"/>
    <w:link w:val="2"/>
    <w:qFormat/>
    <w:uiPriority w:val="0"/>
    <w:rPr>
      <w:kern w:val="2"/>
      <w:sz w:val="21"/>
      <w:szCs w:val="24"/>
    </w:rPr>
  </w:style>
  <w:style w:type="character" w:customStyle="1" w:styleId="23">
    <w:name w:val="批注框文本 Char"/>
    <w:basedOn w:val="10"/>
    <w:link w:val="4"/>
    <w:semiHidden/>
    <w:qFormat/>
    <w:uiPriority w:val="99"/>
    <w:rPr>
      <w:rFonts w:asciiTheme="minorHAnsi" w:hAnsiTheme="minorHAnsi" w:eastAsiaTheme="minorEastAsia" w:cstheme="minorBidi"/>
      <w:kern w:val="2"/>
      <w:sz w:val="18"/>
      <w:szCs w:val="18"/>
    </w:rPr>
  </w:style>
  <w:style w:type="character" w:customStyle="1" w:styleId="24">
    <w:name w:val="margin_right202"/>
    <w:basedOn w:val="10"/>
    <w:qFormat/>
    <w:uiPriority w:val="0"/>
  </w:style>
  <w:style w:type="character" w:customStyle="1" w:styleId="25">
    <w:name w:val="hover5"/>
    <w:basedOn w:val="10"/>
    <w:qFormat/>
    <w:uiPriority w:val="0"/>
    <w:rPr>
      <w:color w:val="0063BA"/>
    </w:rPr>
  </w:style>
  <w:style w:type="character" w:customStyle="1" w:styleId="26">
    <w:name w:val="active6"/>
    <w:basedOn w:val="10"/>
    <w:qFormat/>
    <w:uiPriority w:val="0"/>
    <w:rPr>
      <w:color w:val="FFFFFF"/>
      <w:shd w:val="clear" w:fill="E22323"/>
    </w:rPr>
  </w:style>
  <w:style w:type="character" w:customStyle="1" w:styleId="27">
    <w:name w:val="before"/>
    <w:basedOn w:val="10"/>
    <w:qFormat/>
    <w:uiPriority w:val="0"/>
    <w:rPr>
      <w:shd w:val="clear" w:fill="E2232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795</Words>
  <Characters>971</Characters>
  <Lines>6</Lines>
  <Paragraphs>1</Paragraphs>
  <TotalTime>3</TotalTime>
  <ScaleCrop>false</ScaleCrop>
  <LinksUpToDate>false</LinksUpToDate>
  <CharactersWithSpaces>995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2020-07-09T03:27:00Z</dcterms:created>
  <dc:creator>Administrator</dc:creator>
  <cp:lastModifiedBy>阿拉蕾</cp:lastModifiedBy>
  <cp:lastPrinted>2021-10-22T02:39:00Z</cp:lastPrinted>
  <dcterms:modified xsi:type="dcterms:W3CDTF">2022-08-23T07:48:10Z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9CACCA4A610C4889BFD018008DB46653</vt:lpwstr>
  </property>
</Properties>
</file>