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
          <w:numId w:val="1"/>
        </w:numPr>
        <w:adjustRightInd w:val="0"/>
        <w:snapToGrid w:val="0"/>
        <w:jc w:val="center"/>
        <w:rPr>
          <w:rFonts w:ascii="宋体"/>
          <w:b/>
          <w:sz w:val="30"/>
          <w:szCs w:val="30"/>
        </w:rPr>
      </w:pPr>
      <w:r>
        <w:rPr>
          <w:rFonts w:hint="eastAsia" w:ascii="宋体" w:hAnsi="宋体"/>
          <w:b/>
          <w:sz w:val="30"/>
          <w:szCs w:val="30"/>
        </w:rPr>
        <w:t>货物需求一览表</w:t>
      </w:r>
    </w:p>
    <w:p>
      <w:pPr>
        <w:adjustRightInd w:val="0"/>
        <w:snapToGrid w:val="0"/>
        <w:jc w:val="center"/>
        <w:rPr>
          <w:rFonts w:ascii="宋体"/>
          <w:b/>
          <w:sz w:val="30"/>
          <w:szCs w:val="30"/>
        </w:rPr>
      </w:pPr>
    </w:p>
    <w:tbl>
      <w:tblPr>
        <w:tblStyle w:val="6"/>
        <w:tblW w:w="99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83"/>
        <w:gridCol w:w="2715"/>
        <w:gridCol w:w="653"/>
        <w:gridCol w:w="1357"/>
        <w:gridCol w:w="1815"/>
        <w:gridCol w:w="2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44" w:hRule="atLeast"/>
          <w:jc w:val="center"/>
        </w:trPr>
        <w:tc>
          <w:tcPr>
            <w:tcW w:w="783" w:type="dxa"/>
            <w:noWrap w:val="0"/>
            <w:vAlign w:val="center"/>
          </w:tcPr>
          <w:p>
            <w:pPr>
              <w:jc w:val="center"/>
              <w:rPr>
                <w:rFonts w:ascii="宋体" w:hAnsi="Bookman Old Style"/>
                <w:sz w:val="24"/>
              </w:rPr>
            </w:pPr>
            <w:r>
              <w:rPr>
                <w:rFonts w:hint="eastAsia" w:ascii="宋体" w:hAnsi="Bookman Old Style"/>
                <w:sz w:val="24"/>
              </w:rPr>
              <w:t>包号</w:t>
            </w:r>
          </w:p>
        </w:tc>
        <w:tc>
          <w:tcPr>
            <w:tcW w:w="2715" w:type="dxa"/>
            <w:noWrap w:val="0"/>
            <w:vAlign w:val="center"/>
          </w:tcPr>
          <w:p>
            <w:pPr>
              <w:jc w:val="center"/>
              <w:rPr>
                <w:rFonts w:ascii="宋体" w:hAnsi="Bookman Old Style"/>
                <w:sz w:val="24"/>
              </w:rPr>
            </w:pPr>
            <w:r>
              <w:rPr>
                <w:rFonts w:hint="eastAsia" w:ascii="宋体" w:hAnsi="Bookman Old Style"/>
                <w:sz w:val="24"/>
              </w:rPr>
              <w:t>货物名称</w:t>
            </w:r>
          </w:p>
        </w:tc>
        <w:tc>
          <w:tcPr>
            <w:tcW w:w="653" w:type="dxa"/>
            <w:noWrap w:val="0"/>
            <w:vAlign w:val="center"/>
          </w:tcPr>
          <w:p>
            <w:pPr>
              <w:jc w:val="center"/>
              <w:rPr>
                <w:rFonts w:ascii="宋体" w:hAnsi="Bookman Old Style"/>
                <w:sz w:val="24"/>
              </w:rPr>
            </w:pPr>
            <w:r>
              <w:rPr>
                <w:rFonts w:hint="eastAsia" w:ascii="宋体" w:hAnsi="Bookman Old Style"/>
                <w:sz w:val="24"/>
              </w:rPr>
              <w:t>数量</w:t>
            </w:r>
          </w:p>
        </w:tc>
        <w:tc>
          <w:tcPr>
            <w:tcW w:w="1357" w:type="dxa"/>
            <w:noWrap w:val="0"/>
            <w:vAlign w:val="center"/>
          </w:tcPr>
          <w:p>
            <w:pPr>
              <w:jc w:val="center"/>
              <w:rPr>
                <w:rFonts w:ascii="宋体" w:hAnsi="Bookman Old Style"/>
                <w:sz w:val="24"/>
              </w:rPr>
            </w:pPr>
            <w:r>
              <w:rPr>
                <w:rFonts w:hint="eastAsia" w:ascii="宋体" w:hAnsi="Bookman Old Style"/>
                <w:sz w:val="24"/>
              </w:rPr>
              <w:t>交货期</w:t>
            </w:r>
          </w:p>
        </w:tc>
        <w:tc>
          <w:tcPr>
            <w:tcW w:w="1815" w:type="dxa"/>
            <w:noWrap w:val="0"/>
            <w:vAlign w:val="center"/>
          </w:tcPr>
          <w:p>
            <w:pPr>
              <w:jc w:val="center"/>
              <w:rPr>
                <w:rFonts w:ascii="宋体" w:hAnsi="Bookman Old Style"/>
                <w:sz w:val="24"/>
              </w:rPr>
            </w:pPr>
            <w:r>
              <w:rPr>
                <w:rFonts w:hint="eastAsia" w:ascii="宋体" w:hAnsi="Bookman Old Style"/>
                <w:sz w:val="24"/>
              </w:rPr>
              <w:t>指定到货港</w:t>
            </w:r>
          </w:p>
        </w:tc>
        <w:tc>
          <w:tcPr>
            <w:tcW w:w="2592" w:type="dxa"/>
            <w:noWrap w:val="0"/>
            <w:vAlign w:val="center"/>
          </w:tcPr>
          <w:p>
            <w:pPr>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1" w:hRule="atLeast"/>
          <w:jc w:val="center"/>
        </w:trPr>
        <w:tc>
          <w:tcPr>
            <w:tcW w:w="783" w:type="dxa"/>
            <w:noWrap w:val="0"/>
            <w:vAlign w:val="center"/>
          </w:tcPr>
          <w:p>
            <w:pPr>
              <w:jc w:val="center"/>
              <w:rPr>
                <w:rFonts w:ascii="宋体"/>
                <w:sz w:val="24"/>
              </w:rPr>
            </w:pPr>
            <w:r>
              <w:rPr>
                <w:rFonts w:ascii="宋体"/>
                <w:sz w:val="24"/>
              </w:rPr>
              <w:t>1</w:t>
            </w:r>
          </w:p>
        </w:tc>
        <w:tc>
          <w:tcPr>
            <w:tcW w:w="2715" w:type="dxa"/>
            <w:noWrap w:val="0"/>
            <w:vAlign w:val="center"/>
          </w:tcPr>
          <w:p>
            <w:pPr>
              <w:jc w:val="center"/>
              <w:rPr>
                <w:rFonts w:ascii="Bookman Old Style" w:hAnsi="Bookman Old Style"/>
                <w:sz w:val="24"/>
              </w:rPr>
            </w:pPr>
            <w:r>
              <w:rPr>
                <w:rFonts w:hint="eastAsia" w:ascii="Bookman Old Style" w:hAnsi="Bookman Old Style"/>
                <w:sz w:val="24"/>
              </w:rPr>
              <w:t>高效液相质谱联用仪</w:t>
            </w:r>
          </w:p>
        </w:tc>
        <w:tc>
          <w:tcPr>
            <w:tcW w:w="653" w:type="dxa"/>
            <w:noWrap w:val="0"/>
            <w:vAlign w:val="center"/>
          </w:tcPr>
          <w:p>
            <w:pPr>
              <w:jc w:val="center"/>
              <w:rPr>
                <w:rFonts w:ascii="宋体" w:hAnsi="Bookman Old Style"/>
                <w:sz w:val="24"/>
              </w:rPr>
            </w:pPr>
            <w:r>
              <w:rPr>
                <w:rFonts w:hint="eastAsia" w:ascii="宋体" w:hAnsi="Bookman Old Style"/>
                <w:sz w:val="24"/>
              </w:rPr>
              <w:t>1套</w:t>
            </w:r>
          </w:p>
        </w:tc>
        <w:tc>
          <w:tcPr>
            <w:tcW w:w="1357" w:type="dxa"/>
            <w:noWrap w:val="0"/>
            <w:vAlign w:val="center"/>
          </w:tcPr>
          <w:p>
            <w:pPr>
              <w:jc w:val="center"/>
              <w:rPr>
                <w:rFonts w:ascii="宋体" w:hAnsi="Bookman Old Style"/>
                <w:sz w:val="24"/>
              </w:rPr>
            </w:pPr>
            <w:r>
              <w:rPr>
                <w:rFonts w:hint="eastAsia" w:cs="宋体"/>
                <w:sz w:val="24"/>
              </w:rPr>
              <w:t>合</w:t>
            </w:r>
            <w:r>
              <w:rPr>
                <w:rFonts w:hAnsi="宋体"/>
                <w:sz w:val="24"/>
              </w:rPr>
              <w:t>同签订且接到采购人书面通知后</w:t>
            </w:r>
            <w:r>
              <w:rPr>
                <w:rFonts w:hint="eastAsia"/>
                <w:sz w:val="24"/>
              </w:rPr>
              <w:t>150</w:t>
            </w:r>
            <w:r>
              <w:rPr>
                <w:rFonts w:hAnsi="宋体"/>
                <w:sz w:val="24"/>
              </w:rPr>
              <w:t>个日历日</w:t>
            </w:r>
          </w:p>
        </w:tc>
        <w:tc>
          <w:tcPr>
            <w:tcW w:w="1815" w:type="dxa"/>
            <w:noWrap w:val="0"/>
            <w:vAlign w:val="center"/>
          </w:tcPr>
          <w:p>
            <w:pPr>
              <w:jc w:val="center"/>
              <w:rPr>
                <w:sz w:val="24"/>
              </w:rPr>
            </w:pPr>
            <w:r>
              <w:rPr>
                <w:rFonts w:hint="eastAsia"/>
                <w:sz w:val="24"/>
              </w:rPr>
              <w:t>昆明机场</w:t>
            </w:r>
          </w:p>
        </w:tc>
        <w:tc>
          <w:tcPr>
            <w:tcW w:w="2592" w:type="dxa"/>
            <w:noWrap w:val="0"/>
            <w:vAlign w:val="center"/>
          </w:tcPr>
          <w:p>
            <w:pPr>
              <w:jc w:val="center"/>
              <w:rPr>
                <w:rFonts w:ascii="宋体" w:hAnsi="Bookman Old Style"/>
                <w:sz w:val="24"/>
              </w:rPr>
            </w:pPr>
            <w:r>
              <w:rPr>
                <w:rFonts w:hint="eastAsia" w:ascii="宋体" w:hAnsi="Bookman Old Style"/>
                <w:sz w:val="24"/>
              </w:rPr>
              <w:t>用户指定地点</w:t>
            </w:r>
          </w:p>
        </w:tc>
      </w:tr>
    </w:tbl>
    <w:p>
      <w:pPr>
        <w:rPr>
          <w:rFonts w:ascii="Bookman Old Style" w:hAnsi="Bookman Old Style"/>
          <w:sz w:val="24"/>
        </w:rPr>
      </w:pPr>
      <w:r>
        <w:rPr>
          <w:rFonts w:hint="eastAsia"/>
          <w:sz w:val="24"/>
        </w:rPr>
        <w:t>注：投标人须对上述投标内容中完整的一包进行投标，</w:t>
      </w:r>
      <w:r>
        <w:rPr>
          <w:rFonts w:hint="eastAsia" w:ascii="Bookman Old Style" w:hAnsi="Bookman Old Style"/>
          <w:sz w:val="24"/>
        </w:rPr>
        <w:t>不完整的投标将视为非响应性投标予以拒绝。</w:t>
      </w: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b/>
          <w:sz w:val="30"/>
          <w:szCs w:val="30"/>
        </w:rPr>
      </w:pPr>
      <w:r>
        <w:rPr>
          <w:rFonts w:ascii="宋体"/>
          <w:b/>
          <w:sz w:val="30"/>
          <w:szCs w:val="30"/>
        </w:rPr>
        <w:br w:type="page"/>
      </w:r>
    </w:p>
    <w:p>
      <w:pPr>
        <w:numPr>
          <w:ilvl w:val="2"/>
          <w:numId w:val="1"/>
        </w:numPr>
        <w:tabs>
          <w:tab w:val="left" w:pos="720"/>
          <w:tab w:val="clear" w:pos="1560"/>
        </w:tabs>
        <w:adjustRightInd w:val="0"/>
        <w:snapToGrid w:val="0"/>
        <w:ind w:hanging="1560"/>
        <w:jc w:val="center"/>
        <w:rPr>
          <w:rFonts w:ascii="宋体"/>
          <w:b/>
          <w:sz w:val="30"/>
          <w:szCs w:val="30"/>
        </w:rPr>
      </w:pPr>
      <w:r>
        <w:rPr>
          <w:rFonts w:hint="eastAsia" w:ascii="宋体" w:hAnsi="宋体"/>
          <w:b/>
          <w:sz w:val="30"/>
          <w:szCs w:val="30"/>
        </w:rPr>
        <w:t>技术规格</w:t>
      </w:r>
    </w:p>
    <w:p>
      <w:pPr>
        <w:spacing w:line="360" w:lineRule="auto"/>
        <w:ind w:left="600" w:hanging="600"/>
        <w:rPr>
          <w:rFonts w:ascii="宋体"/>
          <w:b/>
          <w:sz w:val="30"/>
          <w:szCs w:val="30"/>
        </w:rPr>
      </w:pPr>
      <w:r>
        <w:rPr>
          <w:rFonts w:hint="eastAsia" w:ascii="宋体" w:hAnsi="宋体"/>
          <w:b/>
          <w:sz w:val="30"/>
          <w:szCs w:val="30"/>
        </w:rPr>
        <w:t>一、总</w:t>
      </w:r>
      <w:r>
        <w:rPr>
          <w:rFonts w:ascii="宋体" w:hAnsi="宋体"/>
          <w:b/>
          <w:sz w:val="30"/>
          <w:szCs w:val="30"/>
        </w:rPr>
        <w:t xml:space="preserve">  </w:t>
      </w:r>
      <w:r>
        <w:rPr>
          <w:rFonts w:hint="eastAsia" w:ascii="宋体" w:hAnsi="宋体"/>
          <w:b/>
          <w:sz w:val="30"/>
          <w:szCs w:val="30"/>
        </w:rPr>
        <w:t>则</w:t>
      </w:r>
    </w:p>
    <w:p>
      <w:pPr>
        <w:spacing w:before="156" w:beforeLines="50" w:after="156" w:afterLines="50" w:line="360" w:lineRule="auto"/>
        <w:ind w:left="601" w:hanging="601"/>
        <w:rPr>
          <w:rFonts w:ascii="宋体"/>
          <w:b/>
          <w:sz w:val="28"/>
        </w:rPr>
      </w:pPr>
      <w:r>
        <w:rPr>
          <w:rFonts w:ascii="宋体" w:hAnsi="宋体"/>
          <w:b/>
          <w:sz w:val="28"/>
        </w:rPr>
        <w:t>1</w:t>
      </w:r>
      <w:r>
        <w:rPr>
          <w:rFonts w:hint="eastAsia" w:ascii="宋体" w:hAnsi="宋体"/>
          <w:b/>
          <w:sz w:val="28"/>
        </w:rPr>
        <w:t>、投标要求</w:t>
      </w:r>
    </w:p>
    <w:p>
      <w:pPr>
        <w:spacing w:line="360" w:lineRule="auto"/>
        <w:ind w:left="554" w:hanging="554" w:hangingChars="231"/>
        <w:rPr>
          <w:rFonts w:ascii="宋体"/>
          <w:sz w:val="24"/>
        </w:rPr>
      </w:pPr>
      <w:r>
        <w:rPr>
          <w:rFonts w:ascii="宋体" w:hAnsi="宋体"/>
          <w:sz w:val="24"/>
        </w:rPr>
        <w:t xml:space="preserve">1.1  </w:t>
      </w:r>
      <w:r>
        <w:rPr>
          <w:rFonts w:hint="eastAsia" w:ascii="宋体" w:hAnsi="宋体"/>
          <w:sz w:val="24"/>
        </w:rPr>
        <w:t>投标人在准备投标书时，务必在所提供的商品的技术规格文件中，标明型号、商标名称、目录号。</w:t>
      </w:r>
    </w:p>
    <w:p>
      <w:pPr>
        <w:spacing w:line="360" w:lineRule="auto"/>
        <w:ind w:left="554" w:hanging="554" w:hangingChars="231"/>
        <w:rPr>
          <w:rFonts w:ascii="宋体"/>
          <w:sz w:val="24"/>
        </w:rPr>
      </w:pPr>
      <w:r>
        <w:rPr>
          <w:rFonts w:ascii="宋体" w:hAnsi="宋体"/>
          <w:sz w:val="24"/>
        </w:rPr>
        <w:t xml:space="preserve">1.2  </w:t>
      </w:r>
      <w:r>
        <w:rPr>
          <w:rFonts w:hint="eastAsia" w:ascii="宋体" w:hAnsi="宋体"/>
          <w:sz w:val="24"/>
        </w:rPr>
        <w:t>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w:t>
      </w:r>
      <w:r>
        <w:rPr>
          <w:rFonts w:ascii="宋体" w:hAnsi="宋体"/>
          <w:sz w:val="24"/>
        </w:rPr>
        <w:t>/</w:t>
      </w:r>
      <w:r>
        <w:rPr>
          <w:rFonts w:hint="eastAsia" w:ascii="宋体" w:hAnsi="宋体"/>
          <w:sz w:val="24"/>
        </w:rPr>
        <w:t>并拒绝其投标。</w:t>
      </w:r>
    </w:p>
    <w:p>
      <w:pPr>
        <w:spacing w:line="360" w:lineRule="auto"/>
        <w:ind w:left="554" w:hanging="554" w:hangingChars="231"/>
        <w:rPr>
          <w:rFonts w:ascii="宋体"/>
          <w:sz w:val="24"/>
        </w:rPr>
      </w:pPr>
      <w:r>
        <w:rPr>
          <w:rFonts w:ascii="宋体" w:hAnsi="宋体"/>
          <w:sz w:val="24"/>
        </w:rPr>
        <w:t xml:space="preserve">1.3  </w:t>
      </w:r>
      <w:r>
        <w:rPr>
          <w:rFonts w:hint="eastAsia"/>
          <w:sz w:val="24"/>
        </w:rPr>
        <w:t>投标人提供的</w:t>
      </w:r>
      <w:r>
        <w:rPr>
          <w:rFonts w:hint="eastAsia" w:ascii="宋体"/>
          <w:sz w:val="24"/>
        </w:rPr>
        <w:t>产品</w:t>
      </w:r>
      <w:r>
        <w:rPr>
          <w:rFonts w:hint="eastAsia"/>
          <w:sz w:val="24"/>
        </w:rPr>
        <w:t>样本，必须是“原件”而非复印件，</w:t>
      </w:r>
      <w:r>
        <w:rPr>
          <w:rFonts w:hint="eastAsia" w:ascii="宋体"/>
          <w:sz w:val="24"/>
        </w:rPr>
        <w:t>图表、简图、电路图以及印刷电路板图等都应</w:t>
      </w:r>
      <w:r>
        <w:rPr>
          <w:rFonts w:hint="eastAsia"/>
          <w:sz w:val="24"/>
        </w:rPr>
        <w:t>清晰易读。买方有权</w:t>
      </w:r>
      <w:r>
        <w:rPr>
          <w:rFonts w:hint="eastAsia" w:ascii="宋体"/>
          <w:sz w:val="24"/>
        </w:rPr>
        <w:t>不付任何附加费用</w:t>
      </w:r>
      <w:r>
        <w:rPr>
          <w:rFonts w:hint="eastAsia"/>
          <w:sz w:val="24"/>
        </w:rPr>
        <w:t>复制这些资料</w:t>
      </w:r>
      <w:r>
        <w:rPr>
          <w:rFonts w:hint="eastAsia" w:ascii="宋体"/>
          <w:sz w:val="24"/>
        </w:rPr>
        <w:t>以供参考。</w:t>
      </w:r>
    </w:p>
    <w:p>
      <w:pPr>
        <w:spacing w:before="156" w:beforeLines="50" w:after="156" w:afterLines="50" w:line="360" w:lineRule="auto"/>
        <w:ind w:left="601" w:hanging="601"/>
        <w:rPr>
          <w:rFonts w:ascii="宋体"/>
          <w:b/>
          <w:sz w:val="28"/>
        </w:rPr>
      </w:pPr>
      <w:r>
        <w:rPr>
          <w:rFonts w:ascii="宋体" w:hAnsi="宋体"/>
          <w:b/>
          <w:sz w:val="28"/>
        </w:rPr>
        <w:t>2</w:t>
      </w:r>
      <w:r>
        <w:rPr>
          <w:rFonts w:hint="eastAsia" w:ascii="宋体" w:hAnsi="宋体"/>
          <w:b/>
          <w:sz w:val="28"/>
        </w:rPr>
        <w:t>、评标标准</w:t>
      </w:r>
    </w:p>
    <w:p>
      <w:pPr>
        <w:spacing w:line="360" w:lineRule="auto"/>
        <w:ind w:left="554" w:hanging="554" w:hangingChars="231"/>
        <w:rPr>
          <w:rFonts w:ascii="宋体"/>
          <w:sz w:val="24"/>
        </w:rPr>
      </w:pPr>
      <w:r>
        <w:rPr>
          <w:rFonts w:ascii="宋体" w:hAnsi="宋体"/>
          <w:sz w:val="24"/>
        </w:rPr>
        <w:t xml:space="preserve">2.1  </w:t>
      </w:r>
      <w:r>
        <w:rPr>
          <w:rFonts w:hint="eastAsia"/>
          <w:sz w:val="24"/>
        </w:rPr>
        <w:t>除招标文件中指定的附件和专用工具外，</w:t>
      </w:r>
      <w:r>
        <w:rPr>
          <w:rFonts w:hint="eastAsia" w:ascii="宋体"/>
          <w:sz w:val="24"/>
        </w:rPr>
        <w:t>投标人应提供仪器设备的正常运行和常规保养所需的全套标准附件、专用工具</w:t>
      </w:r>
      <w:r>
        <w:rPr>
          <w:rFonts w:hint="eastAsia"/>
          <w:sz w:val="24"/>
        </w:rPr>
        <w:t>和消耗品</w:t>
      </w:r>
      <w:r>
        <w:rPr>
          <w:rFonts w:hint="eastAsia" w:ascii="宋体"/>
          <w:sz w:val="24"/>
        </w:rPr>
        <w:t>。投标人在投标书中需列出这些附件和工具的数量和单价的清单，这些附件和工具的报价的总值需计入投标价中。</w:t>
      </w:r>
    </w:p>
    <w:p>
      <w:pPr>
        <w:spacing w:line="360" w:lineRule="auto"/>
        <w:ind w:left="554" w:hanging="554" w:hangingChars="231"/>
        <w:rPr>
          <w:sz w:val="24"/>
        </w:rPr>
      </w:pPr>
      <w:r>
        <w:rPr>
          <w:rFonts w:ascii="宋体" w:hAnsi="宋体"/>
          <w:sz w:val="24"/>
        </w:rPr>
        <w:t xml:space="preserve">2.2  </w:t>
      </w:r>
      <w:r>
        <w:rPr>
          <w:rFonts w:hint="eastAsia"/>
          <w:sz w:val="24"/>
        </w:rPr>
        <w:t>对于标书</w:t>
      </w:r>
      <w:r>
        <w:rPr>
          <w:rFonts w:hint="eastAsia" w:ascii="宋体"/>
          <w:sz w:val="24"/>
        </w:rPr>
        <w:t>技术规范中已列</w:t>
      </w:r>
      <w:r>
        <w:rPr>
          <w:rFonts w:hint="eastAsia"/>
          <w:sz w:val="24"/>
        </w:rPr>
        <w:t>出的作为查询选件的附件、零配件、专用工具和消耗品，投标书中</w:t>
      </w:r>
      <w:r>
        <w:rPr>
          <w:rFonts w:hint="eastAsia" w:ascii="宋体"/>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pPr>
        <w:spacing w:line="360" w:lineRule="auto"/>
        <w:ind w:left="554" w:hanging="554" w:hangingChars="231"/>
        <w:rPr>
          <w:rFonts w:ascii="宋体"/>
          <w:sz w:val="24"/>
        </w:rPr>
      </w:pPr>
      <w:r>
        <w:rPr>
          <w:rFonts w:ascii="宋体" w:hAnsi="宋体"/>
          <w:sz w:val="24"/>
        </w:rPr>
        <w:t xml:space="preserve">2.3  </w:t>
      </w:r>
      <w:r>
        <w:rPr>
          <w:rFonts w:hint="eastAsia" w:ascii="宋体" w:hAnsi="宋体"/>
          <w:sz w:val="24"/>
        </w:rPr>
        <w:t>为便于用户进行接收仪器的准备工作，卖方应在合同生效后</w:t>
      </w:r>
      <w:r>
        <w:rPr>
          <w:rFonts w:ascii="宋体" w:hAnsi="宋体"/>
          <w:b/>
          <w:sz w:val="24"/>
        </w:rPr>
        <w:t>60</w:t>
      </w:r>
      <w:r>
        <w:rPr>
          <w:rFonts w:hint="eastAsia" w:ascii="宋体" w:hAnsi="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sz w:val="24"/>
        </w:rPr>
      </w:pPr>
      <w:r>
        <w:rPr>
          <w:rFonts w:ascii="宋体" w:hAnsi="宋体"/>
          <w:sz w:val="24"/>
        </w:rPr>
        <w:t xml:space="preserve">2.4  </w:t>
      </w:r>
      <w:r>
        <w:rPr>
          <w:rFonts w:hint="eastAsia" w:ascii="宋体" w:hAnsi="宋体"/>
          <w:sz w:val="24"/>
        </w:rPr>
        <w:t>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sz w:val="24"/>
        </w:rPr>
      </w:pPr>
      <w:r>
        <w:rPr>
          <w:rFonts w:ascii="宋体" w:hAnsi="宋体"/>
          <w:sz w:val="24"/>
        </w:rPr>
        <w:t xml:space="preserve">2.5  </w:t>
      </w:r>
      <w:r>
        <w:rPr>
          <w:rFonts w:hint="eastAsia" w:ascii="宋体" w:hAnsi="宋体"/>
          <w:sz w:val="24"/>
        </w:rPr>
        <w:t>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sz w:val="24"/>
        </w:rPr>
      </w:pPr>
      <w:r>
        <w:rPr>
          <w:rFonts w:ascii="宋体" w:hAnsi="宋体"/>
          <w:sz w:val="24"/>
        </w:rPr>
        <w:t xml:space="preserve">2.6  </w:t>
      </w:r>
      <w:r>
        <w:rPr>
          <w:rFonts w:hint="eastAsia"/>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b/>
          <w:sz w:val="28"/>
        </w:rPr>
      </w:pPr>
      <w:r>
        <w:rPr>
          <w:rFonts w:ascii="宋体" w:hAnsi="宋体"/>
          <w:b/>
          <w:sz w:val="28"/>
        </w:rPr>
        <w:t>3</w:t>
      </w:r>
      <w:r>
        <w:rPr>
          <w:rFonts w:hint="eastAsia" w:ascii="宋体" w:hAnsi="宋体"/>
          <w:b/>
          <w:sz w:val="28"/>
        </w:rPr>
        <w:t>、工作条件</w:t>
      </w:r>
    </w:p>
    <w:p>
      <w:pPr>
        <w:spacing w:after="312" w:afterLines="100" w:line="360" w:lineRule="auto"/>
        <w:rPr>
          <w:rFonts w:ascii="宋体"/>
          <w:sz w:val="24"/>
        </w:rPr>
      </w:pPr>
      <w:r>
        <w:rPr>
          <w:rFonts w:hint="eastAsia" w:ascii="宋体" w:hAnsi="宋体"/>
          <w:sz w:val="24"/>
        </w:rPr>
        <w:t>除非在技术规格中另有说明，所有仪器、设备和系统都应符合下列要求：</w:t>
      </w:r>
      <w:r>
        <w:rPr>
          <w:rFonts w:ascii="宋体" w:hAnsi="宋体"/>
          <w:sz w:val="24"/>
        </w:rPr>
        <w:t xml:space="preserve"> </w:t>
      </w:r>
    </w:p>
    <w:p>
      <w:pPr>
        <w:spacing w:line="360" w:lineRule="auto"/>
        <w:ind w:left="554" w:hanging="554" w:hangingChars="231"/>
        <w:rPr>
          <w:rFonts w:ascii="宋体"/>
          <w:sz w:val="24"/>
        </w:rPr>
      </w:pPr>
      <w:r>
        <w:rPr>
          <w:rFonts w:ascii="宋体" w:hAnsi="宋体"/>
          <w:sz w:val="24"/>
        </w:rPr>
        <w:t xml:space="preserve">3.1  </w:t>
      </w:r>
      <w:r>
        <w:rPr>
          <w:rFonts w:hint="eastAsia" w:ascii="宋体" w:hAnsi="宋体"/>
          <w:sz w:val="24"/>
        </w:rPr>
        <w:t>适于在气温为摄氏</w:t>
      </w:r>
      <w:r>
        <w:rPr>
          <w:rFonts w:ascii="宋体" w:hAnsi="宋体"/>
          <w:b/>
          <w:sz w:val="24"/>
        </w:rPr>
        <w:t>-40</w:t>
      </w:r>
      <w:r>
        <w:rPr>
          <w:rFonts w:hint="eastAsia" w:ascii="宋体" w:hAnsi="宋体"/>
          <w:b/>
          <w:sz w:val="24"/>
        </w:rPr>
        <w:t>℃～＋</w:t>
      </w:r>
      <w:r>
        <w:rPr>
          <w:rFonts w:ascii="宋体" w:hAnsi="宋体"/>
          <w:b/>
          <w:sz w:val="24"/>
        </w:rPr>
        <w:t>50</w:t>
      </w:r>
      <w:r>
        <w:rPr>
          <w:rFonts w:hint="eastAsia" w:ascii="宋体" w:hAnsi="宋体"/>
          <w:b/>
          <w:sz w:val="24"/>
        </w:rPr>
        <w:t>℃</w:t>
      </w:r>
      <w:r>
        <w:rPr>
          <w:rFonts w:hint="eastAsia" w:ascii="宋体" w:hAnsi="宋体"/>
          <w:sz w:val="24"/>
        </w:rPr>
        <w:t>和相对湿度为</w:t>
      </w:r>
      <w:r>
        <w:rPr>
          <w:rFonts w:ascii="宋体" w:hAnsi="宋体"/>
          <w:b/>
          <w:sz w:val="24"/>
        </w:rPr>
        <w:t>90</w:t>
      </w:r>
      <w:r>
        <w:rPr>
          <w:rFonts w:hint="eastAsia" w:ascii="宋体" w:hAnsi="宋体"/>
          <w:b/>
          <w:sz w:val="24"/>
        </w:rPr>
        <w:t>％</w:t>
      </w:r>
      <w:r>
        <w:rPr>
          <w:rFonts w:hint="eastAsia" w:ascii="宋体" w:hAnsi="宋体"/>
          <w:sz w:val="24"/>
        </w:rPr>
        <w:t>的环境条件下运输和贮存。</w:t>
      </w:r>
    </w:p>
    <w:p>
      <w:pPr>
        <w:spacing w:line="360" w:lineRule="auto"/>
        <w:ind w:left="554" w:hanging="554" w:hangingChars="231"/>
        <w:rPr>
          <w:rFonts w:ascii="宋体"/>
          <w:sz w:val="24"/>
        </w:rPr>
      </w:pPr>
      <w:r>
        <w:rPr>
          <w:rFonts w:ascii="宋体" w:hAnsi="宋体"/>
          <w:sz w:val="24"/>
        </w:rPr>
        <w:t xml:space="preserve">3.2  </w:t>
      </w:r>
      <w:r>
        <w:rPr>
          <w:rFonts w:hint="eastAsia" w:ascii="宋体" w:hAnsi="宋体"/>
          <w:sz w:val="24"/>
        </w:rPr>
        <w:t>适于在电源</w:t>
      </w:r>
      <w:r>
        <w:rPr>
          <w:rFonts w:ascii="宋体" w:hAnsi="宋体"/>
          <w:b/>
          <w:sz w:val="24"/>
        </w:rPr>
        <w:t>220V</w:t>
      </w:r>
      <w:r>
        <w:rPr>
          <w:rFonts w:hint="eastAsia" w:ascii="宋体" w:hAnsi="宋体"/>
          <w:b/>
          <w:sz w:val="24"/>
        </w:rPr>
        <w:t>（</w:t>
      </w:r>
      <w:r>
        <w:rPr>
          <w:rFonts w:hint="eastAsia" w:ascii="宋体" w:hAnsi="Symbol"/>
          <w:b/>
          <w:sz w:val="24"/>
        </w:rPr>
        <w:sym w:font="Symbol" w:char="F0B1"/>
      </w:r>
      <w:r>
        <w:rPr>
          <w:rFonts w:hint="eastAsia" w:ascii="宋体" w:hAnsi="宋体"/>
          <w:b/>
          <w:sz w:val="24"/>
        </w:rPr>
        <w:t>5％）</w:t>
      </w:r>
      <w:r>
        <w:rPr>
          <w:rFonts w:ascii="宋体" w:hAnsi="宋体"/>
          <w:b/>
          <w:sz w:val="24"/>
        </w:rPr>
        <w:t>/50Hz</w:t>
      </w:r>
      <w:r>
        <w:rPr>
          <w:rFonts w:hint="eastAsia" w:ascii="宋体" w:hAnsi="宋体"/>
          <w:sz w:val="24"/>
        </w:rPr>
        <w:t>、气温摄氏</w:t>
      </w:r>
      <w:r>
        <w:rPr>
          <w:rFonts w:ascii="宋体" w:hAnsi="宋体"/>
          <w:b/>
          <w:sz w:val="24"/>
        </w:rPr>
        <w:t>+15</w:t>
      </w:r>
      <w:r>
        <w:rPr>
          <w:rFonts w:hint="eastAsia" w:ascii="宋体" w:hAnsi="宋体"/>
          <w:b/>
          <w:sz w:val="24"/>
        </w:rPr>
        <w:t>℃～＋</w:t>
      </w:r>
      <w:r>
        <w:rPr>
          <w:rFonts w:ascii="宋体" w:hAnsi="宋体"/>
          <w:b/>
          <w:sz w:val="24"/>
        </w:rPr>
        <w:t>30</w:t>
      </w:r>
      <w:r>
        <w:rPr>
          <w:rFonts w:hint="eastAsia" w:ascii="宋体" w:hAnsi="宋体"/>
          <w:b/>
          <w:sz w:val="24"/>
        </w:rPr>
        <w:t>℃</w:t>
      </w:r>
      <w:r>
        <w:rPr>
          <w:rFonts w:hint="eastAsia" w:ascii="宋体" w:hAnsi="宋体"/>
          <w:sz w:val="24"/>
        </w:rPr>
        <w:t>和相对湿度35％～50％不凝露的环境条件下运行。</w:t>
      </w:r>
      <w:r>
        <w:rPr>
          <w:rFonts w:hint="eastAsia" w:ascii="宋体" w:hAnsi="宋体"/>
          <w:b/>
          <w:sz w:val="24"/>
        </w:rPr>
        <w:t>能够连续正常工作。</w:t>
      </w:r>
    </w:p>
    <w:p>
      <w:pPr>
        <w:spacing w:line="360" w:lineRule="auto"/>
        <w:ind w:left="554" w:hanging="554" w:hangingChars="231"/>
        <w:rPr>
          <w:rFonts w:ascii="宋体"/>
          <w:sz w:val="24"/>
        </w:rPr>
      </w:pPr>
      <w:r>
        <w:rPr>
          <w:rFonts w:ascii="宋体" w:hAnsi="宋体"/>
          <w:sz w:val="24"/>
        </w:rPr>
        <w:t xml:space="preserve">3.3  </w:t>
      </w:r>
      <w:r>
        <w:rPr>
          <w:rFonts w:hint="eastAsia" w:ascii="宋体" w:hAnsi="宋体"/>
          <w:sz w:val="24"/>
        </w:rPr>
        <w:t>配置符合中国有关标准要求的插头，如果没有这样的插头，则需</w:t>
      </w:r>
      <w:r>
        <w:rPr>
          <w:rFonts w:hint="eastAsia" w:ascii="宋体"/>
          <w:sz w:val="24"/>
        </w:rPr>
        <w:t>提供适当的转</w:t>
      </w:r>
      <w:r>
        <w:rPr>
          <w:rFonts w:hint="eastAsia" w:ascii="宋体" w:hAnsi="宋体"/>
          <w:sz w:val="24"/>
        </w:rPr>
        <w:t>换插座。</w:t>
      </w:r>
    </w:p>
    <w:p>
      <w:pPr>
        <w:spacing w:line="360" w:lineRule="auto"/>
        <w:ind w:left="554" w:hanging="554" w:hangingChars="231"/>
        <w:rPr>
          <w:rFonts w:ascii="宋体"/>
          <w:sz w:val="24"/>
        </w:rPr>
      </w:pPr>
      <w:r>
        <w:rPr>
          <w:rFonts w:ascii="宋体" w:hAnsi="宋体"/>
          <w:sz w:val="24"/>
        </w:rPr>
        <w:t xml:space="preserve">3.4  </w:t>
      </w:r>
      <w:r>
        <w:rPr>
          <w:rFonts w:hint="eastAsia" w:ascii="宋体" w:hAnsi="宋体"/>
          <w:sz w:val="24"/>
        </w:rPr>
        <w:t>如产品达不到上述要求，投标人应注明其偏差。如仪器设备需要特殊工作条件（如水、电源、磁场强度、温度、湿度、动强度等）投标人应在投标书中加以说明。</w:t>
      </w:r>
    </w:p>
    <w:p>
      <w:pPr>
        <w:rPr>
          <w:rFonts w:eastAsia="黑体"/>
          <w:b/>
          <w:bCs/>
          <w:kern w:val="44"/>
          <w:sz w:val="24"/>
        </w:rPr>
      </w:pPr>
    </w:p>
    <w:p>
      <w:pPr>
        <w:spacing w:before="156" w:beforeLines="50" w:after="156" w:afterLines="50" w:line="360" w:lineRule="auto"/>
        <w:ind w:left="601" w:hanging="601"/>
        <w:rPr>
          <w:rFonts w:ascii="宋体"/>
          <w:b/>
          <w:sz w:val="28"/>
        </w:rPr>
      </w:pPr>
      <w:r>
        <w:rPr>
          <w:rFonts w:ascii="宋体" w:hAnsi="宋体"/>
          <w:b/>
          <w:sz w:val="28"/>
        </w:rPr>
        <w:t>4</w:t>
      </w:r>
      <w:r>
        <w:rPr>
          <w:rFonts w:hint="eastAsia" w:ascii="宋体" w:hAnsi="宋体"/>
          <w:b/>
          <w:sz w:val="28"/>
        </w:rPr>
        <w:t>、验收标准</w:t>
      </w:r>
    </w:p>
    <w:p>
      <w:pPr>
        <w:spacing w:after="312" w:afterLines="100" w:line="360" w:lineRule="auto"/>
        <w:rPr>
          <w:rFonts w:ascii="宋体"/>
          <w:sz w:val="24"/>
        </w:rPr>
      </w:pPr>
      <w:r>
        <w:rPr>
          <w:rFonts w:hint="eastAsia" w:ascii="宋体" w:hAnsi="宋体"/>
          <w:sz w:val="24"/>
        </w:rPr>
        <w:t>除非在技术规格中另有说明，所有仪器、设备和系统按下列要求进行验收：</w:t>
      </w:r>
      <w:r>
        <w:rPr>
          <w:rFonts w:ascii="宋体" w:hAnsi="宋体"/>
          <w:sz w:val="24"/>
        </w:rPr>
        <w:t xml:space="preserve"> </w:t>
      </w:r>
    </w:p>
    <w:p>
      <w:pPr>
        <w:spacing w:line="360" w:lineRule="auto"/>
        <w:ind w:left="554" w:hanging="554" w:hangingChars="231"/>
        <w:rPr>
          <w:rFonts w:ascii="宋体"/>
          <w:sz w:val="24"/>
        </w:rPr>
      </w:pPr>
      <w:r>
        <w:rPr>
          <w:rFonts w:ascii="宋体" w:hAnsi="宋体"/>
          <w:sz w:val="24"/>
        </w:rPr>
        <w:t xml:space="preserve">4.1  </w:t>
      </w:r>
      <w:r>
        <w:rPr>
          <w:rFonts w:hint="eastAsia" w:ascii="宋体" w:hAnsi="宋体"/>
          <w:sz w:val="24"/>
        </w:rPr>
        <w:t>仪器设备运抵安装现场后，买方将与卖方共同开箱验收</w:t>
      </w:r>
      <w:r>
        <w:rPr>
          <w:rFonts w:ascii="宋体" w:hAnsi="宋体"/>
          <w:sz w:val="24"/>
        </w:rPr>
        <w:t xml:space="preserve">, </w:t>
      </w:r>
      <w:r>
        <w:rPr>
          <w:rFonts w:hint="eastAsia" w:ascii="宋体" w:hAnsi="宋体"/>
          <w:sz w:val="24"/>
        </w:rPr>
        <w:t>如卖方届时不派人来</w:t>
      </w:r>
      <w:r>
        <w:rPr>
          <w:rFonts w:ascii="宋体" w:hAnsi="宋体"/>
          <w:sz w:val="24"/>
        </w:rPr>
        <w:t xml:space="preserve">, </w:t>
      </w:r>
      <w:r>
        <w:rPr>
          <w:rFonts w:hint="eastAsia" w:ascii="宋体" w:hAnsi="宋体"/>
          <w:sz w:val="24"/>
        </w:rPr>
        <w:t>则验收结果应以买方的验收报告为最终验收结果。验收时发现短缺、破损</w:t>
      </w:r>
      <w:r>
        <w:rPr>
          <w:rFonts w:ascii="宋体" w:hAnsi="宋体"/>
          <w:sz w:val="24"/>
        </w:rPr>
        <w:t xml:space="preserve">, </w:t>
      </w:r>
      <w:r>
        <w:rPr>
          <w:rFonts w:hint="eastAsia" w:ascii="宋体" w:hAnsi="宋体"/>
          <w:sz w:val="24"/>
        </w:rPr>
        <w:t>买方有权要求卖方负责更换。</w:t>
      </w:r>
    </w:p>
    <w:p>
      <w:pPr>
        <w:spacing w:line="360" w:lineRule="auto"/>
        <w:ind w:left="554" w:hanging="554" w:hangingChars="231"/>
        <w:rPr>
          <w:rFonts w:ascii="宋体"/>
          <w:sz w:val="24"/>
        </w:rPr>
      </w:pPr>
      <w:r>
        <w:rPr>
          <w:rFonts w:ascii="宋体" w:hAnsi="宋体"/>
          <w:sz w:val="24"/>
        </w:rPr>
        <w:t xml:space="preserve">4.2  </w:t>
      </w:r>
      <w:r>
        <w:rPr>
          <w:rFonts w:hint="eastAsia"/>
          <w:sz w:val="24"/>
        </w:rPr>
        <w:t>验收标准以中标人提供的投标文件中所列的指标为准。任何虚假指标响应一经发现即作废标，卖方必须承担由此给买方带来的一切经济损失和其它相关责任。</w:t>
      </w:r>
    </w:p>
    <w:p>
      <w:pPr>
        <w:spacing w:line="360" w:lineRule="auto"/>
        <w:ind w:left="554" w:hanging="554" w:hangingChars="231"/>
        <w:rPr>
          <w:rFonts w:ascii="宋体"/>
          <w:sz w:val="24"/>
        </w:rPr>
      </w:pPr>
      <w:r>
        <w:rPr>
          <w:rFonts w:ascii="宋体" w:hAnsi="宋体"/>
          <w:sz w:val="24"/>
        </w:rPr>
        <w:t xml:space="preserve">4.3  </w:t>
      </w:r>
      <w:r>
        <w:rPr>
          <w:rFonts w:hint="eastAsia" w:ascii="宋体" w:hAnsi="宋体"/>
          <w:sz w:val="24"/>
        </w:rPr>
        <w:t>验收由采购人、中标人及相关人员依国家有关标准、合同及有关附件要求进行，验收完毕由采购人及中标人在验收报告上签名。</w:t>
      </w:r>
    </w:p>
    <w:p>
      <w:pPr>
        <w:pStyle w:val="3"/>
        <w:spacing w:line="360" w:lineRule="auto"/>
        <w:ind w:left="410" w:hanging="410" w:hangingChars="170"/>
        <w:rPr>
          <w:rFonts w:hAnsi="宋体"/>
          <w:b/>
          <w:sz w:val="24"/>
          <w:szCs w:val="24"/>
        </w:rPr>
      </w:pPr>
      <w:r>
        <w:rPr>
          <w:rFonts w:hAnsi="宋体"/>
          <w:b/>
          <w:sz w:val="24"/>
          <w:szCs w:val="24"/>
        </w:rPr>
        <w:t>5</w:t>
      </w:r>
      <w:r>
        <w:rPr>
          <w:rFonts w:hint="eastAsia" w:hAnsi="宋体"/>
          <w:b/>
          <w:sz w:val="24"/>
          <w:szCs w:val="24"/>
        </w:rPr>
        <w:t>、如在具体技术规格中有本总则不一致之处，以具体技术规格中的要求为准。</w:t>
      </w:r>
    </w:p>
    <w:p>
      <w:pPr>
        <w:spacing w:after="156" w:afterLines="50"/>
        <w:ind w:left="601" w:hanging="601"/>
        <w:rPr>
          <w:rFonts w:ascii="宋体" w:hAnsi="宋体"/>
          <w:b/>
          <w:sz w:val="28"/>
        </w:rPr>
      </w:pPr>
      <w:r>
        <w:rPr>
          <w:rFonts w:ascii="宋体"/>
          <w:b/>
          <w:sz w:val="28"/>
        </w:rPr>
        <w:br w:type="page"/>
      </w:r>
      <w:r>
        <w:rPr>
          <w:rFonts w:hint="eastAsia" w:ascii="宋体" w:hAnsi="宋体"/>
          <w:b/>
          <w:sz w:val="28"/>
        </w:rPr>
        <w:t>二、具体技术规格</w:t>
      </w:r>
    </w:p>
    <w:p>
      <w:pPr>
        <w:spacing w:line="360" w:lineRule="auto"/>
        <w:rPr>
          <w:sz w:val="24"/>
        </w:rPr>
      </w:pPr>
      <w:r>
        <w:rPr>
          <w:sz w:val="24"/>
        </w:rPr>
        <w:t>一、设备</w:t>
      </w:r>
      <w:r>
        <w:rPr>
          <w:rFonts w:hint="eastAsia"/>
          <w:sz w:val="24"/>
        </w:rPr>
        <w:t>类型</w:t>
      </w:r>
      <w:r>
        <w:rPr>
          <w:sz w:val="24"/>
        </w:rPr>
        <w:t>和功能用途：高效液相</w:t>
      </w:r>
      <w:r>
        <w:rPr>
          <w:rFonts w:hint="eastAsia"/>
          <w:sz w:val="24"/>
        </w:rPr>
        <w:t>色谱-</w:t>
      </w:r>
      <w:r>
        <w:rPr>
          <w:sz w:val="24"/>
        </w:rPr>
        <w:t>四极杆飞行时间高分辨质谱</w:t>
      </w:r>
      <w:r>
        <w:rPr>
          <w:rFonts w:hint="eastAsia"/>
          <w:sz w:val="24"/>
        </w:rPr>
        <w:t>联用仪</w:t>
      </w:r>
      <w:r>
        <w:rPr>
          <w:sz w:val="24"/>
        </w:rPr>
        <w:t>，用于生物</w:t>
      </w:r>
      <w:r>
        <w:rPr>
          <w:rFonts w:hint="eastAsia"/>
          <w:sz w:val="24"/>
        </w:rPr>
        <w:t>代谢物鉴定、结构解析及定量分析</w:t>
      </w:r>
      <w:r>
        <w:rPr>
          <w:sz w:val="24"/>
        </w:rPr>
        <w:t>等检测和研究。</w:t>
      </w:r>
    </w:p>
    <w:p>
      <w:pPr>
        <w:spacing w:line="360" w:lineRule="auto"/>
        <w:rPr>
          <w:sz w:val="24"/>
        </w:rPr>
      </w:pPr>
      <w:r>
        <w:rPr>
          <w:sz w:val="24"/>
        </w:rPr>
        <w:t>二、技术要求</w:t>
      </w:r>
    </w:p>
    <w:p>
      <w:pPr>
        <w:spacing w:line="360" w:lineRule="auto"/>
        <w:rPr>
          <w:sz w:val="24"/>
        </w:rPr>
      </w:pPr>
      <w:r>
        <w:rPr>
          <w:sz w:val="24"/>
        </w:rPr>
        <w:t>1.</w:t>
      </w:r>
      <w:r>
        <w:rPr>
          <w:rFonts w:hint="eastAsia"/>
          <w:sz w:val="24"/>
        </w:rPr>
        <w:t xml:space="preserve"> </w:t>
      </w:r>
      <w:r>
        <w:rPr>
          <w:sz w:val="24"/>
        </w:rPr>
        <w:t>串联四极杆飞行时间质谱部分</w:t>
      </w:r>
    </w:p>
    <w:p>
      <w:pPr>
        <w:spacing w:line="360" w:lineRule="auto"/>
        <w:rPr>
          <w:sz w:val="24"/>
        </w:rPr>
      </w:pPr>
      <w:r>
        <w:rPr>
          <w:rFonts w:cs="Segoe UI Symbol"/>
          <w:sz w:val="24"/>
        </w:rPr>
        <w:t>*</w:t>
      </w:r>
      <w:r>
        <w:rPr>
          <w:sz w:val="24"/>
        </w:rPr>
        <w:t>1.1</w:t>
      </w:r>
      <w:r>
        <w:rPr>
          <w:rFonts w:hint="eastAsia"/>
          <w:sz w:val="24"/>
        </w:rPr>
        <w:t xml:space="preserve"> </w:t>
      </w:r>
      <w:r>
        <w:rPr>
          <w:sz w:val="24"/>
        </w:rPr>
        <w:t>质谱类型：飞行时间超高分辨率质谱仪，串联四极杆和飞行时间质量分析器，需要提供含有质量分析器硬件结构图的产品彩页，并标注索引。</w:t>
      </w:r>
    </w:p>
    <w:p>
      <w:pPr>
        <w:spacing w:line="360" w:lineRule="auto"/>
        <w:rPr>
          <w:sz w:val="24"/>
        </w:rPr>
      </w:pPr>
      <w:r>
        <w:rPr>
          <w:sz w:val="24"/>
        </w:rPr>
        <w:t>1.2</w:t>
      </w:r>
      <w:r>
        <w:rPr>
          <w:rFonts w:hint="eastAsia"/>
          <w:sz w:val="24"/>
        </w:rPr>
        <w:t xml:space="preserve"> </w:t>
      </w:r>
      <w:r>
        <w:rPr>
          <w:sz w:val="24"/>
        </w:rPr>
        <w:t>离子源</w:t>
      </w:r>
    </w:p>
    <w:p>
      <w:pPr>
        <w:spacing w:line="360" w:lineRule="auto"/>
        <w:rPr>
          <w:sz w:val="24"/>
        </w:rPr>
      </w:pPr>
      <w:r>
        <w:rPr>
          <w:rFonts w:cs="Segoe UI Symbol"/>
          <w:sz w:val="24"/>
        </w:rPr>
        <w:t>#</w:t>
      </w:r>
      <w:r>
        <w:rPr>
          <w:sz w:val="24"/>
        </w:rPr>
        <w:t>1.2.1</w:t>
      </w:r>
      <w:r>
        <w:rPr>
          <w:rFonts w:hint="eastAsia"/>
          <w:sz w:val="24"/>
        </w:rPr>
        <w:t xml:space="preserve"> </w:t>
      </w:r>
      <w:r>
        <w:rPr>
          <w:sz w:val="24"/>
        </w:rPr>
        <w:t>离子源温度：</w:t>
      </w:r>
      <w:r>
        <w:rPr>
          <w:rFonts w:hint="eastAsia"/>
          <w:sz w:val="24"/>
        </w:rPr>
        <w:t>APCI和ESI离子化模式下，</w:t>
      </w:r>
      <w:r>
        <w:rPr>
          <w:sz w:val="24"/>
        </w:rPr>
        <w:t>要求有至少两路辅助加热雾化气，辅助加热雾化气最高温度不低于700℃，确保系统有稳定可靠的灵敏度和耐用性,该最大温度可在软件界面下设置并运行。（需提供软件设</w:t>
      </w:r>
      <w:r>
        <w:rPr>
          <w:rFonts w:hint="eastAsia"/>
          <w:sz w:val="24"/>
        </w:rPr>
        <w:t>置</w:t>
      </w:r>
      <w:r>
        <w:rPr>
          <w:sz w:val="24"/>
        </w:rPr>
        <w:t>界面截图作为证明文件并标注索引）。</w:t>
      </w:r>
    </w:p>
    <w:p>
      <w:pPr>
        <w:spacing w:line="360" w:lineRule="auto"/>
        <w:rPr>
          <w:sz w:val="24"/>
        </w:rPr>
      </w:pPr>
      <w:r>
        <w:rPr>
          <w:rFonts w:cs="Segoe UI Symbol"/>
          <w:sz w:val="24"/>
        </w:rPr>
        <w:t>*1.2.2</w:t>
      </w:r>
      <w:r>
        <w:rPr>
          <w:rFonts w:hint="eastAsia" w:cs="Segoe UI Symbol"/>
          <w:sz w:val="24"/>
        </w:rPr>
        <w:t xml:space="preserve"> </w:t>
      </w:r>
      <w:r>
        <w:rPr>
          <w:rFonts w:cs="Segoe UI Symbol"/>
          <w:sz w:val="24"/>
        </w:rPr>
        <w:t>离子源采用锥孔结构或毛细管，并具有气帘气技术或类似技术,需提供仪器结构放大设计图及证明文件并标注索引。</w:t>
      </w:r>
      <w:r>
        <w:rPr>
          <w:rFonts w:hint="eastAsia" w:cs="Segoe UI Symbol"/>
          <w:sz w:val="24"/>
        </w:rPr>
        <w:t>考虑到后期维护成本，若投标型号为锥孔设计，需在配置中配原厂锥孔擦拭棉签10包，</w:t>
      </w:r>
      <w:r>
        <w:rPr>
          <w:rFonts w:cs="Segoe UI Symbol"/>
          <w:sz w:val="24"/>
        </w:rPr>
        <w:t>50</w:t>
      </w:r>
      <w:r>
        <w:rPr>
          <w:rFonts w:hint="eastAsia" w:cs="Segoe UI Symbol"/>
          <w:sz w:val="24"/>
        </w:rPr>
        <w:t>根</w:t>
      </w:r>
      <w:r>
        <w:rPr>
          <w:rFonts w:cs="Segoe UI Symbol"/>
          <w:sz w:val="24"/>
        </w:rPr>
        <w:t>/</w:t>
      </w:r>
      <w:r>
        <w:rPr>
          <w:rFonts w:hint="eastAsia" w:cs="Segoe UI Symbol"/>
          <w:sz w:val="24"/>
        </w:rPr>
        <w:t>包；若采用毛细管结构，必须在配置中配原厂备用毛细管（石英或金属）10根，需附原厂清单和货号。</w:t>
      </w:r>
    </w:p>
    <w:p>
      <w:pPr>
        <w:spacing w:line="360" w:lineRule="auto"/>
        <w:rPr>
          <w:sz w:val="24"/>
        </w:rPr>
      </w:pPr>
      <w:r>
        <w:rPr>
          <w:rFonts w:cs="Segoe UI Symbol"/>
          <w:sz w:val="24"/>
        </w:rPr>
        <w:t>#</w:t>
      </w:r>
      <w:r>
        <w:rPr>
          <w:sz w:val="24"/>
        </w:rPr>
        <w:t>1.2.3</w:t>
      </w:r>
      <w:r>
        <w:rPr>
          <w:rFonts w:hint="eastAsia"/>
          <w:sz w:val="24"/>
        </w:rPr>
        <w:t xml:space="preserve"> </w:t>
      </w:r>
      <w:r>
        <w:rPr>
          <w:sz w:val="24"/>
        </w:rPr>
        <w:t>ESI离子源可耐受流速</w:t>
      </w:r>
      <w:r>
        <w:rPr>
          <w:rFonts w:hint="eastAsia"/>
          <w:sz w:val="24"/>
        </w:rPr>
        <w:t>≥</w:t>
      </w:r>
      <w:r>
        <w:rPr>
          <w:sz w:val="24"/>
        </w:rPr>
        <w:t>2.8ml/min，无需分流，可直接移植液相方法而不损失灵敏度，需提供官网关于离子源最大耐受流速参数截图证明及链接，并标注索引。</w:t>
      </w:r>
    </w:p>
    <w:p>
      <w:pPr>
        <w:spacing w:line="360" w:lineRule="auto"/>
        <w:rPr>
          <w:sz w:val="24"/>
        </w:rPr>
      </w:pPr>
      <w:r>
        <w:rPr>
          <w:sz w:val="24"/>
        </w:rPr>
        <w:t>1.2.4</w:t>
      </w:r>
      <w:r>
        <w:rPr>
          <w:rFonts w:hint="eastAsia"/>
          <w:sz w:val="24"/>
        </w:rPr>
        <w:t xml:space="preserve"> </w:t>
      </w:r>
      <w:r>
        <w:rPr>
          <w:sz w:val="24"/>
        </w:rPr>
        <w:t>离子源内配有主动排废气装置，防止气体在密闭的离子源腔体中的回流，降低离子源的记忆效应和污染，降低机械泵的负荷。需提供主动废气排放装置设计图并标注索引。</w:t>
      </w:r>
    </w:p>
    <w:p>
      <w:pPr>
        <w:spacing w:line="360" w:lineRule="auto"/>
        <w:rPr>
          <w:sz w:val="24"/>
        </w:rPr>
      </w:pPr>
      <w:r>
        <w:rPr>
          <w:rFonts w:hint="eastAsia"/>
          <w:sz w:val="24"/>
        </w:rPr>
        <w:t>1.3 其他硬件</w:t>
      </w:r>
    </w:p>
    <w:p>
      <w:pPr>
        <w:spacing w:line="360" w:lineRule="auto"/>
        <w:rPr>
          <w:sz w:val="24"/>
        </w:rPr>
      </w:pPr>
      <w:r>
        <w:rPr>
          <w:sz w:val="24"/>
        </w:rPr>
        <w:t>1.3.1</w:t>
      </w:r>
      <w:r>
        <w:rPr>
          <w:rFonts w:hint="eastAsia"/>
          <w:sz w:val="24"/>
        </w:rPr>
        <w:t xml:space="preserve"> </w:t>
      </w:r>
      <w:r>
        <w:rPr>
          <w:sz w:val="24"/>
        </w:rPr>
        <w:t>离子导入设计采用</w:t>
      </w:r>
      <w:r>
        <w:rPr>
          <w:rFonts w:hint="eastAsia"/>
          <w:sz w:val="24"/>
        </w:rPr>
        <w:t>射频电压聚焦技术</w:t>
      </w:r>
      <w:r>
        <w:rPr>
          <w:sz w:val="24"/>
        </w:rPr>
        <w:t>。结构为四</w:t>
      </w:r>
      <w:r>
        <w:rPr>
          <w:rFonts w:hint="eastAsia"/>
          <w:sz w:val="24"/>
        </w:rPr>
        <w:t>极</w:t>
      </w:r>
      <w:r>
        <w:rPr>
          <w:sz w:val="24"/>
        </w:rPr>
        <w:t>杆型设计，有高压聚焦技术（聚焦压力≥8.0mtorr）。</w:t>
      </w:r>
    </w:p>
    <w:p>
      <w:pPr>
        <w:spacing w:line="360" w:lineRule="auto"/>
        <w:rPr>
          <w:sz w:val="24"/>
        </w:rPr>
      </w:pPr>
      <w:r>
        <w:rPr>
          <w:sz w:val="24"/>
        </w:rPr>
        <w:t>1.3.2</w:t>
      </w:r>
      <w:r>
        <w:rPr>
          <w:rFonts w:hint="eastAsia"/>
          <w:sz w:val="24"/>
        </w:rPr>
        <w:t xml:space="preserve"> </w:t>
      </w:r>
      <w:r>
        <w:rPr>
          <w:sz w:val="24"/>
        </w:rPr>
        <w:t>碰撞室采用线性加速设计，</w:t>
      </w:r>
      <w:r>
        <w:rPr>
          <w:rFonts w:hint="eastAsia"/>
          <w:sz w:val="24"/>
        </w:rPr>
        <w:t>并具有高压聚焦技术</w:t>
      </w:r>
      <w:r>
        <w:rPr>
          <w:sz w:val="24"/>
        </w:rPr>
        <w:t>。</w:t>
      </w:r>
    </w:p>
    <w:p>
      <w:pPr>
        <w:spacing w:line="360" w:lineRule="auto"/>
        <w:rPr>
          <w:sz w:val="24"/>
        </w:rPr>
      </w:pPr>
      <w:r>
        <w:rPr>
          <w:sz w:val="24"/>
        </w:rPr>
        <w:t>1.3.3</w:t>
      </w:r>
      <w:r>
        <w:rPr>
          <w:rFonts w:hint="eastAsia"/>
          <w:sz w:val="24"/>
        </w:rPr>
        <w:t xml:space="preserve"> </w:t>
      </w:r>
      <w:r>
        <w:rPr>
          <w:sz w:val="24"/>
        </w:rPr>
        <w:t>采用离子光学聚焦技术TOF入口设计。</w:t>
      </w:r>
    </w:p>
    <w:p>
      <w:pPr>
        <w:spacing w:line="360" w:lineRule="auto"/>
        <w:rPr>
          <w:sz w:val="24"/>
        </w:rPr>
      </w:pPr>
      <w:r>
        <w:rPr>
          <w:sz w:val="24"/>
        </w:rPr>
        <w:t>1.3.4</w:t>
      </w:r>
      <w:r>
        <w:rPr>
          <w:rFonts w:hint="eastAsia"/>
          <w:sz w:val="24"/>
        </w:rPr>
        <w:t xml:space="preserve"> </w:t>
      </w:r>
      <w:r>
        <w:rPr>
          <w:sz w:val="24"/>
        </w:rPr>
        <w:t>电压脉冲室频率</w:t>
      </w:r>
      <w:r>
        <w:rPr>
          <w:rFonts w:hint="eastAsia"/>
          <w:sz w:val="24"/>
        </w:rPr>
        <w:t>：</w:t>
      </w:r>
      <w:r>
        <w:rPr>
          <w:sz w:val="24"/>
        </w:rPr>
        <w:t>≥30KHZ。</w:t>
      </w:r>
    </w:p>
    <w:p>
      <w:pPr>
        <w:spacing w:line="360" w:lineRule="auto"/>
        <w:rPr>
          <w:sz w:val="24"/>
        </w:rPr>
      </w:pPr>
      <w:r>
        <w:rPr>
          <w:sz w:val="24"/>
        </w:rPr>
        <w:t>1.3.5</w:t>
      </w:r>
      <w:r>
        <w:rPr>
          <w:rFonts w:hint="eastAsia"/>
          <w:sz w:val="24"/>
        </w:rPr>
        <w:t xml:space="preserve"> </w:t>
      </w:r>
      <w:r>
        <w:rPr>
          <w:sz w:val="24"/>
        </w:rPr>
        <w:t>飞行</w:t>
      </w:r>
      <w:r>
        <w:rPr>
          <w:rFonts w:hint="eastAsia"/>
          <w:sz w:val="24"/>
        </w:rPr>
        <w:t>加速</w:t>
      </w:r>
      <w:r>
        <w:rPr>
          <w:sz w:val="24"/>
        </w:rPr>
        <w:t>电压≥15KV</w:t>
      </w:r>
    </w:p>
    <w:p>
      <w:pPr>
        <w:spacing w:line="360" w:lineRule="auto"/>
        <w:rPr>
          <w:sz w:val="24"/>
        </w:rPr>
      </w:pPr>
      <w:r>
        <w:rPr>
          <w:sz w:val="24"/>
        </w:rPr>
        <w:t>1.3.6</w:t>
      </w:r>
      <w:r>
        <w:rPr>
          <w:rFonts w:hint="eastAsia"/>
          <w:sz w:val="24"/>
        </w:rPr>
        <w:t xml:space="preserve"> </w:t>
      </w:r>
      <w:r>
        <w:rPr>
          <w:sz w:val="24"/>
        </w:rPr>
        <w:t>采用两级镜面反射器技术（V型），有效飞行长度</w:t>
      </w:r>
      <w:r>
        <w:rPr>
          <w:rFonts w:hint="eastAsia"/>
          <w:sz w:val="24"/>
        </w:rPr>
        <w:t>≥</w:t>
      </w:r>
      <w:r>
        <w:rPr>
          <w:sz w:val="24"/>
        </w:rPr>
        <w:t>2米。</w:t>
      </w:r>
    </w:p>
    <w:p>
      <w:pPr>
        <w:spacing w:line="360" w:lineRule="auto"/>
        <w:rPr>
          <w:sz w:val="24"/>
        </w:rPr>
      </w:pPr>
      <w:r>
        <w:rPr>
          <w:sz w:val="24"/>
        </w:rPr>
        <w:t>1.3.7</w:t>
      </w:r>
      <w:r>
        <w:rPr>
          <w:rFonts w:hint="eastAsia"/>
          <w:sz w:val="24"/>
        </w:rPr>
        <w:t xml:space="preserve"> </w:t>
      </w:r>
      <w:r>
        <w:rPr>
          <w:sz w:val="24"/>
        </w:rPr>
        <w:t>真空系统：采用磁悬浮涡轮分子泵抽气高真空系统，提供长期稳定的真空。</w:t>
      </w:r>
    </w:p>
    <w:p>
      <w:pPr>
        <w:spacing w:line="360" w:lineRule="auto"/>
        <w:rPr>
          <w:sz w:val="24"/>
        </w:rPr>
      </w:pPr>
      <w:r>
        <w:rPr>
          <w:sz w:val="24"/>
        </w:rPr>
        <w:t>1.3.8</w:t>
      </w:r>
      <w:r>
        <w:rPr>
          <w:rFonts w:hint="eastAsia"/>
          <w:sz w:val="24"/>
        </w:rPr>
        <w:t xml:space="preserve"> </w:t>
      </w:r>
      <w:r>
        <w:rPr>
          <w:sz w:val="24"/>
        </w:rPr>
        <w:t>检测器：TDC和</w:t>
      </w:r>
      <w:r>
        <w:rPr>
          <w:rFonts w:hint="eastAsia"/>
          <w:sz w:val="24"/>
        </w:rPr>
        <w:t>A</w:t>
      </w:r>
      <w:r>
        <w:rPr>
          <w:sz w:val="24"/>
        </w:rPr>
        <w:t>DC检测器，采集频率≥40GHz，每25皮秒输出一次信号。</w:t>
      </w:r>
    </w:p>
    <w:p>
      <w:pPr>
        <w:spacing w:line="360" w:lineRule="auto"/>
        <w:rPr>
          <w:sz w:val="24"/>
        </w:rPr>
      </w:pPr>
      <w:r>
        <w:rPr>
          <w:sz w:val="24"/>
        </w:rPr>
        <w:t>#1.</w:t>
      </w:r>
      <w:r>
        <w:rPr>
          <w:rFonts w:hint="eastAsia"/>
          <w:sz w:val="24"/>
        </w:rPr>
        <w:t xml:space="preserve">4 </w:t>
      </w:r>
      <w:r>
        <w:rPr>
          <w:sz w:val="24"/>
        </w:rPr>
        <w:t>分辨率：</w:t>
      </w:r>
    </w:p>
    <w:p>
      <w:pPr>
        <w:spacing w:line="360" w:lineRule="auto"/>
        <w:rPr>
          <w:sz w:val="24"/>
        </w:rPr>
      </w:pPr>
      <w:r>
        <w:rPr>
          <w:rFonts w:hint="eastAsia"/>
          <w:sz w:val="24"/>
        </w:rPr>
        <w:t xml:space="preserve">1.4.1 </w:t>
      </w:r>
      <w:r>
        <w:rPr>
          <w:sz w:val="24"/>
        </w:rPr>
        <w:t>MS模式：监测一级离子m/z 956，</w:t>
      </w:r>
      <w:r>
        <w:rPr>
          <w:rFonts w:hint="eastAsia"/>
          <w:sz w:val="24"/>
        </w:rPr>
        <w:t>分辨率</w:t>
      </w:r>
      <w:r>
        <w:rPr>
          <w:sz w:val="24"/>
        </w:rPr>
        <w:t>≥100000（FWHM）（需提供谱图证明文件）。</w:t>
      </w:r>
    </w:p>
    <w:p>
      <w:pPr>
        <w:spacing w:line="360" w:lineRule="auto"/>
        <w:rPr>
          <w:sz w:val="24"/>
        </w:rPr>
      </w:pPr>
      <w:r>
        <w:rPr>
          <w:rFonts w:hint="eastAsia"/>
          <w:sz w:val="24"/>
        </w:rPr>
        <w:t xml:space="preserve">1.4.2 </w:t>
      </w:r>
      <w:r>
        <w:rPr>
          <w:sz w:val="24"/>
        </w:rPr>
        <w:t>MS/MS模式：≥40000（FWHM），监测二级离子m/z 195，且必须在扫描速度≥80HZ （80张谱图/秒）的条件下测定，以保证仪器同时具有高扫描速度及高分辨率（需提供谱图证明文件）。</w:t>
      </w:r>
    </w:p>
    <w:p>
      <w:pPr>
        <w:spacing w:line="360" w:lineRule="auto"/>
        <w:rPr>
          <w:sz w:val="24"/>
        </w:rPr>
      </w:pPr>
      <w:r>
        <w:rPr>
          <w:sz w:val="24"/>
        </w:rPr>
        <w:t># 1.</w:t>
      </w:r>
      <w:r>
        <w:rPr>
          <w:rFonts w:hint="eastAsia"/>
          <w:sz w:val="24"/>
        </w:rPr>
        <w:t xml:space="preserve">5 </w:t>
      </w:r>
      <w:r>
        <w:rPr>
          <w:sz w:val="24"/>
        </w:rPr>
        <w:t>采集速度</w:t>
      </w:r>
      <w:r>
        <w:rPr>
          <w:rFonts w:hint="eastAsia"/>
          <w:sz w:val="24"/>
        </w:rPr>
        <w:t>：</w:t>
      </w:r>
      <w:r>
        <w:rPr>
          <w:sz w:val="24"/>
        </w:rPr>
        <w:t>MS/MS扫描速度不小于50张/秒</w:t>
      </w:r>
      <w:r>
        <w:rPr>
          <w:rFonts w:hint="eastAsia"/>
          <w:sz w:val="24"/>
        </w:rPr>
        <w:t>，</w:t>
      </w:r>
      <w:r>
        <w:rPr>
          <w:sz w:val="24"/>
        </w:rPr>
        <w:t>即每秒钟可以采集不小于50张高分辨MS/MS谱图，维持分辨率≥50000</w:t>
      </w:r>
      <w:r>
        <w:rPr>
          <w:rFonts w:hint="eastAsia"/>
          <w:sz w:val="24"/>
        </w:rPr>
        <w:t>，</w:t>
      </w:r>
      <w:r>
        <w:rPr>
          <w:sz w:val="24"/>
        </w:rPr>
        <w:t>需提供软件设置界面截图。</w:t>
      </w:r>
    </w:p>
    <w:p>
      <w:pPr>
        <w:spacing w:line="360" w:lineRule="auto"/>
        <w:rPr>
          <w:sz w:val="24"/>
        </w:rPr>
      </w:pPr>
      <w:r>
        <w:rPr>
          <w:sz w:val="24"/>
        </w:rPr>
        <w:t>1.</w:t>
      </w:r>
      <w:r>
        <w:rPr>
          <w:rFonts w:hint="eastAsia"/>
          <w:sz w:val="24"/>
        </w:rPr>
        <w:t xml:space="preserve">6 </w:t>
      </w:r>
      <w:r>
        <w:rPr>
          <w:sz w:val="24"/>
        </w:rPr>
        <w:t>定量性能</w:t>
      </w:r>
    </w:p>
    <w:p>
      <w:pPr>
        <w:spacing w:line="360" w:lineRule="auto"/>
        <w:rPr>
          <w:sz w:val="24"/>
        </w:rPr>
      </w:pPr>
      <w:r>
        <w:rPr>
          <w:sz w:val="24"/>
        </w:rPr>
        <w:t>1.</w:t>
      </w:r>
      <w:r>
        <w:rPr>
          <w:rFonts w:hint="eastAsia"/>
          <w:sz w:val="24"/>
        </w:rPr>
        <w:t>6</w:t>
      </w:r>
      <w:r>
        <w:rPr>
          <w:sz w:val="24"/>
        </w:rPr>
        <w:t>.1</w:t>
      </w:r>
      <w:r>
        <w:rPr>
          <w:rFonts w:hint="eastAsia"/>
          <w:sz w:val="24"/>
        </w:rPr>
        <w:t xml:space="preserve"> </w:t>
      </w:r>
      <w:r>
        <w:rPr>
          <w:sz w:val="24"/>
        </w:rPr>
        <w:t>单一化合物定量曲线线性动态范围：≥10</w:t>
      </w:r>
      <w:r>
        <w:rPr>
          <w:sz w:val="24"/>
          <w:vertAlign w:val="superscript"/>
        </w:rPr>
        <w:t>4</w:t>
      </w:r>
    </w:p>
    <w:p>
      <w:pPr>
        <w:spacing w:line="360" w:lineRule="auto"/>
        <w:rPr>
          <w:sz w:val="24"/>
        </w:rPr>
      </w:pPr>
      <w:r>
        <w:rPr>
          <w:sz w:val="24"/>
        </w:rPr>
        <w:t># 1.</w:t>
      </w:r>
      <w:r>
        <w:rPr>
          <w:rFonts w:hint="eastAsia"/>
          <w:sz w:val="24"/>
        </w:rPr>
        <w:t>6</w:t>
      </w:r>
      <w:r>
        <w:rPr>
          <w:sz w:val="24"/>
        </w:rPr>
        <w:t>.2</w:t>
      </w:r>
      <w:r>
        <w:rPr>
          <w:rFonts w:hint="eastAsia"/>
          <w:sz w:val="24"/>
        </w:rPr>
        <w:t xml:space="preserve"> </w:t>
      </w:r>
      <w:r>
        <w:rPr>
          <w:sz w:val="24"/>
        </w:rPr>
        <w:t>高分辨MRM定量，1pg利血平，信噪比≥5000：1</w:t>
      </w:r>
    </w:p>
    <w:p>
      <w:pPr>
        <w:spacing w:line="360" w:lineRule="auto"/>
        <w:rPr>
          <w:sz w:val="24"/>
        </w:rPr>
      </w:pPr>
      <w:r>
        <w:rPr>
          <w:sz w:val="24"/>
        </w:rPr>
        <w:t>1.</w:t>
      </w:r>
      <w:r>
        <w:rPr>
          <w:rFonts w:hint="eastAsia"/>
          <w:sz w:val="24"/>
        </w:rPr>
        <w:t>6</w:t>
      </w:r>
      <w:r>
        <w:rPr>
          <w:sz w:val="24"/>
        </w:rPr>
        <w:t>.3</w:t>
      </w:r>
      <w:r>
        <w:rPr>
          <w:rFonts w:hint="eastAsia"/>
          <w:sz w:val="24"/>
        </w:rPr>
        <w:t xml:space="preserve"> </w:t>
      </w:r>
      <w:r>
        <w:rPr>
          <w:sz w:val="24"/>
        </w:rPr>
        <w:t>定量重现性：10ppb利血平，连续5次进样，CV≤5%</w:t>
      </w:r>
    </w:p>
    <w:p>
      <w:pPr>
        <w:spacing w:line="360" w:lineRule="auto"/>
        <w:rPr>
          <w:sz w:val="24"/>
        </w:rPr>
      </w:pPr>
      <w:r>
        <w:rPr>
          <w:rFonts w:cs="Segoe UI Symbol"/>
          <w:sz w:val="24"/>
        </w:rPr>
        <w:t># 1</w:t>
      </w:r>
      <w:r>
        <w:rPr>
          <w:sz w:val="24"/>
        </w:rPr>
        <w:t>.</w:t>
      </w:r>
      <w:r>
        <w:rPr>
          <w:rFonts w:hint="eastAsia"/>
          <w:sz w:val="24"/>
        </w:rPr>
        <w:t xml:space="preserve">7 </w:t>
      </w:r>
      <w:r>
        <w:rPr>
          <w:sz w:val="24"/>
        </w:rPr>
        <w:t>质量范围</w:t>
      </w:r>
      <w:r>
        <w:rPr>
          <w:rFonts w:hint="eastAsia"/>
          <w:sz w:val="24"/>
        </w:rPr>
        <w:t>：优于或等于</w:t>
      </w:r>
      <w:r>
        <w:rPr>
          <w:sz w:val="24"/>
        </w:rPr>
        <w:t>5～40000 m/z</w:t>
      </w:r>
    </w:p>
    <w:p>
      <w:pPr>
        <w:spacing w:line="360" w:lineRule="auto"/>
        <w:rPr>
          <w:sz w:val="24"/>
        </w:rPr>
      </w:pPr>
      <w:r>
        <w:rPr>
          <w:sz w:val="24"/>
        </w:rPr>
        <w:t>1.</w:t>
      </w:r>
      <w:r>
        <w:rPr>
          <w:rFonts w:hint="eastAsia"/>
          <w:sz w:val="24"/>
        </w:rPr>
        <w:t xml:space="preserve">8 </w:t>
      </w:r>
      <w:r>
        <w:rPr>
          <w:sz w:val="24"/>
        </w:rPr>
        <w:t>质量精度：外标法≤2ppm；内标法≤0.5ppm</w:t>
      </w:r>
    </w:p>
    <w:p>
      <w:pPr>
        <w:spacing w:line="360" w:lineRule="auto"/>
        <w:rPr>
          <w:sz w:val="24"/>
        </w:rPr>
      </w:pPr>
      <w:r>
        <w:rPr>
          <w:sz w:val="24"/>
        </w:rPr>
        <w:t>1.</w:t>
      </w:r>
      <w:r>
        <w:rPr>
          <w:rFonts w:hint="eastAsia"/>
          <w:sz w:val="24"/>
        </w:rPr>
        <w:t xml:space="preserve">9 </w:t>
      </w:r>
      <w:r>
        <w:rPr>
          <w:sz w:val="24"/>
        </w:rPr>
        <w:t>高级扫描分析功能：</w:t>
      </w:r>
    </w:p>
    <w:p>
      <w:pPr>
        <w:spacing w:line="360" w:lineRule="auto"/>
        <w:rPr>
          <w:sz w:val="24"/>
        </w:rPr>
      </w:pPr>
      <w:r>
        <w:rPr>
          <w:sz w:val="24"/>
        </w:rPr>
        <w:t>1.</w:t>
      </w:r>
      <w:r>
        <w:rPr>
          <w:rFonts w:hint="eastAsia"/>
          <w:sz w:val="24"/>
        </w:rPr>
        <w:t>9</w:t>
      </w:r>
      <w:r>
        <w:rPr>
          <w:sz w:val="24"/>
        </w:rPr>
        <w:t>.1</w:t>
      </w:r>
      <w:r>
        <w:rPr>
          <w:rFonts w:hint="eastAsia"/>
          <w:sz w:val="24"/>
        </w:rPr>
        <w:t xml:space="preserve"> </w:t>
      </w:r>
      <w:r>
        <w:rPr>
          <w:sz w:val="24"/>
        </w:rPr>
        <w:t>实时自动MS和MS/MS切换功能：自动识别色谱流出物的质谱图，并按照用户定义的条件如离子强度、最大或最小质荷比限制、最强的单个或数个离子等，自动对某种或多种离子进行MS/MS分析，获得该离子的结构信息。</w:t>
      </w:r>
    </w:p>
    <w:p>
      <w:pPr>
        <w:spacing w:line="360" w:lineRule="auto"/>
        <w:rPr>
          <w:sz w:val="24"/>
        </w:rPr>
      </w:pPr>
      <w:r>
        <w:rPr>
          <w:rFonts w:cs="Segoe UI Symbol"/>
          <w:sz w:val="24"/>
        </w:rPr>
        <w:t>#</w:t>
      </w:r>
      <w:r>
        <w:rPr>
          <w:sz w:val="24"/>
        </w:rPr>
        <w:t>1.</w:t>
      </w:r>
      <w:r>
        <w:rPr>
          <w:rFonts w:hint="eastAsia"/>
          <w:sz w:val="24"/>
        </w:rPr>
        <w:t>9</w:t>
      </w:r>
      <w:r>
        <w:rPr>
          <w:sz w:val="24"/>
        </w:rPr>
        <w:t>.2</w:t>
      </w:r>
      <w:r>
        <w:rPr>
          <w:rFonts w:hint="eastAsia"/>
          <w:sz w:val="24"/>
        </w:rPr>
        <w:t xml:space="preserve"> </w:t>
      </w:r>
      <w:r>
        <w:rPr>
          <w:sz w:val="24"/>
        </w:rPr>
        <w:t>仪器在采集过程中，具有动态背景扣除功能（可以自动判断背景离子，而不是在软件界面设定特定的离子或色谱保留时间），从而给出背景干扰离子以外相对信号较弱的共流出物的离子的MS/MS信息（提供软件设置界面截屏以证明）。</w:t>
      </w:r>
    </w:p>
    <w:p>
      <w:pPr>
        <w:spacing w:line="360" w:lineRule="auto"/>
        <w:rPr>
          <w:rFonts w:hint="eastAsia"/>
          <w:sz w:val="24"/>
        </w:rPr>
      </w:pPr>
      <w:r>
        <w:rPr>
          <w:sz w:val="24"/>
        </w:rPr>
        <w:t>1.</w:t>
      </w:r>
      <w:r>
        <w:rPr>
          <w:rFonts w:hint="eastAsia"/>
          <w:sz w:val="24"/>
        </w:rPr>
        <w:t>9</w:t>
      </w:r>
      <w:r>
        <w:rPr>
          <w:sz w:val="24"/>
        </w:rPr>
        <w:t>.3</w:t>
      </w:r>
      <w:r>
        <w:rPr>
          <w:rFonts w:hint="eastAsia"/>
          <w:sz w:val="24"/>
        </w:rPr>
        <w:t xml:space="preserve"> </w:t>
      </w:r>
      <w:r>
        <w:rPr>
          <w:sz w:val="24"/>
        </w:rPr>
        <w:t>信息关联扫描，一级MS扫描可接80个MS/MS扫描，MS和MS/MS分辨率≥40000，并且在采集过程中具备动态背景实时扣除功能</w:t>
      </w:r>
      <w:r>
        <w:rPr>
          <w:rFonts w:hint="eastAsia"/>
          <w:sz w:val="24"/>
        </w:rPr>
        <w:t>。</w:t>
      </w:r>
    </w:p>
    <w:p>
      <w:pPr>
        <w:spacing w:line="360" w:lineRule="auto"/>
        <w:rPr>
          <w:sz w:val="24"/>
        </w:rPr>
      </w:pPr>
      <w:r>
        <w:rPr>
          <w:rFonts w:hint="eastAsia"/>
          <w:sz w:val="24"/>
        </w:rPr>
        <w:t xml:space="preserve">1.9.4 </w:t>
      </w:r>
      <w:r>
        <w:rPr>
          <w:sz w:val="24"/>
        </w:rPr>
        <w:t>高分辨MRM扫描</w:t>
      </w:r>
      <w:r>
        <w:rPr>
          <w:rFonts w:hint="eastAsia"/>
          <w:sz w:val="24"/>
        </w:rPr>
        <w:t>：在一个扫描类型窗口中同时选定至少</w:t>
      </w:r>
      <w:r>
        <w:rPr>
          <w:sz w:val="24"/>
        </w:rPr>
        <w:t>15</w:t>
      </w:r>
      <w:r>
        <w:rPr>
          <w:rFonts w:hint="eastAsia"/>
          <w:sz w:val="24"/>
        </w:rPr>
        <w:t>个以上不同的母离子和子离子，而非多个同种扫描类型的简单罗列，避免因过长的切换时间而损失灵敏度。</w:t>
      </w:r>
    </w:p>
    <w:p>
      <w:pPr>
        <w:spacing w:line="360" w:lineRule="auto"/>
        <w:rPr>
          <w:sz w:val="24"/>
        </w:rPr>
      </w:pPr>
      <w:r>
        <w:rPr>
          <w:rFonts w:cs="Segoe UI Symbol"/>
          <w:sz w:val="24"/>
        </w:rPr>
        <w:t xml:space="preserve"># </w:t>
      </w:r>
      <w:r>
        <w:rPr>
          <w:sz w:val="24"/>
        </w:rPr>
        <w:t>1.</w:t>
      </w:r>
      <w:r>
        <w:rPr>
          <w:rFonts w:hint="eastAsia"/>
          <w:sz w:val="24"/>
        </w:rPr>
        <w:t>9</w:t>
      </w:r>
      <w:r>
        <w:rPr>
          <w:sz w:val="24"/>
        </w:rPr>
        <w:t>.</w:t>
      </w:r>
      <w:r>
        <w:rPr>
          <w:rFonts w:hint="eastAsia"/>
          <w:sz w:val="24"/>
        </w:rPr>
        <w:t xml:space="preserve">5 </w:t>
      </w:r>
      <w:r>
        <w:rPr>
          <w:sz w:val="24"/>
        </w:rPr>
        <w:t>具有数据非依赖扫描模式，可进行连续可变窗口设置并采集所有化合物的MS和MS</w:t>
      </w:r>
      <w:r>
        <w:rPr>
          <w:rFonts w:hint="eastAsia"/>
          <w:sz w:val="24"/>
        </w:rPr>
        <w:t>/</w:t>
      </w:r>
      <w:r>
        <w:rPr>
          <w:sz w:val="24"/>
        </w:rPr>
        <w:t>MS谱图，最大采集窗口</w:t>
      </w:r>
      <w:r>
        <w:rPr>
          <w:rFonts w:hint="eastAsia"/>
          <w:sz w:val="24"/>
        </w:rPr>
        <w:t>≥</w:t>
      </w:r>
      <w:r>
        <w:rPr>
          <w:sz w:val="24"/>
        </w:rPr>
        <w:t>150个，且配备相应的软件进行数据处理操作。</w:t>
      </w:r>
      <w:r>
        <w:rPr>
          <w:rFonts w:hint="eastAsia"/>
          <w:sz w:val="24"/>
        </w:rPr>
        <w:t>（</w:t>
      </w:r>
      <w:r>
        <w:rPr>
          <w:sz w:val="24"/>
        </w:rPr>
        <w:t>需提供工作站截图证明材料</w:t>
      </w:r>
      <w:r>
        <w:rPr>
          <w:rFonts w:hint="eastAsia"/>
          <w:sz w:val="24"/>
        </w:rPr>
        <w:t>）</w:t>
      </w:r>
    </w:p>
    <w:p>
      <w:pPr>
        <w:spacing w:line="360" w:lineRule="auto"/>
        <w:rPr>
          <w:sz w:val="24"/>
        </w:rPr>
      </w:pPr>
      <w:r>
        <w:rPr>
          <w:sz w:val="24"/>
        </w:rPr>
        <w:t>1.</w:t>
      </w:r>
      <w:r>
        <w:rPr>
          <w:rFonts w:hint="eastAsia"/>
          <w:sz w:val="24"/>
        </w:rPr>
        <w:t>9</w:t>
      </w:r>
      <w:r>
        <w:rPr>
          <w:sz w:val="24"/>
        </w:rPr>
        <w:t>.</w:t>
      </w:r>
      <w:r>
        <w:rPr>
          <w:rFonts w:hint="eastAsia"/>
          <w:sz w:val="24"/>
        </w:rPr>
        <w:t xml:space="preserve">6 </w:t>
      </w:r>
      <w:r>
        <w:rPr>
          <w:sz w:val="24"/>
        </w:rPr>
        <w:t>具有实时多重质量亏损采集过滤功能，在数据采集过程中可以采用不同的质量亏损窗口同时鉴定出I相和II相代谢物，保证即使在体内复杂基质中</w:t>
      </w:r>
      <w:r>
        <w:rPr>
          <w:rFonts w:hint="eastAsia"/>
          <w:sz w:val="24"/>
        </w:rPr>
        <w:t>也</w:t>
      </w:r>
      <w:r>
        <w:rPr>
          <w:sz w:val="24"/>
        </w:rPr>
        <w:t>能获得高质量的 MS/MS质谱图。保证快速地从多种复杂峰中查找特定母核结构的一类化合物，有效排除本底噪音的干扰，简化数据文件，快速发现被掩盖在强背景噪音下的目标化合物（提供软件方法文件和说明）。</w:t>
      </w:r>
    </w:p>
    <w:p>
      <w:pPr>
        <w:spacing w:line="360" w:lineRule="auto"/>
        <w:rPr>
          <w:sz w:val="24"/>
        </w:rPr>
      </w:pPr>
      <w:r>
        <w:rPr>
          <w:sz w:val="24"/>
        </w:rPr>
        <w:t>1.</w:t>
      </w:r>
      <w:r>
        <w:rPr>
          <w:rFonts w:hint="eastAsia"/>
          <w:sz w:val="24"/>
        </w:rPr>
        <w:t>9</w:t>
      </w:r>
      <w:r>
        <w:rPr>
          <w:sz w:val="24"/>
        </w:rPr>
        <w:t>.</w:t>
      </w:r>
      <w:r>
        <w:rPr>
          <w:rFonts w:hint="eastAsia"/>
          <w:sz w:val="24"/>
        </w:rPr>
        <w:t xml:space="preserve">7 </w:t>
      </w:r>
      <w:r>
        <w:rPr>
          <w:sz w:val="24"/>
        </w:rPr>
        <w:t>同时定性定量分析（DDA或IDA分析）：一次一级MS扫描可同时触发</w:t>
      </w:r>
      <w:r>
        <w:rPr>
          <w:rFonts w:hint="eastAsia"/>
          <w:sz w:val="24"/>
        </w:rPr>
        <w:t>≥</w:t>
      </w:r>
      <w:r>
        <w:rPr>
          <w:sz w:val="24"/>
        </w:rPr>
        <w:t>50个MS/MS扫描，充分保证在实际分析中，能同时将检测灵敏度内的</w:t>
      </w:r>
      <w:r>
        <w:rPr>
          <w:rFonts w:hint="eastAsia"/>
          <w:sz w:val="24"/>
        </w:rPr>
        <w:t>选定的</w:t>
      </w:r>
      <w:r>
        <w:rPr>
          <w:sz w:val="24"/>
        </w:rPr>
        <w:t>每个化合物采集到高分辨MS数据和一对一的高分辨MS/MS数据（需提供软件设置界面截屏以证明）。</w:t>
      </w:r>
    </w:p>
    <w:p>
      <w:pPr>
        <w:spacing w:line="360" w:lineRule="auto"/>
        <w:rPr>
          <w:sz w:val="24"/>
        </w:rPr>
      </w:pPr>
      <w:r>
        <w:rPr>
          <w:rFonts w:cs="Segoe UI Symbol"/>
          <w:sz w:val="24"/>
        </w:rPr>
        <w:t xml:space="preserve"># </w:t>
      </w:r>
      <w:r>
        <w:rPr>
          <w:sz w:val="24"/>
        </w:rPr>
        <w:t>1.</w:t>
      </w:r>
      <w:r>
        <w:rPr>
          <w:rFonts w:hint="eastAsia"/>
          <w:sz w:val="24"/>
        </w:rPr>
        <w:t xml:space="preserve">10 </w:t>
      </w:r>
      <w:r>
        <w:rPr>
          <w:sz w:val="24"/>
        </w:rPr>
        <w:t>用气：雾化气和碰撞气只需采用高纯氮气，无需额外氩气等其它气源，以降低日常运行的</w:t>
      </w:r>
      <w:r>
        <w:rPr>
          <w:rFonts w:hint="eastAsia"/>
          <w:sz w:val="24"/>
        </w:rPr>
        <w:t>成本</w:t>
      </w:r>
      <w:r>
        <w:rPr>
          <w:sz w:val="24"/>
        </w:rPr>
        <w:t>。</w:t>
      </w:r>
      <w:r>
        <w:rPr>
          <w:rFonts w:hint="eastAsia"/>
          <w:sz w:val="24"/>
        </w:rPr>
        <w:t>（</w:t>
      </w:r>
      <w:r>
        <w:rPr>
          <w:sz w:val="24"/>
        </w:rPr>
        <w:t>需提供仪器安装条件用气说明</w:t>
      </w:r>
      <w:r>
        <w:rPr>
          <w:rFonts w:hint="eastAsia"/>
          <w:sz w:val="24"/>
        </w:rPr>
        <w:t>）</w:t>
      </w:r>
      <w:r>
        <w:rPr>
          <w:sz w:val="24"/>
        </w:rPr>
        <w:t>。</w:t>
      </w:r>
    </w:p>
    <w:p>
      <w:pPr>
        <w:spacing w:line="360" w:lineRule="auto"/>
        <w:rPr>
          <w:sz w:val="24"/>
        </w:rPr>
      </w:pPr>
      <w:r>
        <w:rPr>
          <w:sz w:val="24"/>
        </w:rPr>
        <w:t>2.质谱工作站和软件</w:t>
      </w:r>
    </w:p>
    <w:p>
      <w:pPr>
        <w:spacing w:line="360" w:lineRule="auto"/>
        <w:rPr>
          <w:sz w:val="24"/>
        </w:rPr>
      </w:pPr>
      <w:r>
        <w:rPr>
          <w:sz w:val="24"/>
        </w:rPr>
        <w:t>2.1</w:t>
      </w:r>
      <w:r>
        <w:rPr>
          <w:rFonts w:hint="eastAsia"/>
          <w:sz w:val="24"/>
        </w:rPr>
        <w:t xml:space="preserve"> </w:t>
      </w:r>
      <w:r>
        <w:rPr>
          <w:sz w:val="24"/>
        </w:rPr>
        <w:t>数据系统部分:系统工作站采用卡片集成式数据采集及处理软件，包含定量、定性、同时定性定量等软件模块，把数据采集，数据处理和汇报，以及仪器管理都整合在一个界面，</w:t>
      </w:r>
      <w:r>
        <w:rPr>
          <w:rFonts w:hint="eastAsia"/>
          <w:sz w:val="24"/>
        </w:rPr>
        <w:t>以</w:t>
      </w:r>
      <w:r>
        <w:rPr>
          <w:sz w:val="24"/>
        </w:rPr>
        <w:t>提升工作效率，充分利用高分辨仪器的定性和定量能力。</w:t>
      </w:r>
    </w:p>
    <w:p>
      <w:pPr>
        <w:spacing w:line="360" w:lineRule="auto"/>
        <w:rPr>
          <w:sz w:val="24"/>
        </w:rPr>
      </w:pPr>
      <w:r>
        <w:rPr>
          <w:sz w:val="24"/>
        </w:rPr>
        <w:t>2.2</w:t>
      </w:r>
      <w:r>
        <w:rPr>
          <w:rFonts w:hint="eastAsia"/>
          <w:sz w:val="24"/>
        </w:rPr>
        <w:t xml:space="preserve"> </w:t>
      </w:r>
      <w:r>
        <w:rPr>
          <w:sz w:val="24"/>
        </w:rPr>
        <w:t>配备全面质谱和液相色谱的质谱工作站软件和高性能计算机。全面质谱和液相色谱软件可以同时控制液相色谱和质谱部分，在</w:t>
      </w:r>
      <w:r>
        <w:rPr>
          <w:rFonts w:hint="eastAsia"/>
          <w:sz w:val="24"/>
        </w:rPr>
        <w:t>同一工作站</w:t>
      </w:r>
      <w:r>
        <w:rPr>
          <w:sz w:val="24"/>
        </w:rPr>
        <w:t>软件界面，自动实现仪器的功能配置、条件优化、自动实现MS</w:t>
      </w:r>
      <w:r>
        <w:rPr>
          <w:rFonts w:hint="eastAsia"/>
          <w:sz w:val="24"/>
        </w:rPr>
        <w:t>和</w:t>
      </w:r>
      <w:r>
        <w:rPr>
          <w:sz w:val="24"/>
        </w:rPr>
        <w:t>MS/MS</w:t>
      </w:r>
      <w:r>
        <w:rPr>
          <w:rFonts w:hint="eastAsia"/>
          <w:sz w:val="24"/>
        </w:rPr>
        <w:t>扫描的切换、数据采集、数据处理、定量分析，定性分析和谱库检索以及计算公式编辑等所有功能（提供包含以上所有功能的工作站软件截图证明并标注具体对应功能模块）</w:t>
      </w:r>
    </w:p>
    <w:p>
      <w:pPr>
        <w:spacing w:line="360" w:lineRule="auto"/>
        <w:rPr>
          <w:sz w:val="24"/>
        </w:rPr>
      </w:pPr>
      <w:r>
        <w:rPr>
          <w:sz w:val="24"/>
        </w:rPr>
        <w:t>2.3</w:t>
      </w:r>
      <w:r>
        <w:rPr>
          <w:rFonts w:hint="eastAsia"/>
          <w:sz w:val="24"/>
        </w:rPr>
        <w:t xml:space="preserve"> 配备自动筛查软件，自动进行峰提取、二级库匹配。</w:t>
      </w:r>
    </w:p>
    <w:p>
      <w:pPr>
        <w:spacing w:line="360" w:lineRule="auto"/>
        <w:rPr>
          <w:sz w:val="24"/>
        </w:rPr>
      </w:pPr>
      <w:r>
        <w:rPr>
          <w:sz w:val="24"/>
        </w:rPr>
        <w:t>2.4</w:t>
      </w:r>
      <w:r>
        <w:rPr>
          <w:rFonts w:hint="eastAsia"/>
          <w:sz w:val="24"/>
        </w:rPr>
        <w:t xml:space="preserve"> 配备峰查看软件，用于处理质谱数据、结构解析和批量分析。在一个窗口中，可以同时查看多个样本的谱图，可通过重叠色谱图或热流图进行快速简单的定性数据查看和比较。可快速生成提取离子流色谱图，几秒钟内就可以给出数千个化合物的谱图，用于筛查和确证。配备分子式发现器和结果解析等工具，可以在分子水平上详细研究和表征化合物。</w:t>
      </w:r>
    </w:p>
    <w:p>
      <w:pPr>
        <w:spacing w:line="360" w:lineRule="auto"/>
        <w:rPr>
          <w:sz w:val="24"/>
        </w:rPr>
      </w:pPr>
      <w:r>
        <w:rPr>
          <w:sz w:val="24"/>
        </w:rPr>
        <w:t># 2.5</w:t>
      </w:r>
      <w:r>
        <w:rPr>
          <w:rFonts w:hint="eastAsia"/>
          <w:sz w:val="24"/>
        </w:rPr>
        <w:t xml:space="preserve"> 配备数据非依赖采集和分析软件，采集窗口质量范围可变，可进行连续可变窗口（最高可实现分成</w:t>
      </w:r>
      <w:r>
        <w:rPr>
          <w:sz w:val="24"/>
        </w:rPr>
        <w:t>200</w:t>
      </w:r>
      <w:r>
        <w:rPr>
          <w:rFonts w:hint="eastAsia"/>
          <w:sz w:val="24"/>
        </w:rPr>
        <w:t>个采集窗口且单个窗口质量范围最低可至</w:t>
      </w:r>
      <w:r>
        <w:rPr>
          <w:sz w:val="24"/>
        </w:rPr>
        <w:t>2Da</w:t>
      </w:r>
      <w:r>
        <w:rPr>
          <w:rFonts w:hint="eastAsia"/>
          <w:sz w:val="24"/>
        </w:rPr>
        <w:t>）设置并采集所有化合物的</w:t>
      </w:r>
      <w:r>
        <w:rPr>
          <w:sz w:val="24"/>
        </w:rPr>
        <w:t>MS</w:t>
      </w:r>
      <w:r>
        <w:rPr>
          <w:rFonts w:hint="eastAsia"/>
          <w:sz w:val="24"/>
        </w:rPr>
        <w:t>和</w:t>
      </w:r>
      <w:r>
        <w:rPr>
          <w:sz w:val="24"/>
        </w:rPr>
        <w:t>MS</w:t>
      </w:r>
      <w:r>
        <w:rPr>
          <w:rFonts w:hint="eastAsia"/>
          <w:sz w:val="24"/>
        </w:rPr>
        <w:t>/</w:t>
      </w:r>
      <w:r>
        <w:rPr>
          <w:sz w:val="24"/>
        </w:rPr>
        <w:t>MS</w:t>
      </w:r>
      <w:r>
        <w:rPr>
          <w:rFonts w:hint="eastAsia"/>
          <w:sz w:val="24"/>
        </w:rPr>
        <w:t>谱图，不需要分段多次试验，一次采集完成整个质量范围的二级图谱采集</w:t>
      </w:r>
      <w:r>
        <w:rPr>
          <w:sz w:val="24"/>
        </w:rPr>
        <w:t>。</w:t>
      </w:r>
    </w:p>
    <w:p>
      <w:pPr>
        <w:spacing w:line="360" w:lineRule="auto"/>
        <w:rPr>
          <w:sz w:val="24"/>
        </w:rPr>
      </w:pPr>
      <w:r>
        <w:rPr>
          <w:sz w:val="24"/>
        </w:rPr>
        <w:t>3</w:t>
      </w:r>
      <w:r>
        <w:rPr>
          <w:rFonts w:hint="eastAsia"/>
          <w:sz w:val="24"/>
        </w:rPr>
        <w:t>.</w:t>
      </w:r>
      <w:r>
        <w:rPr>
          <w:rFonts w:hint="eastAsia"/>
          <w:sz w:val="24"/>
        </w:rPr>
        <w:tab/>
      </w:r>
      <w:r>
        <w:rPr>
          <w:rFonts w:hint="eastAsia"/>
          <w:sz w:val="24"/>
        </w:rPr>
        <w:t>液相色谱部分：</w:t>
      </w:r>
    </w:p>
    <w:p>
      <w:pPr>
        <w:spacing w:line="360" w:lineRule="auto"/>
        <w:rPr>
          <w:sz w:val="24"/>
        </w:rPr>
      </w:pPr>
      <w:r>
        <w:rPr>
          <w:sz w:val="24"/>
        </w:rPr>
        <w:t>3</w:t>
      </w:r>
      <w:r>
        <w:rPr>
          <w:rFonts w:hint="eastAsia"/>
          <w:sz w:val="24"/>
        </w:rPr>
        <w:t>.1  输液单元（二元高压梯度系统）：</w:t>
      </w:r>
    </w:p>
    <w:p>
      <w:pPr>
        <w:spacing w:line="360" w:lineRule="auto"/>
        <w:rPr>
          <w:sz w:val="24"/>
        </w:rPr>
      </w:pPr>
      <w:r>
        <w:rPr>
          <w:sz w:val="24"/>
        </w:rPr>
        <w:t>3</w:t>
      </w:r>
      <w:r>
        <w:rPr>
          <w:rFonts w:hint="eastAsia"/>
          <w:sz w:val="24"/>
        </w:rPr>
        <w:t>.1.1  流量范围：0.001ml/min-5.000ml/min。</w:t>
      </w:r>
    </w:p>
    <w:p>
      <w:pPr>
        <w:spacing w:line="360" w:lineRule="auto"/>
        <w:rPr>
          <w:sz w:val="24"/>
        </w:rPr>
      </w:pPr>
      <w:r>
        <w:rPr>
          <w:rFonts w:cs="Segoe UI Symbol"/>
          <w:sz w:val="24"/>
        </w:rPr>
        <w:t xml:space="preserve"># </w:t>
      </w:r>
      <w:r>
        <w:rPr>
          <w:sz w:val="24"/>
        </w:rPr>
        <w:t>3</w:t>
      </w:r>
      <w:r>
        <w:rPr>
          <w:rFonts w:hint="eastAsia"/>
          <w:sz w:val="24"/>
        </w:rPr>
        <w:t>.1. 2  压力范围：0-1</w:t>
      </w:r>
      <w:r>
        <w:rPr>
          <w:sz w:val="24"/>
        </w:rPr>
        <w:t>8850</w:t>
      </w:r>
      <w:r>
        <w:rPr>
          <w:rFonts w:hint="eastAsia"/>
          <w:sz w:val="24"/>
        </w:rPr>
        <w:t>psi</w:t>
      </w:r>
    </w:p>
    <w:p>
      <w:pPr>
        <w:spacing w:line="360" w:lineRule="auto"/>
        <w:rPr>
          <w:rFonts w:hint="eastAsia"/>
          <w:sz w:val="24"/>
        </w:rPr>
      </w:pPr>
      <w:r>
        <w:rPr>
          <w:sz w:val="24"/>
        </w:rPr>
        <w:t>3</w:t>
      </w:r>
      <w:r>
        <w:rPr>
          <w:rFonts w:hint="eastAsia"/>
          <w:sz w:val="24"/>
        </w:rPr>
        <w:t xml:space="preserve">.1. 3  混合精度，&lt;0.2%  </w:t>
      </w:r>
    </w:p>
    <w:p>
      <w:pPr>
        <w:spacing w:line="360" w:lineRule="auto"/>
        <w:rPr>
          <w:rFonts w:hint="eastAsia"/>
          <w:sz w:val="24"/>
        </w:rPr>
      </w:pPr>
      <w:r>
        <w:rPr>
          <w:rFonts w:hint="eastAsia"/>
          <w:sz w:val="24"/>
        </w:rPr>
        <w:t>3.1.4  2个通道或以上在线脱气装置</w:t>
      </w:r>
    </w:p>
    <w:p>
      <w:pPr>
        <w:spacing w:line="360" w:lineRule="auto"/>
        <w:rPr>
          <w:rFonts w:hint="eastAsia"/>
          <w:sz w:val="24"/>
        </w:rPr>
      </w:pPr>
      <w:r>
        <w:rPr>
          <w:sz w:val="24"/>
        </w:rPr>
        <w:t>3.</w:t>
      </w:r>
      <w:r>
        <w:rPr>
          <w:rFonts w:hint="eastAsia"/>
          <w:sz w:val="24"/>
        </w:rPr>
        <w:t>2</w:t>
      </w:r>
      <w:r>
        <w:rPr>
          <w:sz w:val="24"/>
        </w:rPr>
        <w:tab/>
      </w:r>
      <w:r>
        <w:rPr>
          <w:rFonts w:hint="eastAsia"/>
          <w:sz w:val="24"/>
        </w:rPr>
        <w:t xml:space="preserve"> 智能化温控柱温箱：</w:t>
      </w:r>
    </w:p>
    <w:p>
      <w:pPr>
        <w:spacing w:line="360" w:lineRule="auto"/>
        <w:rPr>
          <w:sz w:val="24"/>
        </w:rPr>
      </w:pPr>
      <w:r>
        <w:rPr>
          <w:rFonts w:hint="eastAsia"/>
          <w:sz w:val="24"/>
        </w:rPr>
        <w:t>3.2.1  柱温范围，室温</w:t>
      </w:r>
      <w:r>
        <w:rPr>
          <w:sz w:val="24"/>
        </w:rPr>
        <w:t>+10˚C-80˚C</w:t>
      </w:r>
    </w:p>
    <w:p>
      <w:pPr>
        <w:spacing w:line="360" w:lineRule="auto"/>
        <w:rPr>
          <w:sz w:val="24"/>
        </w:rPr>
      </w:pPr>
      <w:r>
        <w:rPr>
          <w:sz w:val="24"/>
        </w:rPr>
        <w:t>3</w:t>
      </w:r>
      <w:r>
        <w:rPr>
          <w:rFonts w:hint="eastAsia"/>
          <w:sz w:val="24"/>
        </w:rPr>
        <w:t>.2.2  容量：可放置4根300mm的柱子</w:t>
      </w:r>
    </w:p>
    <w:p>
      <w:pPr>
        <w:spacing w:line="360" w:lineRule="auto"/>
        <w:rPr>
          <w:sz w:val="24"/>
        </w:rPr>
      </w:pPr>
      <w:r>
        <w:rPr>
          <w:sz w:val="24"/>
        </w:rPr>
        <w:t>3</w:t>
      </w:r>
      <w:r>
        <w:rPr>
          <w:rFonts w:hint="eastAsia"/>
          <w:sz w:val="24"/>
        </w:rPr>
        <w:t>.3</w:t>
      </w:r>
      <w:r>
        <w:rPr>
          <w:rFonts w:hint="eastAsia"/>
          <w:sz w:val="24"/>
        </w:rPr>
        <w:tab/>
      </w:r>
      <w:r>
        <w:rPr>
          <w:rFonts w:hint="eastAsia"/>
          <w:sz w:val="24"/>
        </w:rPr>
        <w:t xml:space="preserve"> 自动进样器</w:t>
      </w:r>
    </w:p>
    <w:p>
      <w:pPr>
        <w:spacing w:line="360" w:lineRule="auto"/>
        <w:rPr>
          <w:sz w:val="24"/>
        </w:rPr>
      </w:pPr>
      <w:r>
        <w:rPr>
          <w:sz w:val="24"/>
        </w:rPr>
        <w:t>3</w:t>
      </w:r>
      <w:r>
        <w:rPr>
          <w:rFonts w:hint="eastAsia"/>
          <w:sz w:val="24"/>
        </w:rPr>
        <w:t>.3.1  样品盘：</w:t>
      </w:r>
      <w:r>
        <w:rPr>
          <w:sz w:val="24"/>
        </w:rPr>
        <w:t>150</w:t>
      </w:r>
      <w:r>
        <w:rPr>
          <w:rFonts w:hint="eastAsia"/>
          <w:sz w:val="24"/>
        </w:rPr>
        <w:t>位以上</w:t>
      </w:r>
    </w:p>
    <w:p>
      <w:pPr>
        <w:spacing w:line="360" w:lineRule="auto"/>
        <w:rPr>
          <w:sz w:val="24"/>
        </w:rPr>
      </w:pPr>
      <w:r>
        <w:rPr>
          <w:sz w:val="24"/>
        </w:rPr>
        <w:t>3</w:t>
      </w:r>
      <w:r>
        <w:rPr>
          <w:rFonts w:hint="eastAsia"/>
          <w:sz w:val="24"/>
        </w:rPr>
        <w:t>.3.2  进样方式：全量进样, 进样量可变式</w:t>
      </w:r>
    </w:p>
    <w:p>
      <w:pPr>
        <w:spacing w:line="360" w:lineRule="auto"/>
        <w:rPr>
          <w:sz w:val="24"/>
        </w:rPr>
      </w:pPr>
      <w:r>
        <w:rPr>
          <w:sz w:val="24"/>
        </w:rPr>
        <w:t>3</w:t>
      </w:r>
      <w:r>
        <w:rPr>
          <w:rFonts w:hint="eastAsia"/>
          <w:sz w:val="24"/>
        </w:rPr>
        <w:t>.3.3  进样精度：&lt; 0.3% RSD</w:t>
      </w:r>
    </w:p>
    <w:p>
      <w:pPr>
        <w:spacing w:line="360" w:lineRule="auto"/>
        <w:rPr>
          <w:sz w:val="24"/>
        </w:rPr>
      </w:pPr>
      <w:r>
        <w:rPr>
          <w:sz w:val="24"/>
        </w:rPr>
        <w:t>3</w:t>
      </w:r>
      <w:r>
        <w:rPr>
          <w:rFonts w:hint="eastAsia"/>
          <w:sz w:val="24"/>
        </w:rPr>
        <w:t>.3.4  温度范围：可控温至4度</w:t>
      </w:r>
    </w:p>
    <w:p>
      <w:pPr>
        <w:spacing w:line="360" w:lineRule="auto"/>
        <w:rPr>
          <w:sz w:val="24"/>
        </w:rPr>
      </w:pPr>
      <w:r>
        <w:rPr>
          <w:sz w:val="24"/>
        </w:rPr>
        <w:t>3</w:t>
      </w:r>
      <w:r>
        <w:rPr>
          <w:rFonts w:hint="eastAsia"/>
          <w:sz w:val="24"/>
        </w:rPr>
        <w:t>.3.5  进样交叉污染：不高于0.005%</w:t>
      </w:r>
    </w:p>
    <w:p>
      <w:pPr>
        <w:spacing w:line="360" w:lineRule="auto"/>
        <w:rPr>
          <w:sz w:val="24"/>
        </w:rPr>
      </w:pPr>
      <w:r>
        <w:rPr>
          <w:rFonts w:cs="Segoe UI Symbol"/>
          <w:sz w:val="24"/>
        </w:rPr>
        <w:t>*</w:t>
      </w:r>
      <w:r>
        <w:rPr>
          <w:rFonts w:hint="eastAsia"/>
          <w:sz w:val="24"/>
        </w:rPr>
        <w:t>三、</w:t>
      </w:r>
      <w:r>
        <w:rPr>
          <w:sz w:val="24"/>
        </w:rPr>
        <w:t>详细配置：</w:t>
      </w:r>
    </w:p>
    <w:p>
      <w:pPr>
        <w:spacing w:line="360" w:lineRule="auto"/>
        <w:rPr>
          <w:sz w:val="24"/>
        </w:rPr>
      </w:pPr>
      <w:r>
        <w:rPr>
          <w:sz w:val="24"/>
        </w:rPr>
        <w:t>1.串联四极杆飞行时间高分辨质谱主机1套：包含APCI离子源和ESI离子源</w:t>
      </w:r>
      <w:r>
        <w:rPr>
          <w:rFonts w:hint="eastAsia"/>
          <w:sz w:val="24"/>
        </w:rPr>
        <w:t>（或者离子源具备APCI和ESI两种离子化方式）</w:t>
      </w:r>
      <w:r>
        <w:rPr>
          <w:sz w:val="24"/>
        </w:rPr>
        <w:t>、离子源接口，串联四极杆飞行时间质量分析器，真空系统，检测器，主动排废气装置等。必须提供配置清单。</w:t>
      </w:r>
    </w:p>
    <w:p>
      <w:pPr>
        <w:spacing w:line="360" w:lineRule="auto"/>
        <w:rPr>
          <w:sz w:val="24"/>
        </w:rPr>
      </w:pPr>
      <w:r>
        <w:rPr>
          <w:sz w:val="24"/>
        </w:rPr>
        <w:t>2.质谱配套前端超高效液相色谱1套：包含超高压二元梯度泵、在线脱气机、可冷却自动进样器、柱温箱和质谱同步触发线。</w:t>
      </w:r>
    </w:p>
    <w:p>
      <w:pPr>
        <w:spacing w:line="360" w:lineRule="auto"/>
        <w:rPr>
          <w:sz w:val="24"/>
        </w:rPr>
      </w:pPr>
      <w:r>
        <w:rPr>
          <w:sz w:val="24"/>
        </w:rPr>
        <w:t>3.软件和数据库：高分辨</w:t>
      </w:r>
      <w:r>
        <w:rPr>
          <w:rFonts w:hint="eastAsia"/>
          <w:sz w:val="24"/>
        </w:rPr>
        <w:t>质谱</w:t>
      </w:r>
      <w:r>
        <w:rPr>
          <w:sz w:val="24"/>
        </w:rPr>
        <w:t>操作控制软件，定量和定性软件，质谱库软件和高分辨</w:t>
      </w:r>
      <w:r>
        <w:rPr>
          <w:rFonts w:hint="eastAsia"/>
          <w:sz w:val="24"/>
        </w:rPr>
        <w:t>多合一</w:t>
      </w:r>
      <w:r>
        <w:rPr>
          <w:sz w:val="24"/>
        </w:rPr>
        <w:t>数据库</w:t>
      </w:r>
      <w:r>
        <w:rPr>
          <w:rFonts w:hint="eastAsia"/>
          <w:sz w:val="24"/>
        </w:rPr>
        <w:t>。</w:t>
      </w:r>
    </w:p>
    <w:p>
      <w:pPr>
        <w:spacing w:line="360" w:lineRule="auto"/>
        <w:rPr>
          <w:sz w:val="24"/>
        </w:rPr>
      </w:pPr>
      <w:r>
        <w:rPr>
          <w:sz w:val="24"/>
        </w:rPr>
        <w:t>4.电脑：数据采集处理工作站电脑2套</w:t>
      </w:r>
    </w:p>
    <w:p>
      <w:pPr>
        <w:spacing w:line="360" w:lineRule="auto"/>
        <w:rPr>
          <w:sz w:val="24"/>
        </w:rPr>
      </w:pPr>
      <w:r>
        <w:rPr>
          <w:sz w:val="24"/>
        </w:rPr>
        <w:t>5.质谱安装试剂和常用耗材：质谱系统安装启动包1套，安装试剂盒1套，液质专用C18色谱柱2根，ESI喷雾针10支，APCI喷雾针5支，机械泵油2瓶，流动相瓶（1L，4/pk）1套，样品瓶</w:t>
      </w:r>
      <w:r>
        <w:rPr>
          <w:rFonts w:hint="eastAsia"/>
          <w:sz w:val="24"/>
        </w:rPr>
        <w:t>（</w:t>
      </w:r>
      <w:r>
        <w:rPr>
          <w:sz w:val="24"/>
        </w:rPr>
        <w:t>1.5ml</w:t>
      </w:r>
      <w:r>
        <w:rPr>
          <w:rFonts w:hint="eastAsia"/>
          <w:sz w:val="24"/>
        </w:rPr>
        <w:t>，</w:t>
      </w:r>
      <w:r>
        <w:rPr>
          <w:sz w:val="24"/>
        </w:rPr>
        <w:t>带标签，含盖、垫</w:t>
      </w:r>
      <w:r>
        <w:rPr>
          <w:rFonts w:hint="eastAsia"/>
          <w:sz w:val="24"/>
        </w:rPr>
        <w:t>）</w:t>
      </w:r>
      <w:r>
        <w:rPr>
          <w:sz w:val="24"/>
        </w:rPr>
        <w:t>2</w:t>
      </w:r>
      <w:r>
        <w:rPr>
          <w:rFonts w:hint="eastAsia"/>
          <w:sz w:val="24"/>
        </w:rPr>
        <w:t>00个，液相色谱密封圈1对，进样针</w:t>
      </w:r>
      <w:r>
        <w:rPr>
          <w:sz w:val="24"/>
        </w:rPr>
        <w:t>1</w:t>
      </w:r>
      <w:r>
        <w:rPr>
          <w:rFonts w:hint="eastAsia"/>
          <w:sz w:val="24"/>
        </w:rPr>
        <w:t>根，柱塞杆1对，HILIC色谱柱1根。</w:t>
      </w:r>
      <w:r>
        <w:rPr>
          <w:rFonts w:cs="Segoe UI Symbol"/>
          <w:sz w:val="24"/>
        </w:rPr>
        <w:t>原厂锥孔擦拭棉签</w:t>
      </w:r>
      <w:r>
        <w:rPr>
          <w:rFonts w:hint="eastAsia" w:cs="Segoe UI Symbol"/>
          <w:sz w:val="24"/>
        </w:rPr>
        <w:t>10</w:t>
      </w:r>
      <w:r>
        <w:rPr>
          <w:rFonts w:cs="Segoe UI Symbol"/>
          <w:sz w:val="24"/>
        </w:rPr>
        <w:t>包，50根/包</w:t>
      </w:r>
      <w:r>
        <w:rPr>
          <w:rFonts w:hint="eastAsia" w:cs="Segoe UI Symbol"/>
          <w:sz w:val="24"/>
        </w:rPr>
        <w:t>（离子源接口为锥孔结构）或</w:t>
      </w:r>
      <w:r>
        <w:rPr>
          <w:rFonts w:cs="Segoe UI Symbol"/>
          <w:sz w:val="24"/>
        </w:rPr>
        <w:t>原厂备用毛细管（石英或金属）</w:t>
      </w:r>
      <w:r>
        <w:rPr>
          <w:rFonts w:hint="eastAsia" w:cs="Segoe UI Symbol"/>
          <w:sz w:val="24"/>
        </w:rPr>
        <w:t>10</w:t>
      </w:r>
      <w:r>
        <w:rPr>
          <w:rFonts w:cs="Segoe UI Symbol"/>
          <w:sz w:val="24"/>
        </w:rPr>
        <w:t>根</w:t>
      </w:r>
      <w:r>
        <w:rPr>
          <w:rFonts w:hint="eastAsia" w:cs="Segoe UI Symbol"/>
          <w:sz w:val="24"/>
        </w:rPr>
        <w:t>（离子源接口为毛细管结构）</w:t>
      </w:r>
    </w:p>
    <w:p>
      <w:pPr>
        <w:spacing w:line="360" w:lineRule="auto"/>
        <w:rPr>
          <w:sz w:val="24"/>
        </w:rPr>
      </w:pPr>
      <w:r>
        <w:rPr>
          <w:sz w:val="24"/>
        </w:rPr>
        <w:t>6.供气装置：氮气发生器1套。</w:t>
      </w:r>
    </w:p>
    <w:p>
      <w:pPr>
        <w:spacing w:line="360" w:lineRule="auto"/>
        <w:rPr>
          <w:rFonts w:hint="eastAsia"/>
          <w:sz w:val="24"/>
        </w:rPr>
      </w:pPr>
      <w:r>
        <w:rPr>
          <w:sz w:val="24"/>
        </w:rPr>
        <w:t>7.其它配套辅助设备：UPS电源</w:t>
      </w:r>
      <w:r>
        <w:rPr>
          <w:rFonts w:hint="eastAsia"/>
          <w:sz w:val="24"/>
        </w:rPr>
        <w:t>（</w:t>
      </w:r>
      <w:r>
        <w:rPr>
          <w:sz w:val="24"/>
        </w:rPr>
        <w:t>10KV</w:t>
      </w:r>
      <w:r>
        <w:rPr>
          <w:rFonts w:hint="eastAsia"/>
          <w:sz w:val="24"/>
        </w:rPr>
        <w:t>，</w:t>
      </w:r>
      <w:r>
        <w:rPr>
          <w:sz w:val="24"/>
        </w:rPr>
        <w:t>2h</w:t>
      </w:r>
      <w:r>
        <w:rPr>
          <w:rFonts w:hint="eastAsia"/>
          <w:sz w:val="24"/>
        </w:rPr>
        <w:t>）</w:t>
      </w:r>
      <w:r>
        <w:rPr>
          <w:sz w:val="24"/>
        </w:rPr>
        <w:t xml:space="preserve"> 1套，</w:t>
      </w:r>
      <w:r>
        <w:rPr>
          <w:rFonts w:hint="eastAsia"/>
          <w:sz w:val="24"/>
        </w:rPr>
        <w:t>稳压器与隔离变压器 1套，</w:t>
      </w:r>
      <w:r>
        <w:rPr>
          <w:sz w:val="24"/>
        </w:rPr>
        <w:t>激光打印机1套。</w:t>
      </w:r>
    </w:p>
    <w:p>
      <w:bookmarkStart w:id="0" w:name="_GoBack"/>
      <w:bookmarkEnd w:id="0"/>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i/>
      </w:rPr>
      <w:t>中国科学院招标文件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cs="Times New Roman"/>
        <w:b w:val="0"/>
        <w:i w:val="0"/>
        <w:color w:val="auto"/>
      </w:rPr>
    </w:lvl>
    <w:lvl w:ilvl="1" w:tentative="0">
      <w:start w:val="8"/>
      <w:numFmt w:val="japaneseCounting"/>
      <w:lvlText w:val="第%2章"/>
      <w:lvlJc w:val="left"/>
      <w:pPr>
        <w:tabs>
          <w:tab w:val="left" w:pos="1935"/>
        </w:tabs>
        <w:ind w:left="1935" w:hanging="1515"/>
      </w:pPr>
      <w:rPr>
        <w:rFonts w:hint="default" w:cs="Times New Roman"/>
      </w:rPr>
    </w:lvl>
    <w:lvl w:ilvl="2" w:tentative="0">
      <w:start w:val="1"/>
      <w:numFmt w:val="japaneseCounting"/>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zJiZDczMmJlZGExNjNkMzQwMmVkYWFmOTdhMjcifQ=="/>
  </w:docVars>
  <w:rsids>
    <w:rsidRoot w:val="500C6D62"/>
    <w:rsid w:val="500C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basedOn w:val="1"/>
    <w:next w:val="1"/>
    <w:qFormat/>
    <w:uiPriority w:val="99"/>
    <w:rPr>
      <w:rFonts w:ascii="宋体" w:hAnsi="Courier New"/>
      <w:szCs w:val="20"/>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4399</Words>
  <Characters>4951</Characters>
  <Lines>0</Lines>
  <Paragraphs>0</Paragraphs>
  <TotalTime>0</TotalTime>
  <ScaleCrop>false</ScaleCrop>
  <LinksUpToDate>false</LinksUpToDate>
  <CharactersWithSpaces>5080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2022-08-24T09:46:00Z</dcterms:created>
  <dc:creator>Robin</dc:creator>
  <cp:lastModifiedBy>Robin</cp:lastModifiedBy>
  <dcterms:modified xsi:type="dcterms:W3CDTF">2022-08-24T09:47:14Z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228A5A72570F4CCDB6C5539F1FB540E1</vt:lpwstr>
  </property>
</Properties>
</file>