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50" w:afterLines="350" w:line="800" w:lineRule="exact"/>
        <w:jc w:val="center"/>
        <w:rPr>
          <w:rFonts w:ascii="仿宋" w:hAnsi="仿宋" w:eastAsia="仿宋" w:cs="仿宋"/>
          <w:b/>
          <w:spacing w:val="24"/>
          <w:sz w:val="56"/>
          <w:szCs w:val="56"/>
        </w:rPr>
      </w:pPr>
      <w:r>
        <w:rPr>
          <w:rFonts w:hint="eastAsia" w:ascii="仿宋" w:hAnsi="仿宋" w:eastAsia="仿宋" w:cs="仿宋"/>
          <w:b/>
          <w:spacing w:val="24"/>
          <w:sz w:val="56"/>
          <w:szCs w:val="56"/>
        </w:rPr>
        <w:t>四川省人民医院仪器设备计量</w:t>
      </w:r>
      <w:r>
        <w:rPr>
          <w:rFonts w:hint="eastAsia" w:ascii="仿宋" w:hAnsi="仿宋" w:eastAsia="仿宋" w:cs="仿宋"/>
          <w:b/>
          <w:spacing w:val="24"/>
          <w:sz w:val="56"/>
          <w:szCs w:val="56"/>
          <w:lang w:val="en-US" w:eastAsia="zh-CN"/>
        </w:rPr>
        <w:t>检测服务</w:t>
      </w:r>
      <w:r>
        <w:rPr>
          <w:rFonts w:hint="eastAsia" w:ascii="仿宋" w:hAnsi="仿宋" w:eastAsia="仿宋" w:cs="仿宋"/>
          <w:b/>
          <w:spacing w:val="24"/>
          <w:sz w:val="56"/>
          <w:szCs w:val="56"/>
        </w:rPr>
        <w:t>采购项目</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ascii="仿宋" w:hAnsi="仿宋" w:eastAsia="仿宋" w:cs="仿宋"/>
          <w:b/>
          <w:sz w:val="36"/>
          <w:szCs w:val="36"/>
        </w:rPr>
      </w:pPr>
    </w:p>
    <w:p>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rPr>
        <w:t>8</w:t>
      </w:r>
      <w:r>
        <w:rPr>
          <w:rFonts w:hint="eastAsia" w:ascii="仿宋" w:hAnsi="仿宋" w:eastAsia="仿宋" w:cs="仿宋"/>
          <w:b/>
          <w:sz w:val="36"/>
          <w:szCs w:val="36"/>
          <w:lang w:val="zh-CN"/>
        </w:rPr>
        <w:t>月</w:t>
      </w:r>
    </w:p>
    <w:p>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4"/>
        <w:tabs>
          <w:tab w:val="right" w:leader="dot" w:pos="8306"/>
        </w:tabs>
        <w:rPr>
          <w:rFonts w:ascii="仿宋" w:hAnsi="仿宋" w:eastAsia="仿宋" w:cs="仿宋"/>
          <w:sz w:val="28"/>
          <w:szCs w:val="32"/>
        </w:rPr>
      </w:pPr>
    </w:p>
    <w:p>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3240"/>
      <w:bookmarkStart w:id="2" w:name="_Toc24065"/>
      <w:bookmarkStart w:id="3" w:name="_Toc20358"/>
      <w:bookmarkStart w:id="4" w:name="_Toc62832406"/>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4"/>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4"/>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四川省人民医院仪器设备计量</w:t>
            </w:r>
            <w:r>
              <w:rPr>
                <w:rFonts w:hint="eastAsia" w:ascii="仿宋" w:hAnsi="仿宋" w:eastAsia="仿宋" w:cs="仿宋"/>
                <w:color w:val="000000" w:themeColor="text1"/>
                <w:sz w:val="22"/>
                <w:lang w:val="en-US" w:eastAsia="zh-CN"/>
              </w:rPr>
              <w:t>检测服务</w:t>
            </w:r>
            <w:r>
              <w:rPr>
                <w:rFonts w:hint="eastAsia" w:ascii="仿宋" w:hAnsi="仿宋" w:eastAsia="仿宋" w:cs="仿宋"/>
                <w:color w:val="000000" w:themeColor="text1"/>
                <w:sz w:val="22"/>
              </w:rPr>
              <w:t>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CGZX-YXZ20224941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单价最高限价：</w:t>
            </w:r>
            <w:r>
              <w:rPr>
                <w:rFonts w:hint="eastAsia" w:ascii="仿宋" w:hAnsi="仿宋" w:eastAsia="仿宋" w:cs="仿宋"/>
                <w:color w:val="000000" w:themeColor="text1"/>
                <w:sz w:val="22"/>
                <w:lang w:val="en-US" w:eastAsia="zh-CN"/>
              </w:rPr>
              <w:t>详见清单</w:t>
            </w:r>
            <w:r>
              <w:rPr>
                <w:rFonts w:hint="eastAsia" w:ascii="仿宋" w:hAnsi="仿宋" w:eastAsia="仿宋" w:cs="仿宋"/>
                <w:color w:val="000000" w:themeColor="text1"/>
                <w:sz w:val="22"/>
              </w:rPr>
              <w:t>，本项目按实结算，支付上限</w:t>
            </w:r>
            <w:r>
              <w:rPr>
                <w:rFonts w:hint="eastAsia" w:ascii="仿宋" w:hAnsi="仿宋" w:eastAsia="仿宋" w:cs="仿宋"/>
                <w:color w:val="000000" w:themeColor="text1"/>
                <w:sz w:val="22"/>
                <w:lang w:val="en-US" w:eastAsia="zh-CN"/>
              </w:rPr>
              <w:t>20</w:t>
            </w:r>
            <w:r>
              <w:rPr>
                <w:rFonts w:hint="eastAsia" w:ascii="仿宋" w:hAnsi="仿宋" w:eastAsia="仿宋" w:cs="仿宋"/>
                <w:color w:val="000000" w:themeColor="text1"/>
                <w:sz w:val="22"/>
              </w:rPr>
              <w:t>万元。</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超过单价最高限价的报价，其比选申请文件作无效处理。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接受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pPr>
            <w:r>
              <w:rPr>
                <w:rFonts w:hint="eastAsia" w:ascii="仿宋" w:hAnsi="仿宋" w:eastAsia="仿宋" w:cs="仿宋"/>
                <w:color w:val="000000" w:themeColor="text1"/>
                <w:sz w:val="22"/>
              </w:rPr>
              <w:sym w:font="Wingdings" w:char="00A8"/>
            </w:r>
            <w:r>
              <w:rPr>
                <w:rFonts w:ascii="仿宋" w:hAnsi="仿宋" w:eastAsia="仿宋" w:cs="仿宋"/>
                <w:color w:val="000000" w:themeColor="text1"/>
                <w:sz w:val="22"/>
              </w:rPr>
              <w:t xml:space="preserve">举行       </w:t>
            </w:r>
            <w:r>
              <w:rPr>
                <w:rFonts w:hint="eastAsia" w:ascii="仿宋" w:hAnsi="仿宋" w:eastAsia="仿宋" w:cs="仿宋"/>
                <w:color w:val="000000" w:themeColor="text1"/>
                <w:sz w:val="22"/>
              </w:rPr>
              <w:sym w:font="Wingdings" w:char="00FE"/>
            </w:r>
            <w:r>
              <w:rPr>
                <w:rFonts w:ascii="仿宋" w:hAnsi="仿宋" w:eastAsia="仿宋" w:cs="仿宋"/>
                <w:color w:val="000000" w:themeColor="text1"/>
                <w:sz w:val="22"/>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组织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5"/>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 xml:space="preserve">收取       </w:t>
            </w:r>
            <w:r>
              <w:rPr>
                <w:rFonts w:hint="eastAsia" w:ascii="华文仿宋" w:hAnsi="华文仿宋" w:eastAsia="华文仿宋" w:cs="华文仿宋"/>
                <w:color w:val="000000" w:themeColor="text1"/>
              </w:rPr>
              <w:sym w:font="Wingdings" w:char="00FE"/>
            </w:r>
            <w:r>
              <w:rPr>
                <w:rFonts w:hint="eastAsia" w:ascii="仿宋" w:hAnsi="仿宋" w:eastAsia="仿宋" w:cs="仿宋"/>
                <w:color w:val="000000" w:themeColor="text1"/>
                <w:sz w:val="22"/>
                <w:szCs w:val="22"/>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b/>
                <w:bCs/>
                <w:color w:val="000000" w:themeColor="text1"/>
                <w:sz w:val="22"/>
              </w:rPr>
              <w:t>综合评分法</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即供应商通过资格审查，且满足比选文件全部实质性要求，且按照评审因素的量化指标评审得分，</w:t>
            </w:r>
            <w:r>
              <w:rPr>
                <w:rFonts w:hint="eastAsia" w:ascii="仿宋" w:hAnsi="仿宋" w:eastAsia="仿宋" w:cs="仿宋"/>
                <w:b/>
                <w:bCs/>
                <w:color w:val="000000" w:themeColor="text1"/>
                <w:sz w:val="22"/>
              </w:rPr>
              <w:t>综合得分最高</w:t>
            </w:r>
            <w:r>
              <w:rPr>
                <w:rFonts w:hint="eastAsia" w:ascii="仿宋" w:hAnsi="仿宋" w:eastAsia="仿宋" w:cs="仿宋"/>
                <w:color w:val="000000" w:themeColor="text1"/>
                <w:sz w:val="22"/>
              </w:rPr>
              <w:t>的供应商为本项目的第一中选人，若得分相同则价格低的为中选人，若价格也相同则采取抽签的方式确定；</w:t>
            </w:r>
          </w:p>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b/>
                <w:bCs/>
                <w:color w:val="000000" w:themeColor="text1"/>
                <w:sz w:val="22"/>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rPr>
              <w:t>有效报价最低</w:t>
            </w:r>
            <w:r>
              <w:rPr>
                <w:rFonts w:hint="eastAsia" w:ascii="仿宋" w:hAnsi="仿宋" w:eastAsia="仿宋" w:cs="仿宋"/>
                <w:color w:val="000000" w:themeColor="text1"/>
                <w:sz w:val="22"/>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5"/>
              <w:spacing w:line="360" w:lineRule="auto"/>
              <w:ind w:left="438" w:leftChars="104" w:hanging="220" w:hanging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供应商应通过：</w:t>
            </w:r>
          </w:p>
          <w:p>
            <w:pPr>
              <w:pStyle w:val="25"/>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线上提交：</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供应商应通过四川省人民医院电子招标采购平台（网址http://cg.samsph.com）提交比选申请文件；</w:t>
            </w:r>
          </w:p>
          <w:p>
            <w:pPr>
              <w:pStyle w:val="25"/>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现场提交：</w:t>
            </w:r>
          </w:p>
          <w:p>
            <w:pPr>
              <w:pStyle w:val="25"/>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比选申请文件应在提交比选申请文件截止时间前送达比选地点；</w:t>
            </w:r>
          </w:p>
          <w:p>
            <w:pPr>
              <w:pStyle w:val="25"/>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文件份数：正本1份、副本2份</w:t>
            </w:r>
          </w:p>
          <w:p>
            <w:pPr>
              <w:pStyle w:val="25"/>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比选地点：XXXXXXXXX</w:t>
            </w:r>
          </w:p>
          <w:p>
            <w:pPr>
              <w:pStyle w:val="25"/>
              <w:spacing w:line="360" w:lineRule="auto"/>
              <w:ind w:left="218" w:leftChars="104"/>
              <w:jc w:val="both"/>
              <w:rPr>
                <w:rFonts w:ascii="仿宋" w:hAnsi="仿宋" w:eastAsia="仿宋" w:cs="仿宋"/>
                <w:b/>
                <w:bCs/>
                <w:color w:val="000000" w:themeColor="text1"/>
                <w:kern w:val="2"/>
                <w:sz w:val="20"/>
                <w:szCs w:val="20"/>
              </w:rPr>
            </w:pPr>
            <w:r>
              <w:rPr>
                <w:rFonts w:hint="eastAsia" w:ascii="仿宋" w:hAnsi="仿宋" w:eastAsia="仿宋" w:cs="仿宋"/>
                <w:b/>
                <w:bCs/>
                <w:color w:val="000000" w:themeColor="text1"/>
                <w:kern w:val="2"/>
                <w:sz w:val="20"/>
                <w:szCs w:val="20"/>
              </w:rPr>
              <w:t>注：比选响应文件应在提交比选响应文件截止时间前提交；</w:t>
            </w:r>
          </w:p>
          <w:p>
            <w:pPr>
              <w:pStyle w:val="25"/>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b/>
                <w:bCs/>
                <w:color w:val="000000" w:themeColor="text1"/>
                <w:kern w:val="2"/>
                <w:sz w:val="20"/>
                <w:szCs w:val="20"/>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（1）采购部门：招标采购中心</w:t>
            </w:r>
          </w:p>
          <w:p>
            <w:pPr>
              <w:spacing w:line="360" w:lineRule="auto"/>
              <w:ind w:left="210" w:leftChars="100"/>
              <w:rPr>
                <w:rFonts w:hint="default" w:ascii="仿宋" w:hAnsi="仿宋" w:eastAsia="仿宋" w:cs="仿宋"/>
                <w:color w:val="000000" w:themeColor="text1"/>
                <w:sz w:val="22"/>
                <w:lang w:val="en-US" w:eastAsia="zh-CN"/>
              </w:rPr>
            </w:pPr>
            <w:r>
              <w:rPr>
                <w:rFonts w:hint="eastAsia" w:ascii="仿宋" w:hAnsi="仿宋" w:eastAsia="仿宋" w:cs="仿宋"/>
                <w:color w:val="000000" w:themeColor="text1"/>
                <w:sz w:val="22"/>
              </w:rPr>
              <w:t>联系方式：</w:t>
            </w:r>
            <w:r>
              <w:rPr>
                <w:rFonts w:hint="eastAsia" w:ascii="仿宋" w:hAnsi="仿宋" w:eastAsia="仿宋" w:cs="仿宋"/>
                <w:color w:val="000000" w:themeColor="text1"/>
                <w:sz w:val="22"/>
                <w:lang w:val="en-US" w:eastAsia="zh-CN"/>
              </w:rPr>
              <w:t>刘</w:t>
            </w:r>
            <w:r>
              <w:rPr>
                <w:rFonts w:hint="eastAsia" w:ascii="仿宋" w:hAnsi="仿宋" w:eastAsia="仿宋" w:cs="仿宋"/>
                <w:color w:val="000000" w:themeColor="text1"/>
                <w:sz w:val="22"/>
              </w:rPr>
              <w:t>老师028-8739</w:t>
            </w:r>
            <w:r>
              <w:rPr>
                <w:rFonts w:hint="eastAsia" w:ascii="仿宋" w:hAnsi="仿宋" w:eastAsia="仿宋" w:cs="仿宋"/>
                <w:color w:val="000000" w:themeColor="text1"/>
                <w:sz w:val="22"/>
                <w:lang w:val="en-US" w:eastAsia="zh-CN"/>
              </w:rPr>
              <w:t>3387</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（2）归口部门：</w:t>
            </w:r>
            <w:r>
              <w:rPr>
                <w:rFonts w:hint="eastAsia" w:ascii="仿宋" w:hAnsi="仿宋" w:eastAsia="仿宋" w:cs="仿宋"/>
                <w:b/>
                <w:bCs/>
                <w:color w:val="000000" w:themeColor="text1"/>
                <w:sz w:val="22"/>
                <w:lang w:val="en-US" w:eastAsia="zh-CN"/>
              </w:rPr>
              <w:t>医学装备</w:t>
            </w:r>
            <w:r>
              <w:rPr>
                <w:rFonts w:hint="eastAsia" w:ascii="仿宋" w:hAnsi="仿宋" w:eastAsia="仿宋" w:cs="仿宋"/>
                <w:b/>
                <w:bCs/>
                <w:color w:val="000000" w:themeColor="text1"/>
                <w:sz w:val="22"/>
              </w:rPr>
              <w:t>部</w:t>
            </w:r>
          </w:p>
          <w:p>
            <w:pPr>
              <w:spacing w:line="360" w:lineRule="auto"/>
              <w:ind w:left="210" w:leftChars="100"/>
              <w:rPr>
                <w:rFonts w:hint="default" w:ascii="仿宋" w:hAnsi="仿宋" w:eastAsia="仿宋" w:cs="仿宋"/>
                <w:color w:val="000000" w:themeColor="text1"/>
                <w:sz w:val="22"/>
                <w:lang w:val="en-US" w:eastAsia="zh-CN"/>
              </w:rPr>
            </w:pPr>
            <w:r>
              <w:rPr>
                <w:rFonts w:hint="eastAsia" w:ascii="仿宋" w:hAnsi="仿宋" w:eastAsia="仿宋" w:cs="仿宋"/>
                <w:color w:val="000000" w:themeColor="text1"/>
                <w:sz w:val="22"/>
              </w:rPr>
              <w:t>联系方式：</w:t>
            </w:r>
            <w:r>
              <w:rPr>
                <w:rFonts w:hint="eastAsia" w:ascii="仿宋" w:hAnsi="仿宋" w:eastAsia="仿宋" w:cs="仿宋"/>
                <w:color w:val="000000" w:themeColor="text1"/>
                <w:sz w:val="22"/>
                <w:lang w:val="en-US" w:eastAsia="zh-CN"/>
              </w:rPr>
              <w:t>阳</w:t>
            </w:r>
            <w:r>
              <w:rPr>
                <w:rFonts w:hint="eastAsia" w:ascii="仿宋" w:hAnsi="仿宋" w:eastAsia="仿宋" w:cs="仿宋"/>
                <w:color w:val="000000" w:themeColor="text1"/>
                <w:sz w:val="22"/>
              </w:rPr>
              <w:t>老师028-8739</w:t>
            </w:r>
            <w:r>
              <w:rPr>
                <w:rFonts w:hint="eastAsia" w:ascii="仿宋" w:hAnsi="仿宋" w:eastAsia="仿宋" w:cs="仿宋"/>
                <w:color w:val="000000" w:themeColor="text1"/>
                <w:sz w:val="22"/>
                <w:lang w:val="en-US" w:eastAsia="zh-CN"/>
              </w:rPr>
              <w:t>3326</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（3）监督部门：审计部</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联系方式：028-87394709</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b/>
                <w:bCs/>
                <w:color w:val="000000" w:themeColor="text1"/>
                <w:sz w:val="22"/>
              </w:rPr>
              <w:t>（4）采购平台</w:t>
            </w:r>
            <w:r>
              <w:rPr>
                <w:rFonts w:hint="eastAsia" w:ascii="仿宋" w:hAnsi="仿宋" w:eastAsia="仿宋" w:cs="仿宋"/>
                <w:color w:val="000000" w:themeColor="text1"/>
                <w:sz w:val="22"/>
              </w:rPr>
              <w:t>：隆道云400 0118 000，接通以后按1</w:t>
            </w:r>
          </w:p>
        </w:tc>
      </w:tr>
    </w:tbl>
    <w:p>
      <w:pPr>
        <w:pStyle w:val="21"/>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6" w:name="_Toc14460"/>
      <w:bookmarkStart w:id="7" w:name="_Toc27785"/>
      <w:bookmarkStart w:id="8" w:name="_Toc24154"/>
      <w:r>
        <w:rPr>
          <w:rFonts w:hint="eastAsia" w:ascii="黑体" w:hAnsi="黑体" w:eastAsia="黑体" w:cs="黑体"/>
          <w:b/>
          <w:sz w:val="36"/>
          <w:szCs w:val="32"/>
        </w:rPr>
        <w:t>比选须知</w:t>
      </w:r>
      <w:bookmarkEnd w:id="6"/>
      <w:bookmarkEnd w:id="7"/>
      <w:bookmarkEnd w:id="8"/>
    </w:p>
    <w:tbl>
      <w:tblPr>
        <w:tblStyle w:val="17"/>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（1）本比选统一使用人民币报价；</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（1）比选申请文件的格式</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rPr>
              <w:t>比选申请文件内容的完整性和有效性</w:t>
            </w:r>
            <w:r>
              <w:rPr>
                <w:rFonts w:hint="eastAsia" w:ascii="仿宋" w:hAnsi="仿宋" w:eastAsia="仿宋" w:cs="仿宋"/>
                <w:color w:val="000000" w:themeColor="text1"/>
                <w:sz w:val="22"/>
              </w:rPr>
              <w:t>；比选申请人应在“比选申请文件格式”前附文件索引表、目录；</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（2）比选申请文件的语言</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（3）比选申请文件的签署、盖章</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（1）采购人将根据实际情况，在评审现场确定是否与供应商进行谈判和磋商；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（2）若合格供应商不足两家（不含），将直接与合格的供应商进行谈判和磋商；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（2）若出现质量问题，供应商负责按照采购人要求办理退货并承担因货物质量导致的经济和法律责任；</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符合本</w:t>
            </w:r>
            <w:r>
              <w:rPr>
                <w:rFonts w:hint="eastAsia" w:ascii="仿宋" w:hAnsi="仿宋" w:eastAsia="仿宋" w:cs="仿宋"/>
                <w:color w:val="000000" w:themeColor="text1"/>
                <w:sz w:val="22"/>
              </w:rPr>
              <w:t>比选</w:t>
            </w:r>
            <w:r>
              <w:rPr>
                <w:rFonts w:hint="eastAsia" w:ascii="仿宋" w:hAnsi="仿宋" w:eastAsia="仿宋" w:cs="仿宋"/>
                <w:color w:val="000000" w:themeColor="text1"/>
                <w:sz w:val="22"/>
                <w:lang w:val="zh-TW" w:eastAsia="zh-TW"/>
              </w:rPr>
              <w:t>文件及采购人承诺的质量、技术和其他要求，符合国家相关的质量标准和出厂标准</w:t>
            </w:r>
            <w:r>
              <w:rPr>
                <w:rFonts w:hint="eastAsia" w:ascii="仿宋" w:hAnsi="仿宋" w:eastAsia="仿宋" w:cs="仿宋"/>
                <w:color w:val="000000" w:themeColor="text1"/>
                <w:sz w:val="22"/>
                <w:lang w:val="zh-TW"/>
              </w:rPr>
              <w:t>；</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国家或行业主管部门对</w:t>
            </w:r>
            <w:r>
              <w:rPr>
                <w:rFonts w:hint="eastAsia" w:ascii="仿宋" w:hAnsi="仿宋" w:eastAsia="仿宋" w:cs="仿宋"/>
                <w:color w:val="000000" w:themeColor="text1"/>
                <w:sz w:val="22"/>
                <w:lang w:val="zh-TW"/>
              </w:rPr>
              <w:t>供应商</w:t>
            </w:r>
            <w:r>
              <w:rPr>
                <w:rFonts w:hint="eastAsia" w:ascii="仿宋" w:hAnsi="仿宋" w:eastAsia="仿宋" w:cs="仿宋"/>
                <w:color w:val="000000" w:themeColor="text1"/>
                <w:sz w:val="22"/>
                <w:lang w:val="zh-TW" w:eastAsia="zh-TW"/>
              </w:rPr>
              <w:t>和</w:t>
            </w:r>
            <w:r>
              <w:rPr>
                <w:rFonts w:hint="eastAsia" w:ascii="仿宋" w:hAnsi="仿宋" w:eastAsia="仿宋" w:cs="仿宋"/>
                <w:color w:val="000000" w:themeColor="text1"/>
                <w:sz w:val="22"/>
              </w:rPr>
              <w:t>服务</w:t>
            </w:r>
            <w:r>
              <w:rPr>
                <w:rFonts w:hint="eastAsia" w:ascii="仿宋" w:hAnsi="仿宋" w:eastAsia="仿宋" w:cs="仿宋"/>
                <w:color w:val="000000" w:themeColor="text1"/>
                <w:sz w:val="22"/>
                <w:lang w:val="zh-TW" w:eastAsia="zh-TW"/>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3</w:t>
            </w:r>
            <w:r>
              <w:rPr>
                <w:rFonts w:hint="eastAsia" w:ascii="仿宋" w:hAnsi="仿宋" w:eastAsia="仿宋" w:cs="仿宋"/>
                <w:color w:val="000000" w:themeColor="text1"/>
                <w:sz w:val="22"/>
                <w:lang w:val="zh-TW"/>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医疗耗材</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时效要求</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（若涉及）</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rPr>
              <w:t>供应商</w:t>
            </w:r>
            <w:r>
              <w:rPr>
                <w:rFonts w:hint="eastAsia" w:ascii="仿宋" w:hAnsi="仿宋" w:eastAsia="仿宋" w:cs="仿宋"/>
                <w:color w:val="000000" w:themeColor="text1"/>
                <w:sz w:val="22"/>
                <w:lang w:val="zh-TW"/>
              </w:rPr>
              <w:t>必须保证随时供货，不得因供货不及时影响</w:t>
            </w:r>
            <w:r>
              <w:rPr>
                <w:rFonts w:hint="eastAsia" w:ascii="仿宋" w:hAnsi="仿宋" w:eastAsia="仿宋" w:cs="仿宋"/>
                <w:color w:val="000000" w:themeColor="text1"/>
                <w:sz w:val="22"/>
              </w:rPr>
              <w:t>采购人</w:t>
            </w:r>
            <w:r>
              <w:rPr>
                <w:rFonts w:hint="eastAsia" w:ascii="仿宋" w:hAnsi="仿宋" w:eastAsia="仿宋" w:cs="仿宋"/>
                <w:color w:val="000000" w:themeColor="text1"/>
                <w:sz w:val="22"/>
                <w:lang w:val="zh-TW"/>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（1）供应商在采购活动中，不得有任何违法乱纪的行为；</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自本项目采购公告发布之日起5个工作日内，结果公告发布之日起1个工作日内通过书面形式或隆道云系统线下提交或线上提交；</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（1）比选完成后，采购人在系统中发出中选公告；</w:t>
            </w:r>
          </w:p>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（2）请中选供应商在中选公告发出一个工作日后，联系招标采购中心合同组（028-87394783）并将合同初稿发送至邮箱zbcgzxhtz@med.uestc.edu.cn</w:t>
            </w:r>
          </w:p>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5"/>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5"/>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19400"/>
      <w:bookmarkStart w:id="10" w:name="_Toc5333"/>
      <w:bookmarkStart w:id="11" w:name="_Toc28050"/>
      <w:r>
        <w:rPr>
          <w:rFonts w:hint="eastAsia" w:ascii="黑体" w:hAnsi="黑体" w:eastAsia="黑体" w:cs="黑体"/>
          <w:b/>
          <w:sz w:val="36"/>
          <w:szCs w:val="32"/>
        </w:rPr>
        <w:t xml:space="preserve"> 供应商资格审查及符合性审查</w:t>
      </w:r>
      <w:bookmarkEnd w:id="9"/>
      <w:bookmarkEnd w:id="10"/>
      <w:bookmarkEnd w:id="11"/>
    </w:p>
    <w:p>
      <w:pPr>
        <w:pStyle w:val="9"/>
        <w:ind w:firstLine="3253" w:firstLineChars="900"/>
        <w:rPr>
          <w:rFonts w:ascii="黑体" w:hAnsi="黑体" w:eastAsia="黑体" w:cs="黑体"/>
          <w:b/>
          <w:sz w:val="36"/>
          <w:szCs w:val="32"/>
        </w:rPr>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rPr>
              <w:t>具有独立承担民事责任的能力</w:t>
            </w:r>
          </w:p>
        </w:tc>
        <w:tc>
          <w:tcPr>
            <w:tcW w:w="4398" w:type="dxa"/>
            <w:vAlign w:val="center"/>
          </w:tcPr>
          <w:p>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pPr>
              <w:spacing w:line="360" w:lineRule="auto"/>
              <w:jc w:val="center"/>
              <w:rPr>
                <w:rFonts w:ascii="仿宋" w:hAnsi="仿宋" w:eastAsia="仿宋"/>
                <w:b/>
                <w:color w:val="000000" w:themeColor="text1"/>
                <w:sz w:val="22"/>
              </w:rPr>
            </w:pPr>
            <w:r>
              <w:rPr>
                <w:rFonts w:ascii="仿宋" w:hAnsi="仿宋" w:eastAsia="仿宋"/>
                <w:b/>
                <w:color w:val="000000" w:themeColor="text1"/>
                <w:sz w:val="22"/>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bl>
    <w:p>
      <w:r>
        <w:br w:type="page"/>
      </w:r>
    </w:p>
    <w:p>
      <w:pPr>
        <w:pStyle w:val="23"/>
      </w:pPr>
    </w:p>
    <w:p>
      <w:pPr>
        <w:pStyle w:val="23"/>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12" w:name="_Toc3988"/>
      <w:bookmarkStart w:id="13" w:name="_Toc3642"/>
      <w:bookmarkStart w:id="14" w:name="_Toc12668"/>
      <w:r>
        <w:rPr>
          <w:rFonts w:hint="eastAsia" w:ascii="黑体" w:hAnsi="黑体" w:eastAsia="黑体" w:cs="黑体"/>
          <w:b/>
          <w:sz w:val="36"/>
          <w:szCs w:val="32"/>
        </w:rPr>
        <w:t>采购需求</w:t>
      </w:r>
      <w:bookmarkEnd w:id="12"/>
      <w:bookmarkEnd w:id="13"/>
      <w:bookmarkEnd w:id="14"/>
    </w:p>
    <w:p>
      <w:pPr>
        <w:pStyle w:val="16"/>
        <w:spacing w:before="0" w:after="0" w:line="360" w:lineRule="auto"/>
        <w:ind w:firstLine="0"/>
        <w:rPr>
          <w:rFonts w:ascii="仿宋" w:hAnsi="仿宋" w:eastAsia="仿宋" w:cs="仿宋"/>
          <w:sz w:val="24"/>
          <w:szCs w:val="24"/>
        </w:rPr>
      </w:pPr>
      <w:r>
        <w:rPr>
          <w:rFonts w:hint="eastAsia" w:ascii="仿宋" w:hAnsi="仿宋" w:eastAsia="仿宋" w:cs="仿宋"/>
          <w:b/>
          <w:bCs/>
          <w:sz w:val="24"/>
          <w:szCs w:val="24"/>
        </w:rPr>
        <w:t>一、项目概况</w:t>
      </w:r>
    </w:p>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本项目拟采用公开比选的方式</w:t>
      </w:r>
      <w:r>
        <w:rPr>
          <w:rFonts w:hint="eastAsia" w:ascii="仿宋" w:hAnsi="仿宋" w:eastAsia="仿宋" w:cs="仿宋"/>
          <w:sz w:val="24"/>
          <w:szCs w:val="24"/>
          <w:lang w:val="en-US" w:eastAsia="zh-CN"/>
        </w:rPr>
        <w:t>采购一项仪器设备计量检测服务</w:t>
      </w:r>
      <w:r>
        <w:rPr>
          <w:rFonts w:hint="eastAsia" w:ascii="仿宋" w:hAnsi="仿宋" w:eastAsia="仿宋" w:cs="仿宋"/>
          <w:sz w:val="24"/>
          <w:szCs w:val="24"/>
        </w:rPr>
        <w:t>。</w:t>
      </w:r>
      <w:r>
        <w:rPr>
          <w:rFonts w:hint="eastAsia" w:ascii="仿宋" w:hAnsi="仿宋" w:eastAsia="仿宋" w:cs="仿宋"/>
          <w:sz w:val="24"/>
          <w:szCs w:val="24"/>
          <w:lang w:val="en-US" w:eastAsia="zh-CN"/>
        </w:rPr>
        <w:t>清单及限高价如下：</w:t>
      </w:r>
    </w:p>
    <w:tbl>
      <w:tblPr>
        <w:tblStyle w:val="17"/>
        <w:tblW w:w="7740" w:type="dxa"/>
        <w:tblInd w:w="93" w:type="dxa"/>
        <w:tblLayout w:type="autofit"/>
        <w:tblCellMar>
          <w:top w:w="0" w:type="dxa"/>
          <w:left w:w="108" w:type="dxa"/>
          <w:bottom w:w="0" w:type="dxa"/>
          <w:right w:w="108" w:type="dxa"/>
        </w:tblCellMar>
      </w:tblPr>
      <w:tblGrid>
        <w:gridCol w:w="1080"/>
        <w:gridCol w:w="2620"/>
        <w:gridCol w:w="1600"/>
        <w:gridCol w:w="2440"/>
      </w:tblGrid>
      <w:tr>
        <w:tblPrEx>
          <w:tblCellMar>
            <w:top w:w="0" w:type="dxa"/>
            <w:left w:w="108" w:type="dxa"/>
            <w:bottom w:w="0" w:type="dxa"/>
            <w:right w:w="108" w:type="dxa"/>
          </w:tblCellMar>
        </w:tblPrEx>
        <w:trPr>
          <w:trHeight w:val="405" w:hRule="atLeast"/>
        </w:trPr>
        <w:tc>
          <w:tcPr>
            <w:tcW w:w="7740" w:type="dxa"/>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2022年医用计量器具检定校准服务清单</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服务项目</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单价（元）</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冰箱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低温冰箱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超低温冰箱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超低温保存箱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电热恒温培养箱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隔水式恒温培养箱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孵育箱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冷藏冷冻柜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冷藏冷冻箱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冷冻冰箱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立式低温保存箱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立式冷藏柜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立式冷藏箱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低温冰柜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冷冻冰柜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冷冻冷藏箱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立式超低温保存箱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卧式冷藏柜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冷冻切片机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深低温冰箱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药品保存箱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医用低温保存箱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医用冷藏箱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转换型冷藏</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冷冻箱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霉菌培养箱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CO2</w:t>
            </w:r>
            <w:r>
              <w:rPr>
                <w:rFonts w:hint="eastAsia" w:ascii="宋体" w:hAnsi="宋体" w:eastAsia="宋体" w:cs="Calibri"/>
                <w:color w:val="000000"/>
                <w:kern w:val="0"/>
                <w:sz w:val="18"/>
                <w:szCs w:val="18"/>
              </w:rPr>
              <w:t>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尿液分析仪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全自动生化分析仪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电热恒温振荡水槽</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化浆机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电热恒温水浴箱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三用恒温水箱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生化培养箱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生物安全柜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水浴锅</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摇床</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烘箱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灭菌器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电子体温计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冰箱温度计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36</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数码双路温度计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温湿度记录仪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240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红外线测温仪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240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数显测温仪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数显温湿度表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温湿度表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36</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数字温度计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智能温度采集器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电解质分析仪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在线电导率仪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260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在线电阻率仪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260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自动定量灌装机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体重秤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电子体重秤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电子婴儿秤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血细胞分析仪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超声波体检机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电子地中衡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电子台秤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电子天平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准确度等级</w:t>
            </w:r>
            <w:r>
              <w:rPr>
                <w:rFonts w:ascii="宋体" w:hAnsi="宋体" w:eastAsia="宋体" w:cs="宋体"/>
                <w:color w:val="000000"/>
                <w:kern w:val="0"/>
                <w:sz w:val="18"/>
                <w:szCs w:val="18"/>
              </w:rPr>
              <w:t>Ⅰ</w:t>
            </w:r>
            <w:r>
              <w:rPr>
                <w:rFonts w:hint="eastAsia" w:ascii="宋体" w:hAnsi="宋体" w:eastAsia="宋体" w:cs="宋体"/>
                <w:color w:val="000000"/>
                <w:kern w:val="0"/>
                <w:sz w:val="18"/>
                <w:szCs w:val="18"/>
              </w:rPr>
              <w:t>，测量范围</w:t>
            </w:r>
            <w:r>
              <w:rPr>
                <w:rFonts w:ascii="Calibri" w:hAnsi="Calibri" w:eastAsia="宋体" w:cs="Calibri"/>
                <w:color w:val="000000"/>
                <w:kern w:val="0"/>
                <w:sz w:val="18"/>
                <w:szCs w:val="18"/>
              </w:rPr>
              <w:t>(2</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500)g , (1</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20)kg</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电子天平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准确度等级</w:t>
            </w:r>
            <w:r>
              <w:rPr>
                <w:rFonts w:ascii="宋体" w:hAnsi="宋体" w:eastAsia="宋体" w:cs="宋体"/>
                <w:color w:val="000000"/>
                <w:kern w:val="0"/>
                <w:sz w:val="18"/>
                <w:szCs w:val="18"/>
              </w:rPr>
              <w:t>Ⅱ</w:t>
            </w:r>
            <w:r>
              <w:rPr>
                <w:rFonts w:hint="eastAsia" w:ascii="宋体" w:hAnsi="宋体" w:eastAsia="宋体" w:cs="宋体"/>
                <w:color w:val="000000"/>
                <w:kern w:val="0"/>
                <w:sz w:val="18"/>
                <w:szCs w:val="18"/>
              </w:rPr>
              <w:t>，测量范围</w:t>
            </w:r>
            <w:r>
              <w:rPr>
                <w:rFonts w:ascii="Calibri" w:hAnsi="Calibri" w:eastAsia="宋体" w:cs="Calibri"/>
                <w:color w:val="000000"/>
                <w:kern w:val="0"/>
                <w:sz w:val="18"/>
                <w:szCs w:val="18"/>
              </w:rPr>
              <w:t>(100</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500)g , (1</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20)kg</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电子天平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准确度等级</w:t>
            </w:r>
            <w:r>
              <w:rPr>
                <w:rFonts w:ascii="宋体" w:hAnsi="宋体" w:eastAsia="宋体" w:cs="宋体"/>
                <w:color w:val="000000"/>
                <w:kern w:val="0"/>
                <w:sz w:val="18"/>
                <w:szCs w:val="18"/>
              </w:rPr>
              <w:t>Ⅱ</w:t>
            </w:r>
            <w:r>
              <w:rPr>
                <w:rFonts w:hint="eastAsia" w:ascii="宋体" w:hAnsi="宋体" w:eastAsia="宋体" w:cs="宋体"/>
                <w:color w:val="000000"/>
                <w:kern w:val="0"/>
                <w:sz w:val="18"/>
                <w:szCs w:val="18"/>
              </w:rPr>
              <w:t>，测量范围</w:t>
            </w:r>
            <w:r>
              <w:rPr>
                <w:rFonts w:ascii="Calibri" w:hAnsi="Calibri" w:eastAsia="宋体" w:cs="Calibri"/>
                <w:color w:val="000000"/>
                <w:kern w:val="0"/>
                <w:sz w:val="18"/>
                <w:szCs w:val="18"/>
              </w:rPr>
              <w:t>(100</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500)g , (1</w:t>
            </w:r>
            <w:r>
              <w:rPr>
                <w:rFonts w:hint="eastAsia" w:ascii="宋体" w:hAnsi="宋体" w:eastAsia="宋体" w:cs="宋体"/>
                <w:color w:val="000000"/>
                <w:kern w:val="0"/>
                <w:sz w:val="18"/>
                <w:szCs w:val="18"/>
              </w:rPr>
              <w:t>～</w:t>
            </w:r>
            <w:r>
              <w:rPr>
                <w:rFonts w:ascii="Calibri" w:hAnsi="Calibri" w:eastAsia="宋体" w:cs="Calibri"/>
                <w:color w:val="000000"/>
                <w:kern w:val="0"/>
                <w:sz w:val="18"/>
                <w:szCs w:val="18"/>
              </w:rPr>
              <w:t>20)kg</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架盘天平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托盘扭力天平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原子荧光光度计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荧光分光光度计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紫外可见分光光度计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酸度计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液相色谱仪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640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液相色谱</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质谱联用仪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气相色谱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气相色谱质谱联用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可调移液器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定量移液器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移液器（</w:t>
            </w:r>
            <w:r>
              <w:rPr>
                <w:rFonts w:ascii="Calibri" w:hAnsi="Calibri" w:eastAsia="宋体" w:cs="Calibri"/>
                <w:color w:val="000000"/>
                <w:kern w:val="0"/>
                <w:sz w:val="18"/>
                <w:szCs w:val="18"/>
              </w:rPr>
              <w:t>8</w:t>
            </w:r>
            <w:r>
              <w:rPr>
                <w:rFonts w:hint="eastAsia" w:ascii="宋体" w:hAnsi="宋体" w:eastAsia="宋体" w:cs="宋体"/>
                <w:color w:val="000000"/>
                <w:kern w:val="0"/>
                <w:sz w:val="18"/>
                <w:szCs w:val="18"/>
              </w:rPr>
              <w:t>道）</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540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瓶口分液器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240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离心机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酶标仪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显微镜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270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荧光显微镜</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270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游标卡尺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分度吸量管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滴定管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量筒</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浮标式氧气吸入器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中心供氧氧气吸入器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医用彩色多普勒超声诊断仪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医用超声诊断仪超声源</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胎儿监护仪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270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除颤仪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注射泵（单通道）</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注射泵（双通道）</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输液泵</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高频电刀</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600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呼吸机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婴儿培养箱</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血液透析机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99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肺功能仪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700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医用激光源</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核磁共振成像系统</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w:t>
            </w:r>
            <w:r>
              <w:rPr>
                <w:rFonts w:ascii="Calibri" w:hAnsi="Calibri" w:eastAsia="宋体" w:cs="Calibri"/>
                <w:color w:val="000000"/>
                <w:kern w:val="0"/>
                <w:sz w:val="18"/>
                <w:szCs w:val="18"/>
              </w:rPr>
              <w:t>COD</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在线氨氮</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在线总磷、总氮</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一氧化碳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二氧化碳</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电位滴定仪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ICP</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ICP-MS</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电导</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溶解氧</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原子吸收</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旋光仪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水分仪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洗板机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高压灭菌器（压力部分）</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高压灭菌器（安全阀）</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安全阀</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测听室</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表面沾污仪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个人剂量仪（</w:t>
            </w:r>
            <w:r>
              <w:rPr>
                <w:rFonts w:ascii="Calibri" w:hAnsi="Calibri" w:eastAsia="宋体" w:cs="Calibri"/>
                <w:color w:val="000000"/>
                <w:kern w:val="0"/>
                <w:sz w:val="18"/>
                <w:szCs w:val="18"/>
              </w:rPr>
              <w:t>γ</w:t>
            </w:r>
            <w:r>
              <w:rPr>
                <w:rFonts w:hint="eastAsia" w:ascii="宋体" w:hAnsi="宋体" w:eastAsia="宋体" w:cs="宋体"/>
                <w:color w:val="000000"/>
                <w:kern w:val="0"/>
                <w:sz w:val="18"/>
                <w:szCs w:val="18"/>
              </w:rPr>
              <w: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个人剂量仪</w:t>
            </w:r>
            <w:r>
              <w:rPr>
                <w:rFonts w:ascii="Calibri" w:hAnsi="Calibri" w:eastAsia="宋体" w:cs="Calibri"/>
                <w:color w:val="000000"/>
                <w:kern w:val="0"/>
                <w:sz w:val="18"/>
                <w:szCs w:val="18"/>
              </w:rPr>
              <w:t>(x)</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加速器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3500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辐射防护巡检仪（</w:t>
            </w:r>
            <w:r>
              <w:rPr>
                <w:rFonts w:ascii="Calibri" w:hAnsi="Calibri" w:eastAsia="宋体" w:cs="Calibri"/>
                <w:color w:val="000000"/>
                <w:kern w:val="0"/>
                <w:sz w:val="18"/>
                <w:szCs w:val="18"/>
              </w:rPr>
              <w:t>γ</w:t>
            </w:r>
            <w:r>
              <w:rPr>
                <w:rFonts w:hint="eastAsia" w:ascii="宋体" w:hAnsi="宋体" w:eastAsia="宋体" w:cs="宋体"/>
                <w:color w:val="000000"/>
                <w:kern w:val="0"/>
                <w:sz w:val="18"/>
                <w:szCs w:val="18"/>
              </w:rPr>
              <w: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1100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辐射防护巡检仪</w:t>
            </w:r>
            <w:r>
              <w:rPr>
                <w:rFonts w:ascii="Calibri" w:hAnsi="Calibri" w:eastAsia="宋体" w:cs="Calibri"/>
                <w:color w:val="000000"/>
                <w:kern w:val="0"/>
                <w:sz w:val="18"/>
                <w:szCs w:val="18"/>
              </w:rPr>
              <w:t>(x)</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超声骨密度仪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X</w:t>
            </w:r>
            <w:r>
              <w:rPr>
                <w:rFonts w:hint="eastAsia" w:ascii="宋体" w:hAnsi="宋体" w:eastAsia="宋体" w:cs="Calibri"/>
                <w:color w:val="000000"/>
                <w:kern w:val="0"/>
                <w:sz w:val="18"/>
                <w:szCs w:val="18"/>
              </w:rPr>
              <w:t>射线骨密度</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400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化学发光免疫分析仪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129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PCR</w:t>
            </w:r>
            <w:r>
              <w:rPr>
                <w:rFonts w:hint="eastAsia" w:ascii="宋体" w:hAnsi="宋体" w:eastAsia="宋体" w:cs="Calibri"/>
                <w:color w:val="000000"/>
                <w:kern w:val="0"/>
                <w:sz w:val="18"/>
                <w:szCs w:val="18"/>
              </w:rPr>
              <w:t>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核酸提取仪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清洗消毒机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脉动真空灭菌器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环氧乙烷灭菌器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800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酒精含量检测仪（检定）</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PCR</w:t>
            </w:r>
            <w:r>
              <w:rPr>
                <w:rFonts w:hint="eastAsia" w:ascii="宋体" w:hAnsi="宋体" w:eastAsia="宋体" w:cs="Calibri"/>
                <w:color w:val="000000"/>
                <w:kern w:val="0"/>
                <w:sz w:val="18"/>
                <w:szCs w:val="18"/>
              </w:rPr>
              <w:t>扩增仪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全自动核酸提取仪</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1500</w:t>
            </w:r>
          </w:p>
        </w:tc>
        <w:tc>
          <w:tcPr>
            <w:tcW w:w="2440"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139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CT</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5000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149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DSA</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ERCP</w:t>
            </w:r>
            <w:r>
              <w:rPr>
                <w:rFonts w:hint="eastAsia" w:ascii="宋体" w:hAnsi="宋体" w:eastAsia="宋体" w:cs="Calibri"/>
                <w:color w:val="000000"/>
                <w:kern w:val="0"/>
                <w:sz w:val="18"/>
                <w:szCs w:val="18"/>
              </w:rPr>
              <w:t>专用</w:t>
            </w:r>
            <w:r>
              <w:rPr>
                <w:rFonts w:ascii="Calibri" w:hAnsi="Calibri" w:eastAsia="宋体" w:cs="Calibri"/>
                <w:color w:val="000000"/>
                <w:kern w:val="0"/>
                <w:sz w:val="18"/>
                <w:szCs w:val="18"/>
              </w:rPr>
              <w:t>X</w:t>
            </w:r>
            <w:r>
              <w:rPr>
                <w:rFonts w:hint="eastAsia" w:ascii="宋体" w:hAnsi="宋体" w:eastAsia="宋体" w:cs="Calibri"/>
                <w:color w:val="000000"/>
                <w:kern w:val="0"/>
                <w:sz w:val="18"/>
                <w:szCs w:val="18"/>
              </w:rPr>
              <w:t>光机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156</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双板</w:t>
            </w: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157</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单板</w:t>
            </w: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158</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单板</w:t>
            </w: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159</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160</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161</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162</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移动</w:t>
            </w: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163</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移动</w:t>
            </w: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164</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胃肠机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165</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DR</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2000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放射设备稳定性检测</w:t>
            </w:r>
          </w:p>
        </w:tc>
      </w:tr>
    </w:tbl>
    <w:p>
      <w:pPr>
        <w:pStyle w:val="9"/>
      </w:pPr>
    </w:p>
    <w:p>
      <w:pPr>
        <w:spacing w:line="360" w:lineRule="auto"/>
        <w:jc w:val="left"/>
        <w:rPr>
          <w:rFonts w:ascii="仿宋" w:hAnsi="仿宋" w:eastAsia="仿宋" w:cs="仿宋"/>
          <w:sz w:val="24"/>
          <w:szCs w:val="24"/>
        </w:rPr>
      </w:pPr>
      <w:r>
        <w:rPr>
          <w:rFonts w:hint="eastAsia" w:ascii="仿宋" w:hAnsi="仿宋" w:eastAsia="仿宋" w:cs="仿宋"/>
          <w:b/>
          <w:bCs/>
          <w:sz w:val="24"/>
        </w:rPr>
        <w:t>二、</w:t>
      </w:r>
      <w:r>
        <w:rPr>
          <w:rFonts w:hint="eastAsia" w:ascii="仿宋" w:hAnsi="仿宋" w:eastAsia="仿宋" w:cs="仿宋"/>
          <w:b/>
          <w:bCs/>
          <w:sz w:val="24"/>
          <w:szCs w:val="24"/>
        </w:rPr>
        <w:t>技术、服务要求</w:t>
      </w:r>
    </w:p>
    <w:p>
      <w:pPr>
        <w:widowControl/>
        <w:rPr>
          <w:rFonts w:ascii="仿宋_GB2312" w:hAnsi="宋体" w:eastAsia="仿宋_GB2312" w:cs="宋体"/>
          <w:color w:val="000000"/>
          <w:kern w:val="0"/>
          <w:sz w:val="24"/>
        </w:rPr>
      </w:pPr>
      <w:r>
        <w:rPr>
          <w:rFonts w:hint="eastAsia" w:ascii="宋体" w:hAnsi="宋体" w:eastAsia="宋体" w:cs="宋体"/>
          <w:color w:val="000000"/>
          <w:kern w:val="0"/>
          <w:sz w:val="24"/>
        </w:rPr>
        <w:t>★</w:t>
      </w:r>
      <w:r>
        <w:rPr>
          <w:rFonts w:hint="eastAsia" w:ascii="仿宋_GB2312" w:hAnsi="宋体" w:eastAsia="仿宋_GB2312" w:cs="宋体"/>
          <w:color w:val="000000"/>
          <w:kern w:val="0"/>
          <w:sz w:val="24"/>
        </w:rPr>
        <w:t>1．具有省级及以上质量技术监督局颁发的法定计量检定机构计量授权书。</w:t>
      </w:r>
    </w:p>
    <w:p>
      <w:pPr>
        <w:widowControl/>
        <w:rPr>
          <w:rFonts w:ascii="仿宋_GB2312" w:hAnsi="宋体" w:eastAsia="仿宋_GB2312" w:cs="宋体"/>
          <w:color w:val="000000"/>
          <w:kern w:val="0"/>
          <w:sz w:val="24"/>
        </w:rPr>
      </w:pPr>
      <w:r>
        <w:rPr>
          <w:rFonts w:hint="eastAsia" w:ascii="宋体" w:hAnsi="宋体" w:eastAsia="宋体" w:cs="宋体"/>
          <w:color w:val="000000"/>
          <w:kern w:val="0"/>
          <w:sz w:val="24"/>
        </w:rPr>
        <w:t>★</w:t>
      </w:r>
      <w:r>
        <w:rPr>
          <w:rFonts w:hint="eastAsia" w:ascii="仿宋_GB2312" w:hAnsi="宋体" w:eastAsia="仿宋_GB2312" w:cs="宋体"/>
          <w:color w:val="000000"/>
          <w:kern w:val="0"/>
          <w:sz w:val="24"/>
        </w:rPr>
        <w:t>2. 具有省级及以上质量技术监督局颁发的检验检测机构资质认定证书。</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3. 具</w:t>
      </w:r>
      <w:r>
        <w:rPr>
          <w:rFonts w:hint="eastAsia" w:ascii="仿宋_GB2312" w:hAnsi="宋体" w:eastAsia="仿宋_GB2312" w:cs="宋体"/>
          <w:color w:val="000000" w:themeColor="text1"/>
          <w:kern w:val="0"/>
          <w:sz w:val="24"/>
          <w14:textFill>
            <w14:solidFill>
              <w14:schemeClr w14:val="tx1"/>
            </w14:solidFill>
          </w14:textFill>
        </w:rPr>
        <w:t>有中国合格评定国家认可委员会</w:t>
      </w:r>
      <w:r>
        <w:rPr>
          <w:rFonts w:hint="eastAsia" w:ascii="仿宋_GB2312" w:hAnsi="宋体" w:eastAsia="仿宋_GB2312" w:cs="宋体"/>
          <w:color w:val="000000"/>
          <w:kern w:val="0"/>
          <w:sz w:val="24"/>
        </w:rPr>
        <w:t>授权实验室认可证书。</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4. 具有履行合同内检测项目所必须的实验室、设备和专业技术能力。应配备具有相关专业检测能力的工作人员20人以上，其中具有高级职称的人员4人以上，中级职称人员10人以上，技术人员应具备合法的项目检测资质或注册计量师资质；对检测项目应配备经检测合格的标准检测器具三套以上，对于量大的项目如超声、输液泵、注射泵等应具有五套以上标准器具。</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5.具备能覆盖采购人所需检测项目95%以上的检测资质和能力；并提供检测项目的社会共用计量标准证书，传递地区或范围为成都行政区域。检测项目见“2022年医用计量器具检定校准服务清单”。</w:t>
      </w:r>
    </w:p>
    <w:p>
      <w:pPr>
        <w:rPr>
          <w:rFonts w:ascii="仿宋_GB2312" w:hAnsi="宋体" w:eastAsia="仿宋_GB2312" w:cs="宋体"/>
          <w:color w:val="000000"/>
          <w:kern w:val="0"/>
          <w:sz w:val="24"/>
        </w:rPr>
      </w:pPr>
      <w:r>
        <w:rPr>
          <w:rFonts w:hint="eastAsia" w:ascii="宋体" w:hAnsi="宋体" w:eastAsia="宋体" w:cs="宋体"/>
          <w:color w:val="000000"/>
          <w:kern w:val="0"/>
          <w:sz w:val="24"/>
        </w:rPr>
        <w:t>★</w:t>
      </w:r>
      <w:r>
        <w:rPr>
          <w:rFonts w:hint="eastAsia" w:ascii="仿宋_GB2312" w:hAnsi="宋体" w:eastAsia="仿宋_GB2312" w:cs="宋体"/>
          <w:color w:val="000000"/>
          <w:kern w:val="0"/>
          <w:sz w:val="24"/>
        </w:rPr>
        <w:t>6.</w:t>
      </w:r>
      <w:r>
        <w:rPr>
          <w:rFonts w:hint="eastAsia"/>
        </w:rPr>
        <w:t xml:space="preserve"> </w:t>
      </w:r>
      <w:r>
        <w:rPr>
          <w:rFonts w:hint="eastAsia" w:ascii="仿宋_GB2312" w:hAnsi="宋体" w:eastAsia="仿宋_GB2312" w:cs="宋体"/>
          <w:color w:val="000000"/>
          <w:kern w:val="0"/>
          <w:sz w:val="24"/>
        </w:rPr>
        <w:t>采购人需进行检测的设备，可在采购人所在地进行检测的，接采购人通知后48小时内到现场进行检测；需外送其它地点(实验室)进行检测的，接到采购人通知后24小时内上门取件，并在检测完成后将设备送回采购人所在地, 每月提供至少四次上门取件服务。检测完成后均出具符合国家相关规定的检测报告。</w:t>
      </w:r>
    </w:p>
    <w:p>
      <w:pPr>
        <w:pStyle w:val="16"/>
        <w:spacing w:before="0" w:after="0" w:line="360" w:lineRule="auto"/>
        <w:ind w:firstLine="0"/>
        <w:rPr>
          <w:rFonts w:ascii="仿宋" w:hAnsi="仿宋" w:eastAsia="仿宋" w:cs="仿宋"/>
          <w:b/>
          <w:bCs/>
          <w:sz w:val="24"/>
          <w:szCs w:val="24"/>
        </w:rPr>
      </w:pPr>
      <w:r>
        <w:rPr>
          <w:rFonts w:hint="eastAsia" w:ascii="仿宋" w:hAnsi="仿宋" w:eastAsia="仿宋" w:cs="仿宋"/>
          <w:b/>
          <w:bCs/>
          <w:sz w:val="24"/>
          <w:szCs w:val="22"/>
        </w:rPr>
        <w:t>★三</w:t>
      </w:r>
      <w:r>
        <w:rPr>
          <w:rFonts w:hint="eastAsia" w:ascii="仿宋" w:hAnsi="仿宋" w:eastAsia="仿宋" w:cs="仿宋"/>
          <w:b/>
          <w:bCs/>
          <w:sz w:val="24"/>
          <w:szCs w:val="24"/>
        </w:rPr>
        <w:t>、商务要求：</w:t>
      </w:r>
    </w:p>
    <w:p>
      <w:pPr>
        <w:pStyle w:val="16"/>
        <w:numPr>
          <w:ilvl w:val="0"/>
          <w:numId w:val="7"/>
        </w:numPr>
        <w:spacing w:before="0" w:after="0" w:line="360" w:lineRule="auto"/>
        <w:ind w:firstLine="0"/>
        <w:rPr>
          <w:rFonts w:hint="eastAsia" w:ascii="仿宋" w:hAnsi="仿宋" w:eastAsia="仿宋" w:cs="仿宋"/>
          <w:sz w:val="24"/>
          <w:szCs w:val="24"/>
        </w:rPr>
      </w:pPr>
      <w:r>
        <w:rPr>
          <w:rFonts w:hint="eastAsia" w:ascii="仿宋" w:hAnsi="仿宋" w:eastAsia="仿宋" w:cs="仿宋"/>
          <w:sz w:val="24"/>
          <w:szCs w:val="24"/>
        </w:rPr>
        <w:t>履约验收方案：按照医院需求及时进行检测并出具符合国家相关规定的检测报告。</w:t>
      </w:r>
    </w:p>
    <w:p>
      <w:pPr>
        <w:pStyle w:val="16"/>
        <w:numPr>
          <w:ilvl w:val="0"/>
          <w:numId w:val="0"/>
        </w:numPr>
        <w:spacing w:before="0" w:after="0" w:line="360" w:lineRule="auto"/>
        <w:ind w:leftChars="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w:t>
      </w:r>
      <w:r>
        <w:rPr>
          <w:rFonts w:hint="eastAsia" w:ascii="仿宋" w:hAnsi="仿宋" w:eastAsia="仿宋" w:cs="仿宋"/>
          <w:sz w:val="24"/>
          <w:szCs w:val="24"/>
          <w:lang w:val="en-US" w:eastAsia="zh-CN"/>
        </w:rPr>
        <w:t>服务地点</w:t>
      </w:r>
      <w:r>
        <w:rPr>
          <w:rFonts w:hint="eastAsia" w:ascii="仿宋" w:hAnsi="仿宋" w:eastAsia="仿宋" w:cs="仿宋"/>
          <w:sz w:val="24"/>
          <w:szCs w:val="24"/>
        </w:rPr>
        <w:t>：四川省人民医院东区院内。</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val="en-US" w:eastAsia="zh-CN"/>
        </w:rPr>
        <w:t>服务</w:t>
      </w:r>
      <w:r>
        <w:rPr>
          <w:rFonts w:hint="eastAsia" w:ascii="仿宋" w:hAnsi="仿宋" w:eastAsia="仿宋" w:cs="仿宋"/>
          <w:sz w:val="24"/>
          <w:szCs w:val="24"/>
        </w:rPr>
        <w:t>期：不低于1年。</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）售后服务方案：</w:t>
      </w:r>
      <w:r>
        <w:rPr>
          <w:rFonts w:hint="eastAsia" w:ascii="仿宋" w:hAnsi="仿宋" w:eastAsia="仿宋" w:cs="仿宋"/>
          <w:sz w:val="24"/>
          <w:szCs w:val="24"/>
          <w:lang w:val="en-US" w:eastAsia="zh-CN"/>
        </w:rPr>
        <w:t>无</w:t>
      </w:r>
      <w:r>
        <w:rPr>
          <w:rFonts w:hint="eastAsia" w:ascii="仿宋" w:hAnsi="仿宋" w:eastAsia="仿宋" w:cs="仿宋"/>
          <w:sz w:val="24"/>
          <w:szCs w:val="24"/>
        </w:rPr>
        <w:t>。</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）付款条件：按实结算，设备验收后支付100%。支付上限</w:t>
      </w:r>
      <w:r>
        <w:rPr>
          <w:rFonts w:hint="eastAsia" w:ascii="仿宋" w:hAnsi="仿宋" w:eastAsia="仿宋" w:cs="仿宋"/>
          <w:sz w:val="24"/>
          <w:szCs w:val="24"/>
          <w:lang w:val="en-US" w:eastAsia="zh-CN"/>
        </w:rPr>
        <w:t>20</w:t>
      </w:r>
      <w:r>
        <w:rPr>
          <w:rFonts w:hint="eastAsia" w:ascii="仿宋" w:hAnsi="仿宋" w:eastAsia="仿宋" w:cs="仿宋"/>
          <w:sz w:val="24"/>
          <w:szCs w:val="24"/>
        </w:rPr>
        <w:t>万元。</w:t>
      </w:r>
    </w:p>
    <w:p>
      <w:pPr>
        <w:pStyle w:val="16"/>
        <w:ind w:firstLine="0"/>
        <w:rPr>
          <w:rFonts w:ascii="仿宋" w:hAnsi="仿宋" w:eastAsia="仿宋" w:cs="仿宋"/>
          <w:sz w:val="24"/>
          <w:szCs w:val="24"/>
        </w:rPr>
      </w:pPr>
    </w:p>
    <w:p>
      <w:pPr>
        <w:pStyle w:val="16"/>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spacing w:line="360" w:lineRule="auto"/>
        <w:jc w:val="left"/>
        <w:rPr>
          <w:rFonts w:ascii="宋体" w:hAnsi="宋体" w:eastAsia="宋体" w:cs="宋体"/>
          <w:sz w:val="24"/>
          <w:szCs w:val="24"/>
        </w:rPr>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15" w:name="_Toc22588"/>
      <w:bookmarkStart w:id="16" w:name="_Toc13768"/>
      <w:bookmarkStart w:id="17" w:name="_Toc16738"/>
      <w:r>
        <w:rPr>
          <w:rFonts w:hint="eastAsia" w:ascii="黑体" w:hAnsi="黑体" w:eastAsia="黑体" w:cs="黑体"/>
          <w:b/>
          <w:sz w:val="36"/>
          <w:szCs w:val="32"/>
        </w:rPr>
        <w:t>评分标准</w:t>
      </w:r>
      <w:bookmarkEnd w:id="15"/>
      <w:bookmarkEnd w:id="16"/>
      <w:bookmarkEnd w:id="17"/>
    </w:p>
    <w:p>
      <w:pPr>
        <w:pStyle w:val="9"/>
      </w:pPr>
    </w:p>
    <w:p>
      <w:pPr>
        <w:jc w:val="center"/>
        <w:rPr>
          <w:rFonts w:hint="eastAsia" w:ascii="仿宋" w:hAnsi="仿宋" w:eastAsia="仿宋" w:cs="仿宋"/>
          <w:sz w:val="24"/>
          <w:szCs w:val="24"/>
        </w:rPr>
      </w:pPr>
      <w:r>
        <w:rPr>
          <w:rFonts w:hint="eastAsia" w:ascii="仿宋" w:hAnsi="仿宋" w:eastAsia="仿宋" w:cs="仿宋"/>
          <w:sz w:val="24"/>
          <w:szCs w:val="24"/>
        </w:rPr>
        <w:t>本项目采用</w:t>
      </w:r>
      <w:r>
        <w:rPr>
          <w:rFonts w:hint="eastAsia" w:ascii="仿宋" w:hAnsi="仿宋" w:eastAsia="仿宋" w:cs="仿宋"/>
          <w:sz w:val="24"/>
          <w:szCs w:val="24"/>
          <w:lang w:val="en-US" w:eastAsia="zh-CN"/>
        </w:rPr>
        <w:t>综合</w:t>
      </w:r>
      <w:r>
        <w:rPr>
          <w:rFonts w:hint="eastAsia" w:ascii="仿宋" w:hAnsi="仿宋" w:eastAsia="仿宋" w:cs="仿宋"/>
          <w:sz w:val="24"/>
          <w:szCs w:val="24"/>
        </w:rPr>
        <w:t>评分法。</w:t>
      </w:r>
    </w:p>
    <w:p>
      <w:pPr>
        <w:pStyle w:val="3"/>
        <w:tabs>
          <w:tab w:val="left" w:pos="600"/>
        </w:tabs>
        <w:spacing w:line="400" w:lineRule="exact"/>
        <w:ind w:firstLine="480" w:firstLineChars="200"/>
        <w:rPr>
          <w:color w:val="auto"/>
          <w:highlight w:val="none"/>
        </w:rPr>
      </w:pPr>
      <w:r>
        <w:rPr>
          <w:rFonts w:ascii="宋体" w:hAnsi="宋体" w:cs="宋体"/>
          <w:color w:val="auto"/>
          <w:sz w:val="24"/>
          <w:szCs w:val="24"/>
          <w:highlight w:val="none"/>
        </w:rPr>
        <w:t>4.3.2</w:t>
      </w:r>
      <w:r>
        <w:rPr>
          <w:rFonts w:hint="eastAsia" w:ascii="宋体" w:hAnsi="宋体" w:cs="宋体"/>
          <w:color w:val="auto"/>
          <w:sz w:val="24"/>
          <w:szCs w:val="24"/>
          <w:highlight w:val="none"/>
        </w:rPr>
        <w:t>综合评分明细表</w:t>
      </w:r>
    </w:p>
    <w:tbl>
      <w:tblPr>
        <w:tblStyle w:val="40"/>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013"/>
        <w:gridCol w:w="887"/>
        <w:gridCol w:w="4696"/>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2" w:type="dxa"/>
            <w:vAlign w:val="top"/>
          </w:tcPr>
          <w:p>
            <w:pPr>
              <w:spacing w:before="118" w:line="189" w:lineRule="auto"/>
              <w:ind w:firstLine="19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序号</w:t>
            </w:r>
          </w:p>
        </w:tc>
        <w:tc>
          <w:tcPr>
            <w:tcW w:w="2013" w:type="dxa"/>
            <w:vAlign w:val="top"/>
          </w:tcPr>
          <w:p>
            <w:pPr>
              <w:spacing w:before="118" w:line="189" w:lineRule="auto"/>
              <w:ind w:firstLine="6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评分因素</w:t>
            </w:r>
          </w:p>
        </w:tc>
        <w:tc>
          <w:tcPr>
            <w:tcW w:w="887" w:type="dxa"/>
            <w:vAlign w:val="top"/>
          </w:tcPr>
          <w:p>
            <w:pPr>
              <w:spacing w:before="118" w:line="189" w:lineRule="auto"/>
              <w:ind w:firstLine="22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权重</w:t>
            </w:r>
          </w:p>
        </w:tc>
        <w:tc>
          <w:tcPr>
            <w:tcW w:w="4696" w:type="dxa"/>
            <w:vAlign w:val="top"/>
          </w:tcPr>
          <w:p>
            <w:pPr>
              <w:spacing w:before="118" w:line="189" w:lineRule="auto"/>
              <w:ind w:firstLine="10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评分标准</w:t>
            </w:r>
          </w:p>
        </w:tc>
        <w:tc>
          <w:tcPr>
            <w:tcW w:w="1192" w:type="dxa"/>
            <w:vAlign w:val="top"/>
          </w:tcPr>
          <w:p>
            <w:pPr>
              <w:spacing w:before="118" w:line="189" w:lineRule="auto"/>
              <w:ind w:firstLine="222"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782"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firstLine="3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3"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right="253" w:firstLine="672"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报价</w:t>
            </w:r>
          </w:p>
          <w:p>
            <w:pPr>
              <w:spacing w:before="78" w:line="240" w:lineRule="auto"/>
              <w:ind w:right="253"/>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（共同评分因素）</w:t>
            </w:r>
          </w:p>
        </w:tc>
        <w:tc>
          <w:tcPr>
            <w:tcW w:w="887"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firstLine="299"/>
              <w:jc w:val="lef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10%</w:t>
            </w:r>
          </w:p>
        </w:tc>
        <w:tc>
          <w:tcPr>
            <w:tcW w:w="4696" w:type="dxa"/>
            <w:vAlign w:val="top"/>
          </w:tcPr>
          <w:p>
            <w:pPr>
              <w:spacing w:before="116" w:line="240" w:lineRule="auto"/>
              <w:ind w:left="118" w:right="78" w:firstLine="1"/>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满足招标文件要求且投标价格最低的投标报价作为</w:t>
            </w:r>
            <w:r>
              <w:rPr>
                <w:rFonts w:hint="eastAsia" w:ascii="宋体" w:hAnsi="宋体" w:eastAsia="宋体" w:cs="宋体"/>
                <w:color w:val="auto"/>
                <w:spacing w:val="-6"/>
                <w:sz w:val="24"/>
                <w:szCs w:val="24"/>
                <w:highlight w:val="none"/>
              </w:rPr>
              <w:t>基准价，其价格分为满分，</w:t>
            </w:r>
            <w:r>
              <w:rPr>
                <w:rFonts w:hint="eastAsia" w:ascii="宋体" w:hAnsi="宋体" w:eastAsia="宋体" w:cs="宋体"/>
                <w:color w:val="auto"/>
                <w:spacing w:val="1"/>
                <w:sz w:val="24"/>
                <w:szCs w:val="24"/>
                <w:highlight w:val="none"/>
              </w:rPr>
              <w:t>投标报价得分</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
                <w:sz w:val="24"/>
                <w:szCs w:val="24"/>
                <w:highlight w:val="none"/>
              </w:rPr>
              <w:t>基准价/</w:t>
            </w:r>
            <w:r>
              <w:rPr>
                <w:rFonts w:hint="eastAsia" w:ascii="宋体" w:hAnsi="宋体" w:eastAsia="宋体" w:cs="宋体"/>
                <w:color w:val="auto"/>
                <w:spacing w:val="-16"/>
                <w:sz w:val="24"/>
                <w:szCs w:val="24"/>
                <w:highlight w:val="none"/>
              </w:rPr>
              <w:t>投标报价）*10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6"/>
                <w:sz w:val="24"/>
                <w:szCs w:val="24"/>
                <w:highlight w:val="none"/>
              </w:rPr>
              <w:t>分</w:t>
            </w:r>
          </w:p>
          <w:p>
            <w:pPr>
              <w:spacing w:before="1" w:line="240" w:lineRule="auto"/>
              <w:ind w:left="119" w:right="60" w:firstLine="6"/>
              <w:jc w:val="left"/>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17"/>
                <w:sz w:val="24"/>
                <w:szCs w:val="24"/>
                <w:highlight w:val="none"/>
              </w:rPr>
              <w:t>最终结果取值按四舍五</w:t>
            </w:r>
            <w:r>
              <w:rPr>
                <w:rFonts w:hint="eastAsia" w:ascii="宋体" w:hAnsi="宋体" w:eastAsia="宋体" w:cs="宋体"/>
                <w:color w:val="auto"/>
                <w:spacing w:val="-4"/>
                <w:sz w:val="24"/>
                <w:szCs w:val="24"/>
                <w:highlight w:val="none"/>
              </w:rPr>
              <w:t>入法，保留小数点后两位。</w:t>
            </w:r>
          </w:p>
        </w:tc>
        <w:tc>
          <w:tcPr>
            <w:tcW w:w="1192" w:type="dxa"/>
            <w:vAlign w:val="top"/>
          </w:tcPr>
          <w:p>
            <w:pPr>
              <w:spacing w:before="78" w:line="240" w:lineRule="auto"/>
              <w:ind w:right="108"/>
              <w:jc w:val="left"/>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782"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13" w:type="dxa"/>
            <w:vAlign w:val="top"/>
          </w:tcPr>
          <w:p>
            <w:pPr>
              <w:spacing w:before="78" w:line="240" w:lineRule="auto"/>
              <w:ind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服务要求</w:t>
            </w:r>
          </w:p>
          <w:p>
            <w:pPr>
              <w:spacing w:before="222" w:line="240" w:lineRule="auto"/>
              <w:ind w:firstLine="13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（技术评分因素）</w:t>
            </w:r>
          </w:p>
        </w:tc>
        <w:tc>
          <w:tcPr>
            <w:tcW w:w="887" w:type="dxa"/>
            <w:vAlign w:val="top"/>
          </w:tcPr>
          <w:p>
            <w:pPr>
              <w:spacing w:line="240" w:lineRule="auto"/>
              <w:jc w:val="left"/>
              <w:rPr>
                <w:rFonts w:hint="eastAsia" w:ascii="宋体" w:hAnsi="宋体" w:eastAsia="宋体" w:cs="宋体"/>
                <w:color w:val="auto"/>
                <w:sz w:val="24"/>
                <w:szCs w:val="24"/>
                <w:highlight w:val="none"/>
              </w:rPr>
            </w:pPr>
          </w:p>
          <w:p>
            <w:pPr>
              <w:spacing w:before="78" w:line="240" w:lineRule="auto"/>
              <w:ind w:firstLine="234"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45</w:t>
            </w:r>
            <w:r>
              <w:rPr>
                <w:rFonts w:hint="eastAsia" w:ascii="宋体" w:hAnsi="宋体" w:eastAsia="宋体" w:cs="宋体"/>
                <w:color w:val="auto"/>
                <w:spacing w:val="-3"/>
                <w:sz w:val="24"/>
                <w:szCs w:val="24"/>
                <w:highlight w:val="none"/>
              </w:rPr>
              <w:t>%</w:t>
            </w:r>
          </w:p>
        </w:tc>
        <w:tc>
          <w:tcPr>
            <w:tcW w:w="4696" w:type="dxa"/>
            <w:vAlign w:val="top"/>
          </w:tcPr>
          <w:p>
            <w:pPr>
              <w:spacing w:before="114" w:line="240" w:lineRule="auto"/>
              <w:ind w:left="120" w:right="105"/>
              <w:jc w:val="lef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完全满足招标文件第</w:t>
            </w:r>
            <w:r>
              <w:rPr>
                <w:rFonts w:hint="eastAsia" w:ascii="宋体" w:hAnsi="宋体" w:eastAsia="宋体" w:cs="宋体"/>
                <w:color w:val="auto"/>
                <w:spacing w:val="-8"/>
                <w:sz w:val="24"/>
                <w:szCs w:val="24"/>
                <w:highlight w:val="none"/>
                <w:lang w:val="en-US" w:eastAsia="zh-CN"/>
              </w:rPr>
              <w:t>思</w:t>
            </w:r>
            <w:r>
              <w:rPr>
                <w:rFonts w:hint="eastAsia" w:ascii="宋体" w:hAnsi="宋体" w:eastAsia="宋体" w:cs="宋体"/>
                <w:color w:val="auto"/>
                <w:spacing w:val="-8"/>
                <w:sz w:val="24"/>
                <w:szCs w:val="24"/>
                <w:highlight w:val="none"/>
              </w:rPr>
              <w:t xml:space="preserve">章 </w:t>
            </w:r>
            <w:r>
              <w:rPr>
                <w:rFonts w:hint="eastAsia" w:ascii="宋体" w:hAnsi="宋体" w:eastAsia="宋体" w:cs="宋体"/>
                <w:color w:val="auto"/>
                <w:spacing w:val="-8"/>
                <w:sz w:val="24"/>
                <w:szCs w:val="24"/>
                <w:highlight w:val="none"/>
                <w:lang w:val="en-US" w:eastAsia="zh-CN"/>
              </w:rPr>
              <w:t>二</w:t>
            </w:r>
            <w:r>
              <w:rPr>
                <w:rFonts w:hint="eastAsia"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技术、</w:t>
            </w:r>
            <w:r>
              <w:rPr>
                <w:rFonts w:hint="eastAsia" w:ascii="宋体" w:hAnsi="宋体" w:eastAsia="宋体" w:cs="宋体"/>
                <w:color w:val="auto"/>
                <w:spacing w:val="-8"/>
                <w:sz w:val="24"/>
                <w:szCs w:val="24"/>
                <w:highlight w:val="none"/>
              </w:rPr>
              <w:t>服务要求”的没有负偏离得</w:t>
            </w:r>
            <w:r>
              <w:rPr>
                <w:rFonts w:hint="eastAsia" w:ascii="宋体" w:hAnsi="宋体" w:eastAsia="宋体" w:cs="宋体"/>
                <w:color w:val="auto"/>
                <w:spacing w:val="-8"/>
                <w:sz w:val="24"/>
                <w:szCs w:val="24"/>
                <w:highlight w:val="none"/>
                <w:lang w:val="en-US" w:eastAsia="zh-CN"/>
              </w:rPr>
              <w:t>45</w:t>
            </w:r>
            <w:r>
              <w:rPr>
                <w:rFonts w:hint="eastAsia" w:ascii="宋体" w:hAnsi="宋体" w:eastAsia="宋体" w:cs="宋体"/>
                <w:color w:val="auto"/>
                <w:spacing w:val="-8"/>
                <w:sz w:val="24"/>
                <w:szCs w:val="24"/>
                <w:highlight w:val="none"/>
              </w:rPr>
              <w:t>分；每有一项负偏离的扣</w:t>
            </w:r>
            <w:r>
              <w:rPr>
                <w:rFonts w:hint="eastAsia" w:hAnsi="宋体" w:cs="宋体"/>
                <w:color w:val="auto"/>
                <w:spacing w:val="-8"/>
                <w:sz w:val="24"/>
                <w:szCs w:val="24"/>
                <w:highlight w:val="none"/>
                <w:lang w:val="en-US" w:eastAsia="zh-CN"/>
              </w:rPr>
              <w:t>15</w:t>
            </w:r>
            <w:r>
              <w:rPr>
                <w:rFonts w:hint="eastAsia" w:ascii="宋体" w:hAnsi="宋体" w:eastAsia="宋体" w:cs="宋体"/>
                <w:color w:val="auto"/>
                <w:spacing w:val="-8"/>
                <w:sz w:val="24"/>
                <w:szCs w:val="24"/>
                <w:highlight w:val="none"/>
              </w:rPr>
              <w:t>分，扣完为止。</w:t>
            </w:r>
          </w:p>
        </w:tc>
        <w:tc>
          <w:tcPr>
            <w:tcW w:w="1192" w:type="dxa"/>
            <w:vAlign w:val="top"/>
          </w:tcPr>
          <w:p>
            <w:pPr>
              <w:spacing w:before="78" w:line="240" w:lineRule="auto"/>
              <w:ind w:right="108"/>
              <w:jc w:val="left"/>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以投标人的投标文件为</w:t>
            </w:r>
            <w:r>
              <w:rPr>
                <w:rFonts w:hint="eastAsia" w:ascii="宋体" w:hAnsi="宋体" w:eastAsia="宋体" w:cs="宋体"/>
                <w:color w:val="auto"/>
                <w:spacing w:val="-10"/>
                <w:sz w:val="24"/>
                <w:szCs w:val="24"/>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82"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firstLine="37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13"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right="253"/>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项目实施方案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（技术评分因素）</w:t>
            </w:r>
          </w:p>
        </w:tc>
        <w:tc>
          <w:tcPr>
            <w:tcW w:w="887"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jc w:val="left"/>
              <w:rPr>
                <w:rFonts w:hint="eastAsia" w:ascii="宋体" w:hAnsi="宋体" w:eastAsia="宋体" w:cs="宋体"/>
                <w:color w:val="auto"/>
                <w:spacing w:val="-4"/>
                <w:sz w:val="24"/>
                <w:szCs w:val="24"/>
                <w:highlight w:val="none"/>
              </w:rPr>
            </w:pPr>
          </w:p>
          <w:p>
            <w:pPr>
              <w:spacing w:before="78" w:line="240" w:lineRule="auto"/>
              <w:jc w:val="left"/>
              <w:rPr>
                <w:rFonts w:hint="eastAsia" w:ascii="宋体" w:hAnsi="宋体" w:eastAsia="宋体" w:cs="宋体"/>
                <w:color w:val="auto"/>
                <w:spacing w:val="-4"/>
                <w:sz w:val="24"/>
                <w:szCs w:val="24"/>
                <w:highlight w:val="none"/>
              </w:rPr>
            </w:pPr>
          </w:p>
          <w:p>
            <w:pPr>
              <w:spacing w:before="78" w:line="240" w:lineRule="auto"/>
              <w:ind w:firstLine="284"/>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20</w:t>
            </w:r>
            <w:r>
              <w:rPr>
                <w:rFonts w:hint="eastAsia" w:ascii="宋体" w:hAnsi="宋体" w:eastAsia="宋体" w:cs="宋体"/>
                <w:color w:val="auto"/>
                <w:spacing w:val="-4"/>
                <w:sz w:val="24"/>
                <w:szCs w:val="24"/>
                <w:highlight w:val="none"/>
              </w:rPr>
              <w:t>%</w:t>
            </w:r>
          </w:p>
        </w:tc>
        <w:tc>
          <w:tcPr>
            <w:tcW w:w="4696" w:type="dxa"/>
            <w:vAlign w:val="top"/>
          </w:tcPr>
          <w:p>
            <w:pPr>
              <w:spacing w:before="118" w:line="240" w:lineRule="auto"/>
              <w:ind w:left="114" w:right="102" w:firstLine="3"/>
              <w:jc w:val="lef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投标人根据本项目特点，提</w:t>
            </w:r>
            <w:r>
              <w:rPr>
                <w:rFonts w:hint="eastAsia" w:ascii="宋体" w:hAnsi="宋体" w:eastAsia="宋体" w:cs="宋体"/>
                <w:color w:val="auto"/>
                <w:spacing w:val="7"/>
                <w:sz w:val="24"/>
                <w:szCs w:val="24"/>
                <w:highlight w:val="none"/>
              </w:rPr>
              <w:t>供项</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7"/>
                <w:sz w:val="24"/>
                <w:szCs w:val="24"/>
                <w:highlight w:val="none"/>
              </w:rPr>
              <w:t>目实施方案包含</w:t>
            </w:r>
            <w:r>
              <w:rPr>
                <w:rFonts w:hint="eastAsia" w:ascii="宋体" w:hAnsi="宋体" w:eastAsia="宋体" w:cs="宋体"/>
                <w:color w:val="auto"/>
                <w:spacing w:val="-16"/>
                <w:sz w:val="24"/>
                <w:szCs w:val="24"/>
                <w:highlight w:val="none"/>
              </w:rPr>
              <w:t>：1.巡检维保计划</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2.零配件配备情况</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3.质量</w:t>
            </w:r>
            <w:r>
              <w:rPr>
                <w:rFonts w:hint="eastAsia" w:ascii="宋体" w:hAnsi="宋体" w:eastAsia="宋体" w:cs="宋体"/>
                <w:color w:val="auto"/>
                <w:sz w:val="24"/>
                <w:szCs w:val="24"/>
                <w:highlight w:val="none"/>
              </w:rPr>
              <w:t>保障措施</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z w:val="24"/>
                <w:szCs w:val="24"/>
                <w:highlight w:val="none"/>
              </w:rPr>
              <w:t>4.培训计划</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z w:val="24"/>
                <w:szCs w:val="24"/>
                <w:highlight w:val="none"/>
              </w:rPr>
              <w:t>5.应</w:t>
            </w:r>
            <w:r>
              <w:rPr>
                <w:rFonts w:hint="eastAsia" w:ascii="宋体" w:hAnsi="宋体" w:eastAsia="宋体" w:cs="宋体"/>
                <w:color w:val="auto"/>
                <w:spacing w:val="-5"/>
                <w:sz w:val="24"/>
                <w:szCs w:val="24"/>
                <w:highlight w:val="none"/>
              </w:rPr>
              <w:t>急措施，</w:t>
            </w:r>
            <w:r>
              <w:rPr>
                <w:rFonts w:hint="eastAsia"/>
                <w:color w:val="auto"/>
                <w:sz w:val="24"/>
                <w:szCs w:val="24"/>
                <w:highlight w:val="none"/>
                <w:lang w:eastAsia="zh-CN"/>
              </w:rPr>
              <w:t>完全满足得</w:t>
            </w:r>
            <w:r>
              <w:rPr>
                <w:rFonts w:hint="eastAsia"/>
                <w:color w:val="auto"/>
                <w:sz w:val="24"/>
                <w:szCs w:val="24"/>
                <w:highlight w:val="none"/>
                <w:lang w:val="en-US" w:eastAsia="zh-CN"/>
              </w:rPr>
              <w:t>20分，</w:t>
            </w:r>
            <w:r>
              <w:rPr>
                <w:rFonts w:hint="eastAsia" w:hAnsi="宋体" w:cs="宋体"/>
                <w:color w:val="auto"/>
                <w:kern w:val="2"/>
                <w:sz w:val="24"/>
                <w:szCs w:val="24"/>
                <w:highlight w:val="none"/>
                <w:lang w:val="zh-CN"/>
              </w:rPr>
              <w:t>每有一项缺项或错误的扣</w:t>
            </w:r>
            <w:r>
              <w:rPr>
                <w:rFonts w:hint="eastAsia" w:hAnsi="宋体" w:cs="宋体"/>
                <w:color w:val="auto"/>
                <w:kern w:val="2"/>
                <w:sz w:val="24"/>
                <w:szCs w:val="24"/>
                <w:highlight w:val="none"/>
                <w:lang w:val="en-US" w:eastAsia="zh-CN"/>
              </w:rPr>
              <w:t>4</w:t>
            </w:r>
            <w:r>
              <w:rPr>
                <w:rFonts w:hint="eastAsia" w:hAnsi="宋体" w:cs="宋体"/>
                <w:color w:val="auto"/>
                <w:kern w:val="2"/>
                <w:sz w:val="24"/>
                <w:szCs w:val="24"/>
                <w:highlight w:val="none"/>
                <w:lang w:val="zh-CN"/>
              </w:rPr>
              <w:t>分，扣完为止。不提供不得分。（错误是指</w:t>
            </w:r>
            <w:r>
              <w:rPr>
                <w:rFonts w:hAnsi="宋体" w:cs="宋体"/>
                <w:color w:val="auto"/>
                <w:kern w:val="2"/>
                <w:sz w:val="24"/>
                <w:szCs w:val="24"/>
                <w:highlight w:val="none"/>
                <w:lang w:val="zh-CN"/>
              </w:rPr>
              <w:t>;</w:t>
            </w:r>
            <w:r>
              <w:rPr>
                <w:rFonts w:hint="eastAsia" w:hAnsi="宋体" w:cs="宋体"/>
                <w:color w:val="auto"/>
                <w:kern w:val="2"/>
                <w:sz w:val="24"/>
                <w:szCs w:val="24"/>
                <w:highlight w:val="none"/>
                <w:lang w:val="zh-CN"/>
              </w:rPr>
              <w:t>项目名称、实施地点、涉及的规范、标准与本项目要求不一致、分析简略、内容与本项目无关、凭空编造、逻辑漏洞以及不适用项目实际情况的情形）</w:t>
            </w:r>
            <w:r>
              <w:rPr>
                <w:rFonts w:hint="eastAsia" w:ascii="宋体" w:hAnsi="宋体" w:eastAsia="宋体" w:cs="宋体"/>
                <w:color w:val="auto"/>
                <w:spacing w:val="-7"/>
                <w:sz w:val="24"/>
                <w:szCs w:val="24"/>
                <w:highlight w:val="none"/>
              </w:rPr>
              <w:t>。</w:t>
            </w:r>
          </w:p>
        </w:tc>
        <w:tc>
          <w:tcPr>
            <w:tcW w:w="1192"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left="124" w:right="108" w:firstLine="21"/>
              <w:jc w:val="left"/>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以投标人的投标文件为</w:t>
            </w:r>
            <w:r>
              <w:rPr>
                <w:rFonts w:hint="eastAsia" w:ascii="宋体" w:hAnsi="宋体" w:eastAsia="宋体" w:cs="宋体"/>
                <w:color w:val="auto"/>
                <w:spacing w:val="-10"/>
                <w:sz w:val="24"/>
                <w:szCs w:val="24"/>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82" w:type="dxa"/>
            <w:vAlign w:val="top"/>
          </w:tcPr>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p>
          <w:p>
            <w:pPr>
              <w:spacing w:before="78"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13" w:type="dxa"/>
            <w:vAlign w:val="top"/>
          </w:tcPr>
          <w:p>
            <w:pPr>
              <w:spacing w:before="18" w:line="240" w:lineRule="auto"/>
              <w:ind w:left="20" w:right="20" w:firstLine="479"/>
              <w:jc w:val="left"/>
              <w:rPr>
                <w:rFonts w:hint="eastAsia" w:ascii="宋体" w:hAnsi="宋体" w:eastAsia="宋体" w:cs="宋体"/>
                <w:color w:val="auto"/>
                <w:spacing w:val="-4"/>
                <w:sz w:val="24"/>
                <w:szCs w:val="24"/>
                <w:highlight w:val="none"/>
              </w:rPr>
            </w:pPr>
          </w:p>
          <w:p>
            <w:pPr>
              <w:spacing w:before="18" w:line="240" w:lineRule="auto"/>
              <w:ind w:left="20" w:right="20" w:firstLine="479"/>
              <w:jc w:val="left"/>
              <w:rPr>
                <w:rFonts w:hint="eastAsia" w:ascii="宋体" w:hAnsi="宋体" w:eastAsia="宋体" w:cs="宋体"/>
                <w:color w:val="auto"/>
                <w:spacing w:val="-4"/>
                <w:sz w:val="24"/>
                <w:szCs w:val="24"/>
                <w:highlight w:val="none"/>
              </w:rPr>
            </w:pPr>
          </w:p>
          <w:p>
            <w:pPr>
              <w:spacing w:before="18" w:line="240" w:lineRule="auto"/>
              <w:ind w:right="20"/>
              <w:jc w:val="left"/>
              <w:rPr>
                <w:rFonts w:hint="eastAsia" w:ascii="宋体" w:hAnsi="宋体" w:eastAsia="宋体" w:cs="宋体"/>
                <w:color w:val="auto"/>
                <w:spacing w:val="-4"/>
                <w:sz w:val="24"/>
                <w:szCs w:val="24"/>
                <w:highlight w:val="none"/>
              </w:rPr>
            </w:pPr>
          </w:p>
          <w:p>
            <w:pPr>
              <w:spacing w:before="18" w:line="240" w:lineRule="auto"/>
              <w:ind w:right="20"/>
              <w:jc w:val="left"/>
              <w:rPr>
                <w:rFonts w:hint="eastAsia" w:ascii="宋体" w:hAnsi="宋体" w:eastAsia="宋体" w:cs="宋体"/>
                <w:color w:val="auto"/>
                <w:spacing w:val="-4"/>
                <w:sz w:val="24"/>
                <w:szCs w:val="24"/>
                <w:highlight w:val="none"/>
              </w:rPr>
            </w:pPr>
          </w:p>
          <w:p>
            <w:pPr>
              <w:spacing w:before="18" w:line="240" w:lineRule="auto"/>
              <w:ind w:right="20" w:firstLine="696"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服务方案</w:t>
            </w:r>
          </w:p>
          <w:p>
            <w:pPr>
              <w:spacing w:before="18" w:line="240" w:lineRule="auto"/>
              <w:ind w:right="2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（技术评分因素）</w:t>
            </w:r>
          </w:p>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rPr>
            </w:pPr>
          </w:p>
        </w:tc>
        <w:tc>
          <w:tcPr>
            <w:tcW w:w="887" w:type="dxa"/>
            <w:vAlign w:val="top"/>
          </w:tcPr>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lang w:val="en-US" w:eastAsia="zh-CN"/>
              </w:rPr>
            </w:pPr>
          </w:p>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lang w:val="en-US" w:eastAsia="zh-CN"/>
              </w:rPr>
            </w:pPr>
          </w:p>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lang w:val="en-US" w:eastAsia="zh-CN"/>
              </w:rPr>
            </w:pPr>
          </w:p>
          <w:p>
            <w:pPr>
              <w:spacing w:before="120" w:line="240" w:lineRule="auto"/>
              <w:ind w:right="78" w:rightChars="0"/>
              <w:jc w:val="left"/>
              <w:rPr>
                <w:rFonts w:hint="eastAsia" w:ascii="宋体" w:hAnsi="宋体" w:eastAsia="宋体" w:cs="宋体"/>
                <w:color w:val="auto"/>
                <w:spacing w:val="-10"/>
                <w:sz w:val="24"/>
                <w:szCs w:val="24"/>
                <w:highlight w:val="none"/>
                <w:lang w:val="en-US" w:eastAsia="zh-CN"/>
              </w:rPr>
            </w:pPr>
          </w:p>
          <w:p>
            <w:pPr>
              <w:spacing w:before="120" w:line="240" w:lineRule="auto"/>
              <w:ind w:left="121" w:leftChars="0" w:right="78" w:rightChars="0" w:hanging="3" w:firstLineChars="0"/>
              <w:jc w:val="left"/>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16%</w:t>
            </w:r>
          </w:p>
        </w:tc>
        <w:tc>
          <w:tcPr>
            <w:tcW w:w="4696" w:type="dxa"/>
            <w:vAlign w:val="top"/>
          </w:tcPr>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1、投标人根据本项目特点， 提供人员配备方案： 包 含： 1.服务人员数 量 2.服务人员经验 3.服务人员资质 4.人员管理制度的，</w:t>
            </w:r>
            <w:r>
              <w:rPr>
                <w:rFonts w:hint="eastAsia"/>
                <w:color w:val="auto"/>
                <w:sz w:val="24"/>
                <w:szCs w:val="24"/>
                <w:highlight w:val="none"/>
                <w:lang w:eastAsia="zh-CN"/>
              </w:rPr>
              <w:t>完全满足得</w:t>
            </w:r>
            <w:r>
              <w:rPr>
                <w:rFonts w:hint="eastAsia"/>
                <w:color w:val="auto"/>
                <w:sz w:val="24"/>
                <w:szCs w:val="24"/>
                <w:highlight w:val="none"/>
                <w:lang w:val="en-US" w:eastAsia="zh-CN"/>
              </w:rPr>
              <w:t>16分，</w:t>
            </w:r>
            <w:r>
              <w:rPr>
                <w:rFonts w:hint="eastAsia" w:hAnsi="宋体" w:cs="宋体"/>
                <w:color w:val="auto"/>
                <w:kern w:val="2"/>
                <w:sz w:val="24"/>
                <w:szCs w:val="24"/>
                <w:highlight w:val="none"/>
                <w:lang w:val="zh-CN"/>
              </w:rPr>
              <w:t>每有一项缺项或错误的扣</w:t>
            </w:r>
            <w:r>
              <w:rPr>
                <w:rFonts w:hint="eastAsia" w:hAnsi="宋体" w:cs="宋体"/>
                <w:color w:val="auto"/>
                <w:kern w:val="2"/>
                <w:sz w:val="24"/>
                <w:szCs w:val="24"/>
                <w:highlight w:val="none"/>
                <w:lang w:val="en-US" w:eastAsia="zh-CN"/>
              </w:rPr>
              <w:t>4</w:t>
            </w:r>
            <w:r>
              <w:rPr>
                <w:rFonts w:hint="eastAsia" w:hAnsi="宋体" w:cs="宋体"/>
                <w:color w:val="auto"/>
                <w:kern w:val="2"/>
                <w:sz w:val="24"/>
                <w:szCs w:val="24"/>
                <w:highlight w:val="none"/>
                <w:lang w:val="zh-CN"/>
              </w:rPr>
              <w:t>分，扣完为止。不提供不得分。（错误是指</w:t>
            </w:r>
            <w:r>
              <w:rPr>
                <w:rFonts w:hAnsi="宋体" w:cs="宋体"/>
                <w:color w:val="auto"/>
                <w:kern w:val="2"/>
                <w:sz w:val="24"/>
                <w:szCs w:val="24"/>
                <w:highlight w:val="none"/>
                <w:lang w:val="zh-CN"/>
              </w:rPr>
              <w:t>;</w:t>
            </w:r>
            <w:r>
              <w:rPr>
                <w:rFonts w:hint="eastAsia" w:hAnsi="宋体" w:cs="宋体"/>
                <w:color w:val="auto"/>
                <w:kern w:val="2"/>
                <w:sz w:val="24"/>
                <w:szCs w:val="24"/>
                <w:highlight w:val="none"/>
                <w:lang w:val="zh-CN"/>
              </w:rPr>
              <w:t>项目名称、实施地点、涉及的规范、标准与本项目要求不一致、分析简略、内容与本项目无关、凭空编造、逻辑漏洞以及不适用项目实际情况的情形）</w:t>
            </w:r>
            <w:r>
              <w:rPr>
                <w:rFonts w:hint="eastAsia" w:ascii="宋体" w:hAnsi="宋体" w:eastAsia="宋体" w:cs="宋体"/>
                <w:color w:val="auto"/>
                <w:spacing w:val="-7"/>
                <w:sz w:val="24"/>
                <w:szCs w:val="24"/>
                <w:highlight w:val="none"/>
              </w:rPr>
              <w:t>。</w:t>
            </w:r>
          </w:p>
        </w:tc>
        <w:tc>
          <w:tcPr>
            <w:tcW w:w="1192" w:type="dxa"/>
            <w:vAlign w:val="top"/>
          </w:tcPr>
          <w:p>
            <w:pPr>
              <w:spacing w:before="120" w:line="240" w:lineRule="auto"/>
              <w:ind w:right="78" w:rightChars="0"/>
              <w:jc w:val="left"/>
              <w:rPr>
                <w:rFonts w:hint="eastAsia" w:ascii="宋体" w:hAnsi="宋体" w:eastAsia="宋体" w:cs="宋体"/>
                <w:color w:val="auto"/>
                <w:spacing w:val="-10"/>
                <w:sz w:val="24"/>
                <w:szCs w:val="24"/>
                <w:highlight w:val="none"/>
              </w:rPr>
            </w:pPr>
          </w:p>
          <w:p>
            <w:pPr>
              <w:spacing w:before="120" w:line="240" w:lineRule="auto"/>
              <w:ind w:left="121" w:leftChars="0" w:right="78" w:rightChars="0" w:hanging="3" w:firstLineChars="0"/>
              <w:jc w:val="left"/>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以投标人的投标文件为 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782" w:type="dxa"/>
            <w:vAlign w:val="top"/>
          </w:tcPr>
          <w:p>
            <w:pPr>
              <w:spacing w:line="240" w:lineRule="auto"/>
              <w:jc w:val="left"/>
              <w:rPr>
                <w:rFonts w:hint="eastAsia" w:ascii="宋体" w:hAnsi="宋体" w:eastAsia="宋体" w:cs="宋体"/>
                <w:color w:val="auto"/>
                <w:sz w:val="24"/>
                <w:szCs w:val="24"/>
                <w:highlight w:val="none"/>
              </w:rPr>
            </w:pPr>
          </w:p>
          <w:p>
            <w:pPr>
              <w:spacing w:before="78"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13" w:type="dxa"/>
            <w:vAlign w:val="top"/>
          </w:tcPr>
          <w:p>
            <w:pPr>
              <w:spacing w:before="78" w:line="240" w:lineRule="auto"/>
              <w:ind w:right="253" w:righ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履约能力</w:t>
            </w:r>
            <w:r>
              <w:rPr>
                <w:rFonts w:hint="eastAsia" w:ascii="宋体" w:hAnsi="宋体" w:eastAsia="宋体" w:cs="宋体"/>
                <w:color w:val="auto"/>
                <w:sz w:val="24"/>
                <w:szCs w:val="24"/>
                <w:highlight w:val="none"/>
              </w:rPr>
              <w:t xml:space="preserve">   </w:t>
            </w:r>
          </w:p>
          <w:p>
            <w:pPr>
              <w:spacing w:before="78" w:line="240" w:lineRule="auto"/>
              <w:ind w:right="253"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（共同评分因素）</w:t>
            </w:r>
          </w:p>
        </w:tc>
        <w:tc>
          <w:tcPr>
            <w:tcW w:w="887" w:type="dxa"/>
            <w:vAlign w:val="top"/>
          </w:tcPr>
          <w:p>
            <w:pPr>
              <w:spacing w:line="240" w:lineRule="auto"/>
              <w:jc w:val="left"/>
              <w:rPr>
                <w:rFonts w:hint="eastAsia" w:ascii="宋体" w:hAnsi="宋体" w:eastAsia="宋体" w:cs="宋体"/>
                <w:color w:val="auto"/>
                <w:sz w:val="24"/>
                <w:szCs w:val="24"/>
                <w:highlight w:val="none"/>
              </w:rPr>
            </w:pPr>
          </w:p>
          <w:p>
            <w:pPr>
              <w:spacing w:before="78" w:line="240" w:lineRule="auto"/>
              <w:ind w:firstLine="346" w:firstLineChars="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w:t>
            </w:r>
          </w:p>
        </w:tc>
        <w:tc>
          <w:tcPr>
            <w:tcW w:w="4696" w:type="dxa"/>
            <w:vAlign w:val="top"/>
          </w:tcPr>
          <w:p>
            <w:pPr>
              <w:spacing w:before="120" w:line="240" w:lineRule="auto"/>
              <w:ind w:left="121" w:leftChars="0" w:right="78" w:rightChars="0" w:hanging="3" w:firstLineChars="0"/>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2"/>
                <w:sz w:val="24"/>
                <w:szCs w:val="24"/>
                <w:highlight w:val="none"/>
              </w:rPr>
              <w:t>投标人提供自</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201</w:t>
            </w:r>
            <w:r>
              <w:rPr>
                <w:rFonts w:hint="eastAsia" w:ascii="宋体" w:hAnsi="宋体" w:eastAsia="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年以来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具有类似项目履约经验的，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2"/>
                <w:sz w:val="24"/>
                <w:szCs w:val="24"/>
                <w:highlight w:val="none"/>
              </w:rPr>
              <w:t>每有</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1个得</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4"/>
                <w:sz w:val="24"/>
                <w:szCs w:val="24"/>
                <w:highlight w:val="none"/>
                <w:lang w:val="en-US" w:eastAsia="zh-CN"/>
              </w:rPr>
              <w:t>3</w:t>
            </w:r>
            <w:r>
              <w:rPr>
                <w:rFonts w:hint="eastAsia" w:ascii="宋体" w:hAnsi="宋体" w:eastAsia="宋体" w:cs="宋体"/>
                <w:color w:val="auto"/>
                <w:spacing w:val="-12"/>
                <w:sz w:val="24"/>
                <w:szCs w:val="24"/>
                <w:highlight w:val="none"/>
              </w:rPr>
              <w:t>分，最多得</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7"/>
                <w:sz w:val="24"/>
                <w:szCs w:val="24"/>
                <w:highlight w:val="none"/>
                <w:lang w:val="en-US" w:eastAsia="zh-CN"/>
              </w:rPr>
              <w:t>9</w:t>
            </w:r>
            <w:r>
              <w:rPr>
                <w:rFonts w:hint="eastAsia" w:ascii="宋体" w:hAnsi="宋体" w:eastAsia="宋体" w:cs="宋体"/>
                <w:color w:val="auto"/>
                <w:spacing w:val="-10"/>
                <w:sz w:val="24"/>
                <w:szCs w:val="24"/>
                <w:highlight w:val="none"/>
              </w:rPr>
              <w:t>分。</w:t>
            </w:r>
            <w:bookmarkStart w:id="96" w:name="_GoBack"/>
            <w:bookmarkEnd w:id="96"/>
          </w:p>
        </w:tc>
        <w:tc>
          <w:tcPr>
            <w:tcW w:w="1192" w:type="dxa"/>
            <w:vAlign w:val="top"/>
          </w:tcPr>
          <w:p>
            <w:pPr>
              <w:spacing w:before="78" w:line="240" w:lineRule="auto"/>
              <w:ind w:right="71" w:rightChars="0"/>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4"/>
                <w:sz w:val="24"/>
                <w:szCs w:val="24"/>
                <w:highlight w:val="none"/>
              </w:rPr>
              <w:t>提供合同或中标（成交）</w:t>
            </w:r>
            <w:r>
              <w:rPr>
                <w:rFonts w:hint="eastAsia" w:ascii="宋体" w:hAnsi="宋体" w:eastAsia="宋体" w:cs="宋体"/>
                <w:color w:val="auto"/>
                <w:spacing w:val="-5"/>
                <w:sz w:val="24"/>
                <w:szCs w:val="24"/>
                <w:highlight w:val="none"/>
              </w:rPr>
              <w:t>通知书复印件加盖公章。</w:t>
            </w:r>
          </w:p>
        </w:tc>
      </w:tr>
    </w:tbl>
    <w:p>
      <w:pPr>
        <w:pStyle w:val="9"/>
      </w:pPr>
    </w:p>
    <w:p>
      <w:pPr>
        <w:rPr>
          <w:rFonts w:ascii="仿宋" w:hAnsi="仿宋" w:eastAsia="仿宋" w:cs="仿宋"/>
          <w:sz w:val="24"/>
          <w:szCs w:val="24"/>
        </w:rPr>
      </w:pPr>
      <w:r>
        <w:rPr>
          <w:rFonts w:hint="eastAsia" w:ascii="仿宋" w:hAnsi="仿宋" w:eastAsia="仿宋" w:cs="仿宋"/>
          <w:sz w:val="24"/>
          <w:szCs w:val="24"/>
        </w:rPr>
        <w:br w:type="page"/>
      </w:r>
    </w:p>
    <w:p>
      <w:pPr>
        <w:widowControl/>
        <w:numPr>
          <w:ilvl w:val="0"/>
          <w:numId w:val="2"/>
        </w:numPr>
        <w:spacing w:line="520" w:lineRule="exact"/>
        <w:jc w:val="center"/>
        <w:outlineLvl w:val="0"/>
        <w:rPr>
          <w:rFonts w:ascii="黑体" w:hAnsi="黑体" w:eastAsia="黑体" w:cs="黑体"/>
          <w:b/>
          <w:sz w:val="36"/>
          <w:szCs w:val="32"/>
        </w:rPr>
      </w:pPr>
      <w:bookmarkStart w:id="18" w:name="_Toc10063"/>
      <w:bookmarkStart w:id="19" w:name="_Toc3094"/>
      <w:bookmarkStart w:id="20" w:name="_Toc22827"/>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4960"/>
      <w:bookmarkStart w:id="22" w:name="_Toc29819"/>
      <w:bookmarkStart w:id="23" w:name="_Toc5913"/>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9428"/>
      <w:bookmarkStart w:id="25" w:name="_Toc30609"/>
      <w:bookmarkStart w:id="26" w:name="_Toc19851"/>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1544"/>
      <w:bookmarkStart w:id="28" w:name="_Toc32352"/>
      <w:bookmarkStart w:id="29" w:name="_Toc9041"/>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4097"/>
      <w:bookmarkStart w:id="31" w:name="_Toc21472"/>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17163"/>
      <w:bookmarkStart w:id="34" w:name="_Toc1690"/>
      <w:bookmarkStart w:id="35" w:name="_Toc24859"/>
      <w:bookmarkStart w:id="36" w:name="_Toc32749"/>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24123"/>
      <w:bookmarkStart w:id="38" w:name="_Toc3558"/>
      <w:bookmarkStart w:id="39" w:name="_Toc17905"/>
      <w:bookmarkStart w:id="40" w:name="_Toc6803"/>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27526"/>
      <w:bookmarkStart w:id="42" w:name="_Toc27135"/>
      <w:bookmarkStart w:id="43" w:name="_Toc5996"/>
      <w:bookmarkStart w:id="44" w:name="_Toc2989"/>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2031"/>
      <w:bookmarkStart w:id="46" w:name="_Toc19987"/>
      <w:bookmarkStart w:id="47" w:name="_Toc5056"/>
      <w:bookmarkStart w:id="48" w:name="_Toc7233"/>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11352"/>
      <w:bookmarkStart w:id="50" w:name="_Toc21519"/>
      <w:bookmarkStart w:id="51" w:name="_Toc16029"/>
      <w:bookmarkStart w:id="52" w:name="_Toc14829"/>
      <w:bookmarkStart w:id="53" w:name="_Toc3023"/>
      <w:bookmarkStart w:id="54" w:name="_Toc6482"/>
    </w:p>
    <w:p>
      <w:pPr>
        <w:spacing w:line="700" w:lineRule="exact"/>
        <w:jc w:val="center"/>
        <w:outlineLvl w:val="1"/>
        <w:rPr>
          <w:rStyle w:val="29"/>
          <w:rFonts w:ascii="仿宋" w:hAnsi="仿宋" w:eastAsia="仿宋" w:cs="仿宋"/>
          <w:b/>
          <w:bCs/>
          <w:sz w:val="32"/>
          <w:szCs w:val="28"/>
        </w:rPr>
      </w:pPr>
      <w:r>
        <w:rPr>
          <w:rStyle w:val="29"/>
          <w:rFonts w:hint="eastAsia" w:ascii="仿宋" w:hAnsi="仿宋" w:eastAsia="仿宋" w:cs="仿宋"/>
          <w:b/>
          <w:bCs/>
          <w:sz w:val="32"/>
          <w:szCs w:val="28"/>
        </w:rPr>
        <w:t>一、承诺函</w:t>
      </w:r>
      <w:bookmarkEnd w:id="49"/>
      <w:bookmarkEnd w:id="50"/>
      <w:bookmarkEnd w:id="51"/>
      <w:bookmarkEnd w:id="52"/>
      <w:bookmarkEnd w:id="53"/>
      <w:bookmarkEnd w:id="54"/>
    </w:p>
    <w:p>
      <w:pPr>
        <w:pStyle w:val="9"/>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9"/>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9"/>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0971"/>
      <w:bookmarkStart w:id="56" w:name="_Toc31838"/>
      <w:bookmarkStart w:id="57" w:name="_Toc22676"/>
      <w:bookmarkStart w:id="58" w:name="_Toc17857"/>
    </w:p>
    <w:p>
      <w:pPr>
        <w:spacing w:line="700" w:lineRule="exact"/>
        <w:jc w:val="center"/>
        <w:outlineLvl w:val="1"/>
        <w:rPr>
          <w:rStyle w:val="29"/>
          <w:rFonts w:ascii="仿宋" w:hAnsi="仿宋" w:eastAsia="仿宋" w:cs="仿宋"/>
          <w:b/>
          <w:bCs/>
          <w:sz w:val="32"/>
          <w:szCs w:val="28"/>
        </w:rPr>
      </w:pPr>
      <w:bookmarkStart w:id="59" w:name="_Toc4305"/>
      <w:r>
        <w:rPr>
          <w:rStyle w:val="29"/>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9"/>
        <w:jc w:val="center"/>
        <w:rPr>
          <w:rFonts w:ascii="仿宋" w:hAnsi="仿宋" w:eastAsia="仿宋" w:cs="仿宋"/>
          <w:b/>
          <w:bCs/>
        </w:rPr>
      </w:pPr>
    </w:p>
    <w:p>
      <w:pPr>
        <w:pStyle w:val="28"/>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9"/>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29"/>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29"/>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13904"/>
      <w:bookmarkStart w:id="65" w:name="_Toc25357"/>
    </w:p>
    <w:p>
      <w:pPr>
        <w:spacing w:line="700" w:lineRule="exact"/>
        <w:jc w:val="center"/>
        <w:outlineLvl w:val="1"/>
        <w:rPr>
          <w:rStyle w:val="29"/>
          <w:rFonts w:ascii="仿宋" w:hAnsi="仿宋" w:eastAsia="仿宋" w:cs="仿宋"/>
          <w:b/>
          <w:bCs/>
          <w:sz w:val="32"/>
          <w:szCs w:val="28"/>
        </w:rPr>
      </w:pPr>
      <w:bookmarkStart w:id="66" w:name="_Toc15508"/>
      <w:bookmarkStart w:id="67" w:name="_Toc23146"/>
      <w:r>
        <w:rPr>
          <w:rStyle w:val="29"/>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8"/>
        <w:ind w:left="420" w:leftChars="200"/>
        <w:jc w:val="center"/>
        <w:rPr>
          <w:rFonts w:ascii="仿宋" w:hAnsi="仿宋" w:eastAsia="仿宋" w:cs="仿宋"/>
          <w:color w:val="auto"/>
          <w:sz w:val="32"/>
          <w:szCs w:val="32"/>
        </w:rPr>
      </w:pPr>
    </w:p>
    <w:p>
      <w:pPr>
        <w:pStyle w:val="9"/>
        <w:rPr>
          <w:rFonts w:ascii="仿宋" w:hAnsi="仿宋" w:eastAsia="仿宋" w:cs="仿宋"/>
        </w:rPr>
      </w:pPr>
    </w:p>
    <w:p>
      <w:pPr>
        <w:pStyle w:val="28"/>
        <w:ind w:firstLine="480" w:firstLineChars="200"/>
        <w:rPr>
          <w:rFonts w:ascii="仿宋" w:hAnsi="仿宋" w:eastAsia="仿宋" w:cs="仿宋"/>
          <w:color w:val="auto"/>
        </w:rPr>
      </w:pPr>
      <w:r>
        <w:rPr>
          <w:rFonts w:hint="eastAsia" w:ascii="仿宋" w:hAnsi="仿宋" w:eastAsia="仿宋" w:cs="仿宋"/>
          <w:color w:val="auto"/>
        </w:rPr>
        <w:t>(......)</w:t>
      </w:r>
    </w:p>
    <w:p>
      <w:pPr>
        <w:pStyle w:val="28"/>
        <w:ind w:left="420" w:leftChars="200"/>
        <w:jc w:val="both"/>
        <w:rPr>
          <w:rFonts w:ascii="仿宋" w:hAnsi="仿宋" w:eastAsia="仿宋" w:cs="仿宋"/>
          <w:color w:val="auto"/>
        </w:rPr>
      </w:pPr>
    </w:p>
    <w:p>
      <w:pPr>
        <w:pStyle w:val="28"/>
        <w:jc w:val="both"/>
        <w:rPr>
          <w:rFonts w:ascii="仿宋" w:hAnsi="仿宋" w:eastAsia="仿宋" w:cs="仿宋"/>
          <w:iCs/>
          <w:color w:val="auto"/>
        </w:rPr>
      </w:pPr>
      <w:r>
        <w:rPr>
          <w:rFonts w:hint="eastAsia" w:ascii="仿宋" w:hAnsi="仿宋" w:eastAsia="仿宋" w:cs="仿宋"/>
          <w:iCs/>
          <w:color w:val="auto"/>
        </w:rPr>
        <w:t>（若未涉及，填“无”即可）</w:t>
      </w:r>
    </w:p>
    <w:p>
      <w:pPr>
        <w:pStyle w:val="16"/>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7661"/>
      <w:bookmarkStart w:id="69" w:name="_Toc20589"/>
      <w:bookmarkStart w:id="70" w:name="_Toc25638"/>
      <w:bookmarkStart w:id="71" w:name="_Toc11351"/>
      <w:bookmarkStart w:id="72" w:name="_Toc15526"/>
      <w:bookmarkStart w:id="73" w:name="_Toc12015"/>
      <w:r>
        <w:rPr>
          <w:rStyle w:val="29"/>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8"/>
        <w:jc w:val="center"/>
        <w:rPr>
          <w:rFonts w:ascii="仿宋" w:hAnsi="仿宋" w:eastAsia="仿宋" w:cs="仿宋"/>
          <w:color w:val="auto"/>
        </w:rPr>
      </w:pPr>
    </w:p>
    <w:p>
      <w:pPr>
        <w:pStyle w:val="28"/>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8"/>
        <w:jc w:val="center"/>
        <w:rPr>
          <w:rFonts w:ascii="仿宋" w:hAnsi="仿宋" w:eastAsia="仿宋" w:cs="仿宋"/>
          <w:color w:val="auto"/>
        </w:rPr>
      </w:pPr>
    </w:p>
    <w:p>
      <w:pPr>
        <w:pStyle w:val="28"/>
        <w:jc w:val="center"/>
        <w:rPr>
          <w:rFonts w:ascii="仿宋" w:hAnsi="仿宋" w:eastAsia="仿宋" w:cs="仿宋"/>
          <w:color w:val="auto"/>
        </w:rPr>
      </w:pPr>
    </w:p>
    <w:p>
      <w:pPr>
        <w:pStyle w:val="28"/>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8"/>
        <w:rPr>
          <w:rFonts w:ascii="仿宋" w:hAnsi="仿宋" w:eastAsia="仿宋" w:cs="仿宋"/>
          <w:color w:val="auto"/>
        </w:rPr>
      </w:pPr>
      <w:r>
        <w:rPr>
          <w:rFonts w:hint="eastAsia" w:ascii="仿宋" w:hAnsi="仿宋" w:eastAsia="仿宋" w:cs="仿宋"/>
          <w:color w:val="auto"/>
        </w:rPr>
        <w:t>特此证明。</w:t>
      </w:r>
    </w:p>
    <w:p>
      <w:pPr>
        <w:pStyle w:val="28"/>
        <w:jc w:val="both"/>
        <w:rPr>
          <w:rFonts w:ascii="仿宋" w:hAnsi="仿宋" w:eastAsia="仿宋" w:cs="仿宋"/>
          <w:color w:val="auto"/>
        </w:rPr>
      </w:pPr>
    </w:p>
    <w:p>
      <w:pPr>
        <w:pStyle w:val="28"/>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9"/>
        <w:jc w:val="left"/>
        <w:rPr>
          <w:rFonts w:ascii="仿宋" w:hAnsi="仿宋" w:eastAsia="仿宋" w:cs="仿宋"/>
          <w:sz w:val="24"/>
        </w:rPr>
      </w:pPr>
      <w:r>
        <w:rPr>
          <w:rFonts w:hint="eastAsia" w:ascii="仿宋" w:hAnsi="仿宋" w:eastAsia="仿宋" w:cs="仿宋"/>
          <w:bCs/>
          <w:sz w:val="24"/>
        </w:rPr>
        <w:t>时间：</w:t>
      </w:r>
    </w:p>
    <w:p>
      <w:pPr>
        <w:pStyle w:val="28"/>
        <w:jc w:val="center"/>
        <w:rPr>
          <w:rFonts w:ascii="仿宋" w:hAnsi="仿宋" w:eastAsia="仿宋" w:cs="仿宋"/>
          <w:color w:val="auto"/>
        </w:rPr>
      </w:pPr>
    </w:p>
    <w:p>
      <w:pPr>
        <w:pStyle w:val="28"/>
        <w:jc w:val="center"/>
        <w:rPr>
          <w:rFonts w:ascii="仿宋" w:hAnsi="仿宋" w:eastAsia="仿宋" w:cs="仿宋"/>
          <w:color w:val="auto"/>
        </w:rPr>
      </w:pPr>
    </w:p>
    <w:p>
      <w:pPr>
        <w:pStyle w:val="28"/>
        <w:rPr>
          <w:rFonts w:ascii="仿宋" w:hAnsi="仿宋" w:eastAsia="仿宋" w:cs="仿宋"/>
          <w:color w:val="auto"/>
        </w:rPr>
      </w:pPr>
      <w:r>
        <w:rPr>
          <w:rFonts w:hint="eastAsia" w:ascii="仿宋" w:hAnsi="仿宋" w:eastAsia="仿宋" w:cs="仿宋"/>
          <w:color w:val="auto"/>
        </w:rPr>
        <w:t>注：</w:t>
      </w:r>
    </w:p>
    <w:p>
      <w:pPr>
        <w:pStyle w:val="28"/>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8"/>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8"/>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8"/>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8"/>
        <w:jc w:val="both"/>
        <w:rPr>
          <w:rFonts w:ascii="仿宋" w:hAnsi="仿宋" w:eastAsia="仿宋" w:cs="仿宋"/>
          <w:color w:val="auto"/>
          <w:sz w:val="32"/>
          <w:szCs w:val="32"/>
        </w:rPr>
      </w:pPr>
    </w:p>
    <w:p>
      <w:pPr>
        <w:pStyle w:val="28"/>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29"/>
          <w:rFonts w:hint="eastAsia" w:ascii="仿宋" w:hAnsi="仿宋" w:eastAsia="仿宋" w:cs="仿宋"/>
          <w:b/>
          <w:bCs/>
          <w:color w:val="auto"/>
          <w:kern w:val="2"/>
          <w:sz w:val="32"/>
          <w:szCs w:val="28"/>
        </w:rPr>
        <w:t>法定代表人授权委托书</w:t>
      </w:r>
    </w:p>
    <w:p>
      <w:pPr>
        <w:pStyle w:val="28"/>
        <w:jc w:val="center"/>
        <w:rPr>
          <w:rFonts w:ascii="仿宋" w:hAnsi="仿宋" w:eastAsia="仿宋" w:cs="仿宋"/>
          <w:b/>
          <w:bCs/>
          <w:color w:val="auto"/>
        </w:rPr>
      </w:pPr>
    </w:p>
    <w:p>
      <w:pPr>
        <w:pStyle w:val="28"/>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8"/>
        <w:jc w:val="center"/>
        <w:rPr>
          <w:rFonts w:ascii="仿宋" w:hAnsi="仿宋" w:eastAsia="仿宋" w:cs="仿宋"/>
          <w:color w:val="auto"/>
        </w:rPr>
      </w:pPr>
    </w:p>
    <w:p>
      <w:pPr>
        <w:pStyle w:val="9"/>
        <w:snapToGrid w:val="0"/>
        <w:spacing w:after="0" w:line="500" w:lineRule="exact"/>
        <w:ind w:firstLine="480" w:firstLineChars="200"/>
        <w:rPr>
          <w:rFonts w:ascii="仿宋" w:hAnsi="仿宋" w:eastAsia="仿宋" w:cs="仿宋"/>
          <w:sz w:val="24"/>
        </w:rPr>
      </w:pPr>
    </w:p>
    <w:p>
      <w:pPr>
        <w:pStyle w:val="9"/>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pPr>
        <w:pStyle w:val="9"/>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8"/>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23967"/>
      <w:bookmarkStart w:id="75" w:name="_Toc16435"/>
      <w:bookmarkStart w:id="76" w:name="_Toc1074"/>
      <w:bookmarkStart w:id="77" w:name="_Toc2041"/>
      <w:bookmarkStart w:id="78" w:name="_Toc12967"/>
      <w:bookmarkStart w:id="79" w:name="_Toc26969"/>
      <w:r>
        <w:rPr>
          <w:rStyle w:val="29"/>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9"/>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6"/>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8"/>
        <w:jc w:val="center"/>
        <w:rPr>
          <w:rFonts w:ascii="仿宋" w:hAnsi="仿宋" w:eastAsia="仿宋" w:cs="仿宋"/>
          <w:color w:val="auto"/>
          <w:sz w:val="32"/>
          <w:szCs w:val="32"/>
        </w:rPr>
      </w:pPr>
    </w:p>
    <w:p>
      <w:pPr>
        <w:pStyle w:val="28"/>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8634"/>
      <w:bookmarkStart w:id="81" w:name="_Toc24806"/>
      <w:bookmarkStart w:id="82" w:name="_Toc26839"/>
      <w:bookmarkStart w:id="83" w:name="_Toc21082"/>
      <w:bookmarkStart w:id="84" w:name="_Toc31686"/>
      <w:bookmarkStart w:id="85" w:name="_Toc1369"/>
      <w:r>
        <w:rPr>
          <w:rStyle w:val="29"/>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8"/>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8"/>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29"/>
          <w:rFonts w:ascii="仿宋" w:hAnsi="仿宋" w:eastAsia="仿宋" w:cs="仿宋"/>
          <w:sz w:val="32"/>
          <w:szCs w:val="28"/>
        </w:rPr>
      </w:pPr>
      <w:r>
        <w:rPr>
          <w:rFonts w:hint="eastAsia" w:ascii="仿宋" w:hAnsi="仿宋" w:eastAsia="仿宋" w:cs="仿宋"/>
          <w:b/>
          <w:bCs/>
          <w:sz w:val="32"/>
          <w:szCs w:val="32"/>
        </w:rPr>
        <w:br w:type="page"/>
      </w:r>
      <w:bookmarkStart w:id="86" w:name="_Toc24494"/>
      <w:bookmarkStart w:id="87" w:name="_Toc32605"/>
      <w:bookmarkStart w:id="88" w:name="_Toc3871"/>
    </w:p>
    <w:p>
      <w:pPr>
        <w:spacing w:line="700" w:lineRule="exact"/>
        <w:jc w:val="center"/>
        <w:outlineLvl w:val="1"/>
        <w:rPr>
          <w:rStyle w:val="29"/>
          <w:rFonts w:ascii="仿宋" w:hAnsi="仿宋" w:eastAsia="仿宋" w:cs="仿宋"/>
          <w:b/>
          <w:bCs/>
          <w:sz w:val="32"/>
          <w:szCs w:val="28"/>
        </w:rPr>
      </w:pPr>
      <w:bookmarkStart w:id="89" w:name="_Toc15065"/>
      <w:r>
        <w:rPr>
          <w:rStyle w:val="29"/>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9"/>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9"/>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9"/>
        <w:rPr>
          <w:rFonts w:ascii="仿宋" w:hAnsi="仿宋" w:eastAsia="仿宋" w:cs="仿宋"/>
          <w:b/>
          <w:bCs/>
        </w:rPr>
      </w:pPr>
      <w:r>
        <w:rPr>
          <w:rFonts w:hint="eastAsia" w:ascii="仿宋" w:hAnsi="仿宋" w:eastAsia="仿宋" w:cs="仿宋"/>
          <w:b/>
          <w:bCs/>
        </w:rPr>
        <w:t>2.报价一览表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707"/>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pPr>
              <w:pStyle w:val="9"/>
              <w:spacing w:after="0"/>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07" w:type="dxa"/>
            <w:vAlign w:val="center"/>
          </w:tcPr>
          <w:p>
            <w:pPr>
              <w:pStyle w:val="9"/>
              <w:spacing w:after="0"/>
              <w:jc w:val="center"/>
              <w:rPr>
                <w:rFonts w:ascii="仿宋" w:hAnsi="仿宋" w:eastAsia="仿宋" w:cs="仿宋"/>
                <w:sz w:val="24"/>
                <w:szCs w:val="24"/>
              </w:rPr>
            </w:pPr>
            <w:r>
              <w:rPr>
                <w:rFonts w:hint="eastAsia" w:ascii="仿宋" w:hAnsi="仿宋" w:eastAsia="仿宋" w:cs="仿宋"/>
                <w:kern w:val="0"/>
                <w:sz w:val="24"/>
                <w:szCs w:val="24"/>
                <w:lang w:val="zh-TW"/>
              </w:rPr>
              <w:t>采购标的名称</w:t>
            </w:r>
          </w:p>
        </w:tc>
        <w:tc>
          <w:tcPr>
            <w:tcW w:w="5525" w:type="dxa"/>
            <w:vAlign w:val="center"/>
          </w:tcPr>
          <w:p>
            <w:pPr>
              <w:pStyle w:val="9"/>
              <w:spacing w:after="0"/>
              <w:jc w:val="center"/>
              <w:rPr>
                <w:rFonts w:ascii="仿宋" w:hAnsi="仿宋" w:eastAsia="仿宋" w:cs="仿宋"/>
                <w:sz w:val="24"/>
                <w:szCs w:val="24"/>
              </w:rPr>
            </w:pPr>
            <w:r>
              <w:rPr>
                <w:rFonts w:hint="eastAsia" w:ascii="仿宋" w:hAnsi="仿宋" w:eastAsia="仿宋" w:cs="仿宋"/>
                <w:sz w:val="24"/>
                <w:szCs w:val="24"/>
              </w:rPr>
              <w:t>单价</w:t>
            </w:r>
            <w:r>
              <w:rPr>
                <w:rFonts w:hint="eastAsia" w:ascii="仿宋" w:hAnsi="仿宋" w:eastAsia="仿宋" w:cs="仿宋"/>
                <w:kern w:val="0"/>
                <w:sz w:val="24"/>
                <w:szCs w:val="24"/>
                <w:lang w:val="zh-TW"/>
              </w:rPr>
              <w:t>（元</w:t>
            </w:r>
            <w:r>
              <w:rPr>
                <w:rFonts w:hint="eastAsia" w:ascii="仿宋" w:hAnsi="仿宋" w:eastAsia="仿宋" w:cs="仿宋"/>
                <w:kern w:val="0"/>
                <w:sz w:val="24"/>
                <w:szCs w:val="24"/>
              </w:rPr>
              <w:t>/个</w:t>
            </w:r>
            <w:r>
              <w:rPr>
                <w:rFonts w:hint="eastAsia" w:ascii="仿宋" w:hAnsi="仿宋" w:eastAsia="仿宋" w:cs="仿宋"/>
                <w:kern w:val="0"/>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pPr>
              <w:pStyle w:val="9"/>
              <w:spacing w:after="0"/>
              <w:jc w:val="center"/>
              <w:rPr>
                <w:rFonts w:ascii="仿宋" w:hAnsi="仿宋" w:eastAsia="仿宋" w:cs="仿宋"/>
                <w:sz w:val="24"/>
                <w:szCs w:val="24"/>
              </w:rPr>
            </w:pPr>
            <w:r>
              <w:rPr>
                <w:rFonts w:hint="eastAsia" w:ascii="仿宋" w:hAnsi="仿宋" w:eastAsia="仿宋" w:cs="仿宋"/>
                <w:sz w:val="24"/>
                <w:szCs w:val="24"/>
              </w:rPr>
              <w:t>1</w:t>
            </w:r>
          </w:p>
        </w:tc>
        <w:tc>
          <w:tcPr>
            <w:tcW w:w="3707" w:type="dxa"/>
            <w:vAlign w:val="center"/>
          </w:tcPr>
          <w:p>
            <w:pPr>
              <w:pStyle w:val="9"/>
              <w:spacing w:after="0"/>
              <w:jc w:val="center"/>
              <w:rPr>
                <w:rFonts w:ascii="仿宋" w:hAnsi="仿宋" w:eastAsia="仿宋" w:cs="仿宋"/>
                <w:sz w:val="24"/>
                <w:szCs w:val="24"/>
              </w:rPr>
            </w:pPr>
          </w:p>
        </w:tc>
        <w:tc>
          <w:tcPr>
            <w:tcW w:w="5525" w:type="dxa"/>
            <w:vAlign w:val="center"/>
          </w:tcPr>
          <w:p>
            <w:pPr>
              <w:pStyle w:val="9"/>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pPr>
              <w:pStyle w:val="9"/>
              <w:spacing w:after="0"/>
              <w:jc w:val="center"/>
              <w:rPr>
                <w:rFonts w:ascii="仿宋" w:hAnsi="仿宋" w:eastAsia="仿宋" w:cs="仿宋"/>
                <w:sz w:val="24"/>
                <w:szCs w:val="24"/>
              </w:rPr>
            </w:pPr>
            <w:r>
              <w:rPr>
                <w:rFonts w:hint="eastAsia" w:ascii="仿宋" w:hAnsi="仿宋" w:eastAsia="仿宋" w:cs="仿宋"/>
                <w:sz w:val="24"/>
                <w:szCs w:val="24"/>
              </w:rPr>
              <w:t>....</w:t>
            </w:r>
          </w:p>
        </w:tc>
        <w:tc>
          <w:tcPr>
            <w:tcW w:w="3707" w:type="dxa"/>
            <w:vAlign w:val="center"/>
          </w:tcPr>
          <w:p>
            <w:pPr>
              <w:pStyle w:val="9"/>
              <w:spacing w:after="0"/>
              <w:jc w:val="center"/>
              <w:rPr>
                <w:rFonts w:ascii="仿宋" w:hAnsi="仿宋" w:eastAsia="仿宋" w:cs="仿宋"/>
                <w:sz w:val="24"/>
                <w:szCs w:val="24"/>
              </w:rPr>
            </w:pPr>
          </w:p>
        </w:tc>
        <w:tc>
          <w:tcPr>
            <w:tcW w:w="5525" w:type="dxa"/>
            <w:vAlign w:val="center"/>
          </w:tcPr>
          <w:p>
            <w:pPr>
              <w:pStyle w:val="9"/>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pPr>
              <w:pStyle w:val="9"/>
              <w:spacing w:after="0"/>
              <w:jc w:val="center"/>
              <w:rPr>
                <w:rFonts w:ascii="仿宋" w:hAnsi="仿宋" w:eastAsia="仿宋" w:cs="仿宋"/>
                <w:sz w:val="24"/>
                <w:szCs w:val="24"/>
              </w:rPr>
            </w:pPr>
            <w:r>
              <w:rPr>
                <w:rFonts w:hint="eastAsia" w:ascii="仿宋" w:hAnsi="仿宋" w:eastAsia="仿宋" w:cs="仿宋"/>
                <w:sz w:val="24"/>
                <w:szCs w:val="24"/>
              </w:rPr>
              <w:t>报价合计</w:t>
            </w:r>
          </w:p>
        </w:tc>
        <w:tc>
          <w:tcPr>
            <w:tcW w:w="9232" w:type="dxa"/>
            <w:gridSpan w:val="2"/>
            <w:vAlign w:val="center"/>
          </w:tcPr>
          <w:p>
            <w:pPr>
              <w:pStyle w:val="9"/>
              <w:spacing w:after="0"/>
              <w:jc w:val="left"/>
              <w:rPr>
                <w:rFonts w:ascii="仿宋" w:hAnsi="仿宋" w:eastAsia="仿宋" w:cs="仿宋"/>
                <w:sz w:val="24"/>
                <w:szCs w:val="24"/>
              </w:rPr>
            </w:pPr>
            <w:r>
              <w:rPr>
                <w:rFonts w:hint="eastAsia" w:ascii="仿宋" w:hAnsi="仿宋" w:eastAsia="仿宋" w:cs="仿宋"/>
                <w:sz w:val="24"/>
                <w:szCs w:val="24"/>
              </w:rPr>
              <w:t>大写：       小写：</w:t>
            </w:r>
          </w:p>
        </w:tc>
      </w:tr>
    </w:tbl>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lang w:val="zh-TW" w:eastAsia="zh-TW"/>
        </w:rPr>
        <w:t>年月日</w:t>
      </w:r>
    </w:p>
    <w:p>
      <w:pPr>
        <w:numPr>
          <w:ilvl w:val="0"/>
          <w:numId w:val="8"/>
        </w:numPr>
        <w:spacing w:line="700" w:lineRule="exact"/>
        <w:jc w:val="center"/>
        <w:outlineLvl w:val="1"/>
        <w:rPr>
          <w:rStyle w:val="29"/>
          <w:rFonts w:ascii="仿宋" w:hAnsi="仿宋" w:eastAsia="仿宋" w:cs="仿宋"/>
          <w:b/>
          <w:bCs/>
          <w:sz w:val="32"/>
          <w:szCs w:val="28"/>
        </w:rPr>
      </w:pPr>
      <w:bookmarkStart w:id="90" w:name="_Toc14685"/>
      <w:bookmarkStart w:id="91" w:name="_Toc30002"/>
      <w:bookmarkStart w:id="92" w:name="_Toc29032"/>
      <w:r>
        <w:rPr>
          <w:rStyle w:val="29"/>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9"/>
        <w:jc w:val="center"/>
        <w:rPr>
          <w:rFonts w:ascii="仿宋" w:hAnsi="仿宋" w:eastAsia="仿宋" w:cs="仿宋"/>
        </w:rPr>
      </w:pPr>
    </w:p>
    <w:p>
      <w:pPr>
        <w:pStyle w:val="9"/>
        <w:jc w:val="center"/>
        <w:rPr>
          <w:rFonts w:ascii="仿宋" w:hAnsi="仿宋" w:eastAsia="仿宋" w:cs="仿宋"/>
        </w:rPr>
      </w:pPr>
    </w:p>
    <w:p>
      <w:pPr>
        <w:pStyle w:val="9"/>
        <w:jc w:val="center"/>
        <w:rPr>
          <w:rFonts w:ascii="仿宋" w:hAnsi="仿宋" w:eastAsia="仿宋" w:cs="仿宋"/>
        </w:rPr>
      </w:pPr>
    </w:p>
    <w:p>
      <w:pPr>
        <w:pStyle w:val="9"/>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9"/>
        <w:jc w:val="center"/>
        <w:outlineLvl w:val="0"/>
        <w:rPr>
          <w:rFonts w:ascii="仿宋" w:hAnsi="仿宋" w:eastAsia="仿宋" w:cs="仿宋"/>
          <w:kern w:val="0"/>
          <w:sz w:val="32"/>
          <w:szCs w:val="32"/>
        </w:rPr>
      </w:pPr>
      <w:r>
        <w:rPr>
          <w:rStyle w:val="30"/>
          <w:rFonts w:hint="eastAsia" w:ascii="仿宋" w:hAnsi="仿宋" w:eastAsia="仿宋" w:cs="仿宋"/>
          <w:b/>
          <w:bCs/>
          <w:sz w:val="32"/>
          <w:szCs w:val="32"/>
        </w:rPr>
        <w:br w:type="page"/>
      </w:r>
      <w:bookmarkStart w:id="93" w:name="_Toc5447"/>
      <w:bookmarkStart w:id="94" w:name="_Toc7942"/>
      <w:bookmarkStart w:id="95" w:name="_Toc20691"/>
      <w:r>
        <w:rPr>
          <w:rFonts w:hint="eastAsia" w:ascii="黑体" w:hAnsi="黑体" w:eastAsia="黑体" w:cs="黑体"/>
          <w:b/>
          <w:sz w:val="36"/>
          <w:szCs w:val="32"/>
        </w:rPr>
        <w:t>第七章 合同条款（仅中选后使用）</w:t>
      </w:r>
      <w:bookmarkEnd w:id="93"/>
      <w:bookmarkEnd w:id="94"/>
      <w:bookmarkEnd w:id="95"/>
    </w:p>
    <w:p>
      <w:pPr>
        <w:pStyle w:val="9"/>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3"/>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jc w:val="center"/>
        <w:rPr>
          <w:rFonts w:ascii="仿宋" w:hAnsi="仿宋" w:eastAsia="仿宋" w:cs="仿宋"/>
          <w:sz w:val="52"/>
          <w:szCs w:val="52"/>
        </w:rPr>
      </w:pPr>
      <w:permStart w:id="0" w:edGrp="everyone"/>
      <w:r>
        <w:rPr>
          <w:rFonts w:hint="eastAsia" w:ascii="仿宋" w:hAnsi="仿宋" w:eastAsia="仿宋" w:cs="仿宋"/>
          <w:sz w:val="52"/>
          <w:szCs w:val="52"/>
        </w:rPr>
        <w:t>***</w:t>
      </w:r>
      <w:permEnd w:id="0"/>
      <w:r>
        <w:rPr>
          <w:rFonts w:hint="eastAsia" w:ascii="仿宋" w:hAnsi="仿宋" w:eastAsia="仿宋" w:cs="仿宋"/>
          <w:sz w:val="52"/>
          <w:szCs w:val="52"/>
        </w:rPr>
        <w:t>采购合同</w:t>
      </w:r>
    </w:p>
    <w:p>
      <w:pPr>
        <w:spacing w:line="360" w:lineRule="auto"/>
        <w:rPr>
          <w:rFonts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采购人（以下简称甲方）：四川省人民医院</w:t>
      </w:r>
    </w:p>
    <w:p>
      <w:pPr>
        <w:spacing w:line="360" w:lineRule="auto"/>
        <w:rPr>
          <w:rFonts w:hint="eastAsia" w:ascii="仿宋" w:hAnsi="仿宋" w:eastAsia="仿宋" w:cs="仿宋"/>
          <w:sz w:val="24"/>
        </w:rPr>
      </w:pPr>
      <w:r>
        <w:rPr>
          <w:rFonts w:hint="eastAsia" w:ascii="仿宋" w:hAnsi="仿宋" w:eastAsia="仿宋" w:cs="仿宋"/>
          <w:sz w:val="24"/>
        </w:rPr>
        <w:t>地址：四川省成都市一环路西二段32号</w:t>
      </w:r>
    </w:p>
    <w:p>
      <w:pPr>
        <w:spacing w:line="360" w:lineRule="auto"/>
        <w:rPr>
          <w:rFonts w:hint="eastAsia" w:ascii="仿宋" w:hAnsi="仿宋" w:eastAsia="仿宋" w:cs="仿宋"/>
          <w:sz w:val="24"/>
        </w:rPr>
      </w:pPr>
      <w:r>
        <w:rPr>
          <w:rFonts w:hint="eastAsia" w:ascii="仿宋" w:hAnsi="仿宋" w:eastAsia="仿宋" w:cs="仿宋"/>
          <w:sz w:val="24"/>
        </w:rPr>
        <w:t>电话：028-8739***</w:t>
      </w:r>
    </w:p>
    <w:p>
      <w:pPr>
        <w:spacing w:line="360" w:lineRule="auto"/>
        <w:rPr>
          <w:rFonts w:hint="eastAsia" w:ascii="仿宋" w:hAnsi="仿宋" w:eastAsia="仿宋" w:cs="仿宋"/>
          <w:sz w:val="24"/>
        </w:rPr>
      </w:pPr>
      <w:r>
        <w:rPr>
          <w:rFonts w:hint="eastAsia" w:ascii="仿宋" w:hAnsi="仿宋" w:eastAsia="仿宋" w:cs="仿宋"/>
          <w:sz w:val="24"/>
        </w:rPr>
        <w:t>联系人：***</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供应商（以下简称乙方）：***</w:t>
      </w:r>
    </w:p>
    <w:p>
      <w:pPr>
        <w:spacing w:line="360" w:lineRule="auto"/>
        <w:rPr>
          <w:rFonts w:hint="eastAsia" w:ascii="仿宋" w:hAnsi="仿宋" w:eastAsia="仿宋" w:cs="仿宋"/>
          <w:sz w:val="24"/>
        </w:rPr>
      </w:pPr>
      <w:r>
        <w:rPr>
          <w:rFonts w:hint="eastAsia" w:ascii="仿宋" w:hAnsi="仿宋" w:eastAsia="仿宋" w:cs="仿宋"/>
          <w:sz w:val="24"/>
        </w:rPr>
        <w:t>地址：***</w:t>
      </w:r>
    </w:p>
    <w:p>
      <w:pPr>
        <w:spacing w:line="360" w:lineRule="auto"/>
        <w:rPr>
          <w:rFonts w:hint="eastAsia" w:ascii="仿宋" w:hAnsi="仿宋" w:eastAsia="仿宋" w:cs="仿宋"/>
          <w:sz w:val="24"/>
        </w:rPr>
      </w:pPr>
      <w:r>
        <w:rPr>
          <w:rFonts w:hint="eastAsia" w:ascii="仿宋" w:hAnsi="仿宋" w:eastAsia="仿宋" w:cs="仿宋"/>
          <w:sz w:val="24"/>
        </w:rPr>
        <w:t>移动电话：***</w:t>
      </w:r>
    </w:p>
    <w:p>
      <w:pPr>
        <w:spacing w:line="360" w:lineRule="auto"/>
        <w:rPr>
          <w:rFonts w:hint="eastAsia" w:ascii="仿宋" w:hAnsi="仿宋" w:eastAsia="仿宋" w:cs="仿宋"/>
          <w:sz w:val="24"/>
        </w:rPr>
      </w:pPr>
      <w:r>
        <w:rPr>
          <w:rFonts w:hint="eastAsia" w:ascii="仿宋" w:hAnsi="仿宋" w:eastAsia="仿宋" w:cs="仿宋"/>
          <w:sz w:val="24"/>
        </w:rPr>
        <w:t>联系人：***</w:t>
      </w:r>
    </w:p>
    <w:p>
      <w:pPr>
        <w:spacing w:line="360" w:lineRule="auto"/>
        <w:rPr>
          <w:rFonts w:hint="eastAsia" w:ascii="仿宋" w:hAnsi="仿宋" w:eastAsia="仿宋" w:cs="仿宋"/>
          <w:sz w:val="24"/>
        </w:rPr>
      </w:pPr>
    </w:p>
    <w:p>
      <w:pPr>
        <w:pStyle w:val="26"/>
        <w:numPr>
          <w:ilvl w:val="0"/>
          <w:numId w:val="9"/>
        </w:numPr>
        <w:ind w:lef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服务信息</w:t>
      </w:r>
    </w:p>
    <w:p>
      <w:pPr>
        <w:pStyle w:val="10"/>
        <w:numPr>
          <w:ilvl w:val="0"/>
          <w:numId w:val="10"/>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招标标的名称：***。</w:t>
      </w:r>
    </w:p>
    <w:p>
      <w:pPr>
        <w:pStyle w:val="10"/>
        <w:numPr>
          <w:ilvl w:val="0"/>
          <w:numId w:val="10"/>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保修服务涉及的设备信息（如设备为医疗器械，则以下表格中填写的相关内容均须与医疗器械注册证或备案证信息保持一致）。</w:t>
      </w:r>
    </w:p>
    <w:p>
      <w:pPr>
        <w:rPr>
          <w:rFonts w:hint="eastAsia" w:ascii="仿宋" w:hAnsi="仿宋" w:eastAsia="仿宋" w:cs="仿宋"/>
          <w:color w:val="auto"/>
          <w:sz w:val="24"/>
          <w:szCs w:val="24"/>
          <w:highlight w:val="none"/>
        </w:rPr>
      </w:pPr>
    </w:p>
    <w:tbl>
      <w:tblPr>
        <w:tblStyle w:val="17"/>
        <w:tblW w:w="9601" w:type="dxa"/>
        <w:tblInd w:w="30" w:type="dxa"/>
        <w:tblLayout w:type="fixed"/>
        <w:tblCellMar>
          <w:top w:w="0" w:type="dxa"/>
          <w:left w:w="30" w:type="dxa"/>
          <w:bottom w:w="0" w:type="dxa"/>
          <w:right w:w="30" w:type="dxa"/>
        </w:tblCellMar>
      </w:tblPr>
      <w:tblGrid>
        <w:gridCol w:w="433"/>
        <w:gridCol w:w="2364"/>
        <w:gridCol w:w="2694"/>
        <w:gridCol w:w="1984"/>
        <w:gridCol w:w="2126"/>
      </w:tblGrid>
      <w:tr>
        <w:trPr>
          <w:cantSplit/>
          <w:trHeight w:val="495" w:hRule="atLeast"/>
        </w:trPr>
        <w:tc>
          <w:tcPr>
            <w:tcW w:w="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6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269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生产厂家</w:t>
            </w:r>
          </w:p>
        </w:tc>
        <w:tc>
          <w:tcPr>
            <w:tcW w:w="19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型号规格</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机身号</w:t>
            </w:r>
          </w:p>
        </w:tc>
      </w:tr>
      <w:tr>
        <w:tblPrEx>
          <w:tblCellMar>
            <w:top w:w="0" w:type="dxa"/>
            <w:left w:w="30" w:type="dxa"/>
            <w:bottom w:w="0" w:type="dxa"/>
            <w:right w:w="30" w:type="dxa"/>
          </w:tblCellMar>
        </w:tblPrEx>
        <w:trPr>
          <w:cantSplit/>
          <w:trHeight w:val="767" w:hRule="atLeast"/>
        </w:trPr>
        <w:tc>
          <w:tcPr>
            <w:tcW w:w="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6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69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9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rPr>
          <w:rFonts w:hint="eastAsia" w:ascii="仿宋" w:hAnsi="仿宋" w:eastAsia="仿宋" w:cs="仿宋"/>
          <w:bCs/>
          <w:color w:val="auto"/>
          <w:sz w:val="24"/>
          <w:szCs w:val="24"/>
          <w:highlight w:val="none"/>
        </w:rPr>
      </w:pP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 台（件）</w:t>
      </w:r>
    </w:p>
    <w:p>
      <w:pPr>
        <w:jc w:val="left"/>
        <w:rPr>
          <w:rFonts w:hint="eastAsia" w:ascii="仿宋" w:hAnsi="仿宋" w:eastAsia="仿宋" w:cs="仿宋"/>
          <w:b/>
          <w:color w:val="auto"/>
          <w:sz w:val="24"/>
          <w:szCs w:val="24"/>
          <w:highlight w:val="none"/>
        </w:rPr>
      </w:pPr>
    </w:p>
    <w:p>
      <w:pPr>
        <w:pStyle w:val="26"/>
        <w:numPr>
          <w:ilvl w:val="0"/>
          <w:numId w:val="9"/>
        </w:numPr>
        <w:ind w:lef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设备保修服务期限</w:t>
      </w:r>
    </w:p>
    <w:p>
      <w:pPr>
        <w:pStyle w:val="26"/>
        <w:ind w:left="48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本合同保修服务期限为 *** 年，自 *** 年 *** 月 *** 日起至 *** 年 *** 月 *** 日。</w:t>
      </w:r>
    </w:p>
    <w:p>
      <w:pPr>
        <w:jc w:val="left"/>
        <w:rPr>
          <w:rFonts w:hint="eastAsia" w:ascii="仿宋" w:hAnsi="仿宋" w:eastAsia="仿宋" w:cs="仿宋"/>
          <w:b/>
          <w:color w:val="auto"/>
          <w:sz w:val="24"/>
          <w:szCs w:val="24"/>
          <w:highlight w:val="none"/>
        </w:rPr>
      </w:pPr>
    </w:p>
    <w:p>
      <w:pPr>
        <w:pStyle w:val="26"/>
        <w:numPr>
          <w:ilvl w:val="0"/>
          <w:numId w:val="9"/>
        </w:numPr>
        <w:ind w:lef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保修服务内容</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详见《附件：保修服务计划书》</w:t>
      </w:r>
    </w:p>
    <w:p>
      <w:pPr>
        <w:jc w:val="left"/>
        <w:rPr>
          <w:rFonts w:hint="eastAsia" w:ascii="仿宋" w:hAnsi="仿宋" w:eastAsia="仿宋" w:cs="仿宋"/>
          <w:b/>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合同总价</w:t>
      </w:r>
    </w:p>
    <w:p>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合同总价（含税）为人民币大写：*** 圆整，即RMB *** 元；该合同总价已包括本合同中第三条内容涉及的所有相关费用（包括但不限于设备包装、运输、安装、调试、检测、差旅费用、工时费用及技术服务费、税费以及更换零配件所需的全部含税费用）。本合同执行期间合同总价不变，甲方无须另向乙方支付本合同规定之外的其他任何费用。</w:t>
      </w:r>
    </w:p>
    <w:p>
      <w:pPr>
        <w:jc w:val="left"/>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w:t>
      </w:r>
    </w:p>
    <w:p>
      <w:pPr>
        <w:pStyle w:val="10"/>
        <w:numPr>
          <w:ilvl w:val="0"/>
          <w:numId w:val="12"/>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对于保修服务中所发生的维修、保养及更换备件等项目，甲乙双方共同以本合同约定的验收标准进行验收。</w:t>
      </w:r>
    </w:p>
    <w:p>
      <w:pPr>
        <w:pStyle w:val="10"/>
        <w:numPr>
          <w:ilvl w:val="0"/>
          <w:numId w:val="12"/>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验收标准：按国家有关规定以及设备制造厂商发布的质量要求和技术指标进行验收，并以甲方签字认可的验收报告为准。</w:t>
      </w:r>
    </w:p>
    <w:p>
      <w:pPr>
        <w:pStyle w:val="10"/>
        <w:numPr>
          <w:ilvl w:val="0"/>
          <w:numId w:val="12"/>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其他未尽事宜应严格按照《省财政厅关于加强政府采购项目履约验收工作的通知》（川财采〔2009〕30号）的要求进行。</w:t>
      </w:r>
    </w:p>
    <w:p>
      <w:pPr>
        <w:jc w:val="left"/>
        <w:rPr>
          <w:rFonts w:hint="eastAsia" w:ascii="仿宋" w:hAnsi="仿宋" w:eastAsia="仿宋" w:cs="仿宋"/>
          <w:b/>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p>
      <w:pPr>
        <w:pStyle w:val="10"/>
        <w:numPr>
          <w:ilvl w:val="0"/>
          <w:numId w:val="13"/>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本合同以人民币付款。</w:t>
      </w:r>
    </w:p>
    <w:p>
      <w:pPr>
        <w:pStyle w:val="10"/>
        <w:numPr>
          <w:ilvl w:val="0"/>
          <w:numId w:val="13"/>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本合同生效并且保修服务开始后5日内，乙方须向甲方出具合法有效完整的完税发票及凭证资料，甲方自收到上述发票及凭证资料后55日内支付合同总价100%的货款给乙方。</w:t>
      </w: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双方权利与义务</w:t>
      </w:r>
    </w:p>
    <w:p>
      <w:pPr>
        <w:pStyle w:val="10"/>
        <w:numPr>
          <w:ilvl w:val="0"/>
          <w:numId w:val="14"/>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甲方权利与义务</w:t>
      </w:r>
    </w:p>
    <w:p>
      <w:pPr>
        <w:pStyle w:val="26"/>
        <w:numPr>
          <w:ilvl w:val="0"/>
          <w:numId w:val="15"/>
        </w:numPr>
        <w:adjustRightInd w:val="0"/>
        <w:snapToGrid w:val="0"/>
        <w:ind w:left="525"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按合同约定向乙方支付费用。</w:t>
      </w:r>
    </w:p>
    <w:p>
      <w:pPr>
        <w:pStyle w:val="26"/>
        <w:numPr>
          <w:ilvl w:val="0"/>
          <w:numId w:val="15"/>
        </w:numPr>
        <w:adjustRightInd w:val="0"/>
        <w:snapToGrid w:val="0"/>
        <w:ind w:left="525"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保证乙方实施保修服务所必须的外部条件如电源、水源的正常供应及开启、关闭等。</w:t>
      </w:r>
    </w:p>
    <w:p>
      <w:pPr>
        <w:pStyle w:val="26"/>
        <w:numPr>
          <w:ilvl w:val="0"/>
          <w:numId w:val="15"/>
        </w:numPr>
        <w:adjustRightInd w:val="0"/>
        <w:snapToGrid w:val="0"/>
        <w:ind w:left="525"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对于乙方在提供保修保养期间所提供的信息，甲方应予保密，未经乙方书面同意，甲方不得擅自使用或透露给第三方。</w:t>
      </w:r>
    </w:p>
    <w:p>
      <w:pPr>
        <w:pStyle w:val="10"/>
        <w:numPr>
          <w:ilvl w:val="0"/>
          <w:numId w:val="14"/>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乙方权利与义务</w:t>
      </w:r>
    </w:p>
    <w:p>
      <w:pPr>
        <w:pStyle w:val="10"/>
        <w:numPr>
          <w:ilvl w:val="0"/>
          <w:numId w:val="16"/>
        </w:numPr>
        <w:spacing w:line="240" w:lineRule="auto"/>
        <w:ind w:left="600" w:leftChars="0"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按本合同约定向甲方提供保修服务。</w:t>
      </w:r>
    </w:p>
    <w:p>
      <w:pPr>
        <w:pStyle w:val="10"/>
        <w:numPr>
          <w:ilvl w:val="0"/>
          <w:numId w:val="16"/>
        </w:numPr>
        <w:spacing w:line="240" w:lineRule="auto"/>
        <w:ind w:left="600" w:leftChars="0"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保修服务中更换的备件、材料与原设备对应备件、材料具有相同规格和品质，必须符合或优于国家（行业）标准，并保证所更换的备件、材料在正确安装及正常使用和保养条件下，于其使用寿命期内具有满意的性能。</w:t>
      </w:r>
    </w:p>
    <w:p>
      <w:pPr>
        <w:pStyle w:val="10"/>
        <w:numPr>
          <w:ilvl w:val="0"/>
          <w:numId w:val="16"/>
        </w:numPr>
        <w:spacing w:line="240" w:lineRule="auto"/>
        <w:ind w:left="600" w:leftChars="0"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如保修服务涉及计算机软件产品的，乙方须承诺在保修服务中设备安装的软件已获得软件厂商的正规授权。</w:t>
      </w:r>
    </w:p>
    <w:p>
      <w:pPr>
        <w:pStyle w:val="10"/>
        <w:numPr>
          <w:ilvl w:val="0"/>
          <w:numId w:val="16"/>
        </w:numPr>
        <w:spacing w:line="240" w:lineRule="auto"/>
        <w:ind w:left="600" w:leftChars="0" w:hanging="600" w:hanging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乙方在提供保修服务的过程中，发现设备已经无法通过本合同第三条中说明的保修服务内容达到使用标准的情况，乙方须以书面形式告知甲方。</w:t>
      </w:r>
    </w:p>
    <w:p>
      <w:pPr>
        <w:pStyle w:val="10"/>
        <w:spacing w:line="240" w:lineRule="auto"/>
        <w:ind w:left="0" w:leftChars="0"/>
        <w:jc w:val="left"/>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合同的提前终止</w:t>
      </w:r>
    </w:p>
    <w:p>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如因客观条件发生变化导致本合同无法继续履行时，经甲乙双方友好协商合同可以提前终止，由乙方按照提前终止期限按比例向甲方退还维保费用。</w:t>
      </w:r>
    </w:p>
    <w:p>
      <w:pPr>
        <w:pStyle w:val="10"/>
        <w:spacing w:line="240" w:lineRule="auto"/>
        <w:ind w:left="0" w:leftChars="0"/>
        <w:jc w:val="left"/>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w:t>
      </w:r>
    </w:p>
    <w:p>
      <w:pPr>
        <w:pStyle w:val="10"/>
        <w:numPr>
          <w:ilvl w:val="0"/>
          <w:numId w:val="17"/>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乙方应派遣具备相关资质的技术人员为甲方提供保修服务，保修服务过程中，乙方技术人员因操作不当、未采取必要的安全防范措施等原因导致安全责任事故的，由乙方承担由此造成的全部法律责任。</w:t>
      </w:r>
    </w:p>
    <w:p>
      <w:pPr>
        <w:pStyle w:val="10"/>
        <w:numPr>
          <w:ilvl w:val="0"/>
          <w:numId w:val="17"/>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乙方技术人员对在提供保修服务过程中接触到的甲方的技术资料、患者隐私信息等应当严格保密，不得外泄或用作商业用途，否则应承担相应的侵权责任。</w:t>
      </w:r>
    </w:p>
    <w:p>
      <w:pPr>
        <w:pStyle w:val="10"/>
        <w:numPr>
          <w:ilvl w:val="0"/>
          <w:numId w:val="17"/>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因乙方在保修服务中更换的备件或材料在质保期内并在正常使用情况下出现质量原因导致甲方或第三方财产或人身损害的，由乙方承担赔偿责任。</w:t>
      </w:r>
    </w:p>
    <w:p>
      <w:pPr>
        <w:pStyle w:val="26"/>
        <w:numPr>
          <w:ilvl w:val="0"/>
          <w:numId w:val="17"/>
        </w:numPr>
        <w:ind w:left="227" w:hanging="22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在本合同的履行中，有证据证明乙方提供的保修服务存在重大的设计、工艺或材料缺陷（包括潜在缺陷），乙方应当对由于上述缺陷造成的损失负责。</w:t>
      </w:r>
    </w:p>
    <w:p>
      <w:pPr>
        <w:pStyle w:val="26"/>
        <w:numPr>
          <w:ilvl w:val="0"/>
          <w:numId w:val="17"/>
        </w:numPr>
        <w:ind w:left="227" w:hanging="22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履行中，设备出现故障时，如乙方在接到甲方或使用单位通知后，在本合同第三条中写明的响应时间内，没有作出响应措施，甲方可采取必要的补救措施，但由此而产生的风险责任和费用将由乙方负担，甲方根据合同规定对乙方行使的其他权力不受影响。</w:t>
      </w:r>
    </w:p>
    <w:p>
      <w:pPr>
        <w:pStyle w:val="26"/>
        <w:numPr>
          <w:ilvl w:val="0"/>
          <w:numId w:val="17"/>
        </w:numPr>
        <w:ind w:left="227" w:hanging="22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乙方未按照本合同第六条约定的时限提供合法发票或提供发票瑕疵（包括但不限于发票种类有误、发票金额有误等），甲方付款时限相应顺延并不承担任何延期支付的违约责任。</w:t>
      </w:r>
    </w:p>
    <w:p>
      <w:pPr>
        <w:jc w:val="left"/>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pPr>
        <w:pStyle w:val="10"/>
        <w:numPr>
          <w:ilvl w:val="0"/>
          <w:numId w:val="18"/>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本合同在甲、乙双方授权代表签字盖章后生效。</w:t>
      </w:r>
    </w:p>
    <w:p>
      <w:pPr>
        <w:pStyle w:val="10"/>
        <w:numPr>
          <w:ilvl w:val="0"/>
          <w:numId w:val="18"/>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本合同一式五份，自双方签章之日起生效。甲方三份，乙方、采购代理机构各一份。</w:t>
      </w:r>
    </w:p>
    <w:p>
      <w:pPr>
        <w:jc w:val="left"/>
        <w:rPr>
          <w:rFonts w:hint="eastAsia" w:ascii="仿宋" w:hAnsi="仿宋" w:eastAsia="仿宋" w:cs="仿宋"/>
          <w:b/>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合同附件</w:t>
      </w:r>
    </w:p>
    <w:p>
      <w:pPr>
        <w:pStyle w:val="10"/>
        <w:numPr>
          <w:ilvl w:val="0"/>
          <w:numId w:val="19"/>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本合同属有附件合同，包括以下附件：</w:t>
      </w:r>
    </w:p>
    <w:p>
      <w:pPr>
        <w:pStyle w:val="10"/>
        <w:spacing w:line="240" w:lineRule="auto"/>
        <w:ind w:left="227"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附件：保修服务计划书</w:t>
      </w:r>
    </w:p>
    <w:p>
      <w:pPr>
        <w:pStyle w:val="10"/>
        <w:numPr>
          <w:ilvl w:val="0"/>
          <w:numId w:val="19"/>
        </w:numPr>
        <w:spacing w:line="240" w:lineRule="auto"/>
        <w:ind w:left="227" w:leftChars="0" w:hanging="22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本合同附件与合同具有同等法律效力，如果与本合同不符处，以本合同为准。</w:t>
      </w:r>
    </w:p>
    <w:p>
      <w:pPr>
        <w:pStyle w:val="26"/>
        <w:ind w:left="480" w:firstLine="0" w:firstLineChars="0"/>
        <w:jc w:val="left"/>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争议解决方式</w:t>
      </w:r>
    </w:p>
    <w:p>
      <w:pPr>
        <w:pStyle w:val="10"/>
        <w:numPr>
          <w:ilvl w:val="0"/>
          <w:numId w:val="20"/>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保修服务中更换的备件、材料的质量问题或维修的标准认定发生争议，由质量技术监督部门或其指定的质量鉴定机构进行质量鉴定。质量合格或符合标准的，鉴定费由甲方承担；质量不合格或不符合标准的，鉴定费由乙方承担。</w:t>
      </w:r>
    </w:p>
    <w:p>
      <w:pPr>
        <w:pStyle w:val="10"/>
        <w:numPr>
          <w:ilvl w:val="0"/>
          <w:numId w:val="20"/>
        </w:numPr>
        <w:spacing w:line="240" w:lineRule="auto"/>
        <w:ind w:left="240" w:leftChars="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合同履行期间,若双方发生争议，可协商或由有关部门调解解决，协商或调解不成的，任何一方均有权向甲方所在具有地管辖权的人民法院起诉。</w:t>
      </w:r>
    </w:p>
    <w:p>
      <w:pPr>
        <w:tabs>
          <w:tab w:val="left" w:pos="540"/>
        </w:tabs>
        <w:spacing w:after="120" w:afterLines="50"/>
        <w:jc w:val="left"/>
        <w:outlineLvl w:val="2"/>
        <w:rPr>
          <w:rFonts w:hint="eastAsia" w:ascii="仿宋" w:hAnsi="仿宋" w:eastAsia="仿宋" w:cs="仿宋"/>
          <w:color w:val="auto"/>
          <w:sz w:val="24"/>
          <w:szCs w:val="24"/>
          <w:highlight w:val="none"/>
        </w:rPr>
      </w:pPr>
    </w:p>
    <w:p>
      <w:pPr>
        <w:pStyle w:val="26"/>
        <w:numPr>
          <w:ilvl w:val="0"/>
          <w:numId w:val="11"/>
        </w:numPr>
        <w:ind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双方需要说明的其他事项（如有）</w:t>
      </w:r>
    </w:p>
    <w:p>
      <w:pPr>
        <w:jc w:val="left"/>
        <w:rPr>
          <w:rFonts w:hint="eastAsia" w:ascii="仿宋" w:hAnsi="仿宋" w:eastAsia="仿宋" w:cs="仿宋"/>
          <w:bCs/>
          <w:color w:val="auto"/>
          <w:sz w:val="24"/>
          <w:szCs w:val="24"/>
          <w:highlight w:val="none"/>
          <w:u w:val="single"/>
        </w:rPr>
      </w:pPr>
    </w:p>
    <w:p>
      <w:pPr>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（以下无正文）</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jc w:val="left"/>
        <w:outlineLvl w:val="0"/>
        <w:rPr>
          <w:rFonts w:hint="eastAsia" w:ascii="仿宋" w:hAnsi="仿宋" w:eastAsia="仿宋" w:cs="仿宋"/>
          <w:b/>
          <w:bCs/>
          <w:color w:val="auto"/>
          <w:sz w:val="24"/>
          <w:szCs w:val="24"/>
          <w:highlight w:val="none"/>
        </w:rPr>
      </w:pPr>
    </w:p>
    <w:p>
      <w:pPr>
        <w:jc w:val="left"/>
        <w:outlineLvl w:val="0"/>
        <w:rPr>
          <w:rFonts w:hint="eastAsia" w:ascii="仿宋" w:hAnsi="仿宋" w:eastAsia="仿宋" w:cs="仿宋"/>
          <w:b/>
          <w:bCs/>
          <w:color w:val="auto"/>
          <w:sz w:val="24"/>
          <w:szCs w:val="24"/>
          <w:highlight w:val="none"/>
        </w:rPr>
      </w:pP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甲方：四川省人民医院（盖章）</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法定代表人（授权代表签字或盖章）：</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址：四川省成都市一环路西二段32号</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开户银行：建设银行成都青羊支行</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账号：5100 1446 4360 5037 4282</w:t>
      </w:r>
    </w:p>
    <w:p>
      <w:pPr>
        <w:jc w:val="left"/>
        <w:rPr>
          <w:rFonts w:hint="eastAsia" w:ascii="仿宋" w:hAnsi="仿宋" w:eastAsia="仿宋" w:cs="仿宋"/>
          <w:color w:val="auto"/>
          <w:sz w:val="24"/>
          <w:szCs w:val="24"/>
          <w:highlight w:val="none"/>
        </w:rPr>
      </w:pP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法定代表人（授权代表签字或盖章）：</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pPr>
        <w:rPr>
          <w:rFonts w:ascii="仿宋" w:hAnsi="仿宋" w:eastAsia="仿宋" w:cs="仿宋"/>
          <w:sz w:val="28"/>
          <w:szCs w:val="36"/>
        </w:rPr>
      </w:pPr>
      <w:r>
        <w:rPr>
          <w:rFonts w:hint="eastAsia" w:ascii="仿宋" w:hAnsi="仿宋" w:eastAsia="仿宋" w:cs="仿宋"/>
          <w:sz w:val="28"/>
          <w:szCs w:val="36"/>
        </w:rPr>
        <w:t xml:space="preserve">签约日期：   年   月   日 </w:t>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签约日期：     年   月   日</w:t>
      </w:r>
    </w:p>
    <w:p>
      <w:pPr>
        <w:spacing w:line="360" w:lineRule="auto"/>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甲方：四川省人民医院(盖章) </w:t>
      </w:r>
      <w:r>
        <w:rPr>
          <w:rFonts w:hint="eastAsia" w:ascii="仿宋" w:hAnsi="仿宋" w:eastAsia="仿宋"/>
          <w:sz w:val="28"/>
          <w:szCs w:val="28"/>
          <w:lang w:val="en-US" w:eastAsia="zh-CN"/>
        </w:rPr>
        <w:t xml:space="preserve">  </w:t>
      </w:r>
      <w:r>
        <w:rPr>
          <w:rFonts w:hint="eastAsia" w:ascii="仿宋" w:hAnsi="仿宋" w:eastAsia="仿宋"/>
          <w:sz w:val="28"/>
          <w:szCs w:val="28"/>
        </w:rPr>
        <w:t>乙方：供应单位(盖章)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甲方代表签字： </w:t>
      </w:r>
      <w:r>
        <w:rPr>
          <w:rFonts w:hint="eastAsia" w:ascii="仿宋" w:hAnsi="仿宋" w:eastAsia="仿宋"/>
          <w:sz w:val="28"/>
          <w:szCs w:val="28"/>
          <w:lang w:val="en-US" w:eastAsia="zh-CN"/>
        </w:rPr>
        <w:t xml:space="preserve">               </w:t>
      </w:r>
      <w:r>
        <w:rPr>
          <w:rFonts w:hint="eastAsia" w:ascii="仿宋" w:hAnsi="仿宋" w:eastAsia="仿宋"/>
          <w:sz w:val="28"/>
          <w:szCs w:val="28"/>
        </w:rPr>
        <w:t>乙方代表签字:</w:t>
      </w:r>
    </w:p>
    <w:p>
      <w:pPr>
        <w:ind w:firstLine="4200" w:firstLineChars="15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年   月   日</w:t>
      </w:r>
    </w:p>
    <w:p>
      <w:pPr>
        <w:pStyle w:val="23"/>
      </w:pPr>
    </w:p>
    <w:p>
      <w:pPr>
        <w:pStyle w:val="23"/>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6B9C40-337B-4B77-83EE-42CA639BF84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EC66210-5D34-4173-9BF7-0EE3C9A942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CBB872D-6ED8-4CEA-B242-DD6A4FDC5D8F}"/>
  </w:font>
  <w:font w:name="仿宋_GB2312">
    <w:altName w:val="仿宋"/>
    <w:panose1 w:val="02010609030101010101"/>
    <w:charset w:val="86"/>
    <w:family w:val="modern"/>
    <w:pitch w:val="default"/>
    <w:sig w:usb0="00000000" w:usb1="00000000" w:usb2="00000010" w:usb3="00000000" w:csb0="00040000" w:csb1="00000000"/>
    <w:embedRegular r:id="rId4" w:fontKey="{1562264C-C759-4246-A2F6-DAA4AF2F59F7}"/>
  </w:font>
  <w:font w:name="仿宋">
    <w:panose1 w:val="02010609060101010101"/>
    <w:charset w:val="86"/>
    <w:family w:val="auto"/>
    <w:pitch w:val="default"/>
    <w:sig w:usb0="800002BF" w:usb1="38CF7CFA" w:usb2="00000016" w:usb3="00000000" w:csb0="00040001" w:csb1="00000000"/>
    <w:embedRegular r:id="rId5" w:fontKey="{EE1A1FCE-7187-4EF0-B920-0BCA200A9E47}"/>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华文仿宋">
    <w:altName w:val="仿宋"/>
    <w:panose1 w:val="02010600040101010101"/>
    <w:charset w:val="86"/>
    <w:family w:val="auto"/>
    <w:pitch w:val="default"/>
    <w:sig w:usb0="00000000" w:usb1="00000000" w:usb2="00000010" w:usb3="00000000" w:csb0="0004009F" w:csb1="00000000"/>
    <w:embedRegular r:id="rId6" w:fontKey="{3F2EFD32-7881-4D13-80F4-E9640609A1B0}"/>
  </w:font>
  <w:font w:name="等线">
    <w:panose1 w:val="02010600030101010101"/>
    <w:charset w:val="86"/>
    <w:family w:val="auto"/>
    <w:pitch w:val="default"/>
    <w:sig w:usb0="A00002BF" w:usb1="38CF7CFA" w:usb2="00000016" w:usb3="00000000" w:csb0="0004000F" w:csb1="00000000"/>
    <w:embedRegular r:id="rId7" w:fontKey="{E28A9876-1687-4C44-9519-5184B7A808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p>
    <w:pPr>
      <w:pStyle w:val="13"/>
      <w:pBdr>
        <w:bottom w:val="none" w:color="auto" w:sz="0" w:space="1"/>
      </w:pBdr>
      <w:jc w:val="right"/>
    </w:pPr>
    <w:r>
      <w:rPr>
        <w:rFonts w:hint="eastAsia"/>
      </w:rPr>
      <w:t>CGWJ-BX-202201</w:t>
    </w:r>
  </w:p>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00966DFC"/>
    <w:multiLevelType w:val="singleLevel"/>
    <w:tmpl w:val="00966DFC"/>
    <w:lvl w:ilvl="0" w:tentative="0">
      <w:start w:val="1"/>
      <w:numFmt w:val="chineseCounting"/>
      <w:suff w:val="nothing"/>
      <w:lvlText w:val="（%1）"/>
      <w:lvlJc w:val="left"/>
      <w:rPr>
        <w:rFonts w:hint="eastAsia"/>
      </w:rPr>
    </w:lvl>
  </w:abstractNum>
  <w:abstractNum w:abstractNumId="5">
    <w:nsid w:val="028F69B0"/>
    <w:multiLevelType w:val="multilevel"/>
    <w:tmpl w:val="028F69B0"/>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03EA5847"/>
    <w:multiLevelType w:val="multilevel"/>
    <w:tmpl w:val="03EA5847"/>
    <w:lvl w:ilvl="0" w:tentative="0">
      <w:start w:val="1"/>
      <w:numFmt w:val="decimal"/>
      <w:lvlText w:val="（%1）"/>
      <w:lvlJc w:val="left"/>
      <w:pPr>
        <w:ind w:left="624" w:hanging="624"/>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1A085A1F"/>
    <w:multiLevelType w:val="multilevel"/>
    <w:tmpl w:val="1A085A1F"/>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1B684AB8"/>
    <w:multiLevelType w:val="singleLevel"/>
    <w:tmpl w:val="1B684AB8"/>
    <w:lvl w:ilvl="0" w:tentative="0">
      <w:start w:val="1"/>
      <w:numFmt w:val="chineseCounting"/>
      <w:suff w:val="space"/>
      <w:lvlText w:val="第%1章"/>
      <w:lvlJc w:val="left"/>
      <w:rPr>
        <w:rFonts w:hint="eastAsia"/>
      </w:rPr>
    </w:lvl>
  </w:abstractNum>
  <w:abstractNum w:abstractNumId="9">
    <w:nsid w:val="1BE83E73"/>
    <w:multiLevelType w:val="multilevel"/>
    <w:tmpl w:val="1BE83E73"/>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3096F4F"/>
    <w:multiLevelType w:val="multilevel"/>
    <w:tmpl w:val="43096F4F"/>
    <w:lvl w:ilvl="0" w:tentative="0">
      <w:start w:val="4"/>
      <w:numFmt w:val="chineseCountingThousand"/>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43387EE5"/>
    <w:multiLevelType w:val="multilevel"/>
    <w:tmpl w:val="43387EE5"/>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4AB3779B"/>
    <w:multiLevelType w:val="multilevel"/>
    <w:tmpl w:val="4AB3779B"/>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4">
    <w:nsid w:val="538612E5"/>
    <w:multiLevelType w:val="multilevel"/>
    <w:tmpl w:val="538612E5"/>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543701AF"/>
    <w:multiLevelType w:val="multilevel"/>
    <w:tmpl w:val="543701A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1FE1EA8"/>
    <w:multiLevelType w:val="multilevel"/>
    <w:tmpl w:val="61FE1EA8"/>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63A571AA"/>
    <w:multiLevelType w:val="multilevel"/>
    <w:tmpl w:val="63A571AA"/>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8">
    <w:nsid w:val="780D6D22"/>
    <w:multiLevelType w:val="multilevel"/>
    <w:tmpl w:val="780D6D22"/>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8"/>
  </w:num>
  <w:num w:numId="3">
    <w:abstractNumId w:val="19"/>
  </w:num>
  <w:num w:numId="4">
    <w:abstractNumId w:val="2"/>
  </w:num>
  <w:num w:numId="5">
    <w:abstractNumId w:val="1"/>
  </w:num>
  <w:num w:numId="6">
    <w:abstractNumId w:val="3"/>
  </w:num>
  <w:num w:numId="7">
    <w:abstractNumId w:val="4"/>
  </w:num>
  <w:num w:numId="8">
    <w:abstractNumId w:val="0"/>
  </w:num>
  <w:num w:numId="9">
    <w:abstractNumId w:val="9"/>
  </w:num>
  <w:num w:numId="10">
    <w:abstractNumId w:val="16"/>
  </w:num>
  <w:num w:numId="11">
    <w:abstractNumId w:val="11"/>
  </w:num>
  <w:num w:numId="12">
    <w:abstractNumId w:val="12"/>
  </w:num>
  <w:num w:numId="13">
    <w:abstractNumId w:val="5"/>
  </w:num>
  <w:num w:numId="14">
    <w:abstractNumId w:val="17"/>
  </w:num>
  <w:num w:numId="15">
    <w:abstractNumId w:val="15"/>
  </w:num>
  <w:num w:numId="16">
    <w:abstractNumId w:val="6"/>
  </w:num>
  <w:num w:numId="17">
    <w:abstractNumId w:val="7"/>
  </w:num>
  <w:num w:numId="18">
    <w:abstractNumId w:val="18"/>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5NTJiZjdlZTY1NzQzMjk2Njg0MGI4ZWI2ZTM1MjgifQ=="/>
  </w:docVars>
  <w:rsids>
    <w:rsidRoot w:val="7D040AB6"/>
    <w:rsid w:val="0000488D"/>
    <w:rsid w:val="000278AB"/>
    <w:rsid w:val="00077AA7"/>
    <w:rsid w:val="000C337E"/>
    <w:rsid w:val="00190B24"/>
    <w:rsid w:val="0022301C"/>
    <w:rsid w:val="002B5793"/>
    <w:rsid w:val="00461368"/>
    <w:rsid w:val="0047666D"/>
    <w:rsid w:val="004F4DC4"/>
    <w:rsid w:val="005A705A"/>
    <w:rsid w:val="0064444C"/>
    <w:rsid w:val="00677BCD"/>
    <w:rsid w:val="006F4109"/>
    <w:rsid w:val="007365C1"/>
    <w:rsid w:val="00746494"/>
    <w:rsid w:val="00756179"/>
    <w:rsid w:val="007760AF"/>
    <w:rsid w:val="00780419"/>
    <w:rsid w:val="00823167"/>
    <w:rsid w:val="008439DA"/>
    <w:rsid w:val="008F14FA"/>
    <w:rsid w:val="008F26A3"/>
    <w:rsid w:val="0094161B"/>
    <w:rsid w:val="00A12C4A"/>
    <w:rsid w:val="00A72CD1"/>
    <w:rsid w:val="00B16CD7"/>
    <w:rsid w:val="00B2440D"/>
    <w:rsid w:val="00B63B3D"/>
    <w:rsid w:val="00BC1C51"/>
    <w:rsid w:val="00BE12C0"/>
    <w:rsid w:val="00C16D65"/>
    <w:rsid w:val="00C77012"/>
    <w:rsid w:val="00C80DB0"/>
    <w:rsid w:val="00C866E7"/>
    <w:rsid w:val="00D644BF"/>
    <w:rsid w:val="00DF3B6A"/>
    <w:rsid w:val="00F3202A"/>
    <w:rsid w:val="00F523A1"/>
    <w:rsid w:val="00F90C3B"/>
    <w:rsid w:val="00FF60E3"/>
    <w:rsid w:val="058C78B0"/>
    <w:rsid w:val="05E13064"/>
    <w:rsid w:val="093A3733"/>
    <w:rsid w:val="0B4508AE"/>
    <w:rsid w:val="0E0B7FF0"/>
    <w:rsid w:val="102902A4"/>
    <w:rsid w:val="117A5014"/>
    <w:rsid w:val="127F05A0"/>
    <w:rsid w:val="136D78F8"/>
    <w:rsid w:val="162A4F7D"/>
    <w:rsid w:val="1994787E"/>
    <w:rsid w:val="1B543038"/>
    <w:rsid w:val="1D6A2E8A"/>
    <w:rsid w:val="1DD000AF"/>
    <w:rsid w:val="1E09745A"/>
    <w:rsid w:val="290C3F16"/>
    <w:rsid w:val="29C5318E"/>
    <w:rsid w:val="2C9A0A9E"/>
    <w:rsid w:val="2DA70D65"/>
    <w:rsid w:val="2E984024"/>
    <w:rsid w:val="31BC1AB2"/>
    <w:rsid w:val="33966C79"/>
    <w:rsid w:val="343706EB"/>
    <w:rsid w:val="351A08D0"/>
    <w:rsid w:val="353D5703"/>
    <w:rsid w:val="36820EA7"/>
    <w:rsid w:val="38C36313"/>
    <w:rsid w:val="3B1F7DE9"/>
    <w:rsid w:val="3E422B5A"/>
    <w:rsid w:val="3FF70D89"/>
    <w:rsid w:val="42075FF8"/>
    <w:rsid w:val="42663C6B"/>
    <w:rsid w:val="4782487D"/>
    <w:rsid w:val="47E12DEF"/>
    <w:rsid w:val="48E1539E"/>
    <w:rsid w:val="49107E10"/>
    <w:rsid w:val="4AC56525"/>
    <w:rsid w:val="4BAD0151"/>
    <w:rsid w:val="4C8F75A2"/>
    <w:rsid w:val="4E8C008E"/>
    <w:rsid w:val="4E902C14"/>
    <w:rsid w:val="50771A9C"/>
    <w:rsid w:val="50BB0632"/>
    <w:rsid w:val="56B32622"/>
    <w:rsid w:val="59CF7566"/>
    <w:rsid w:val="603B3CF1"/>
    <w:rsid w:val="62756124"/>
    <w:rsid w:val="63A9427A"/>
    <w:rsid w:val="63D462B1"/>
    <w:rsid w:val="641A3596"/>
    <w:rsid w:val="65E40ADA"/>
    <w:rsid w:val="66330B86"/>
    <w:rsid w:val="66E22203"/>
    <w:rsid w:val="69D50CF4"/>
    <w:rsid w:val="6A5A18FD"/>
    <w:rsid w:val="6BB7455D"/>
    <w:rsid w:val="6C487AFD"/>
    <w:rsid w:val="6CB24363"/>
    <w:rsid w:val="6F6D3FA2"/>
    <w:rsid w:val="6FCF0795"/>
    <w:rsid w:val="71BF02AD"/>
    <w:rsid w:val="75053D29"/>
    <w:rsid w:val="754D1D92"/>
    <w:rsid w:val="78AF42C1"/>
    <w:rsid w:val="78ED60AD"/>
    <w:rsid w:val="7B5F74F8"/>
    <w:rsid w:val="7D040AB6"/>
    <w:rsid w:val="7D4119E6"/>
    <w:rsid w:val="7EAC4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3"/>
    <w:unhideWhenUsed/>
    <w:qFormat/>
    <w:uiPriority w:val="99"/>
    <w:pPr>
      <w:spacing w:after="120" w:line="360" w:lineRule="auto"/>
      <w:ind w:left="420" w:leftChars="200" w:firstLine="420" w:firstLineChars="200"/>
    </w:pPr>
    <w:rPr>
      <w:rFonts w:ascii="宋体" w:hAnsi="Times New Roman"/>
      <w:kern w:val="0"/>
      <w:sz w:val="21"/>
      <w:szCs w:val="24"/>
    </w:rPr>
  </w:style>
  <w:style w:type="paragraph" w:styleId="3">
    <w:name w:val="Body Text Indent"/>
    <w:basedOn w:val="1"/>
    <w:unhideWhenUsed/>
    <w:qFormat/>
    <w:uiPriority w:val="99"/>
    <w:pPr>
      <w:ind w:firstLine="630"/>
    </w:pPr>
    <w:rPr>
      <w:rFonts w:ascii="Calibri"/>
      <w:sz w:val="32"/>
      <w:szCs w:val="20"/>
    </w:rPr>
  </w:style>
  <w:style w:type="paragraph" w:styleId="6">
    <w:name w:val="Normal Indent"/>
    <w:basedOn w:val="1"/>
    <w:qFormat/>
    <w:uiPriority w:val="0"/>
    <w:pPr>
      <w:ind w:firstLine="420" w:firstLineChars="200"/>
    </w:pPr>
    <w:rPr>
      <w:kern w:val="0"/>
      <w:sz w:val="24"/>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34"/>
    <w:qFormat/>
    <w:uiPriority w:val="0"/>
    <w:pPr>
      <w:jc w:val="left"/>
    </w:pPr>
  </w:style>
  <w:style w:type="paragraph" w:styleId="9">
    <w:name w:val="Body Text"/>
    <w:basedOn w:val="1"/>
    <w:next w:val="1"/>
    <w:qFormat/>
    <w:uiPriority w:val="0"/>
    <w:pPr>
      <w:spacing w:after="120"/>
    </w:pPr>
  </w:style>
  <w:style w:type="paragraph" w:styleId="10">
    <w:name w:val="Body Text Indent 2"/>
    <w:basedOn w:val="1"/>
    <w:link w:val="29"/>
    <w:qFormat/>
    <w:uiPriority w:val="0"/>
    <w:pPr>
      <w:spacing w:after="120" w:line="480" w:lineRule="auto"/>
      <w:ind w:left="420" w:leftChars="200"/>
    </w:pPr>
    <w:rPr>
      <w:szCs w:val="20"/>
    </w:rPr>
  </w:style>
  <w:style w:type="paragraph" w:styleId="11">
    <w:name w:val="Balloon Text"/>
    <w:basedOn w:val="1"/>
    <w:link w:val="36"/>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8"/>
    <w:next w:val="8"/>
    <w:link w:val="35"/>
    <w:qFormat/>
    <w:uiPriority w:val="0"/>
    <w:rPr>
      <w:b/>
      <w:bCs/>
    </w:rPr>
  </w:style>
  <w:style w:type="paragraph" w:styleId="16">
    <w:name w:val="Body Text First Indent"/>
    <w:basedOn w:val="9"/>
    <w:link w:val="30"/>
    <w:qFormat/>
    <w:uiPriority w:val="0"/>
    <w:pPr>
      <w:snapToGrid w:val="0"/>
      <w:spacing w:before="40" w:after="40" w:line="288" w:lineRule="auto"/>
      <w:ind w:firstLine="482"/>
    </w:pPr>
    <w:rPr>
      <w:rFonts w:ascii="仿宋_GB2312" w:hAnsi="仿宋_GB2312" w:eastAsia="仿宋_GB2312"/>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标题 5（有编号）（绿盟科技）"/>
    <w:basedOn w:val="22"/>
    <w:next w:val="2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13、表格内居中正文"/>
    <w:basedOn w:val="1"/>
    <w:qFormat/>
    <w:uiPriority w:val="0"/>
    <w:pPr>
      <w:wordWrap w:val="0"/>
      <w:topLinePunct/>
      <w:spacing w:line="360" w:lineRule="exact"/>
      <w:jc w:val="center"/>
    </w:pPr>
    <w:rPr>
      <w:rFonts w:ascii="宋体" w:hAnsi="宋体" w:eastAsia="宋体"/>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6">
    <w:name w:val="List Paragraph"/>
    <w:basedOn w:val="1"/>
    <w:qFormat/>
    <w:uiPriority w:val="0"/>
    <w:pPr>
      <w:spacing w:line="500" w:lineRule="exact"/>
      <w:ind w:firstLine="420" w:firstLineChars="200"/>
    </w:pPr>
    <w:rPr>
      <w:szCs w:val="24"/>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正文文本缩进 2 Char"/>
    <w:link w:val="10"/>
    <w:qFormat/>
    <w:uiPriority w:val="0"/>
    <w:rPr>
      <w:szCs w:val="20"/>
    </w:rPr>
  </w:style>
  <w:style w:type="character" w:customStyle="1" w:styleId="30">
    <w:name w:val="正文首行缩进 Char"/>
    <w:link w:val="16"/>
    <w:qFormat/>
    <w:uiPriority w:val="0"/>
    <w:rPr>
      <w:rFonts w:ascii="仿宋_GB2312" w:hAnsi="仿宋_GB2312" w:eastAsia="仿宋_GB2312"/>
      <w:szCs w:val="20"/>
    </w:rPr>
  </w:style>
  <w:style w:type="paragraph" w:customStyle="1" w:styleId="31">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2">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3">
    <w:name w:val="正文首行缩进 2 Char"/>
    <w:link w:val="2"/>
    <w:qFormat/>
    <w:uiPriority w:val="99"/>
    <w:rPr>
      <w:rFonts w:ascii="宋体" w:hAnsi="Times New Roman"/>
      <w:kern w:val="0"/>
      <w:sz w:val="21"/>
      <w:szCs w:val="24"/>
    </w:rPr>
  </w:style>
  <w:style w:type="character" w:customStyle="1" w:styleId="34">
    <w:name w:val="批注文字 Char"/>
    <w:basedOn w:val="19"/>
    <w:link w:val="8"/>
    <w:qFormat/>
    <w:uiPriority w:val="0"/>
    <w:rPr>
      <w:kern w:val="2"/>
      <w:sz w:val="21"/>
      <w:szCs w:val="22"/>
    </w:rPr>
  </w:style>
  <w:style w:type="character" w:customStyle="1" w:styleId="35">
    <w:name w:val="批注主题 Char"/>
    <w:basedOn w:val="34"/>
    <w:link w:val="15"/>
    <w:qFormat/>
    <w:uiPriority w:val="0"/>
    <w:rPr>
      <w:b/>
      <w:bCs/>
      <w:kern w:val="2"/>
      <w:sz w:val="21"/>
      <w:szCs w:val="22"/>
    </w:rPr>
  </w:style>
  <w:style w:type="character" w:customStyle="1" w:styleId="36">
    <w:name w:val="批注框文本 Char"/>
    <w:basedOn w:val="19"/>
    <w:link w:val="11"/>
    <w:qFormat/>
    <w:uiPriority w:val="0"/>
    <w:rPr>
      <w:kern w:val="2"/>
      <w:sz w:val="18"/>
      <w:szCs w:val="18"/>
    </w:rPr>
  </w:style>
  <w:style w:type="character" w:customStyle="1" w:styleId="37">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8">
    <w:name w:val="网格型1"/>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_Style 2"/>
    <w:basedOn w:val="1"/>
    <w:qFormat/>
    <w:uiPriority w:val="0"/>
    <w:pPr>
      <w:ind w:firstLine="420" w:firstLineChars="200"/>
    </w:pPr>
    <w:rPr>
      <w:sz w:val="18"/>
      <w:szCs w:val="18"/>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11891</Words>
  <Characters>13049</Characters>
  <Lines>94</Lines>
  <Paragraphs>26</Paragraphs>
  <TotalTime>147</TotalTime>
  <ScaleCrop>false</ScaleCrop>
  <LinksUpToDate>false</LinksUpToDate>
  <CharactersWithSpaces>13359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书墨云</cp:lastModifiedBy>
  <dcterms:modified xsi:type="dcterms:W3CDTF">2022-08-19T01:38:08Z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063E7973BB3A4326BDF4083AA433712E</vt:lpwstr>
  </property>
</Properties>
</file>