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入围供应商排序</w:t>
      </w:r>
    </w:p>
    <w:p>
      <w:pPr>
        <w:spacing w:before="39"/>
        <w:ind w:right="601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39"/>
        <w:ind w:right="60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项目名称:2022-2024年博白县财政投资项目评审服务框架协议采购</w:t>
      </w:r>
    </w:p>
    <w:p>
      <w:pPr>
        <w:spacing w:before="39"/>
        <w:ind w:right="60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项目编号：YLZC2022-G3-230084-ZCHX</w:t>
      </w:r>
    </w:p>
    <w:p>
      <w:pPr>
        <w:spacing w:before="39"/>
        <w:ind w:right="60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标项一</w:t>
      </w:r>
    </w:p>
    <w:p>
      <w:pPr>
        <w:spacing w:before="4"/>
        <w:rPr>
          <w:rFonts w:eastAsiaTheme="minorEastAsia"/>
          <w:sz w:val="18"/>
          <w:lang w:eastAsia="zh-CN"/>
        </w:rPr>
      </w:pPr>
    </w:p>
    <w:p>
      <w:pPr>
        <w:spacing w:before="4"/>
        <w:rPr>
          <w:rFonts w:hint="eastAsia" w:eastAsiaTheme="minorEastAsia"/>
          <w:sz w:val="18"/>
          <w:lang w:eastAsia="zh-CN"/>
        </w:rPr>
      </w:pPr>
    </w:p>
    <w:tbl>
      <w:tblPr>
        <w:tblStyle w:val="6"/>
        <w:tblpPr w:leftFromText="180" w:rightFromText="180" w:vertAnchor="text" w:tblpY="1"/>
        <w:tblOverlap w:val="never"/>
        <w:tblW w:w="8384" w:type="dxa"/>
        <w:tblInd w:w="0" w:type="dxa"/>
        <w:tblBorders>
          <w:top w:val="single" w:color="BABABA" w:sz="6" w:space="0"/>
          <w:left w:val="single" w:color="BABABA" w:sz="6" w:space="0"/>
          <w:bottom w:val="single" w:color="BABABA" w:sz="6" w:space="0"/>
          <w:right w:val="single" w:color="BABABA" w:sz="6" w:space="0"/>
          <w:insideH w:val="single" w:color="BABABA" w:sz="6" w:space="0"/>
          <w:insideV w:val="single" w:color="BABAB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4858"/>
        <w:gridCol w:w="1713"/>
      </w:tblGrid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供应商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排名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广西诚华工程造价咨询有限公司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广西锦辉项目管理有限公司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海南大通振业投资项目咨询管理有限公司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广西诚信工程造价咨询有限公司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广西宇通工程项目管理有限公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广西汉昌工程咨询有限公司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广西永德工程造价咨询有限公司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广西鼎策工程顾问有限责任公司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广西易通工程咨询有限公司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广西万标工程咨询有限公司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广西建通工程咨询有限责任公司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云之龙咨询集团有限公司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广西金钰工程造价审计事务所有限公司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广西建坤工程咨询有限公司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85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广西常慧工程项目管理有限公司</w:t>
            </w:r>
          </w:p>
        </w:tc>
        <w:tc>
          <w:tcPr>
            <w:tcW w:w="1713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11</w:t>
            </w:r>
          </w:p>
        </w:tc>
      </w:tr>
    </w:tbl>
    <w:p>
      <w:pPr>
        <w:pStyle w:val="8"/>
        <w:spacing w:before="36" w:line="225" w:lineRule="auto"/>
        <w:ind w:left="166" w:right="152"/>
        <w:jc w:val="center"/>
        <w:rPr>
          <w:rFonts w:ascii="仿宋" w:eastAsia="仿宋"/>
          <w:sz w:val="24"/>
          <w:szCs w:val="24"/>
          <w:lang w:eastAsia="zh-CN"/>
        </w:rPr>
      </w:pPr>
    </w:p>
    <w:p>
      <w:pPr>
        <w:pStyle w:val="8"/>
        <w:spacing w:before="36" w:line="225" w:lineRule="auto"/>
        <w:ind w:left="166" w:right="152"/>
        <w:jc w:val="center"/>
        <w:rPr>
          <w:rFonts w:hint="eastAsia" w:ascii="仿宋" w:eastAsia="仿宋"/>
          <w:sz w:val="24"/>
          <w:szCs w:val="24"/>
          <w:lang w:eastAsia="zh-CN"/>
        </w:rPr>
      </w:pPr>
    </w:p>
    <w:p>
      <w:pPr>
        <w:pStyle w:val="8"/>
        <w:spacing w:before="36" w:line="225" w:lineRule="auto"/>
        <w:ind w:left="166" w:right="152"/>
        <w:jc w:val="center"/>
        <w:rPr>
          <w:rFonts w:hint="eastAsia" w:ascii="仿宋" w:eastAsia="仿宋"/>
          <w:sz w:val="24"/>
          <w:szCs w:val="24"/>
          <w:lang w:eastAsia="zh-CN"/>
        </w:rPr>
      </w:pPr>
    </w:p>
    <w:p>
      <w:pPr>
        <w:pStyle w:val="8"/>
        <w:spacing w:before="36" w:line="225" w:lineRule="auto"/>
        <w:ind w:left="166" w:right="152"/>
        <w:jc w:val="center"/>
        <w:rPr>
          <w:rFonts w:hint="eastAsia" w:ascii="仿宋" w:eastAsia="仿宋"/>
          <w:sz w:val="24"/>
          <w:szCs w:val="24"/>
          <w:lang w:eastAsia="zh-CN"/>
        </w:rPr>
      </w:pPr>
    </w:p>
    <w:p>
      <w:pPr>
        <w:pStyle w:val="8"/>
        <w:spacing w:before="36" w:line="225" w:lineRule="auto"/>
        <w:ind w:left="166" w:right="152"/>
        <w:jc w:val="center"/>
        <w:rPr>
          <w:rFonts w:ascii="仿宋" w:eastAsia="仿宋"/>
          <w:sz w:val="24"/>
          <w:szCs w:val="24"/>
          <w:lang w:eastAsia="zh-CN"/>
        </w:rPr>
      </w:pPr>
    </w:p>
    <w:p>
      <w:pPr>
        <w:pStyle w:val="8"/>
        <w:spacing w:before="36" w:line="225" w:lineRule="auto"/>
        <w:ind w:left="166" w:right="152"/>
        <w:jc w:val="center"/>
        <w:rPr>
          <w:rFonts w:ascii="仿宋" w:eastAsia="仿宋"/>
          <w:sz w:val="24"/>
          <w:szCs w:val="24"/>
          <w:lang w:eastAsia="zh-CN"/>
        </w:rPr>
      </w:pPr>
    </w:p>
    <w:p>
      <w:pPr>
        <w:pStyle w:val="8"/>
        <w:spacing w:before="36" w:line="225" w:lineRule="auto"/>
        <w:ind w:left="166" w:right="152"/>
        <w:jc w:val="center"/>
        <w:rPr>
          <w:rFonts w:ascii="仿宋" w:eastAsia="仿宋"/>
          <w:sz w:val="24"/>
          <w:szCs w:val="24"/>
          <w:lang w:eastAsia="zh-CN"/>
        </w:rPr>
      </w:pPr>
    </w:p>
    <w:p>
      <w:pPr>
        <w:jc w:val="center"/>
        <w:rPr>
          <w:rFonts w:ascii="仿宋" w:hAnsi="仿宋" w:eastAsia="仿宋" w:cs="宋体"/>
          <w:b/>
          <w:bCs/>
          <w:sz w:val="30"/>
          <w:szCs w:val="30"/>
          <w:lang w:eastAsia="zh-CN"/>
        </w:rPr>
        <w:sectPr>
          <w:pgSz w:w="11900" w:h="16840"/>
          <w:pgMar w:top="1418" w:right="2402" w:bottom="780" w:left="1100" w:header="720" w:footer="720" w:gutter="0"/>
          <w:cols w:space="720" w:num="1"/>
          <w:docGrid w:linePitch="299" w:charSpace="0"/>
        </w:sect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eastAsia="zh-CN"/>
        </w:rPr>
        <w:t>入围供应商排序</w:t>
      </w:r>
    </w:p>
    <w:p>
      <w:pPr>
        <w:spacing w:before="39"/>
        <w:ind w:right="5288"/>
        <w:jc w:val="center"/>
        <w:rPr>
          <w:rFonts w:ascii="仿宋" w:hAnsi="仿宋" w:eastAsia="仿宋"/>
          <w:b/>
          <w:sz w:val="30"/>
          <w:szCs w:val="30"/>
          <w:lang w:eastAsia="zh-CN"/>
        </w:rPr>
      </w:pPr>
    </w:p>
    <w:p>
      <w:pPr>
        <w:spacing w:before="39"/>
        <w:ind w:right="60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</w:t>
      </w:r>
      <w:r>
        <w:rPr>
          <w:sz w:val="24"/>
          <w:szCs w:val="24"/>
          <w:lang w:eastAsia="zh-CN"/>
        </w:rPr>
        <w:t>:2022-2023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年度自治区本级财政投资评审服务框架协议采购</w:t>
      </w:r>
    </w:p>
    <w:p>
      <w:pPr>
        <w:spacing w:before="39"/>
        <w:ind w:right="2444"/>
        <w:rPr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</w:t>
      </w:r>
      <w:r>
        <w:rPr>
          <w:sz w:val="24"/>
          <w:szCs w:val="24"/>
          <w:lang w:eastAsia="zh-CN"/>
        </w:rPr>
        <w:t>GXZC2022-G3-000873-JDZB</w:t>
      </w:r>
    </w:p>
    <w:p>
      <w:pPr>
        <w:spacing w:before="39"/>
        <w:ind w:right="5288"/>
        <w:rPr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标项二</w:t>
      </w:r>
    </w:p>
    <w:p>
      <w:pPr>
        <w:tabs>
          <w:tab w:val="left" w:pos="8222"/>
        </w:tabs>
        <w:spacing w:before="4"/>
        <w:rPr>
          <w:sz w:val="18"/>
          <w:lang w:eastAsia="zh-CN"/>
        </w:rPr>
      </w:pPr>
      <w:r>
        <w:rPr>
          <w:sz w:val="18"/>
          <w:lang w:eastAsia="zh-CN"/>
        </w:rPr>
        <w:tab/>
      </w:r>
    </w:p>
    <w:tbl>
      <w:tblPr>
        <w:tblStyle w:val="6"/>
        <w:tblW w:w="0" w:type="auto"/>
        <w:tblInd w:w="126" w:type="dxa"/>
        <w:tblBorders>
          <w:top w:val="single" w:color="BABABA" w:sz="6" w:space="0"/>
          <w:left w:val="single" w:color="BABABA" w:sz="6" w:space="0"/>
          <w:bottom w:val="single" w:color="BABABA" w:sz="6" w:space="0"/>
          <w:right w:val="single" w:color="BABABA" w:sz="6" w:space="0"/>
          <w:insideH w:val="single" w:color="BABABA" w:sz="6" w:space="0"/>
          <w:insideV w:val="single" w:color="BABAB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5208"/>
        <w:gridCol w:w="1274"/>
      </w:tblGrid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vAlign w:val="center"/>
          </w:tcPr>
          <w:p>
            <w:pPr>
              <w:pStyle w:val="8"/>
              <w:ind w:left="164" w:right="152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序号</w:t>
            </w:r>
          </w:p>
        </w:tc>
        <w:tc>
          <w:tcPr>
            <w:tcW w:w="5208" w:type="dxa"/>
            <w:vAlign w:val="center"/>
          </w:tcPr>
          <w:p>
            <w:pPr>
              <w:pStyle w:val="8"/>
              <w:ind w:left="358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供应商</w:t>
            </w:r>
          </w:p>
        </w:tc>
        <w:tc>
          <w:tcPr>
            <w:tcW w:w="1274" w:type="dxa"/>
            <w:vAlign w:val="center"/>
          </w:tcPr>
          <w:p>
            <w:pPr>
              <w:pStyle w:val="8"/>
              <w:ind w:left="335" w:right="323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vAlign w:val="center"/>
          </w:tcPr>
          <w:p>
            <w:pPr>
              <w:pStyle w:val="8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520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广西火天信会计师事务所有限公司</w:t>
            </w:r>
          </w:p>
        </w:tc>
        <w:tc>
          <w:tcPr>
            <w:tcW w:w="1274" w:type="dxa"/>
            <w:vAlign w:val="center"/>
          </w:tcPr>
          <w:p>
            <w:pPr>
              <w:pStyle w:val="8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vAlign w:val="center"/>
          </w:tcPr>
          <w:p>
            <w:pPr>
              <w:pStyle w:val="8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2</w:t>
            </w:r>
          </w:p>
        </w:tc>
        <w:tc>
          <w:tcPr>
            <w:tcW w:w="520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广西信桂和会计师事务所有限公司</w:t>
            </w:r>
          </w:p>
        </w:tc>
        <w:tc>
          <w:tcPr>
            <w:tcW w:w="1274" w:type="dxa"/>
            <w:vAlign w:val="center"/>
          </w:tcPr>
          <w:p>
            <w:pPr>
              <w:pStyle w:val="8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BABABA" w:sz="6" w:space="0"/>
            <w:left w:val="single" w:color="BABABA" w:sz="6" w:space="0"/>
            <w:bottom w:val="single" w:color="BABABA" w:sz="6" w:space="0"/>
            <w:right w:val="single" w:color="BABABA" w:sz="6" w:space="0"/>
            <w:insideH w:val="single" w:color="BABABA" w:sz="6" w:space="0"/>
            <w:insideV w:val="single" w:color="BABAB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6" w:type="dxa"/>
            <w:vAlign w:val="center"/>
          </w:tcPr>
          <w:p>
            <w:pPr>
              <w:pStyle w:val="8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5208" w:type="dxa"/>
            <w:vAlign w:val="center"/>
          </w:tcPr>
          <w:p>
            <w:pPr>
              <w:pStyle w:val="8"/>
              <w:spacing w:before="36" w:line="225" w:lineRule="auto"/>
              <w:ind w:left="166" w:right="152"/>
              <w:jc w:val="center"/>
              <w:rPr>
                <w:rFonts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广西方中会计师事务所有限公司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>
            <w:pPr>
              <w:pStyle w:val="8"/>
              <w:ind w:left="10"/>
              <w:jc w:val="center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3</w:t>
            </w:r>
          </w:p>
        </w:tc>
      </w:tr>
    </w:tbl>
    <w:p>
      <w:pPr>
        <w:rPr>
          <w:sz w:val="20"/>
        </w:rPr>
      </w:pPr>
    </w:p>
    <w:sectPr>
      <w:pgSz w:w="11900" w:h="16840"/>
      <w:pgMar w:top="1418" w:right="2402" w:bottom="780" w:left="11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ODNlMjVmZmRmMzllMjk0YzUwOGM2YjM1M2FiMDg5MWUifQ=="/>
  </w:docVars>
  <w:rsids>
    <w:rsidRoot w:val="004A7E20"/>
    <w:rsid w:val="004A7E20"/>
    <w:rsid w:val="008133EE"/>
    <w:rsid w:val="0087036A"/>
    <w:rsid w:val="009B68C7"/>
    <w:rsid w:val="009C3F42"/>
    <w:rsid w:val="009D266A"/>
    <w:rsid w:val="00A455BD"/>
    <w:rsid w:val="00A50EDE"/>
    <w:rsid w:val="00B9655D"/>
    <w:rsid w:val="402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6856" w:right="4986"/>
      <w:jc w:val="center"/>
      <w:outlineLvl w:val="0"/>
    </w:pPr>
    <w:rPr>
      <w:rFonts w:ascii="仿宋" w:hAnsi="仿宋" w:eastAsia="仿宋" w:cs="仿宋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19"/>
      <w:szCs w:val="19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906</Words>
  <Characters>1036</Characters>
  <Lines>9</Lines>
  <Paragraphs>2</Paragraphs>
  <TotalTime>1</TotalTime>
  <ScaleCrop>false</ScaleCrop>
  <LinksUpToDate>false</LinksUpToDate>
  <CharactersWithSpaces>1039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2022-05-20T09:27:00Z</dcterms:created>
  <dc:creator>PL</dc:creator>
  <cp:lastModifiedBy>PL</cp:lastModifiedBy>
  <dcterms:modified xsi:type="dcterms:W3CDTF">2022-08-23T02:43:30Z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2022-05-20T00:00:00Z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4ABB04F903434CBD843FA84D08EA3A1B</vt:lpwstr>
  </property>
</Properties>
</file>