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spacing w:before="0" w:beforeAutospacing="1" w:after="0" w:afterAutospacing="1"/>
        <w:ind w:left="0" w:firstLine="0"/>
        <w:jc w:val="center"/>
        <w:rPr>
          <w:rStyle w:val="9"/>
          <w:rFonts w:ascii="宋体" w:hAnsi="宋体" w:eastAsia="宋体" w:cs="宋体"/>
          <w:i w:val="0"/>
          <w:iCs w:val="0"/>
          <w:caps w:val="0"/>
          <w:color w:val="000000"/>
          <w:spacing w:val="0"/>
          <w:sz w:val="57"/>
          <w:szCs w:val="57"/>
          <w:highlight w:val="none"/>
        </w:rPr>
      </w:pPr>
    </w:p>
    <w:p>
      <w:pPr>
        <w:pStyle w:val="6"/>
        <w:keepNext w:val="0"/>
        <w:keepLines w:val="0"/>
        <w:widowControl/>
        <w:suppressLineNumbers w:val="0"/>
        <w:spacing w:before="0" w:beforeAutospacing="1" w:after="0" w:afterAutospacing="1"/>
        <w:ind w:left="0" w:firstLine="0"/>
        <w:jc w:val="center"/>
        <w:rPr>
          <w:rStyle w:val="9"/>
          <w:rFonts w:ascii="宋体" w:hAnsi="宋体" w:eastAsia="宋体" w:cs="宋体"/>
          <w:i w:val="0"/>
          <w:iCs w:val="0"/>
          <w:caps w:val="0"/>
          <w:color w:val="000000"/>
          <w:spacing w:val="0"/>
          <w:sz w:val="57"/>
          <w:szCs w:val="57"/>
          <w:highlight w:val="none"/>
        </w:rPr>
      </w:pPr>
    </w:p>
    <w:p>
      <w:pPr>
        <w:pStyle w:val="6"/>
        <w:keepNext w:val="0"/>
        <w:keepLines w:val="0"/>
        <w:widowControl/>
        <w:suppressLineNumbers w:val="0"/>
        <w:spacing w:before="0" w:beforeAutospacing="1" w:after="0" w:afterAutospacing="1"/>
        <w:ind w:left="0" w:firstLine="0"/>
        <w:jc w:val="center"/>
        <w:rPr>
          <w:rFonts w:ascii="微软雅黑" w:hAnsi="微软雅黑" w:eastAsia="微软雅黑" w:cs="微软雅黑"/>
          <w:i w:val="0"/>
          <w:iCs w:val="0"/>
          <w:caps w:val="0"/>
          <w:color w:val="000000"/>
          <w:spacing w:val="0"/>
          <w:sz w:val="27"/>
          <w:szCs w:val="27"/>
          <w:highlight w:val="none"/>
        </w:rPr>
      </w:pPr>
      <w:r>
        <w:rPr>
          <w:rStyle w:val="9"/>
          <w:rFonts w:ascii="宋体" w:hAnsi="宋体" w:eastAsia="宋体" w:cs="宋体"/>
          <w:i w:val="0"/>
          <w:iCs w:val="0"/>
          <w:caps w:val="0"/>
          <w:color w:val="000000"/>
          <w:spacing w:val="0"/>
          <w:sz w:val="57"/>
          <w:szCs w:val="57"/>
          <w:highlight w:val="none"/>
        </w:rPr>
        <w:t>福建省政府采购</w:t>
      </w:r>
    </w:p>
    <w:p>
      <w:pPr>
        <w:pStyle w:val="6"/>
        <w:keepNext w:val="0"/>
        <w:keepLines w:val="0"/>
        <w:widowControl/>
        <w:suppressLineNumbers w:val="0"/>
        <w:spacing w:before="0" w:beforeAutospacing="1" w:after="0" w:afterAutospacing="1"/>
        <w:ind w:left="0" w:firstLine="0"/>
        <w:jc w:val="center"/>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57"/>
          <w:szCs w:val="57"/>
          <w:highlight w:val="none"/>
        </w:rPr>
        <w:t>货物项目</w:t>
      </w:r>
    </w:p>
    <w:p>
      <w:pPr>
        <w:pStyle w:val="6"/>
        <w:keepNext w:val="0"/>
        <w:keepLines w:val="0"/>
        <w:widowControl/>
        <w:suppressLineNumbers w:val="0"/>
        <w:spacing w:before="0" w:beforeAutospacing="1" w:after="0" w:afterAutospacing="1"/>
        <w:ind w:left="0" w:firstLine="0"/>
        <w:jc w:val="center"/>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57"/>
          <w:szCs w:val="57"/>
          <w:highlight w:val="none"/>
        </w:rPr>
        <w:t>询价通知书</w:t>
      </w:r>
    </w:p>
    <w:p>
      <w:pPr>
        <w:pStyle w:val="6"/>
        <w:keepNext w:val="0"/>
        <w:keepLines w:val="0"/>
        <w:widowControl/>
        <w:suppressLineNumbers w:val="0"/>
        <w:ind w:left="0" w:firstLine="0"/>
        <w:rPr>
          <w:rFonts w:hint="eastAsia" w:ascii="宋体" w:hAnsi="宋体" w:eastAsia="宋体" w:cs="宋体"/>
          <w:i w:val="0"/>
          <w:iCs w:val="0"/>
          <w:caps w:val="0"/>
          <w:color w:val="000000"/>
          <w:spacing w:val="0"/>
          <w:sz w:val="19"/>
          <w:szCs w:val="19"/>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ind w:left="0" w:firstLine="0"/>
        <w:rPr>
          <w:rFonts w:hint="eastAsia" w:ascii="宋体" w:hAnsi="宋体" w:eastAsia="宋体" w:cs="宋体"/>
          <w:i w:val="0"/>
          <w:iCs w:val="0"/>
          <w:caps w:val="0"/>
          <w:color w:val="000000"/>
          <w:spacing w:val="0"/>
          <w:sz w:val="19"/>
          <w:szCs w:val="19"/>
          <w:highlight w:val="none"/>
        </w:rPr>
      </w:pPr>
    </w:p>
    <w:p>
      <w:pPr>
        <w:pStyle w:val="6"/>
        <w:keepNext w:val="0"/>
        <w:keepLines w:val="0"/>
        <w:widowControl/>
        <w:suppressLineNumbers w:val="0"/>
        <w:ind w:left="0" w:firstLine="0"/>
        <w:rPr>
          <w:rFonts w:hint="eastAsia" w:ascii="宋体" w:hAnsi="宋体" w:eastAsia="宋体" w:cs="宋体"/>
          <w:i w:val="0"/>
          <w:iCs w:val="0"/>
          <w:caps w:val="0"/>
          <w:color w:val="000000"/>
          <w:spacing w:val="0"/>
          <w:sz w:val="19"/>
          <w:szCs w:val="19"/>
          <w:highlight w:val="none"/>
        </w:rPr>
      </w:pPr>
    </w:p>
    <w:p>
      <w:pPr>
        <w:pStyle w:val="6"/>
        <w:keepNext w:val="0"/>
        <w:keepLines w:val="0"/>
        <w:widowControl/>
        <w:suppressLineNumbers w:val="0"/>
        <w:spacing w:before="0" w:beforeAutospacing="1" w:after="0" w:afterAutospacing="1"/>
        <w:ind w:left="0" w:firstLine="0"/>
        <w:jc w:val="center"/>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19"/>
          <w:szCs w:val="19"/>
          <w:highlight w:val="none"/>
        </w:rPr>
        <w:t> </w:t>
      </w:r>
      <w:r>
        <w:rPr>
          <w:rStyle w:val="9"/>
          <w:rFonts w:hint="eastAsia" w:ascii="宋体" w:hAnsi="宋体" w:eastAsia="宋体" w:cs="宋体"/>
          <w:i w:val="0"/>
          <w:iCs w:val="0"/>
          <w:caps w:val="0"/>
          <w:color w:val="000000"/>
          <w:spacing w:val="0"/>
          <w:sz w:val="24"/>
          <w:szCs w:val="24"/>
          <w:highlight w:val="none"/>
        </w:rPr>
        <w:t>项目名称：仙游县202</w:t>
      </w:r>
      <w:r>
        <w:rPr>
          <w:rStyle w:val="9"/>
          <w:rFonts w:hint="eastAsia" w:ascii="宋体" w:hAnsi="宋体" w:eastAsia="宋体" w:cs="宋体"/>
          <w:i w:val="0"/>
          <w:iCs w:val="0"/>
          <w:caps w:val="0"/>
          <w:color w:val="000000"/>
          <w:spacing w:val="0"/>
          <w:sz w:val="24"/>
          <w:szCs w:val="24"/>
          <w:highlight w:val="none"/>
          <w:lang w:val="en-US" w:eastAsia="zh-CN"/>
        </w:rPr>
        <w:t>2</w:t>
      </w:r>
      <w:r>
        <w:rPr>
          <w:rStyle w:val="9"/>
          <w:rFonts w:hint="eastAsia" w:ascii="宋体" w:hAnsi="宋体" w:eastAsia="宋体" w:cs="宋体"/>
          <w:i w:val="0"/>
          <w:iCs w:val="0"/>
          <w:caps w:val="0"/>
          <w:color w:val="000000"/>
          <w:spacing w:val="0"/>
          <w:sz w:val="24"/>
          <w:szCs w:val="24"/>
          <w:highlight w:val="none"/>
        </w:rPr>
        <w:t>教育补短板（教学设备添置）货物类采购项目</w:t>
      </w:r>
    </w:p>
    <w:p>
      <w:pPr>
        <w:pStyle w:val="6"/>
        <w:keepNext w:val="0"/>
        <w:keepLines w:val="0"/>
        <w:widowControl/>
        <w:suppressLineNumbers w:val="0"/>
        <w:spacing w:before="0" w:beforeAutospacing="1" w:after="0" w:afterAutospacing="1"/>
        <w:ind w:left="0" w:firstLine="0"/>
        <w:jc w:val="center"/>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24"/>
          <w:szCs w:val="24"/>
          <w:highlight w:val="none"/>
        </w:rPr>
        <w:t> 项目编号：闽莆中实【F-202</w:t>
      </w:r>
      <w:r>
        <w:rPr>
          <w:rStyle w:val="9"/>
          <w:rFonts w:hint="eastAsia" w:ascii="宋体" w:hAnsi="宋体" w:eastAsia="宋体" w:cs="宋体"/>
          <w:i w:val="0"/>
          <w:iCs w:val="0"/>
          <w:caps w:val="0"/>
          <w:color w:val="000000"/>
          <w:spacing w:val="0"/>
          <w:sz w:val="24"/>
          <w:szCs w:val="24"/>
          <w:highlight w:val="none"/>
          <w:lang w:val="en-US" w:eastAsia="zh-CN"/>
        </w:rPr>
        <w:t>2</w:t>
      </w:r>
      <w:r>
        <w:rPr>
          <w:rStyle w:val="9"/>
          <w:rFonts w:hint="eastAsia" w:ascii="宋体" w:hAnsi="宋体" w:eastAsia="宋体" w:cs="宋体"/>
          <w:i w:val="0"/>
          <w:iCs w:val="0"/>
          <w:caps w:val="0"/>
          <w:color w:val="000000"/>
          <w:spacing w:val="0"/>
          <w:sz w:val="24"/>
          <w:szCs w:val="24"/>
          <w:highlight w:val="none"/>
        </w:rPr>
        <w:t>】采招 301号</w:t>
      </w:r>
    </w:p>
    <w:p>
      <w:pPr>
        <w:pStyle w:val="6"/>
        <w:keepNext w:val="0"/>
        <w:keepLines w:val="0"/>
        <w:widowControl/>
        <w:suppressLineNumbers w:val="0"/>
        <w:spacing w:before="0" w:beforeAutospacing="1" w:after="0" w:afterAutospacing="1"/>
        <w:ind w:left="0" w:firstLine="840"/>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24"/>
          <w:szCs w:val="24"/>
          <w:highlight w:val="none"/>
        </w:rPr>
        <w:t>         </w:t>
      </w:r>
    </w:p>
    <w:p>
      <w:pPr>
        <w:pStyle w:val="6"/>
        <w:keepNext w:val="0"/>
        <w:keepLines w:val="0"/>
        <w:widowControl/>
        <w:suppressLineNumbers w:val="0"/>
        <w:ind w:left="0" w:firstLine="0"/>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ind w:left="0" w:firstLine="0"/>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ind w:left="0" w:firstLine="0"/>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ind w:left="0" w:firstLine="0"/>
        <w:jc w:val="center"/>
        <w:rPr>
          <w:rStyle w:val="9"/>
          <w:rFonts w:hint="eastAsia" w:ascii="宋体" w:hAnsi="宋体" w:eastAsia="宋体" w:cs="宋体"/>
          <w:i w:val="0"/>
          <w:iCs w:val="0"/>
          <w:caps w:val="0"/>
          <w:color w:val="000000"/>
          <w:spacing w:val="0"/>
          <w:sz w:val="22"/>
          <w:szCs w:val="22"/>
          <w:highlight w:val="none"/>
        </w:rPr>
      </w:pPr>
      <w:r>
        <w:rPr>
          <w:rStyle w:val="9"/>
          <w:rFonts w:hint="eastAsia" w:ascii="宋体" w:hAnsi="宋体" w:eastAsia="宋体" w:cs="宋体"/>
          <w:i w:val="0"/>
          <w:iCs w:val="0"/>
          <w:caps w:val="0"/>
          <w:color w:val="000000"/>
          <w:spacing w:val="0"/>
          <w:sz w:val="22"/>
          <w:szCs w:val="22"/>
          <w:highlight w:val="none"/>
        </w:rPr>
        <w:t xml:space="preserve">  </w:t>
      </w:r>
      <w:r>
        <w:rPr>
          <w:rStyle w:val="9"/>
          <w:rFonts w:hint="eastAsia" w:ascii="宋体" w:hAnsi="宋体" w:eastAsia="宋体" w:cs="宋体"/>
          <w:i w:val="0"/>
          <w:iCs w:val="0"/>
          <w:caps w:val="0"/>
          <w:color w:val="000000"/>
          <w:spacing w:val="0"/>
          <w:sz w:val="22"/>
          <w:szCs w:val="22"/>
          <w:highlight w:val="none"/>
          <w:lang w:eastAsia="zh-CN"/>
        </w:rPr>
        <w:t>采购</w:t>
      </w:r>
      <w:r>
        <w:rPr>
          <w:rStyle w:val="9"/>
          <w:rFonts w:hint="eastAsia" w:ascii="宋体" w:hAnsi="宋体" w:eastAsia="宋体" w:cs="宋体"/>
          <w:i w:val="0"/>
          <w:iCs w:val="0"/>
          <w:caps w:val="0"/>
          <w:color w:val="000000"/>
          <w:spacing w:val="0"/>
          <w:sz w:val="22"/>
          <w:szCs w:val="22"/>
          <w:highlight w:val="none"/>
        </w:rPr>
        <w:t>人：仙游县教育局</w:t>
      </w:r>
    </w:p>
    <w:p>
      <w:pPr>
        <w:pStyle w:val="6"/>
        <w:keepNext w:val="0"/>
        <w:keepLines w:val="0"/>
        <w:widowControl/>
        <w:suppressLineNumbers w:val="0"/>
        <w:ind w:left="0" w:firstLine="441"/>
        <w:jc w:val="center"/>
        <w:rPr>
          <w:rStyle w:val="9"/>
          <w:rFonts w:hint="eastAsia" w:ascii="宋体" w:hAnsi="宋体" w:eastAsia="宋体" w:cs="宋体"/>
          <w:i w:val="0"/>
          <w:iCs w:val="0"/>
          <w:caps w:val="0"/>
          <w:color w:val="000000"/>
          <w:spacing w:val="0"/>
          <w:sz w:val="22"/>
          <w:szCs w:val="22"/>
          <w:highlight w:val="none"/>
          <w:lang w:eastAsia="zh-CN"/>
        </w:rPr>
      </w:pPr>
      <w:r>
        <w:rPr>
          <w:rStyle w:val="9"/>
          <w:rFonts w:hint="eastAsia" w:ascii="宋体" w:hAnsi="宋体" w:eastAsia="宋体" w:cs="宋体"/>
          <w:i w:val="0"/>
          <w:iCs w:val="0"/>
          <w:caps w:val="0"/>
          <w:color w:val="000000"/>
          <w:spacing w:val="0"/>
          <w:sz w:val="22"/>
          <w:szCs w:val="22"/>
          <w:highlight w:val="none"/>
        </w:rPr>
        <w:t>代理机构：</w:t>
      </w:r>
      <w:r>
        <w:rPr>
          <w:rStyle w:val="9"/>
          <w:rFonts w:hint="eastAsia" w:ascii="宋体" w:hAnsi="宋体" w:eastAsia="宋体" w:cs="宋体"/>
          <w:i w:val="0"/>
          <w:iCs w:val="0"/>
          <w:caps w:val="0"/>
          <w:color w:val="000000"/>
          <w:spacing w:val="0"/>
          <w:sz w:val="22"/>
          <w:szCs w:val="22"/>
          <w:highlight w:val="none"/>
          <w:lang w:eastAsia="zh-CN"/>
        </w:rPr>
        <w:t>福建中实建设项目管理有限公司</w:t>
      </w:r>
    </w:p>
    <w:p>
      <w:pPr>
        <w:pStyle w:val="6"/>
        <w:keepNext w:val="0"/>
        <w:keepLines w:val="0"/>
        <w:widowControl/>
        <w:suppressLineNumbers w:val="0"/>
        <w:ind w:left="0" w:firstLine="441"/>
        <w:jc w:val="center"/>
        <w:rPr>
          <w:rFonts w:hint="eastAsia" w:ascii="微软雅黑" w:hAnsi="微软雅黑" w:eastAsia="微软雅黑" w:cs="微软雅黑"/>
          <w:i w:val="0"/>
          <w:iCs w:val="0"/>
          <w:caps w:val="0"/>
          <w:color w:val="000000"/>
          <w:spacing w:val="0"/>
          <w:sz w:val="27"/>
          <w:szCs w:val="27"/>
          <w:highlight w:val="none"/>
        </w:rPr>
      </w:pPr>
      <w:r>
        <w:rPr>
          <w:rStyle w:val="9"/>
          <w:rFonts w:hint="eastAsia" w:ascii="宋体" w:hAnsi="宋体" w:eastAsia="宋体" w:cs="宋体"/>
          <w:i w:val="0"/>
          <w:iCs w:val="0"/>
          <w:caps w:val="0"/>
          <w:color w:val="000000"/>
          <w:spacing w:val="0"/>
          <w:sz w:val="22"/>
          <w:szCs w:val="22"/>
          <w:highlight w:val="none"/>
        </w:rPr>
        <w:t>2022年08月</w:t>
      </w:r>
    </w:p>
    <w:p>
      <w:pPr>
        <w:pStyle w:val="6"/>
        <w:keepNext w:val="0"/>
        <w:keepLines w:val="0"/>
        <w:widowControl/>
        <w:suppressLineNumbers w:val="0"/>
        <w:spacing w:before="0" w:beforeAutospacing="1" w:after="0" w:afterAutospacing="1"/>
        <w:ind w:left="0" w:firstLine="0"/>
        <w:jc w:val="center"/>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25"/>
          <w:szCs w:val="25"/>
          <w:highlight w:val="none"/>
        </w:rPr>
        <w:t>第一章</w:t>
      </w:r>
      <w:r>
        <w:rPr>
          <w:rStyle w:val="9"/>
          <w:rFonts w:hint="eastAsia" w:ascii="宋体" w:hAnsi="宋体" w:eastAsia="宋体" w:cs="宋体"/>
          <w:sz w:val="19"/>
          <w:szCs w:val="19"/>
          <w:highlight w:val="none"/>
        </w:rPr>
        <w:t>   </w:t>
      </w:r>
      <w:r>
        <w:rPr>
          <w:rStyle w:val="9"/>
          <w:rFonts w:hint="eastAsia" w:ascii="宋体" w:hAnsi="宋体" w:eastAsia="宋体" w:cs="宋体"/>
          <w:sz w:val="24"/>
          <w:szCs w:val="24"/>
          <w:highlight w:val="none"/>
        </w:rPr>
        <w:t>询价邀请/询价邀请书</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28"/>
          <w:szCs w:val="28"/>
          <w:highlight w:val="none"/>
        </w:rPr>
        <w:t>询价邀请</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28"/>
          <w:szCs w:val="28"/>
          <w:highlight w:val="none"/>
        </w:rPr>
        <w:t>（适用于发布公告方式邀请供应商）</w:t>
      </w:r>
    </w:p>
    <w:p>
      <w:pPr>
        <w:pStyle w:val="6"/>
        <w:keepNext w:val="0"/>
        <w:keepLines w:val="0"/>
        <w:widowControl/>
        <w:suppressLineNumbers w:val="0"/>
        <w:spacing w:before="0" w:beforeAutospacing="1" w:after="0" w:afterAutospacing="1"/>
        <w:ind w:left="0" w:firstLine="384"/>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384"/>
        <w:rPr>
          <w:sz w:val="20"/>
          <w:szCs w:val="20"/>
          <w:highlight w:val="none"/>
        </w:rPr>
      </w:pPr>
      <w:r>
        <w:rPr>
          <w:rFonts w:hint="eastAsia" w:eastAsia="宋体"/>
          <w:sz w:val="20"/>
          <w:szCs w:val="20"/>
          <w:highlight w:val="none"/>
          <w:lang w:eastAsia="zh-CN"/>
        </w:rPr>
        <w:t>福建中实建设项目管理有限公司</w:t>
      </w:r>
      <w:r>
        <w:rPr>
          <w:rFonts w:hint="eastAsia" w:ascii="宋体" w:hAnsi="宋体" w:eastAsia="宋体" w:cs="宋体"/>
          <w:sz w:val="20"/>
          <w:szCs w:val="20"/>
          <w:highlight w:val="none"/>
        </w:rPr>
        <w:t>采用</w:t>
      </w:r>
      <w:r>
        <w:rPr>
          <w:rFonts w:hint="eastAsia" w:ascii="宋体" w:hAnsi="宋体" w:eastAsia="宋体" w:cs="宋体"/>
          <w:sz w:val="20"/>
          <w:szCs w:val="20"/>
          <w:highlight w:val="none"/>
          <w:u w:val="single"/>
        </w:rPr>
        <w:t>询价采购</w:t>
      </w:r>
      <w:r>
        <w:rPr>
          <w:rFonts w:hint="eastAsia" w:ascii="宋体" w:hAnsi="宋体" w:eastAsia="宋体" w:cs="宋体"/>
          <w:sz w:val="20"/>
          <w:szCs w:val="20"/>
          <w:highlight w:val="none"/>
        </w:rPr>
        <w:t>方式组织</w:t>
      </w:r>
      <w:r>
        <w:rPr>
          <w:rFonts w:hint="eastAsia" w:ascii="宋体" w:hAnsi="宋体" w:eastAsia="宋体" w:cs="宋体"/>
          <w:sz w:val="20"/>
          <w:szCs w:val="20"/>
          <w:highlight w:val="none"/>
          <w:u w:val="single"/>
        </w:rPr>
        <w:t>仙游县202</w:t>
      </w:r>
      <w:r>
        <w:rPr>
          <w:rFonts w:hint="eastAsia" w:ascii="宋体" w:hAnsi="宋体" w:eastAsia="宋体" w:cs="宋体"/>
          <w:sz w:val="20"/>
          <w:szCs w:val="20"/>
          <w:highlight w:val="none"/>
          <w:u w:val="single"/>
          <w:lang w:val="en-US" w:eastAsia="zh-CN"/>
        </w:rPr>
        <w:t>2</w:t>
      </w:r>
      <w:r>
        <w:rPr>
          <w:rFonts w:hint="eastAsia" w:ascii="宋体" w:hAnsi="宋体" w:eastAsia="宋体" w:cs="宋体"/>
          <w:sz w:val="20"/>
          <w:szCs w:val="20"/>
          <w:highlight w:val="none"/>
          <w:u w:val="single"/>
        </w:rPr>
        <w:t>教育补短板（教学设备添置）货物类采购项目</w:t>
      </w:r>
      <w:r>
        <w:rPr>
          <w:rFonts w:hint="eastAsia" w:ascii="宋体" w:hAnsi="宋体" w:eastAsia="宋体" w:cs="宋体"/>
          <w:sz w:val="20"/>
          <w:szCs w:val="20"/>
          <w:highlight w:val="none"/>
        </w:rPr>
        <w:t>（以下简称：“本项目”）的政府采购活动，现采用发布公告方式，邀请供应商参加报价。</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1</w:t>
      </w:r>
      <w:r>
        <w:rPr>
          <w:rFonts w:hint="eastAsia" w:ascii="宋体" w:hAnsi="宋体" w:eastAsia="宋体" w:cs="宋体"/>
          <w:sz w:val="19"/>
          <w:szCs w:val="19"/>
          <w:highlight w:val="none"/>
        </w:rPr>
        <w:t>、项目编号：闽莆中实【F-2022】采招 301号。</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2</w:t>
      </w:r>
      <w:r>
        <w:rPr>
          <w:rFonts w:hint="eastAsia" w:ascii="宋体" w:hAnsi="宋体" w:eastAsia="宋体" w:cs="宋体"/>
          <w:sz w:val="19"/>
          <w:szCs w:val="19"/>
          <w:highlight w:val="none"/>
        </w:rPr>
        <w:t>、询价内容及要求：详见附</w:t>
      </w:r>
      <w:r>
        <w:rPr>
          <w:rFonts w:ascii="Calibri" w:hAnsi="Calibri" w:cs="Calibri"/>
          <w:sz w:val="19"/>
          <w:szCs w:val="19"/>
          <w:highlight w:val="none"/>
        </w:rPr>
        <w:t>2</w:t>
      </w:r>
      <w:r>
        <w:rPr>
          <w:rFonts w:hint="eastAsia" w:ascii="宋体" w:hAnsi="宋体" w:eastAsia="宋体" w:cs="宋体"/>
          <w:sz w:val="19"/>
          <w:szCs w:val="19"/>
          <w:highlight w:val="none"/>
        </w:rPr>
        <w:t>：《采购标的一览表及询价通知书第四章》。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3</w:t>
      </w:r>
      <w:r>
        <w:rPr>
          <w:rFonts w:hint="eastAsia" w:ascii="宋体" w:hAnsi="宋体" w:eastAsia="宋体" w:cs="宋体"/>
          <w:sz w:val="19"/>
          <w:szCs w:val="19"/>
          <w:highlight w:val="none"/>
        </w:rPr>
        <w:t>、需要落实的政府采购政策：节能产品，适用于（</w:t>
      </w:r>
      <w:r>
        <w:rPr>
          <w:rFonts w:hint="eastAsia" w:ascii="宋体" w:hAnsi="宋体" w:eastAsia="宋体" w:cs="宋体"/>
          <w:sz w:val="19"/>
          <w:szCs w:val="19"/>
          <w:highlight w:val="none"/>
          <w:lang w:eastAsia="zh-CN"/>
        </w:rPr>
        <w:t>所有</w:t>
      </w:r>
      <w:r>
        <w:rPr>
          <w:rFonts w:hint="eastAsia" w:ascii="宋体" w:hAnsi="宋体" w:eastAsia="宋体" w:cs="宋体"/>
          <w:sz w:val="19"/>
          <w:szCs w:val="19"/>
          <w:highlight w:val="none"/>
        </w:rPr>
        <w:t>合同包），按照财库[2019]19号文所附品目清单执行。环境标志产品，适用于（</w:t>
      </w:r>
      <w:r>
        <w:rPr>
          <w:rFonts w:hint="eastAsia" w:ascii="宋体" w:hAnsi="宋体" w:eastAsia="宋体" w:cs="宋体"/>
          <w:sz w:val="19"/>
          <w:szCs w:val="19"/>
          <w:highlight w:val="none"/>
          <w:lang w:eastAsia="zh-CN"/>
        </w:rPr>
        <w:t>所有</w:t>
      </w:r>
      <w:r>
        <w:rPr>
          <w:rFonts w:hint="eastAsia" w:ascii="宋体" w:hAnsi="宋体" w:eastAsia="宋体" w:cs="宋体"/>
          <w:sz w:val="19"/>
          <w:szCs w:val="19"/>
          <w:highlight w:val="none"/>
        </w:rPr>
        <w:t>合同包），按照财库[2019]18号文所附品目清单执行。小型、微型企业符合财政部、工信部文件（财库〔2020〕46号），适用于（</w:t>
      </w:r>
      <w:r>
        <w:rPr>
          <w:rFonts w:hint="eastAsia" w:ascii="宋体" w:hAnsi="宋体" w:eastAsia="宋体" w:cs="宋体"/>
          <w:sz w:val="19"/>
          <w:szCs w:val="19"/>
          <w:highlight w:val="none"/>
          <w:lang w:eastAsia="zh-CN"/>
        </w:rPr>
        <w:t>所有</w:t>
      </w:r>
      <w:r>
        <w:rPr>
          <w:rFonts w:hint="eastAsia" w:ascii="宋体" w:hAnsi="宋体" w:eastAsia="宋体" w:cs="宋体"/>
          <w:sz w:val="19"/>
          <w:szCs w:val="19"/>
          <w:highlight w:val="none"/>
        </w:rPr>
        <w:t>合同包）。监狱企业，适用于（</w:t>
      </w:r>
      <w:r>
        <w:rPr>
          <w:rFonts w:hint="eastAsia" w:ascii="宋体" w:hAnsi="宋体" w:eastAsia="宋体" w:cs="宋体"/>
          <w:sz w:val="19"/>
          <w:szCs w:val="19"/>
          <w:highlight w:val="none"/>
          <w:lang w:eastAsia="zh-CN"/>
        </w:rPr>
        <w:t>所有</w:t>
      </w:r>
      <w:r>
        <w:rPr>
          <w:rFonts w:hint="eastAsia" w:ascii="宋体" w:hAnsi="宋体" w:eastAsia="宋体" w:cs="宋体"/>
          <w:sz w:val="19"/>
          <w:szCs w:val="19"/>
          <w:highlight w:val="none"/>
        </w:rPr>
        <w:t>合同包）。促进残疾人就业 ，适用于（</w:t>
      </w:r>
      <w:r>
        <w:rPr>
          <w:rFonts w:hint="eastAsia" w:ascii="宋体" w:hAnsi="宋体" w:eastAsia="宋体" w:cs="宋体"/>
          <w:sz w:val="19"/>
          <w:szCs w:val="19"/>
          <w:highlight w:val="none"/>
          <w:lang w:eastAsia="zh-CN"/>
        </w:rPr>
        <w:t>所有</w:t>
      </w:r>
      <w:r>
        <w:rPr>
          <w:rFonts w:hint="eastAsia" w:ascii="宋体" w:hAnsi="宋体" w:eastAsia="宋体" w:cs="宋体"/>
          <w:sz w:val="19"/>
          <w:szCs w:val="19"/>
          <w:highlight w:val="none"/>
        </w:rPr>
        <w:t>合同包）。信用记录，适用于（</w:t>
      </w:r>
      <w:r>
        <w:rPr>
          <w:rFonts w:hint="eastAsia" w:ascii="宋体" w:hAnsi="宋体" w:eastAsia="宋体" w:cs="宋体"/>
          <w:sz w:val="19"/>
          <w:szCs w:val="19"/>
          <w:highlight w:val="none"/>
          <w:lang w:eastAsia="zh-CN"/>
        </w:rPr>
        <w:t>所有</w:t>
      </w:r>
      <w:r>
        <w:rPr>
          <w:rFonts w:hint="eastAsia" w:ascii="宋体" w:hAnsi="宋体" w:eastAsia="宋体" w:cs="宋体"/>
          <w:sz w:val="19"/>
          <w:szCs w:val="19"/>
          <w:highlight w:val="none"/>
        </w:rPr>
        <w:t>合同包），按照下列规定执行：（1）投标人应在（投标截止时间止）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4</w:t>
      </w:r>
      <w:r>
        <w:rPr>
          <w:rFonts w:hint="eastAsia" w:ascii="宋体" w:hAnsi="宋体" w:eastAsia="宋体" w:cs="宋体"/>
          <w:sz w:val="19"/>
          <w:szCs w:val="19"/>
          <w:highlight w:val="none"/>
        </w:rPr>
        <w:t>、供应商的资格要求</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4</w:t>
      </w:r>
      <w:r>
        <w:rPr>
          <w:rFonts w:hint="eastAsia" w:ascii="宋体" w:hAnsi="宋体" w:eastAsia="宋体" w:cs="宋体"/>
          <w:sz w:val="19"/>
          <w:szCs w:val="19"/>
          <w:highlight w:val="none"/>
        </w:rPr>
        <w:t>.1法定条件：符合政府采购法第二十二条第一款规定的条件。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4</w:t>
      </w:r>
      <w:r>
        <w:rPr>
          <w:rFonts w:hint="eastAsia" w:ascii="宋体" w:hAnsi="宋体" w:eastAsia="宋体" w:cs="宋体"/>
          <w:sz w:val="19"/>
          <w:szCs w:val="19"/>
          <w:highlight w:val="none"/>
        </w:rPr>
        <w:t>.2特定条件：</w:t>
      </w:r>
      <w:r>
        <w:rPr>
          <w:rFonts w:hint="eastAsia" w:ascii="宋体" w:hAnsi="宋体" w:eastAsia="宋体" w:cs="宋体"/>
          <w:sz w:val="19"/>
          <w:szCs w:val="19"/>
          <w:highlight w:val="none"/>
        </w:rPr>
        <w:br w:type="textWrapping"/>
      </w:r>
      <w:r>
        <w:rPr>
          <w:rFonts w:hint="eastAsia" w:ascii="宋体" w:hAnsi="宋体" w:eastAsia="宋体" w:cs="宋体"/>
          <w:sz w:val="19"/>
          <w:szCs w:val="19"/>
          <w:highlight w:val="none"/>
        </w:rPr>
        <w:t>合同包</w:t>
      </w:r>
      <w:r>
        <w:rPr>
          <w:rFonts w:hint="eastAsia" w:ascii="宋体" w:hAnsi="宋体" w:eastAsia="宋体" w:cs="宋体"/>
          <w:sz w:val="19"/>
          <w:szCs w:val="19"/>
          <w:highlight w:val="none"/>
          <w:lang w:val="en-US" w:eastAsia="zh-CN"/>
        </w:rPr>
        <w:t>1，2，3</w:t>
      </w:r>
      <w:r>
        <w:rPr>
          <w:highlight w:val="none"/>
        </w:rPr>
        <w:br w:type="textWrapping"/>
      </w:r>
      <w:r>
        <w:rPr>
          <w:rStyle w:val="9"/>
          <w:sz w:val="19"/>
          <w:szCs w:val="19"/>
          <w:highlight w:val="none"/>
        </w:rPr>
        <w:t>         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4</w:t>
      </w:r>
      <w:r>
        <w:rPr>
          <w:rFonts w:hint="eastAsia" w:ascii="宋体" w:hAnsi="宋体" w:eastAsia="宋体" w:cs="宋体"/>
          <w:sz w:val="19"/>
          <w:szCs w:val="19"/>
          <w:highlight w:val="none"/>
        </w:rPr>
        <w:t>.3合同包</w:t>
      </w:r>
      <w:r>
        <w:rPr>
          <w:rFonts w:hint="eastAsia" w:ascii="宋体" w:hAnsi="宋体" w:eastAsia="宋体" w:cs="宋体"/>
          <w:sz w:val="19"/>
          <w:szCs w:val="19"/>
          <w:highlight w:val="none"/>
          <w:lang w:val="en-US" w:eastAsia="zh-CN"/>
        </w:rPr>
        <w:t>1，2，3</w:t>
      </w:r>
      <w:r>
        <w:rPr>
          <w:rFonts w:hint="eastAsia" w:ascii="宋体" w:hAnsi="宋体" w:eastAsia="宋体" w:cs="宋体"/>
          <w:sz w:val="19"/>
          <w:szCs w:val="19"/>
          <w:highlight w:val="none"/>
        </w:rPr>
        <w:t>是否接受联合体报价：不接受</w:t>
      </w:r>
    </w:p>
    <w:p>
      <w:pPr>
        <w:pStyle w:val="6"/>
        <w:keepNext w:val="0"/>
        <w:keepLines w:val="0"/>
        <w:widowControl/>
        <w:suppressLineNumbers w:val="0"/>
        <w:spacing w:before="0" w:beforeAutospacing="1" w:after="0" w:afterAutospacing="1"/>
        <w:ind w:left="0" w:firstLine="384"/>
        <w:rPr>
          <w:highlight w:val="none"/>
        </w:rPr>
      </w:pPr>
      <w:r>
        <w:rPr>
          <w:rStyle w:val="9"/>
          <w:rFonts w:hint="eastAsia" w:ascii="宋体" w:hAnsi="宋体" w:eastAsia="宋体" w:cs="宋体"/>
          <w:sz w:val="19"/>
          <w:szCs w:val="19"/>
          <w:highlight w:val="none"/>
        </w:rPr>
        <w:t>※根据上述资格要求，响应文件中应提交的“供应商的资格及资信证明文件”详见询价通知书第六章。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5</w:t>
      </w:r>
      <w:r>
        <w:rPr>
          <w:rFonts w:hint="eastAsia" w:ascii="宋体" w:hAnsi="宋体" w:eastAsia="宋体" w:cs="宋体"/>
          <w:sz w:val="19"/>
          <w:szCs w:val="19"/>
          <w:highlight w:val="none"/>
        </w:rPr>
        <w:t>、询价通知书的获取</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5</w:t>
      </w:r>
      <w:r>
        <w:rPr>
          <w:rFonts w:hint="eastAsia" w:ascii="宋体" w:hAnsi="宋体" w:eastAsia="宋体" w:cs="宋体"/>
          <w:sz w:val="19"/>
          <w:szCs w:val="19"/>
          <w:highlight w:val="none"/>
        </w:rPr>
        <w:t>.1询价通知书的提供期限：详见询价公告或更正公告（若有），若不一致，以更正公告（若有）为准。询价通知书的提供期限与询价公告的公告期限保持一致。</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5</w:t>
      </w:r>
      <w:r>
        <w:rPr>
          <w:rFonts w:hint="eastAsia" w:ascii="宋体" w:hAnsi="宋体" w:eastAsia="宋体" w:cs="宋体"/>
          <w:sz w:val="19"/>
          <w:szCs w:val="19"/>
          <w:highlight w:val="none"/>
        </w:rPr>
        <w:t>.2获取地点及方式：详见询价公告或更正公告（若有），若不一致，以更正公告（若有）为准。询价通知书的提供期限与询价公告的公告期限保持一致。</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5</w:t>
      </w:r>
      <w:r>
        <w:rPr>
          <w:rFonts w:hint="eastAsia" w:ascii="宋体" w:hAnsi="宋体" w:eastAsia="宋体" w:cs="宋体"/>
          <w:sz w:val="19"/>
          <w:szCs w:val="19"/>
          <w:highlight w:val="none"/>
        </w:rPr>
        <w:t>.3、询价通知书售价：0元。</w:t>
      </w:r>
    </w:p>
    <w:p>
      <w:pPr>
        <w:pStyle w:val="6"/>
        <w:keepNext w:val="0"/>
        <w:keepLines w:val="0"/>
        <w:widowControl/>
        <w:suppressLineNumbers w:val="0"/>
        <w:spacing w:after="0" w:afterAutospacing="0"/>
        <w:rPr>
          <w:highlight w:val="none"/>
        </w:rPr>
      </w:pPr>
      <w:r>
        <w:rPr>
          <w:rFonts w:hint="eastAsia" w:ascii="宋体" w:hAnsi="宋体" w:eastAsia="宋体" w:cs="宋体"/>
          <w:sz w:val="19"/>
          <w:szCs w:val="19"/>
          <w:highlight w:val="none"/>
        </w:rPr>
        <w:t>  </w:t>
      </w:r>
      <w:r>
        <w:rPr>
          <w:rFonts w:hint="eastAsia" w:ascii="宋体" w:hAnsi="宋体" w:eastAsia="宋体" w:cs="宋体"/>
          <w:sz w:val="19"/>
          <w:szCs w:val="19"/>
          <w:highlight w:val="none"/>
          <w:lang w:val="en-US" w:eastAsia="zh-CN"/>
        </w:rPr>
        <w:t>6</w:t>
      </w:r>
      <w:r>
        <w:rPr>
          <w:rFonts w:hint="eastAsia" w:ascii="宋体" w:hAnsi="宋体" w:eastAsia="宋体" w:cs="宋体"/>
          <w:sz w:val="19"/>
          <w:szCs w:val="19"/>
          <w:highlight w:val="none"/>
        </w:rPr>
        <w:t>、提交响应文件截止时间：详见询价公告或更正公告（若有），若不一致，以更正公告（若有）为准。供应商应在提交响应文件截止时间前将密封的纸质响应文件送达询价</w:t>
      </w:r>
      <w:r>
        <w:rPr>
          <w:rFonts w:hint="eastAsia" w:ascii="宋体" w:hAnsi="宋体" w:eastAsia="宋体" w:cs="宋体"/>
          <w:sz w:val="19"/>
          <w:szCs w:val="19"/>
          <w:highlight w:val="none"/>
          <w:lang w:eastAsia="zh-CN"/>
        </w:rPr>
        <w:t>公告上</w:t>
      </w:r>
      <w:r>
        <w:rPr>
          <w:rFonts w:hint="eastAsia" w:ascii="宋体" w:hAnsi="宋体" w:eastAsia="宋体" w:cs="宋体"/>
          <w:sz w:val="19"/>
          <w:szCs w:val="19"/>
          <w:highlight w:val="none"/>
        </w:rPr>
        <w:t>载明的地点，否则响应文件将被拒收。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lang w:val="en-US" w:eastAsia="zh-CN"/>
        </w:rPr>
        <w:t>7</w:t>
      </w:r>
      <w:r>
        <w:rPr>
          <w:rFonts w:hint="eastAsia" w:ascii="宋体" w:hAnsi="宋体" w:eastAsia="宋体" w:cs="宋体"/>
          <w:sz w:val="19"/>
          <w:szCs w:val="19"/>
          <w:highlight w:val="none"/>
        </w:rPr>
        <w:t>、询价时间及地点：详见询价公告或更正公告（若有），若不一致，以更正公告（若有）为准。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8</w:t>
      </w:r>
      <w:r>
        <w:rPr>
          <w:rFonts w:hint="eastAsia" w:ascii="宋体" w:hAnsi="宋体" w:eastAsia="宋体" w:cs="宋体"/>
          <w:sz w:val="19"/>
          <w:szCs w:val="19"/>
          <w:highlight w:val="none"/>
        </w:rPr>
        <w:t>、公告期限</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8</w:t>
      </w:r>
      <w:r>
        <w:rPr>
          <w:rFonts w:hint="eastAsia" w:ascii="宋体" w:hAnsi="宋体" w:eastAsia="宋体" w:cs="宋体"/>
          <w:sz w:val="19"/>
          <w:szCs w:val="19"/>
          <w:highlight w:val="none"/>
        </w:rPr>
        <w:t>.1询价公告的公告期限：自发布公告之日起3个工作日。</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lang w:val="en-US" w:eastAsia="zh-CN"/>
        </w:rPr>
        <w:t>8</w:t>
      </w:r>
      <w:r>
        <w:rPr>
          <w:rFonts w:hint="eastAsia" w:ascii="宋体" w:hAnsi="宋体" w:eastAsia="宋体" w:cs="宋体"/>
          <w:sz w:val="19"/>
          <w:szCs w:val="19"/>
          <w:highlight w:val="none"/>
        </w:rPr>
        <w:t>.2询价通知书随同询价公告一并发布，其公告期限与询价公告的期限保持一致。</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rPr>
      </w:pPr>
      <w:r>
        <w:rPr>
          <w:rFonts w:hint="eastAsia" w:ascii="宋体" w:hAnsi="宋体" w:eastAsia="宋体" w:cs="宋体"/>
          <w:sz w:val="19"/>
          <w:szCs w:val="19"/>
          <w:highlight w:val="none"/>
          <w:lang w:val="en-US" w:eastAsia="zh-CN"/>
        </w:rPr>
        <w:t>9</w:t>
      </w:r>
      <w:r>
        <w:rPr>
          <w:rFonts w:hint="eastAsia" w:ascii="宋体" w:hAnsi="宋体" w:eastAsia="宋体" w:cs="宋体"/>
          <w:sz w:val="19"/>
          <w:szCs w:val="19"/>
          <w:highlight w:val="none"/>
        </w:rPr>
        <w:t>、联系方式：</w:t>
      </w:r>
      <w:r>
        <w:rPr>
          <w:rFonts w:hint="eastAsia" w:ascii="宋体" w:hAnsi="宋体" w:eastAsia="宋体" w:cs="宋体"/>
          <w:sz w:val="19"/>
          <w:szCs w:val="19"/>
          <w:highlight w:val="none"/>
        </w:rPr>
        <w:br w:type="textWrapping"/>
      </w:r>
      <w:r>
        <w:rPr>
          <w:rFonts w:hint="eastAsia" w:ascii="宋体" w:hAnsi="宋体" w:eastAsia="宋体" w:cs="宋体"/>
          <w:sz w:val="19"/>
          <w:szCs w:val="19"/>
          <w:highlight w:val="none"/>
        </w:rPr>
        <w:t> </w:t>
      </w:r>
      <w:r>
        <w:rPr>
          <w:rFonts w:hint="eastAsia" w:ascii="宋体" w:hAnsi="宋体" w:eastAsia="宋体" w:cs="宋体"/>
          <w:sz w:val="19"/>
          <w:szCs w:val="19"/>
          <w:highlight w:val="none"/>
          <w:lang w:val="en-US" w:eastAsia="zh-CN"/>
        </w:rPr>
        <w:t xml:space="preserve">  </w:t>
      </w:r>
      <w:r>
        <w:rPr>
          <w:rFonts w:hint="eastAsia" w:ascii="宋体" w:hAnsi="宋体" w:eastAsia="宋体" w:cs="宋体"/>
          <w:sz w:val="19"/>
          <w:szCs w:val="19"/>
          <w:highlight w:val="none"/>
        </w:rPr>
        <w:t xml:space="preserve">采 购 人：仙游县教育局 </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rPr>
      </w:pPr>
      <w:r>
        <w:rPr>
          <w:rFonts w:hint="eastAsia" w:ascii="宋体" w:hAnsi="宋体" w:eastAsia="宋体" w:cs="宋体"/>
          <w:sz w:val="19"/>
          <w:szCs w:val="19"/>
          <w:highlight w:val="none"/>
        </w:rPr>
        <w:t>地    址：仙游县鲤城镇八二五北街557号</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rPr>
      </w:pPr>
      <w:r>
        <w:rPr>
          <w:rFonts w:hint="eastAsia" w:ascii="宋体" w:hAnsi="宋体" w:eastAsia="宋体" w:cs="宋体"/>
          <w:sz w:val="19"/>
          <w:szCs w:val="19"/>
          <w:highlight w:val="none"/>
        </w:rPr>
        <w:t>联 系 人：</w:t>
      </w:r>
      <w:r>
        <w:rPr>
          <w:rFonts w:hint="eastAsia" w:ascii="宋体" w:hAnsi="宋体" w:eastAsia="宋体" w:cs="宋体"/>
          <w:sz w:val="19"/>
          <w:szCs w:val="19"/>
          <w:highlight w:val="none"/>
          <w:lang w:eastAsia="zh-CN"/>
        </w:rPr>
        <w:t>郭</w:t>
      </w:r>
      <w:r>
        <w:rPr>
          <w:rFonts w:hint="eastAsia" w:ascii="宋体" w:hAnsi="宋体" w:eastAsia="宋体" w:cs="宋体"/>
          <w:sz w:val="19"/>
          <w:szCs w:val="19"/>
          <w:highlight w:val="none"/>
        </w:rPr>
        <w:t xml:space="preserve">老师        </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rPr>
      </w:pPr>
      <w:r>
        <w:rPr>
          <w:rFonts w:hint="eastAsia" w:ascii="宋体" w:hAnsi="宋体" w:eastAsia="宋体" w:cs="宋体"/>
          <w:sz w:val="19"/>
          <w:szCs w:val="19"/>
          <w:highlight w:val="none"/>
        </w:rPr>
        <w:t xml:space="preserve">联系电话：0594-8595700 </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lang w:eastAsia="zh-CN"/>
        </w:rPr>
      </w:pPr>
      <w:r>
        <w:rPr>
          <w:rFonts w:hint="eastAsia" w:ascii="宋体" w:hAnsi="宋体" w:eastAsia="宋体" w:cs="宋体"/>
          <w:sz w:val="19"/>
          <w:szCs w:val="19"/>
          <w:highlight w:val="none"/>
        </w:rPr>
        <w:t>代理机构：</w:t>
      </w:r>
      <w:r>
        <w:rPr>
          <w:rFonts w:hint="eastAsia" w:ascii="宋体" w:hAnsi="宋体" w:eastAsia="宋体" w:cs="宋体"/>
          <w:sz w:val="19"/>
          <w:szCs w:val="19"/>
          <w:highlight w:val="none"/>
          <w:lang w:eastAsia="zh-CN"/>
        </w:rPr>
        <w:t>福建中实建设项目管理有限公司</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地</w:t>
      </w:r>
      <w:r>
        <w:rPr>
          <w:rFonts w:hint="eastAsia" w:ascii="宋体" w:hAnsi="宋体" w:eastAsia="宋体" w:cs="宋体"/>
          <w:sz w:val="19"/>
          <w:szCs w:val="19"/>
          <w:highlight w:val="none"/>
          <w:lang w:val="en-US" w:eastAsia="zh-CN"/>
        </w:rPr>
        <w:t xml:space="preserve">    </w:t>
      </w:r>
      <w:r>
        <w:rPr>
          <w:rFonts w:hint="eastAsia" w:ascii="宋体" w:hAnsi="宋体" w:eastAsia="宋体" w:cs="宋体"/>
          <w:sz w:val="19"/>
          <w:szCs w:val="19"/>
          <w:highlight w:val="none"/>
        </w:rPr>
        <w:t>址：莆田市仙游县鲤南镇八二五南街富豪商住楼705室</w:t>
      </w:r>
    </w:p>
    <w:p>
      <w:pPr>
        <w:pStyle w:val="6"/>
        <w:keepNext w:val="0"/>
        <w:keepLines w:val="0"/>
        <w:widowControl/>
        <w:suppressLineNumbers w:val="0"/>
        <w:spacing w:before="0" w:beforeAutospacing="1" w:after="0" w:afterAutospacing="1"/>
        <w:ind w:left="0" w:firstLine="384"/>
        <w:rPr>
          <w:rFonts w:hint="eastAsia" w:eastAsia="宋体"/>
          <w:highlight w:val="none"/>
          <w:lang w:eastAsia="zh-CN"/>
        </w:rPr>
      </w:pPr>
      <w:r>
        <w:rPr>
          <w:rFonts w:hint="eastAsia" w:ascii="宋体" w:hAnsi="宋体" w:eastAsia="宋体" w:cs="宋体"/>
          <w:sz w:val="19"/>
          <w:szCs w:val="19"/>
          <w:highlight w:val="none"/>
        </w:rPr>
        <w:t>联</w:t>
      </w:r>
      <w:r>
        <w:rPr>
          <w:rFonts w:hint="eastAsia" w:ascii="宋体" w:hAnsi="宋体" w:eastAsia="宋体" w:cs="宋体"/>
          <w:sz w:val="19"/>
          <w:szCs w:val="19"/>
          <w:highlight w:val="none"/>
          <w:lang w:val="en-US" w:eastAsia="zh-CN"/>
        </w:rPr>
        <w:t xml:space="preserve"> </w:t>
      </w:r>
      <w:r>
        <w:rPr>
          <w:rFonts w:hint="eastAsia" w:ascii="宋体" w:hAnsi="宋体" w:eastAsia="宋体" w:cs="宋体"/>
          <w:sz w:val="19"/>
          <w:szCs w:val="19"/>
          <w:highlight w:val="none"/>
        </w:rPr>
        <w:t>系</w:t>
      </w:r>
      <w:r>
        <w:rPr>
          <w:rFonts w:hint="eastAsia" w:ascii="宋体" w:hAnsi="宋体" w:eastAsia="宋体" w:cs="宋体"/>
          <w:sz w:val="19"/>
          <w:szCs w:val="19"/>
          <w:highlight w:val="none"/>
          <w:lang w:val="en-US" w:eastAsia="zh-CN"/>
        </w:rPr>
        <w:t xml:space="preserve"> </w:t>
      </w:r>
      <w:r>
        <w:rPr>
          <w:rFonts w:hint="eastAsia" w:ascii="宋体" w:hAnsi="宋体" w:eastAsia="宋体" w:cs="宋体"/>
          <w:sz w:val="19"/>
          <w:szCs w:val="19"/>
          <w:highlight w:val="none"/>
        </w:rPr>
        <w:t>人：</w:t>
      </w:r>
      <w:r>
        <w:rPr>
          <w:rFonts w:hint="eastAsia" w:ascii="宋体" w:hAnsi="宋体" w:eastAsia="宋体" w:cs="宋体"/>
          <w:sz w:val="19"/>
          <w:szCs w:val="19"/>
          <w:highlight w:val="none"/>
          <w:lang w:eastAsia="zh-CN"/>
        </w:rPr>
        <w:t>林先生</w:t>
      </w:r>
    </w:p>
    <w:p>
      <w:pPr>
        <w:pStyle w:val="6"/>
        <w:keepNext w:val="0"/>
        <w:keepLines w:val="0"/>
        <w:widowControl/>
        <w:suppressLineNumbers w:val="0"/>
        <w:spacing w:before="0" w:beforeAutospacing="1" w:after="0" w:afterAutospacing="1"/>
        <w:ind w:left="0" w:firstLine="384"/>
        <w:rPr>
          <w:rFonts w:hint="default" w:eastAsia="宋体"/>
          <w:highlight w:val="none"/>
          <w:lang w:val="en-US" w:eastAsia="zh-CN"/>
        </w:rPr>
      </w:pPr>
      <w:r>
        <w:rPr>
          <w:rFonts w:hint="eastAsia" w:ascii="宋体" w:hAnsi="宋体" w:eastAsia="宋体" w:cs="宋体"/>
          <w:sz w:val="19"/>
          <w:szCs w:val="19"/>
          <w:highlight w:val="none"/>
        </w:rPr>
        <w:t>联系方法：</w:t>
      </w:r>
      <w:r>
        <w:rPr>
          <w:rFonts w:hint="eastAsia" w:ascii="宋体" w:hAnsi="宋体" w:eastAsia="宋体" w:cs="宋体"/>
          <w:sz w:val="19"/>
          <w:szCs w:val="19"/>
          <w:highlight w:val="none"/>
          <w:lang w:val="en-US" w:eastAsia="zh-CN"/>
        </w:rPr>
        <w:t>18959522169</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384"/>
        <w:rPr>
          <w:rFonts w:hint="eastAsia" w:ascii="宋体" w:hAnsi="宋体" w:eastAsia="宋体" w:cs="宋体"/>
          <w:sz w:val="19"/>
          <w:szCs w:val="19"/>
          <w:highlight w:val="none"/>
        </w:rPr>
      </w:pPr>
    </w:p>
    <w:p>
      <w:pPr>
        <w:pStyle w:val="6"/>
        <w:keepNext w:val="0"/>
        <w:keepLines w:val="0"/>
        <w:widowControl/>
        <w:suppressLineNumbers w:val="0"/>
        <w:rPr>
          <w:highlight w:val="none"/>
        </w:rPr>
      </w:pPr>
      <w:r>
        <w:rPr>
          <w:rFonts w:hint="eastAsia" w:ascii="宋体" w:hAnsi="宋体" w:eastAsia="宋体" w:cs="宋体"/>
          <w:sz w:val="19"/>
          <w:szCs w:val="19"/>
          <w:highlight w:val="none"/>
        </w:rPr>
        <w:t>附1：账户信息</w:t>
      </w:r>
    </w:p>
    <w:tbl>
      <w:tblPr>
        <w:tblStyle w:val="7"/>
        <w:tblW w:w="0" w:type="auto"/>
        <w:tblCellSpacing w:w="1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82" w:hRule="atLeast"/>
          <w:tblCellSpacing w:w="15" w:type="dxa"/>
        </w:trPr>
        <w:tc>
          <w:tcPr>
            <w:tcW w:w="0" w:type="auto"/>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询价保证金账户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auto"/>
            <w:tcMar>
              <w:top w:w="0" w:type="dxa"/>
              <w:left w:w="84" w:type="dxa"/>
              <w:bottom w:w="0" w:type="dxa"/>
              <w:right w:w="84" w:type="dxa"/>
            </w:tcMar>
            <w:vAlign w:val="top"/>
          </w:tcPr>
          <w:p>
            <w:pPr>
              <w:spacing w:line="360" w:lineRule="auto"/>
              <w:rPr>
                <w:rFonts w:hint="eastAsia"/>
                <w:highlight w:val="none"/>
                <w:lang w:eastAsia="zh-CN"/>
              </w:rPr>
            </w:pPr>
            <w:r>
              <w:rPr>
                <w:rFonts w:hint="eastAsia"/>
                <w:highlight w:val="none"/>
              </w:rPr>
              <w:t>开户名称--</w:t>
            </w:r>
            <w:r>
              <w:rPr>
                <w:rFonts w:hint="eastAsia"/>
                <w:highlight w:val="none"/>
                <w:lang w:eastAsia="zh-CN"/>
              </w:rPr>
              <w:t>福建中实建设项目管理有限公司</w:t>
            </w:r>
          </w:p>
          <w:p>
            <w:pPr>
              <w:spacing w:line="360" w:lineRule="auto"/>
              <w:rPr>
                <w:rFonts w:hint="eastAsia"/>
                <w:highlight w:val="none"/>
              </w:rPr>
            </w:pPr>
            <w:r>
              <w:rPr>
                <w:rFonts w:hint="eastAsia"/>
                <w:highlight w:val="none"/>
              </w:rPr>
              <w:t>开户银行--福建仙游瑞狮村镇银行股份有限公司</w:t>
            </w:r>
          </w:p>
          <w:p>
            <w:pPr>
              <w:spacing w:line="360" w:lineRule="auto"/>
              <w:rPr>
                <w:rFonts w:hint="eastAsia"/>
                <w:highlight w:val="none"/>
              </w:rPr>
            </w:pPr>
            <w:r>
              <w:rPr>
                <w:rFonts w:hint="eastAsia"/>
                <w:highlight w:val="none"/>
              </w:rPr>
              <w:t>账户号码-- 9040710010010000027558</w:t>
            </w:r>
          </w:p>
          <w:p>
            <w:pPr>
              <w:pStyle w:val="6"/>
              <w:keepNext w:val="0"/>
              <w:keepLines w:val="0"/>
              <w:widowControl/>
              <w:suppressLineNumbers w:val="0"/>
              <w:rPr>
                <w:rFonts w:hint="eastAsia" w:eastAsia="宋体"/>
                <w:highlight w:val="none"/>
                <w:lang w:eastAsia="zh-CN"/>
              </w:rPr>
            </w:pPr>
            <w:r>
              <w:rPr>
                <w:rFonts w:hint="eastAsia" w:ascii="宋体" w:hAnsi="宋体" w:eastAsia="宋体" w:cs="宋体"/>
                <w:sz w:val="19"/>
                <w:szCs w:val="19"/>
                <w:highlight w:val="none"/>
                <w:u w:val="single"/>
              </w:rPr>
              <w:t>以合同包为单位，供应商应按照所报合同包的询价保证金要求，缴交相应的询价保证金。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特别提示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auto"/>
            <w:tcMar>
              <w:top w:w="0" w:type="dxa"/>
              <w:left w:w="84" w:type="dxa"/>
              <w:bottom w:w="0" w:type="dxa"/>
              <w:right w:w="84" w:type="dxa"/>
            </w:tcMar>
            <w:vAlign w:val="top"/>
          </w:tcPr>
          <w:p>
            <w:pPr>
              <w:pStyle w:val="6"/>
              <w:keepNext w:val="0"/>
              <w:keepLines w:val="0"/>
              <w:widowControl/>
              <w:suppressLineNumbers w:val="0"/>
              <w:spacing w:before="0" w:beforeAutospacing="1" w:after="0" w:afterAutospacing="1"/>
              <w:rPr>
                <w:highlight w:val="none"/>
              </w:rPr>
            </w:pPr>
            <w:r>
              <w:rPr>
                <w:rFonts w:hint="eastAsia" w:ascii="宋体" w:hAnsi="宋体" w:eastAsia="宋体" w:cs="宋体"/>
                <w:sz w:val="19"/>
                <w:szCs w:val="19"/>
                <w:highlight w:val="none"/>
              </w:rPr>
              <w:t>1、请供应商务必认真核对账户信息，将询价保证金款项汇入对应账户，并自行承担因款项汇错而产生的一切后果。</w:t>
            </w:r>
          </w:p>
          <w:p>
            <w:pPr>
              <w:pStyle w:val="6"/>
              <w:keepNext w:val="0"/>
              <w:keepLines w:val="0"/>
              <w:widowControl/>
              <w:suppressLineNumbers w:val="0"/>
              <w:spacing w:before="0" w:beforeAutospacing="1" w:after="0" w:afterAutospacing="1"/>
              <w:rPr>
                <w:highlight w:val="none"/>
              </w:rPr>
            </w:pPr>
            <w:r>
              <w:rPr>
                <w:rFonts w:hint="eastAsia" w:ascii="宋体" w:hAnsi="宋体" w:eastAsia="宋体" w:cs="宋体"/>
                <w:sz w:val="19"/>
                <w:szCs w:val="19"/>
                <w:highlight w:val="none"/>
              </w:rPr>
              <w:t>2、请供应商在转账或电汇的凭证上务必按照以下格式注明，以便核对：“（项目编号：</w:t>
            </w:r>
            <w:r>
              <w:rPr>
                <w:rFonts w:hint="default" w:ascii="Calibri" w:hAnsi="Calibri" w:cs="Calibri"/>
                <w:sz w:val="19"/>
                <w:szCs w:val="19"/>
                <w:highlight w:val="none"/>
              </w:rPr>
              <w:t>***</w:t>
            </w:r>
            <w:r>
              <w:rPr>
                <w:rFonts w:hint="eastAsia" w:ascii="宋体" w:hAnsi="宋体" w:eastAsia="宋体" w:cs="宋体"/>
                <w:sz w:val="19"/>
                <w:szCs w:val="19"/>
                <w:highlight w:val="none"/>
              </w:rPr>
              <w:t>、合同包：</w:t>
            </w:r>
            <w:r>
              <w:rPr>
                <w:rFonts w:hint="default" w:ascii="Calibri" w:hAnsi="Calibri" w:cs="Calibri"/>
                <w:sz w:val="19"/>
                <w:szCs w:val="19"/>
                <w:highlight w:val="none"/>
              </w:rPr>
              <w:t>***</w:t>
            </w:r>
            <w:r>
              <w:rPr>
                <w:rFonts w:hint="eastAsia" w:ascii="宋体" w:hAnsi="宋体" w:eastAsia="宋体" w:cs="宋体"/>
                <w:sz w:val="19"/>
                <w:szCs w:val="19"/>
                <w:highlight w:val="none"/>
              </w:rPr>
              <w:t>）的询价保证金”。</w:t>
            </w:r>
          </w:p>
        </w:tc>
      </w:tr>
    </w:tbl>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附2：采购标的一览表</w:t>
      </w:r>
    </w:p>
    <w:p>
      <w:pPr>
        <w:pStyle w:val="6"/>
        <w:keepNext w:val="0"/>
        <w:keepLines w:val="0"/>
        <w:widowControl/>
        <w:suppressLineNumbers w:val="0"/>
        <w:jc w:val="right"/>
        <w:rPr>
          <w:sz w:val="15"/>
          <w:szCs w:val="15"/>
          <w:highlight w:val="none"/>
        </w:rPr>
      </w:pPr>
      <w:r>
        <w:rPr>
          <w:rFonts w:hint="eastAsia" w:ascii="宋体" w:hAnsi="宋体" w:eastAsia="宋体" w:cs="宋体"/>
          <w:sz w:val="15"/>
          <w:szCs w:val="15"/>
          <w:highlight w:val="none"/>
        </w:rPr>
        <w:t>金额单位：人民币元</w:t>
      </w:r>
    </w:p>
    <w:tbl>
      <w:tblPr>
        <w:tblStyle w:val="7"/>
        <w:tblW w:w="502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77"/>
        <w:gridCol w:w="2164"/>
        <w:gridCol w:w="797"/>
        <w:gridCol w:w="1080"/>
        <w:gridCol w:w="1080"/>
        <w:gridCol w:w="1086"/>
        <w:gridCol w:w="10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643"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sz w:val="20"/>
                <w:szCs w:val="20"/>
                <w:highlight w:val="none"/>
              </w:rPr>
            </w:pPr>
            <w:r>
              <w:rPr>
                <w:rFonts w:hint="eastAsia" w:ascii="宋体" w:hAnsi="宋体" w:eastAsia="宋体" w:cs="宋体"/>
                <w:b/>
                <w:bCs/>
                <w:kern w:val="0"/>
                <w:sz w:val="20"/>
                <w:szCs w:val="20"/>
                <w:highlight w:val="none"/>
                <w:lang w:val="en-US" w:eastAsia="zh-CN" w:bidi="ar"/>
              </w:rPr>
              <w:t>合同</w:t>
            </w:r>
            <w:r>
              <w:rPr>
                <w:rFonts w:ascii="宋体" w:hAnsi="宋体" w:eastAsia="宋体" w:cs="宋体"/>
                <w:b/>
                <w:bCs/>
                <w:kern w:val="0"/>
                <w:sz w:val="20"/>
                <w:szCs w:val="20"/>
                <w:highlight w:val="none"/>
                <w:lang w:val="en-US" w:eastAsia="zh-CN" w:bidi="ar"/>
              </w:rPr>
              <w:t>包</w:t>
            </w:r>
          </w:p>
        </w:tc>
        <w:tc>
          <w:tcPr>
            <w:tcW w:w="129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sz w:val="20"/>
                <w:szCs w:val="20"/>
                <w:highlight w:val="none"/>
              </w:rPr>
            </w:pPr>
            <w:r>
              <w:rPr>
                <w:rFonts w:ascii="宋体" w:hAnsi="宋体" w:eastAsia="宋体" w:cs="宋体"/>
                <w:b/>
                <w:bCs/>
                <w:kern w:val="0"/>
                <w:sz w:val="20"/>
                <w:szCs w:val="20"/>
                <w:highlight w:val="none"/>
                <w:lang w:val="en-US" w:eastAsia="zh-CN" w:bidi="ar"/>
              </w:rPr>
              <w:t>采购标的</w:t>
            </w:r>
          </w:p>
        </w:tc>
        <w:tc>
          <w:tcPr>
            <w:tcW w:w="476"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highlight w:val="none"/>
                <w:lang w:val="en-US" w:eastAsia="zh-CN"/>
              </w:rPr>
            </w:pPr>
            <w:r>
              <w:rPr>
                <w:b/>
                <w:bCs/>
                <w:highlight w:val="none"/>
                <w:lang w:val="en-US" w:eastAsia="zh-CN"/>
              </w:rPr>
              <w:t>数量</w:t>
            </w:r>
          </w:p>
          <w:p>
            <w:pPr>
              <w:pStyle w:val="2"/>
              <w:jc w:val="center"/>
              <w:rPr>
                <w:b/>
                <w:bCs/>
                <w:highlight w:val="none"/>
              </w:rPr>
            </w:pPr>
            <w:r>
              <w:rPr>
                <w:rFonts w:hint="eastAsia" w:ascii="宋体" w:hAnsi="宋体" w:eastAsia="宋体" w:cs="宋体"/>
                <w:b/>
                <w:bCs/>
                <w:kern w:val="0"/>
                <w:sz w:val="20"/>
                <w:szCs w:val="20"/>
                <w:highlight w:val="none"/>
                <w:lang w:val="en-US" w:eastAsia="zh-CN" w:bidi="ar"/>
              </w:rPr>
              <w:t>（批）</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sz w:val="20"/>
                <w:szCs w:val="20"/>
                <w:highlight w:val="none"/>
              </w:rPr>
            </w:pPr>
            <w:r>
              <w:rPr>
                <w:rFonts w:hint="eastAsia" w:ascii="宋体" w:hAnsi="宋体" w:eastAsia="宋体" w:cs="宋体"/>
                <w:b/>
                <w:bCs/>
                <w:kern w:val="0"/>
                <w:sz w:val="20"/>
                <w:szCs w:val="20"/>
                <w:highlight w:val="none"/>
                <w:lang w:val="en-US" w:eastAsia="zh-CN" w:bidi="ar"/>
              </w:rPr>
              <w:t>合同</w:t>
            </w:r>
            <w:r>
              <w:rPr>
                <w:rFonts w:ascii="宋体" w:hAnsi="宋体" w:eastAsia="宋体" w:cs="宋体"/>
                <w:b/>
                <w:bCs/>
                <w:kern w:val="0"/>
                <w:sz w:val="20"/>
                <w:szCs w:val="20"/>
                <w:highlight w:val="none"/>
                <w:lang w:val="en-US" w:eastAsia="zh-CN" w:bidi="ar"/>
              </w:rPr>
              <w:t>包预算</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sz w:val="20"/>
                <w:szCs w:val="20"/>
                <w:highlight w:val="none"/>
              </w:rPr>
            </w:pPr>
            <w:r>
              <w:rPr>
                <w:rFonts w:hint="eastAsia" w:ascii="宋体" w:hAnsi="宋体" w:eastAsia="宋体" w:cs="宋体"/>
                <w:b/>
                <w:bCs/>
                <w:kern w:val="0"/>
                <w:sz w:val="20"/>
                <w:szCs w:val="20"/>
                <w:highlight w:val="none"/>
                <w:lang w:val="en-US" w:eastAsia="zh-CN" w:bidi="ar"/>
              </w:rPr>
              <w:t>合同</w:t>
            </w:r>
            <w:r>
              <w:rPr>
                <w:rFonts w:ascii="宋体" w:hAnsi="宋体" w:eastAsia="宋体" w:cs="宋体"/>
                <w:b/>
                <w:bCs/>
                <w:kern w:val="0"/>
                <w:sz w:val="20"/>
                <w:szCs w:val="20"/>
                <w:highlight w:val="none"/>
                <w:lang w:val="en-US" w:eastAsia="zh-CN" w:bidi="ar"/>
              </w:rPr>
              <w:t>包最高限价</w:t>
            </w:r>
          </w:p>
        </w:tc>
        <w:tc>
          <w:tcPr>
            <w:tcW w:w="648"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sz w:val="20"/>
                <w:szCs w:val="20"/>
                <w:highlight w:val="none"/>
              </w:rPr>
            </w:pPr>
            <w:r>
              <w:rPr>
                <w:rFonts w:ascii="宋体" w:hAnsi="宋体" w:eastAsia="宋体" w:cs="宋体"/>
                <w:b/>
                <w:bCs/>
                <w:kern w:val="0"/>
                <w:sz w:val="20"/>
                <w:szCs w:val="20"/>
                <w:highlight w:val="none"/>
                <w:lang w:val="en-US" w:eastAsia="zh-CN" w:bidi="ar"/>
              </w:rPr>
              <w:t>询价保证金</w:t>
            </w:r>
          </w:p>
        </w:tc>
        <w:tc>
          <w:tcPr>
            <w:tcW w:w="648"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b/>
                <w:bCs/>
                <w:kern w:val="0"/>
                <w:sz w:val="20"/>
                <w:szCs w:val="20"/>
                <w:highlight w:val="none"/>
                <w:lang w:val="en-US" w:eastAsia="zh-CN" w:bidi="ar"/>
              </w:rPr>
            </w:pPr>
            <w:r>
              <w:rPr>
                <w:rFonts w:hint="eastAsia" w:ascii="宋体" w:hAnsi="宋体" w:eastAsia="宋体" w:cs="宋体"/>
                <w:b/>
                <w:bCs/>
                <w:kern w:val="0"/>
                <w:sz w:val="20"/>
                <w:szCs w:val="20"/>
                <w:highlight w:val="none"/>
                <w:lang w:val="en-US" w:eastAsia="zh-CN" w:bidi="ar"/>
              </w:rPr>
              <w:t>交付时间</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8" w:hRule="atLeast"/>
          <w:tblHeader/>
        </w:trPr>
        <w:tc>
          <w:tcPr>
            <w:tcW w:w="643"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w:t>
            </w:r>
          </w:p>
        </w:tc>
        <w:tc>
          <w:tcPr>
            <w:tcW w:w="129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教学玩具</w:t>
            </w:r>
          </w:p>
        </w:tc>
        <w:tc>
          <w:tcPr>
            <w:tcW w:w="476"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480000</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480000</w:t>
            </w:r>
          </w:p>
        </w:tc>
        <w:tc>
          <w:tcPr>
            <w:tcW w:w="648"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4800</w:t>
            </w:r>
          </w:p>
        </w:tc>
        <w:tc>
          <w:tcPr>
            <w:tcW w:w="648" w:type="pct"/>
            <w:vMerge w:val="restart"/>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2022年9月25日前完成项目并交付采购人使用。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8" w:hRule="atLeast"/>
          <w:tblHeader/>
        </w:trPr>
        <w:tc>
          <w:tcPr>
            <w:tcW w:w="643"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2</w:t>
            </w:r>
          </w:p>
        </w:tc>
        <w:tc>
          <w:tcPr>
            <w:tcW w:w="129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学生课桌椅床铺及办公家具</w:t>
            </w:r>
          </w:p>
        </w:tc>
        <w:tc>
          <w:tcPr>
            <w:tcW w:w="476"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342500</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342500</w:t>
            </w:r>
          </w:p>
        </w:tc>
        <w:tc>
          <w:tcPr>
            <w:tcW w:w="648"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3425</w:t>
            </w:r>
          </w:p>
        </w:tc>
        <w:tc>
          <w:tcPr>
            <w:tcW w:w="648" w:type="pct"/>
            <w:vMerge w:val="continue"/>
            <w:tcBorders>
              <w:left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8" w:hRule="atLeast"/>
          <w:tblHeader/>
        </w:trPr>
        <w:tc>
          <w:tcPr>
            <w:tcW w:w="643"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3</w:t>
            </w:r>
          </w:p>
        </w:tc>
        <w:tc>
          <w:tcPr>
            <w:tcW w:w="129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教学仪器器材及电器</w:t>
            </w:r>
          </w:p>
        </w:tc>
        <w:tc>
          <w:tcPr>
            <w:tcW w:w="476"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default"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125000</w:t>
            </w:r>
          </w:p>
        </w:tc>
        <w:tc>
          <w:tcPr>
            <w:tcW w:w="645"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125000</w:t>
            </w:r>
          </w:p>
        </w:tc>
        <w:tc>
          <w:tcPr>
            <w:tcW w:w="648"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r>
              <w:rPr>
                <w:rFonts w:hint="eastAsia" w:ascii="宋体" w:hAnsi="宋体" w:eastAsia="宋体" w:cs="宋体"/>
                <w:kern w:val="0"/>
                <w:sz w:val="20"/>
                <w:szCs w:val="20"/>
                <w:highlight w:val="none"/>
                <w:lang w:val="en-US" w:eastAsia="zh-CN" w:bidi="ar"/>
              </w:rPr>
              <w:t>1250</w:t>
            </w:r>
          </w:p>
        </w:tc>
        <w:tc>
          <w:tcPr>
            <w:tcW w:w="648" w:type="pct"/>
            <w:vMerge w:val="continue"/>
            <w:tcBorders>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0"/>
                <w:szCs w:val="20"/>
                <w:highlight w:val="none"/>
                <w:lang w:val="en-US" w:eastAsia="zh-CN" w:bidi="ar"/>
              </w:rPr>
            </w:pPr>
          </w:p>
        </w:tc>
      </w:tr>
    </w:tbl>
    <w:p>
      <w:pPr>
        <w:pStyle w:val="6"/>
        <w:keepNext w:val="0"/>
        <w:keepLines w:val="0"/>
        <w:widowControl/>
        <w:suppressLineNumbers w:val="0"/>
        <w:rPr>
          <w:highlight w:val="none"/>
        </w:rPr>
      </w:pPr>
      <w:r>
        <w:rPr>
          <w:rFonts w:hint="eastAsia" w:ascii="宋体" w:hAnsi="宋体" w:eastAsia="宋体" w:cs="宋体"/>
          <w:sz w:val="19"/>
          <w:szCs w:val="19"/>
          <w:highlight w:val="none"/>
        </w:rPr>
        <w:t xml:space="preserve">  </w:t>
      </w:r>
      <w:r>
        <w:rPr>
          <w:rFonts w:hint="eastAsia" w:ascii="宋体" w:hAnsi="宋体" w:eastAsia="宋体" w:cs="宋体"/>
          <w:b/>
          <w:bCs/>
          <w:sz w:val="19"/>
          <w:szCs w:val="19"/>
          <w:highlight w:val="none"/>
        </w:rPr>
        <w:t>注：本项目设有合同包最高限价，超过合同包最高限价的投标报价视为无效投标且不推荐为中标候选人。</w:t>
      </w:r>
    </w:p>
    <w:p>
      <w:pPr>
        <w:pStyle w:val="6"/>
        <w:keepNext w:val="0"/>
        <w:keepLines w:val="0"/>
        <w:widowControl/>
        <w:suppressLineNumbers w:val="0"/>
        <w:spacing w:before="0" w:beforeAutospacing="1" w:after="0" w:afterAutospacing="1" w:line="384" w:lineRule="atLeast"/>
        <w:ind w:left="0" w:firstLine="0"/>
        <w:rPr>
          <w:rFonts w:hint="eastAsia" w:ascii="微软雅黑" w:hAnsi="微软雅黑" w:eastAsia="微软雅黑" w:cs="微软雅黑"/>
          <w:i w:val="0"/>
          <w:iCs w:val="0"/>
          <w:caps w:val="0"/>
          <w:color w:val="000000"/>
          <w:spacing w:val="0"/>
          <w:sz w:val="27"/>
          <w:szCs w:val="27"/>
          <w:highlight w:val="none"/>
        </w:rPr>
      </w:pPr>
    </w:p>
    <w:p>
      <w:pPr>
        <w:pStyle w:val="6"/>
        <w:keepNext w:val="0"/>
        <w:keepLines w:val="0"/>
        <w:widowControl/>
        <w:suppressLineNumbers w:val="0"/>
        <w:spacing w:before="0" w:beforeAutospacing="1" w:after="0" w:afterAutospacing="1" w:line="384" w:lineRule="atLeast"/>
        <w:ind w:left="0" w:firstLine="0"/>
        <w:rPr>
          <w:rFonts w:hint="eastAsia" w:ascii="微软雅黑" w:hAnsi="微软雅黑" w:eastAsia="微软雅黑" w:cs="微软雅黑"/>
          <w:i w:val="0"/>
          <w:iCs w:val="0"/>
          <w:caps w:val="0"/>
          <w:color w:val="000000"/>
          <w:spacing w:val="0"/>
          <w:sz w:val="27"/>
          <w:szCs w:val="27"/>
          <w:highlight w:val="none"/>
        </w:rPr>
      </w:pPr>
    </w:p>
    <w:p>
      <w:pPr>
        <w:pStyle w:val="6"/>
        <w:keepNext w:val="0"/>
        <w:keepLines w:val="0"/>
        <w:widowControl/>
        <w:suppressLineNumbers w:val="0"/>
        <w:spacing w:before="0" w:beforeAutospacing="1" w:after="0" w:afterAutospacing="1" w:line="384" w:lineRule="atLeast"/>
        <w:ind w:left="0" w:firstLine="0"/>
        <w:rPr>
          <w:rFonts w:hint="eastAsia" w:ascii="微软雅黑" w:hAnsi="微软雅黑" w:eastAsia="微软雅黑" w:cs="微软雅黑"/>
          <w:i w:val="0"/>
          <w:iCs w:val="0"/>
          <w:caps w:val="0"/>
          <w:color w:val="000000"/>
          <w:spacing w:val="0"/>
          <w:sz w:val="27"/>
          <w:szCs w:val="27"/>
          <w:highlight w:val="none"/>
        </w:rPr>
      </w:pPr>
    </w:p>
    <w:p>
      <w:pPr>
        <w:pStyle w:val="6"/>
        <w:keepNext w:val="0"/>
        <w:keepLines w:val="0"/>
        <w:widowControl/>
        <w:suppressLineNumbers w:val="0"/>
        <w:spacing w:before="0" w:beforeAutospacing="1" w:after="0" w:afterAutospacing="1"/>
        <w:ind w:left="0" w:firstLine="0"/>
        <w:jc w:val="center"/>
        <w:rPr>
          <w:highlight w:val="none"/>
        </w:rPr>
      </w:pPr>
      <w:r>
        <w:rPr>
          <w:rStyle w:val="9"/>
          <w:rFonts w:hint="eastAsia" w:ascii="宋体" w:hAnsi="宋体" w:eastAsia="宋体" w:cs="宋体"/>
          <w:i w:val="0"/>
          <w:iCs w:val="0"/>
          <w:caps w:val="0"/>
          <w:color w:val="000000"/>
          <w:spacing w:val="0"/>
          <w:sz w:val="34"/>
          <w:szCs w:val="34"/>
          <w:highlight w:val="none"/>
        </w:rPr>
        <w:t>第二章  询价须知（表1）</w:t>
      </w:r>
    </w:p>
    <w:p>
      <w:pPr>
        <w:pStyle w:val="6"/>
        <w:keepNext w:val="0"/>
        <w:keepLines w:val="0"/>
        <w:widowControl/>
        <w:suppressLineNumbers w:val="0"/>
        <w:spacing w:before="0" w:beforeAutospacing="1" w:after="0" w:afterAutospacing="1" w:line="348" w:lineRule="atLeast"/>
        <w:rPr>
          <w:highlight w:val="none"/>
        </w:rPr>
      </w:pPr>
      <w:r>
        <w:rPr>
          <w:rStyle w:val="9"/>
          <w:rFonts w:hint="eastAsia" w:ascii="宋体" w:hAnsi="宋体" w:eastAsia="宋体" w:cs="宋体"/>
          <w:sz w:val="25"/>
          <w:szCs w:val="25"/>
          <w:highlight w:val="none"/>
        </w:rPr>
        <w:t>           第1节  询价须知前附表</w:t>
      </w:r>
    </w:p>
    <w:p>
      <w:pPr>
        <w:pStyle w:val="6"/>
        <w:keepNext w:val="0"/>
        <w:keepLines w:val="0"/>
        <w:widowControl/>
        <w:suppressLineNumbers w:val="0"/>
        <w:rPr>
          <w:highlight w:val="none"/>
        </w:rPr>
      </w:pPr>
      <w:r>
        <w:rPr>
          <w:rFonts w:hint="eastAsia" w:ascii="宋体" w:hAnsi="宋体" w:eastAsia="宋体" w:cs="宋体"/>
          <w:sz w:val="19"/>
          <w:szCs w:val="19"/>
          <w:highlight w:val="none"/>
        </w:rPr>
        <w:t>表1</w:t>
      </w:r>
    </w:p>
    <w:tbl>
      <w:tblPr>
        <w:tblStyle w:val="7"/>
        <w:tblW w:w="5000"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29"/>
        <w:gridCol w:w="986"/>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4964" w:type="pct"/>
            <w:gridSpan w:val="3"/>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jc w:val="center"/>
              <w:rPr>
                <w:sz w:val="20"/>
                <w:szCs w:val="20"/>
                <w:highlight w:val="none"/>
              </w:rPr>
            </w:pPr>
            <w:r>
              <w:rPr>
                <w:rStyle w:val="9"/>
                <w:rFonts w:hint="eastAsia" w:ascii="宋体" w:hAnsi="宋体" w:eastAsia="宋体" w:cs="宋体"/>
                <w:sz w:val="20"/>
                <w:szCs w:val="20"/>
                <w:highlight w:val="none"/>
              </w:rPr>
              <w:t>特别提示：本表与询价通知书对应章节的内容若不一致，以本表为准。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序号</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条款号</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rPr>
                <w:sz w:val="20"/>
                <w:szCs w:val="20"/>
                <w:highlight w:val="none"/>
              </w:rPr>
            </w:pPr>
            <w:r>
              <w:rPr>
                <w:rFonts w:hint="eastAsia" w:ascii="宋体" w:hAnsi="宋体" w:eastAsia="宋体" w:cs="宋体"/>
                <w:sz w:val="20"/>
                <w:szCs w:val="20"/>
                <w:highlight w:val="none"/>
              </w:rPr>
              <w:t> 1</w:t>
            </w:r>
          </w:p>
        </w:tc>
        <w:tc>
          <w:tcPr>
            <w:tcW w:w="563"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rPr>
                <w:sz w:val="20"/>
                <w:szCs w:val="20"/>
                <w:highlight w:val="none"/>
              </w:rPr>
            </w:pPr>
            <w:r>
              <w:rPr>
                <w:rFonts w:hint="eastAsia" w:ascii="宋体" w:hAnsi="宋体" w:eastAsia="宋体" w:cs="宋体"/>
                <w:sz w:val="20"/>
                <w:szCs w:val="20"/>
                <w:highlight w:val="none"/>
              </w:rPr>
              <w:t>3.1（2）</w:t>
            </w:r>
          </w:p>
        </w:tc>
        <w:tc>
          <w:tcPr>
            <w:tcW w:w="4081"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before="60" w:beforeAutospacing="0" w:after="60" w:afterAutospacing="0"/>
              <w:ind w:left="0" w:right="0"/>
              <w:rPr>
                <w:sz w:val="20"/>
                <w:szCs w:val="20"/>
                <w:highlight w:val="none"/>
              </w:rPr>
            </w:pPr>
            <w:r>
              <w:rPr>
                <w:rStyle w:val="9"/>
                <w:rFonts w:hint="eastAsia" w:ascii="宋体" w:hAnsi="宋体" w:eastAsia="宋体" w:cs="宋体"/>
                <w:sz w:val="20"/>
                <w:szCs w:val="20"/>
                <w:highlight w:val="none"/>
              </w:rPr>
              <w:t>合同包1，2，3供应商的资格要求</w:t>
            </w:r>
            <w:r>
              <w:rPr>
                <w:rFonts w:hint="eastAsia" w:ascii="宋体" w:hAnsi="宋体" w:eastAsia="宋体" w:cs="宋体"/>
                <w:sz w:val="20"/>
                <w:szCs w:val="20"/>
                <w:highlight w:val="none"/>
              </w:rPr>
              <w:t>：</w:t>
            </w:r>
          </w:p>
          <w:p>
            <w:pPr>
              <w:pStyle w:val="6"/>
              <w:keepNext w:val="0"/>
              <w:keepLines w:val="0"/>
              <w:widowControl/>
              <w:suppressLineNumbers w:val="0"/>
              <w:wordWrap w:val="0"/>
              <w:spacing w:before="0" w:beforeAutospacing="1" w:after="0" w:afterAutospacing="1"/>
              <w:ind w:left="0" w:firstLine="336"/>
              <w:rPr>
                <w:sz w:val="20"/>
                <w:szCs w:val="20"/>
                <w:highlight w:val="none"/>
              </w:rPr>
            </w:pPr>
            <w:r>
              <w:rPr>
                <w:rFonts w:hint="eastAsia" w:ascii="宋体" w:hAnsi="宋体" w:eastAsia="宋体" w:cs="宋体"/>
                <w:sz w:val="20"/>
                <w:szCs w:val="20"/>
                <w:highlight w:val="none"/>
              </w:rPr>
              <w:t>（1）法定条件：符合政府采购法第二十二条第一款规定的条件。</w:t>
            </w:r>
          </w:p>
          <w:tbl>
            <w:tblPr>
              <w:tblStyle w:val="7"/>
              <w:tblW w:w="4999" w:type="pct"/>
              <w:tblCellSpacing w:w="0"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82"/>
              <w:gridCol w:w="5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blCellSpacing w:w="0" w:type="dxa"/>
              </w:trPr>
              <w:tc>
                <w:tcPr>
                  <w:tcW w:w="853" w:type="pct"/>
                  <w:shd w:val="clear" w:color="auto" w:fill="auto"/>
                  <w:vAlign w:val="center"/>
                </w:tcPr>
                <w:p>
                  <w:pPr>
                    <w:keepNext w:val="0"/>
                    <w:keepLines w:val="0"/>
                    <w:widowControl/>
                    <w:suppressLineNumbers w:val="0"/>
                    <w:jc w:val="center"/>
                    <w:rPr>
                      <w:b/>
                      <w:bCs/>
                      <w:sz w:val="20"/>
                      <w:szCs w:val="20"/>
                      <w:highlight w:val="none"/>
                    </w:rPr>
                  </w:pPr>
                  <w:r>
                    <w:rPr>
                      <w:rFonts w:ascii="宋体" w:hAnsi="宋体" w:eastAsia="宋体" w:cs="宋体"/>
                      <w:b/>
                      <w:bCs/>
                      <w:kern w:val="0"/>
                      <w:sz w:val="20"/>
                      <w:szCs w:val="20"/>
                      <w:highlight w:val="none"/>
                      <w:lang w:val="en-US" w:eastAsia="zh-CN" w:bidi="ar"/>
                    </w:rPr>
                    <w:t>明细</w:t>
                  </w:r>
                </w:p>
              </w:tc>
              <w:tc>
                <w:tcPr>
                  <w:tcW w:w="4146" w:type="pct"/>
                  <w:shd w:val="clear" w:color="auto" w:fill="auto"/>
                  <w:vAlign w:val="center"/>
                </w:tcPr>
                <w:p>
                  <w:pPr>
                    <w:keepNext w:val="0"/>
                    <w:keepLines w:val="0"/>
                    <w:widowControl/>
                    <w:suppressLineNumbers w:val="0"/>
                    <w:jc w:val="center"/>
                    <w:rPr>
                      <w:b/>
                      <w:bCs/>
                      <w:sz w:val="20"/>
                      <w:szCs w:val="20"/>
                      <w:highlight w:val="none"/>
                    </w:rPr>
                  </w:pPr>
                  <w:r>
                    <w:rPr>
                      <w:rFonts w:ascii="宋体" w:hAnsi="宋体" w:eastAsia="宋体" w:cs="宋体"/>
                      <w:b/>
                      <w:bCs/>
                      <w:kern w:val="0"/>
                      <w:sz w:val="20"/>
                      <w:szCs w:val="20"/>
                      <w:highlight w:val="none"/>
                      <w:lang w:val="en-US" w:eastAsia="zh-CN"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a1投标函</w:t>
                  </w:r>
                </w:p>
              </w:tc>
              <w:tc>
                <w:tcPr>
                  <w:tcW w:w="4146" w:type="pct"/>
                  <w:shd w:val="clear" w:color="auto" w:fill="auto"/>
                  <w:vAlign w:val="center"/>
                </w:tcPr>
                <w:p>
                  <w:pPr>
                    <w:rPr>
                      <w:rFonts w:hint="eastAsia" w:ascii="宋体"/>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a2单位负责人授权书</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供应商（自然人除外）：若供应商代表为单位负责人授权的委托代理人，应提供本授权书；若供应商代表为单位负责人，应在此项下提交其身份证正反面复印件，可不提供本授权书。4、供应商为自然人的，可不填写本授权书。5、纸质响应文件正本中的本授权书（若有）应为原件。电子响应文件中的本授权书（若有）应为原件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a3法人或者其他组织的营业执照等证明文件，自然人的身份证明</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投标人是企业或个体工商户的，则提供工商部门注册的有效的营业执照复印件；投标人是事业单位的，则提供有效的“事业单位法人证书”复印件；投标人是非企业专业服务机构的，则提供执业许可等证明材料；投标人是自然人的，则提供自然人的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a4财务状况报告</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提供会计师事务所出具的上一年度或上一季度财务审计报告，至少包括“资产负债表、利润表、现金流量表”；或者提供投标截止时间前六个月内基本开户银行出具的资信证明；或者提供财政部门认可的政府采购专业担保机构出具的投标担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a5依法缴纳税收的相关材料</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提供投标截止时间前六个月任一个月的依法缴纳税收的凭据；或者提供依法免税的相应证明文件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a6依法缴纳社会保障资金的相关材料</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提供投标截止时间前六个月任一个月的依法缴纳社会保障资金的凭据；或者提供依法不需要缴纳社会保障资金的相应证明文件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a7具备履行合同所必需的设备和专业技术能力的材料</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由招标人根据采购需求在第一章“资格要求特定条件”中详细列明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a8参加政府采购活动前3年内在经营活动中没有重大违法记录的书面声明</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1、“重大违法记录”指报价供应商因违法经营受到刑事处罚或责令停产停业、吊销许可证或执照、较大数额罚款等行政处罚。2、无法提供有效期内检察机关行贿犯罪档案查询结果告知函的，也应对近三年无行贿犯罪记录进行声明。3、纸质响应文件正本中的本声明应为原件。※报价供应商应按照询价文件第六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a10信用信息查询结果</w:t>
                  </w:r>
                </w:p>
              </w:tc>
              <w:tc>
                <w:tcPr>
                  <w:tcW w:w="4146" w:type="pct"/>
                  <w:shd w:val="clear" w:color="auto" w:fill="auto"/>
                  <w:vAlign w:val="center"/>
                </w:tcPr>
                <w:p>
                  <w:pPr>
                    <w:rPr>
                      <w:rFonts w:hint="eastAsia" w:ascii="宋体"/>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a11投标保证金</w:t>
                  </w:r>
                </w:p>
              </w:tc>
              <w:tc>
                <w:tcPr>
                  <w:tcW w:w="4146" w:type="pct"/>
                  <w:shd w:val="clear" w:color="auto" w:fill="auto"/>
                  <w:vAlign w:val="center"/>
                </w:tcPr>
                <w:p>
                  <w:pPr>
                    <w:rPr>
                      <w:rFonts w:hint="eastAsia" w:ascii="宋体"/>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853"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a9检察机关行贿犯罪档案查询结果告知函(若有)</w:t>
                  </w:r>
                </w:p>
              </w:tc>
              <w:tc>
                <w:tcPr>
                  <w:tcW w:w="414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1、未提供行贿犯罪档案查询结果或查询结果表明报价供应商有行贿犯罪记录的，响应无效。2、无法提供有效期内检察机关行贿犯罪档案查询结果告知函的，也应对近三年无行贿犯罪记录进行声明。3、告知函应在有效期内且内容完整、清晰、整洁，否则响应无效。4、有效期内的告知函复印件（含扫描件）及符合询价文件第六章规定的打印件（或截图），无论内容中是否注明“复印件无效”，均视同有效。5、无法获取有效期内检察机关行贿犯罪档案查询结果告知函的，应在a8《参加采购活动前三年内在经营活动中没有重大违法记录书面声明》中对近三年无行贿犯罪记录进行声明。※报价供应商应按照询价文件第六章规定提供。</w:t>
                  </w:r>
                </w:p>
              </w:tc>
            </w:tr>
          </w:tbl>
          <w:p>
            <w:pPr>
              <w:pStyle w:val="6"/>
              <w:keepNext w:val="0"/>
              <w:keepLines w:val="0"/>
              <w:widowControl/>
              <w:suppressLineNumbers w:val="0"/>
              <w:wordWrap w:val="0"/>
              <w:spacing w:before="0" w:beforeAutospacing="1" w:after="0" w:afterAutospacing="1"/>
              <w:ind w:left="0" w:firstLine="384"/>
              <w:rPr>
                <w:sz w:val="20"/>
                <w:szCs w:val="20"/>
                <w:highlight w:val="none"/>
              </w:rPr>
            </w:pPr>
            <w:r>
              <w:rPr>
                <w:rFonts w:hint="eastAsia" w:ascii="宋体" w:hAnsi="宋体" w:eastAsia="宋体" w:cs="宋体"/>
                <w:sz w:val="20"/>
                <w:szCs w:val="20"/>
                <w:highlight w:val="none"/>
              </w:rPr>
              <w:t>（2）特定条件：</w:t>
            </w:r>
            <w:r>
              <w:rPr>
                <w:rStyle w:val="9"/>
                <w:rFonts w:hint="eastAsia" w:ascii="宋体" w:hAnsi="宋体" w:eastAsia="宋体" w:cs="宋体"/>
                <w:sz w:val="20"/>
                <w:szCs w:val="20"/>
                <w:highlight w:val="none"/>
              </w:rPr>
              <w:t>：</w:t>
            </w:r>
            <w:r>
              <w:rPr>
                <w:rFonts w:hint="eastAsia" w:ascii="宋体" w:hAnsi="宋体" w:eastAsia="宋体" w:cs="宋体"/>
                <w:sz w:val="19"/>
                <w:szCs w:val="19"/>
                <w:highlight w:val="none"/>
              </w:rPr>
              <w:t>合同包</w:t>
            </w:r>
            <w:r>
              <w:rPr>
                <w:rFonts w:hint="eastAsia" w:ascii="宋体" w:hAnsi="宋体" w:eastAsia="宋体" w:cs="宋体"/>
                <w:sz w:val="19"/>
                <w:szCs w:val="19"/>
                <w:highlight w:val="none"/>
                <w:lang w:val="en-US" w:eastAsia="zh-CN"/>
              </w:rPr>
              <w:t>1，2，3</w:t>
            </w:r>
            <w:r>
              <w:rPr>
                <w:sz w:val="20"/>
                <w:szCs w:val="20"/>
                <w:highlight w:val="none"/>
              </w:rPr>
              <w:br w:type="textWrapping"/>
            </w:r>
            <w:r>
              <w:rPr>
                <w:rStyle w:val="9"/>
                <w:sz w:val="20"/>
                <w:szCs w:val="20"/>
                <w:highlight w:val="none"/>
              </w:rPr>
              <w:t>         无</w:t>
            </w:r>
          </w:p>
          <w:p>
            <w:pPr>
              <w:pStyle w:val="6"/>
              <w:keepNext w:val="0"/>
              <w:keepLines w:val="0"/>
              <w:widowControl/>
              <w:suppressLineNumbers w:val="0"/>
              <w:wordWrap w:val="0"/>
              <w:spacing w:before="0" w:beforeAutospacing="1" w:after="0" w:afterAutospacing="1"/>
              <w:ind w:left="0" w:firstLine="384"/>
              <w:rPr>
                <w:sz w:val="20"/>
                <w:szCs w:val="20"/>
                <w:highlight w:val="none"/>
              </w:rPr>
            </w:pPr>
            <w:r>
              <w:rPr>
                <w:rFonts w:hint="eastAsia" w:ascii="宋体" w:hAnsi="宋体" w:eastAsia="宋体" w:cs="宋体"/>
                <w:sz w:val="20"/>
                <w:szCs w:val="20"/>
                <w:highlight w:val="none"/>
              </w:rPr>
              <w:t>（3）是否接受联合体报价：</w:t>
            </w:r>
            <w:r>
              <w:rPr>
                <w:rStyle w:val="9"/>
                <w:rFonts w:hint="eastAsia" w:ascii="宋体" w:hAnsi="宋体" w:eastAsia="宋体" w:cs="宋体"/>
                <w:sz w:val="20"/>
                <w:szCs w:val="20"/>
                <w:highlight w:val="none"/>
              </w:rPr>
              <w:t>：</w:t>
            </w:r>
            <w:r>
              <w:rPr>
                <w:rFonts w:hint="eastAsia" w:ascii="宋体" w:hAnsi="宋体" w:eastAsia="宋体" w:cs="宋体"/>
                <w:sz w:val="19"/>
                <w:szCs w:val="19"/>
                <w:highlight w:val="none"/>
              </w:rPr>
              <w:t>合同包</w:t>
            </w:r>
            <w:r>
              <w:rPr>
                <w:rFonts w:hint="eastAsia" w:ascii="宋体" w:hAnsi="宋体" w:eastAsia="宋体" w:cs="宋体"/>
                <w:sz w:val="19"/>
                <w:szCs w:val="19"/>
                <w:highlight w:val="none"/>
                <w:lang w:val="en-US" w:eastAsia="zh-CN"/>
              </w:rPr>
              <w:t>1，2，3</w:t>
            </w:r>
            <w:r>
              <w:rPr>
                <w:rFonts w:hint="eastAsia" w:ascii="宋体" w:hAnsi="宋体" w:eastAsia="宋体" w:cs="宋体"/>
                <w:sz w:val="20"/>
                <w:szCs w:val="20"/>
                <w:highlight w:val="none"/>
              </w:rPr>
              <w:t>不接受</w:t>
            </w:r>
          </w:p>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※根据上述资格要求，响应文件中应提交的：“供应商的资格及资信证明文件”详见询价通知书第六章。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2</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9.4</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响应文件的份数：</w:t>
            </w:r>
            <w:r>
              <w:rPr>
                <w:rFonts w:hint="eastAsia" w:ascii="宋体" w:hAnsi="宋体" w:eastAsia="宋体" w:cs="宋体"/>
                <w:sz w:val="19"/>
                <w:szCs w:val="19"/>
                <w:highlight w:val="none"/>
              </w:rPr>
              <w:t>合同包</w:t>
            </w:r>
            <w:r>
              <w:rPr>
                <w:rFonts w:hint="eastAsia" w:ascii="宋体" w:hAnsi="宋体" w:eastAsia="宋体" w:cs="宋体"/>
                <w:sz w:val="19"/>
                <w:szCs w:val="19"/>
                <w:highlight w:val="none"/>
                <w:lang w:val="en-US" w:eastAsia="zh-CN"/>
              </w:rPr>
              <w:t>1，2，3</w:t>
            </w:r>
          </w:p>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（1）纸质响应文件：</w:t>
            </w:r>
          </w:p>
          <w:p>
            <w:pPr>
              <w:pStyle w:val="6"/>
              <w:keepNext w:val="0"/>
              <w:keepLines w:val="0"/>
              <w:widowControl/>
              <w:suppressLineNumbers w:val="0"/>
              <w:wordWrap w:val="0"/>
              <w:spacing w:before="0" w:beforeAutospacing="1" w:after="0" w:afterAutospacing="1"/>
              <w:ind w:left="0" w:firstLine="96"/>
              <w:rPr>
                <w:sz w:val="20"/>
                <w:szCs w:val="20"/>
                <w:highlight w:val="none"/>
              </w:rPr>
            </w:pPr>
            <w:r>
              <w:rPr>
                <w:rFonts w:hint="eastAsia" w:ascii="宋体" w:hAnsi="宋体" w:eastAsia="宋体" w:cs="宋体"/>
                <w:sz w:val="20"/>
                <w:szCs w:val="20"/>
                <w:highlight w:val="none"/>
              </w:rPr>
              <w:t>①正本1份、副本</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份。</w:t>
            </w:r>
          </w:p>
          <w:p>
            <w:pPr>
              <w:pStyle w:val="6"/>
              <w:keepNext w:val="0"/>
              <w:keepLines w:val="0"/>
              <w:widowControl/>
              <w:suppressLineNumbers w:val="0"/>
              <w:wordWrap w:val="0"/>
              <w:spacing w:before="0" w:beforeAutospacing="1" w:after="0" w:afterAutospacing="1"/>
              <w:ind w:left="0" w:firstLine="96"/>
              <w:rPr>
                <w:sz w:val="20"/>
                <w:szCs w:val="20"/>
                <w:highlight w:val="none"/>
              </w:rPr>
            </w:pPr>
            <w:r>
              <w:rPr>
                <w:rFonts w:hint="eastAsia" w:ascii="宋体" w:hAnsi="宋体" w:eastAsia="宋体" w:cs="宋体"/>
                <w:sz w:val="20"/>
                <w:szCs w:val="20"/>
                <w:highlight w:val="none"/>
              </w:rPr>
              <w:t>②可读介质（光盘或</w:t>
            </w:r>
            <w:r>
              <w:rPr>
                <w:rFonts w:hint="default" w:ascii="Calibri" w:hAnsi="Calibri" w:cs="Calibri"/>
                <w:sz w:val="20"/>
                <w:szCs w:val="20"/>
                <w:highlight w:val="none"/>
              </w:rPr>
              <w:t>U</w:t>
            </w:r>
            <w:r>
              <w:rPr>
                <w:rFonts w:hint="eastAsia" w:ascii="宋体" w:hAnsi="宋体" w:eastAsia="宋体" w:cs="宋体"/>
                <w:sz w:val="20"/>
                <w:szCs w:val="20"/>
                <w:highlight w:val="none"/>
              </w:rPr>
              <w:t>盘）</w:t>
            </w:r>
            <w:r>
              <w:rPr>
                <w:rFonts w:hint="default" w:ascii="Calibri" w:hAnsi="Calibri" w:cs="Calibri"/>
                <w:sz w:val="20"/>
                <w:szCs w:val="20"/>
                <w:highlight w:val="none"/>
                <w:u w:val="single"/>
              </w:rPr>
              <w:t>1</w:t>
            </w:r>
            <w:r>
              <w:rPr>
                <w:rFonts w:hint="eastAsia" w:ascii="宋体" w:hAnsi="宋体" w:eastAsia="宋体" w:cs="宋体"/>
                <w:sz w:val="20"/>
                <w:szCs w:val="20"/>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3</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9.5-（</w:t>
            </w:r>
            <w:r>
              <w:rPr>
                <w:rFonts w:hint="default" w:ascii="Calibri" w:hAnsi="Calibri" w:cs="Calibri"/>
                <w:sz w:val="20"/>
                <w:szCs w:val="20"/>
                <w:highlight w:val="none"/>
              </w:rPr>
              <w:t>2</w:t>
            </w:r>
            <w:r>
              <w:rPr>
                <w:rFonts w:hint="eastAsia" w:ascii="宋体" w:hAnsi="宋体" w:eastAsia="宋体" w:cs="宋体"/>
                <w:sz w:val="20"/>
                <w:szCs w:val="20"/>
                <w:highlight w:val="none"/>
              </w:rPr>
              <w:t>）</w:t>
            </w:r>
            <w:r>
              <w:rPr>
                <w:rFonts w:hint="default" w:ascii="Calibri" w:hAnsi="Calibri" w:cs="Calibri"/>
                <w:sz w:val="20"/>
                <w:szCs w:val="20"/>
                <w:highlight w:val="none"/>
              </w:rPr>
              <w:t>-</w:t>
            </w:r>
            <w:r>
              <w:rPr>
                <w:rFonts w:hint="eastAsia" w:ascii="宋体" w:hAnsi="宋体" w:eastAsia="宋体" w:cs="宋体"/>
                <w:sz w:val="20"/>
                <w:szCs w:val="20"/>
                <w:highlight w:val="none"/>
              </w:rPr>
              <w:t>③</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rPr>
                <w:sz w:val="20"/>
                <w:szCs w:val="20"/>
                <w:highlight w:val="none"/>
              </w:rPr>
            </w:pPr>
            <w:r>
              <w:rPr>
                <w:rStyle w:val="9"/>
                <w:rFonts w:hint="eastAsia" w:ascii="宋体" w:hAnsi="宋体" w:eastAsia="宋体" w:cs="宋体"/>
                <w:sz w:val="20"/>
                <w:szCs w:val="20"/>
                <w:highlight w:val="none"/>
              </w:rPr>
              <w:t>允许散装或活页装订的内容或材料：</w:t>
            </w:r>
            <w:r>
              <w:rPr>
                <w:rFonts w:hint="eastAsia" w:ascii="宋体" w:hAnsi="宋体" w:eastAsia="宋体" w:cs="宋体"/>
                <w:sz w:val="19"/>
                <w:szCs w:val="19"/>
                <w:highlight w:val="none"/>
              </w:rPr>
              <w:t>合同包</w:t>
            </w:r>
            <w:r>
              <w:rPr>
                <w:rFonts w:hint="eastAsia" w:ascii="宋体" w:hAnsi="宋体" w:eastAsia="宋体" w:cs="宋体"/>
                <w:sz w:val="19"/>
                <w:szCs w:val="19"/>
                <w:highlight w:val="none"/>
                <w:lang w:val="en-US" w:eastAsia="zh-CN"/>
              </w:rPr>
              <w:t>1，2，3</w:t>
            </w:r>
          </w:p>
          <w:p>
            <w:pPr>
              <w:pStyle w:val="6"/>
              <w:keepNext w:val="0"/>
              <w:keepLines w:val="0"/>
              <w:widowControl/>
              <w:suppressLineNumbers w:val="0"/>
              <w:spacing w:before="0" w:beforeAutospacing="1" w:after="0" w:afterAutospacing="1"/>
              <w:rPr>
                <w:sz w:val="20"/>
                <w:szCs w:val="20"/>
                <w:highlight w:val="none"/>
              </w:rPr>
            </w:pPr>
            <w:r>
              <w:rPr>
                <w:rFonts w:hint="eastAsia" w:ascii="宋体" w:hAnsi="宋体" w:eastAsia="宋体" w:cs="宋体"/>
                <w:sz w:val="20"/>
                <w:szCs w:val="20"/>
                <w:highlight w:val="none"/>
              </w:rPr>
              <w:t>（</w:t>
            </w:r>
            <w:r>
              <w:rPr>
                <w:rFonts w:hint="default" w:ascii="Calibri" w:hAnsi="Calibri" w:cs="Calibri"/>
                <w:sz w:val="20"/>
                <w:szCs w:val="20"/>
                <w:highlight w:val="none"/>
              </w:rPr>
              <w:t>1</w:t>
            </w:r>
            <w:r>
              <w:rPr>
                <w:rFonts w:hint="eastAsia" w:ascii="宋体" w:hAnsi="宋体" w:eastAsia="宋体" w:cs="宋体"/>
                <w:sz w:val="20"/>
                <w:szCs w:val="20"/>
                <w:highlight w:val="none"/>
              </w:rPr>
              <w:t>）响应文件的补充、修改或撤回；</w:t>
            </w:r>
          </w:p>
          <w:p>
            <w:pPr>
              <w:pStyle w:val="6"/>
              <w:keepNext w:val="0"/>
              <w:keepLines w:val="0"/>
              <w:widowControl/>
              <w:suppressLineNumbers w:val="0"/>
              <w:spacing w:before="0" w:beforeAutospacing="1" w:after="0" w:afterAutospacing="1"/>
              <w:rPr>
                <w:sz w:val="20"/>
                <w:szCs w:val="20"/>
                <w:highlight w:val="none"/>
              </w:rPr>
            </w:pPr>
            <w:r>
              <w:rPr>
                <w:rFonts w:hint="eastAsia" w:ascii="宋体" w:hAnsi="宋体" w:eastAsia="宋体" w:cs="宋体"/>
                <w:sz w:val="20"/>
                <w:szCs w:val="20"/>
                <w:highlight w:val="none"/>
              </w:rPr>
              <w:t>（</w:t>
            </w:r>
            <w:r>
              <w:rPr>
                <w:rFonts w:hint="default" w:ascii="Calibri" w:hAnsi="Calibri" w:cs="Calibri"/>
                <w:sz w:val="20"/>
                <w:szCs w:val="20"/>
                <w:highlight w:val="none"/>
              </w:rPr>
              <w:t>2</w:t>
            </w:r>
            <w:r>
              <w:rPr>
                <w:rFonts w:hint="eastAsia" w:ascii="宋体" w:hAnsi="宋体" w:eastAsia="宋体" w:cs="宋体"/>
                <w:sz w:val="20"/>
                <w:szCs w:val="20"/>
                <w:highlight w:val="none"/>
              </w:rPr>
              <w:t>）其他内容或材料：无。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4</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after="0" w:afterAutospacing="0"/>
              <w:rPr>
                <w:sz w:val="20"/>
                <w:szCs w:val="20"/>
                <w:highlight w:val="none"/>
              </w:rPr>
            </w:pPr>
            <w:r>
              <w:rPr>
                <w:rFonts w:hint="eastAsia" w:ascii="宋体" w:hAnsi="宋体" w:eastAsia="宋体" w:cs="宋体"/>
                <w:sz w:val="20"/>
                <w:szCs w:val="20"/>
                <w:highlight w:val="none"/>
              </w:rPr>
              <w:t>9.7（</w:t>
            </w:r>
            <w:r>
              <w:rPr>
                <w:rFonts w:hint="default" w:ascii="Calibri" w:hAnsi="Calibri" w:cs="Calibri"/>
                <w:sz w:val="20"/>
                <w:szCs w:val="20"/>
                <w:highlight w:val="none"/>
              </w:rPr>
              <w:t>1</w:t>
            </w:r>
            <w:r>
              <w:rPr>
                <w:rFonts w:hint="eastAsia" w:ascii="宋体" w:hAnsi="宋体" w:eastAsia="宋体" w:cs="宋体"/>
                <w:sz w:val="20"/>
                <w:szCs w:val="20"/>
                <w:highlight w:val="none"/>
              </w:rPr>
              <w:t>）</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rPr>
                <w:sz w:val="20"/>
                <w:szCs w:val="20"/>
                <w:highlight w:val="none"/>
              </w:rPr>
            </w:pPr>
            <w:r>
              <w:rPr>
                <w:rStyle w:val="9"/>
                <w:rFonts w:hint="eastAsia" w:ascii="宋体" w:hAnsi="宋体" w:eastAsia="宋体" w:cs="宋体"/>
                <w:sz w:val="20"/>
                <w:szCs w:val="20"/>
                <w:highlight w:val="none"/>
              </w:rPr>
              <w:t>响应有效期</w:t>
            </w:r>
            <w:r>
              <w:rPr>
                <w:rFonts w:hint="eastAsia" w:ascii="宋体" w:hAnsi="宋体" w:eastAsia="宋体" w:cs="宋体"/>
                <w:sz w:val="20"/>
                <w:szCs w:val="20"/>
                <w:highlight w:val="none"/>
              </w:rPr>
              <w:t>：提交响应文件截止时间起90个日历日。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5</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9.8</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after="0" w:afterAutospacing="0" w:line="348" w:lineRule="atLeast"/>
              <w:rPr>
                <w:sz w:val="20"/>
                <w:szCs w:val="20"/>
                <w:highlight w:val="none"/>
              </w:rPr>
            </w:pPr>
            <w:r>
              <w:rPr>
                <w:rStyle w:val="9"/>
                <w:rFonts w:hint="eastAsia" w:ascii="宋体" w:hAnsi="宋体" w:eastAsia="宋体" w:cs="宋体"/>
                <w:sz w:val="20"/>
                <w:szCs w:val="20"/>
                <w:highlight w:val="none"/>
              </w:rPr>
              <w:t>询价保证金：</w:t>
            </w:r>
          </w:p>
          <w:p>
            <w:pPr>
              <w:pStyle w:val="6"/>
              <w:keepNext w:val="0"/>
              <w:keepLines w:val="0"/>
              <w:widowControl/>
              <w:suppressLineNumbers w:val="0"/>
              <w:wordWrap w:val="0"/>
              <w:spacing w:after="0" w:afterAutospacing="0" w:line="348" w:lineRule="atLeast"/>
              <w:rPr>
                <w:sz w:val="20"/>
                <w:szCs w:val="20"/>
                <w:highlight w:val="none"/>
              </w:rPr>
            </w:pPr>
            <w:r>
              <w:rPr>
                <w:rFonts w:hint="eastAsia" w:ascii="宋体" w:hAnsi="宋体" w:eastAsia="宋体" w:cs="宋体"/>
                <w:sz w:val="20"/>
                <w:szCs w:val="20"/>
                <w:highlight w:val="none"/>
              </w:rPr>
              <w:t>本项目的询价保证金详见《采购标的一览表》，提交方式为</w:t>
            </w:r>
            <w:r>
              <w:rPr>
                <w:sz w:val="20"/>
                <w:szCs w:val="20"/>
                <w:highlight w:val="none"/>
              </w:rPr>
              <w:t>转账</w:t>
            </w:r>
            <w:r>
              <w:rPr>
                <w:rFonts w:hint="eastAsia" w:ascii="宋体" w:hAnsi="宋体" w:eastAsia="宋体" w:cs="宋体"/>
                <w:sz w:val="20"/>
                <w:szCs w:val="20"/>
                <w:highlight w:val="none"/>
              </w:rPr>
              <w:t>，须于提交响应文件截止时间前到达指定账户为准，是否到达以</w:t>
            </w:r>
            <w:r>
              <w:rPr>
                <w:rFonts w:hint="eastAsia" w:ascii="宋体" w:hAnsi="宋体" w:eastAsia="宋体" w:cs="宋体"/>
                <w:sz w:val="20"/>
                <w:szCs w:val="20"/>
                <w:highlight w:val="none"/>
                <w:lang w:eastAsia="zh-CN"/>
              </w:rPr>
              <w:t>福建中实建设项目管理有限公司</w:t>
            </w:r>
            <w:r>
              <w:rPr>
                <w:sz w:val="20"/>
                <w:szCs w:val="20"/>
                <w:highlight w:val="none"/>
              </w:rPr>
              <w:t>查询到账</w:t>
            </w:r>
            <w:r>
              <w:rPr>
                <w:rFonts w:hint="eastAsia" w:ascii="宋体" w:hAnsi="宋体" w:eastAsia="宋体" w:cs="宋体"/>
                <w:sz w:val="20"/>
                <w:szCs w:val="20"/>
                <w:highlight w:val="none"/>
              </w:rPr>
              <w:t>为准；</w:t>
            </w:r>
          </w:p>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其他约定：无。 </w:t>
            </w:r>
            <w:r>
              <w:rPr>
                <w:rStyle w:val="9"/>
                <w:rFonts w:hint="eastAsia" w:ascii="宋体" w:hAnsi="宋体" w:eastAsia="宋体" w:cs="宋体"/>
                <w:sz w:val="20"/>
                <w:szCs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6</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9.9（</w:t>
            </w:r>
            <w:r>
              <w:rPr>
                <w:rFonts w:hint="default" w:ascii="Calibri" w:hAnsi="Calibri" w:cs="Calibri"/>
                <w:sz w:val="20"/>
                <w:szCs w:val="20"/>
                <w:highlight w:val="none"/>
              </w:rPr>
              <w:t>2</w:t>
            </w:r>
            <w:r>
              <w:rPr>
                <w:rFonts w:hint="eastAsia" w:ascii="宋体" w:hAnsi="宋体" w:eastAsia="宋体" w:cs="宋体"/>
                <w:sz w:val="20"/>
                <w:szCs w:val="20"/>
                <w:highlight w:val="none"/>
              </w:rPr>
              <w:t>）</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密封及其标记的具体形式：</w:t>
            </w:r>
          </w:p>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w:t>
            </w:r>
            <w:r>
              <w:rPr>
                <w:rFonts w:hint="default" w:ascii="Calibri" w:hAnsi="Calibri" w:cs="Calibri"/>
                <w:sz w:val="20"/>
                <w:szCs w:val="20"/>
                <w:highlight w:val="none"/>
              </w:rPr>
              <w:t>1</w:t>
            </w:r>
            <w:r>
              <w:rPr>
                <w:rFonts w:hint="eastAsia" w:ascii="宋体" w:hAnsi="宋体" w:eastAsia="宋体" w:cs="宋体"/>
                <w:sz w:val="20"/>
                <w:szCs w:val="20"/>
                <w:highlight w:val="none"/>
              </w:rPr>
              <w:t>）全部响应文件包括正本、副本、电子文本均应密封。</w:t>
            </w:r>
            <w:r>
              <w:rPr>
                <w:rStyle w:val="9"/>
                <w:rFonts w:hint="eastAsia" w:ascii="宋体" w:hAnsi="宋体" w:eastAsia="宋体" w:cs="宋体"/>
                <w:sz w:val="20"/>
                <w:szCs w:val="20"/>
                <w:highlight w:val="none"/>
              </w:rPr>
              <w:t>未密封将导致响应文件被拒收。</w:t>
            </w:r>
          </w:p>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w:t>
            </w:r>
            <w:r>
              <w:rPr>
                <w:rFonts w:hint="default" w:ascii="Calibri" w:hAnsi="Calibri" w:cs="Calibri"/>
                <w:sz w:val="20"/>
                <w:szCs w:val="20"/>
                <w:highlight w:val="none"/>
              </w:rPr>
              <w:t>2</w:t>
            </w:r>
            <w:r>
              <w:rPr>
                <w:rFonts w:hint="eastAsia" w:ascii="宋体" w:hAnsi="宋体" w:eastAsia="宋体" w:cs="宋体"/>
                <w:sz w:val="20"/>
                <w:szCs w:val="20"/>
                <w:highlight w:val="none"/>
              </w:rPr>
              <w:t>）密封的外包装应至少标记“项目名称、项目编号、所报合同包、供应商全称”等内容，否则造成响应文件误投、遗漏或者提前拆封的，采购代理机构不承担责任。</w:t>
            </w:r>
          </w:p>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w:t>
            </w:r>
            <w:r>
              <w:rPr>
                <w:rFonts w:hint="default" w:ascii="Calibri" w:hAnsi="Calibri" w:cs="Calibri"/>
                <w:sz w:val="20"/>
                <w:szCs w:val="20"/>
                <w:highlight w:val="none"/>
              </w:rPr>
              <w:t>3</w:t>
            </w:r>
            <w:r>
              <w:rPr>
                <w:rFonts w:hint="eastAsia" w:ascii="宋体" w:hAnsi="宋体" w:eastAsia="宋体" w:cs="宋体"/>
                <w:sz w:val="20"/>
                <w:szCs w:val="20"/>
                <w:highlight w:val="none"/>
              </w:rPr>
              <w:t>）其他：无。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jc w:val="center"/>
              <w:rPr>
                <w:sz w:val="20"/>
                <w:szCs w:val="20"/>
                <w:highlight w:val="none"/>
              </w:rPr>
            </w:pPr>
            <w:r>
              <w:rPr>
                <w:rFonts w:hint="eastAsia" w:ascii="宋体" w:hAnsi="宋体" w:eastAsia="宋体" w:cs="宋体"/>
                <w:sz w:val="20"/>
                <w:szCs w:val="20"/>
                <w:highlight w:val="none"/>
              </w:rPr>
              <w:t>7</w:t>
            </w:r>
          </w:p>
        </w:tc>
        <w:tc>
          <w:tcPr>
            <w:tcW w:w="563" w:type="pct"/>
            <w:shd w:val="clear" w:color="auto" w:fill="auto"/>
            <w:tcMar>
              <w:top w:w="12" w:type="dxa"/>
              <w:left w:w="12" w:type="dxa"/>
              <w:bottom w:w="12" w:type="dxa"/>
              <w:right w:w="12" w:type="dxa"/>
            </w:tcMar>
            <w:vAlign w:val="center"/>
          </w:tcPr>
          <w:p>
            <w:pPr>
              <w:pStyle w:val="6"/>
              <w:keepNext w:val="0"/>
              <w:keepLines w:val="0"/>
              <w:widowControl/>
              <w:suppressLineNumbers w:val="0"/>
              <w:spacing w:before="0" w:beforeAutospacing="1" w:after="0" w:afterAutospacing="1"/>
              <w:rPr>
                <w:sz w:val="20"/>
                <w:szCs w:val="20"/>
                <w:highlight w:val="none"/>
              </w:rPr>
            </w:pPr>
            <w:r>
              <w:rPr>
                <w:rFonts w:hint="eastAsia" w:ascii="宋体" w:hAnsi="宋体" w:eastAsia="宋体" w:cs="宋体"/>
                <w:sz w:val="20"/>
                <w:szCs w:val="20"/>
                <w:highlight w:val="none"/>
              </w:rPr>
              <w:t>9.6（1）</w:t>
            </w:r>
          </w:p>
        </w:tc>
        <w:tc>
          <w:tcPr>
            <w:tcW w:w="4081"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是否允许成交人进行分包：</w:t>
            </w:r>
            <w:r>
              <w:rPr>
                <w:rFonts w:hint="eastAsia" w:ascii="宋体" w:hAnsi="宋体" w:eastAsia="宋体" w:cs="宋体"/>
                <w:sz w:val="20"/>
                <w:szCs w:val="20"/>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after="0" w:afterAutospacing="0"/>
              <w:jc w:val="center"/>
              <w:rPr>
                <w:sz w:val="20"/>
                <w:szCs w:val="20"/>
                <w:highlight w:val="none"/>
              </w:rPr>
            </w:pPr>
            <w:r>
              <w:rPr>
                <w:rFonts w:hint="eastAsia" w:ascii="宋体" w:hAnsi="宋体" w:eastAsia="宋体" w:cs="宋体"/>
                <w:sz w:val="20"/>
                <w:szCs w:val="20"/>
                <w:highlight w:val="none"/>
              </w:rPr>
              <w:t>8</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11.1</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本项目确定项目合同包1，2，3成交人数为1家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vAlign w:val="center"/>
          </w:tcPr>
          <w:p>
            <w:pPr>
              <w:keepNext w:val="0"/>
              <w:keepLines w:val="0"/>
              <w:widowControl/>
              <w:suppressLineNumbers w:val="0"/>
              <w:wordWrap w:val="0"/>
              <w:jc w:val="center"/>
              <w:rPr>
                <w:sz w:val="20"/>
                <w:szCs w:val="20"/>
                <w:highlight w:val="none"/>
              </w:rPr>
            </w:pPr>
            <w:r>
              <w:rPr>
                <w:rFonts w:hint="eastAsia" w:ascii="宋体" w:hAnsi="宋体" w:eastAsia="宋体" w:cs="宋体"/>
                <w:kern w:val="0"/>
                <w:sz w:val="20"/>
                <w:szCs w:val="20"/>
                <w:highlight w:val="none"/>
                <w:lang w:val="en-US" w:eastAsia="zh-CN" w:bidi="ar"/>
              </w:rPr>
              <w:t>9</w:t>
            </w:r>
          </w:p>
        </w:tc>
        <w:tc>
          <w:tcPr>
            <w:tcW w:w="563" w:type="pct"/>
            <w:shd w:val="clear" w:color="auto" w:fill="auto"/>
            <w:vAlign w:val="center"/>
          </w:tcPr>
          <w:p>
            <w:pPr>
              <w:keepNext w:val="0"/>
              <w:keepLines w:val="0"/>
              <w:widowControl/>
              <w:suppressLineNumbers w:val="0"/>
              <w:wordWrap w:val="0"/>
              <w:jc w:val="center"/>
              <w:rPr>
                <w:sz w:val="20"/>
                <w:szCs w:val="20"/>
                <w:highlight w:val="none"/>
              </w:rPr>
            </w:pPr>
            <w:r>
              <w:rPr>
                <w:rFonts w:hint="eastAsia" w:ascii="宋体" w:hAnsi="宋体" w:eastAsia="宋体" w:cs="宋体"/>
                <w:kern w:val="0"/>
                <w:sz w:val="20"/>
                <w:szCs w:val="20"/>
                <w:highlight w:val="none"/>
                <w:lang w:val="en-US" w:eastAsia="zh-CN" w:bidi="ar"/>
              </w:rPr>
              <w:t>12.2</w:t>
            </w:r>
          </w:p>
        </w:tc>
        <w:tc>
          <w:tcPr>
            <w:tcW w:w="4081" w:type="pct"/>
            <w:shd w:val="clear" w:color="auto" w:fill="auto"/>
            <w:vAlign w:val="center"/>
          </w:tcPr>
          <w:p>
            <w:pPr>
              <w:pStyle w:val="6"/>
              <w:keepNext w:val="0"/>
              <w:keepLines w:val="0"/>
              <w:widowControl/>
              <w:suppressLineNumbers w:val="0"/>
              <w:wordWrap w:val="0"/>
              <w:rPr>
                <w:sz w:val="20"/>
                <w:szCs w:val="20"/>
                <w:highlight w:val="none"/>
              </w:rPr>
            </w:pPr>
            <w:r>
              <w:rPr>
                <w:rStyle w:val="9"/>
                <w:rFonts w:hint="eastAsia" w:ascii="宋体" w:hAnsi="宋体" w:eastAsia="宋体" w:cs="宋体"/>
                <w:sz w:val="20"/>
                <w:szCs w:val="20"/>
                <w:highlight w:val="none"/>
              </w:rPr>
              <w:t>合同签订时限：</w:t>
            </w:r>
            <w:r>
              <w:rPr>
                <w:sz w:val="20"/>
                <w:szCs w:val="20"/>
                <w:highlight w:val="none"/>
              </w:rPr>
              <w:t>自中标通知书发出之日起30个日历日内。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jc w:val="center"/>
              <w:rPr>
                <w:sz w:val="20"/>
                <w:szCs w:val="20"/>
                <w:highlight w:val="none"/>
              </w:rPr>
            </w:pPr>
            <w:r>
              <w:rPr>
                <w:rFonts w:hint="eastAsia" w:ascii="宋体" w:hAnsi="宋体" w:eastAsia="宋体" w:cs="宋体"/>
                <w:sz w:val="20"/>
                <w:szCs w:val="20"/>
                <w:highlight w:val="none"/>
              </w:rPr>
              <w:t>10</w:t>
            </w:r>
          </w:p>
        </w:tc>
        <w:tc>
          <w:tcPr>
            <w:tcW w:w="563" w:type="pct"/>
            <w:shd w:val="clear" w:color="auto" w:fill="auto"/>
            <w:tcMar>
              <w:top w:w="12" w:type="dxa"/>
              <w:left w:w="12" w:type="dxa"/>
              <w:bottom w:w="12" w:type="dxa"/>
              <w:right w:w="12" w:type="dxa"/>
            </w:tcMar>
            <w:vAlign w:val="center"/>
          </w:tcPr>
          <w:p>
            <w:pPr>
              <w:pStyle w:val="6"/>
              <w:keepNext w:val="0"/>
              <w:keepLines w:val="0"/>
              <w:widowControl/>
              <w:suppressLineNumbers w:val="0"/>
              <w:spacing w:after="0" w:afterAutospacing="0"/>
              <w:jc w:val="center"/>
              <w:rPr>
                <w:sz w:val="20"/>
                <w:szCs w:val="20"/>
                <w:highlight w:val="none"/>
              </w:rPr>
            </w:pPr>
            <w:r>
              <w:rPr>
                <w:rFonts w:hint="eastAsia" w:ascii="宋体" w:hAnsi="宋体" w:eastAsia="宋体" w:cs="宋体"/>
                <w:sz w:val="20"/>
                <w:szCs w:val="20"/>
                <w:highlight w:val="none"/>
              </w:rPr>
              <w:t>17.1</w:t>
            </w:r>
          </w:p>
        </w:tc>
        <w:tc>
          <w:tcPr>
            <w:tcW w:w="4081"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rPr>
                <w:sz w:val="20"/>
                <w:szCs w:val="20"/>
                <w:highlight w:val="none"/>
              </w:rPr>
            </w:pPr>
            <w:r>
              <w:rPr>
                <w:rStyle w:val="9"/>
                <w:rFonts w:hint="eastAsia" w:ascii="宋体" w:hAnsi="宋体" w:eastAsia="宋体" w:cs="宋体"/>
                <w:sz w:val="20"/>
                <w:szCs w:val="20"/>
                <w:highlight w:val="none"/>
              </w:rPr>
              <w:t>信息发布媒体（以下简称：“指定媒体”）：</w:t>
            </w:r>
          </w:p>
          <w:p>
            <w:pPr>
              <w:pStyle w:val="6"/>
              <w:keepNext w:val="0"/>
              <w:keepLines w:val="0"/>
              <w:widowControl/>
              <w:suppressLineNumbers w:val="0"/>
              <w:wordWrap w:val="0"/>
              <w:spacing w:after="0" w:afterAutospacing="0"/>
              <w:rPr>
                <w:sz w:val="20"/>
                <w:szCs w:val="20"/>
                <w:highlight w:val="none"/>
              </w:rPr>
            </w:pPr>
            <w:r>
              <w:rPr>
                <w:rFonts w:hint="eastAsia" w:ascii="宋体" w:hAnsi="宋体" w:eastAsia="宋体" w:cs="宋体"/>
                <w:sz w:val="20"/>
                <w:szCs w:val="20"/>
                <w:highlight w:val="none"/>
              </w:rPr>
              <w:t>（1）中国政府采购网，网址www.ccgp.gov.cn。</w:t>
            </w:r>
          </w:p>
          <w:p>
            <w:pPr>
              <w:pStyle w:val="6"/>
              <w:keepNext w:val="0"/>
              <w:keepLines w:val="0"/>
              <w:widowControl/>
              <w:suppressLineNumbers w:val="0"/>
              <w:wordWrap w:val="0"/>
              <w:spacing w:after="0" w:afterAutospacing="0"/>
              <w:rPr>
                <w:rFonts w:hint="eastAsia" w:eastAsia="宋体"/>
                <w:sz w:val="20"/>
                <w:szCs w:val="20"/>
                <w:highlight w:val="none"/>
                <w:lang w:eastAsia="zh-CN"/>
              </w:rPr>
            </w:pPr>
            <w:r>
              <w:rPr>
                <w:rFonts w:hint="eastAsia" w:ascii="宋体" w:hAnsi="宋体" w:eastAsia="宋体" w:cs="宋体"/>
                <w:sz w:val="20"/>
                <w:szCs w:val="20"/>
                <w:highlight w:val="none"/>
              </w:rPr>
              <w:t>（2）</w:t>
            </w:r>
            <w:r>
              <w:rPr>
                <w:rFonts w:hint="eastAsia" w:ascii="宋体" w:hAnsi="宋体" w:eastAsia="宋体" w:cs="宋体"/>
                <w:sz w:val="20"/>
                <w:szCs w:val="20"/>
                <w:highlight w:val="none"/>
                <w:lang w:eastAsia="zh-CN"/>
              </w:rPr>
              <w:t>中国采购与招标网，</w:t>
            </w:r>
            <w:r>
              <w:rPr>
                <w:rFonts w:hint="eastAsia" w:ascii="宋体" w:hAnsi="宋体" w:eastAsia="宋体" w:cs="宋体"/>
                <w:sz w:val="20"/>
                <w:szCs w:val="20"/>
                <w:highlight w:val="none"/>
              </w:rPr>
              <w:t>网址</w:t>
            </w:r>
            <w:r>
              <w:rPr>
                <w:rFonts w:hint="eastAsia" w:ascii="宋体" w:hAnsi="宋体" w:eastAsia="宋体" w:cs="宋体"/>
                <w:sz w:val="20"/>
                <w:szCs w:val="20"/>
                <w:highlight w:val="none"/>
                <w:lang w:eastAsia="zh-CN"/>
              </w:rPr>
              <w:t>www.chinabidding.cn。</w:t>
            </w:r>
          </w:p>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※上述指定媒体的有关信息若不一致，应以中国政府采购网发布的为准。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jc w:val="center"/>
              <w:rPr>
                <w:sz w:val="20"/>
                <w:szCs w:val="20"/>
                <w:highlight w:val="none"/>
              </w:rPr>
            </w:pPr>
            <w:r>
              <w:rPr>
                <w:rFonts w:hint="eastAsia" w:ascii="宋体" w:hAnsi="宋体" w:eastAsia="宋体" w:cs="宋体"/>
                <w:sz w:val="20"/>
                <w:szCs w:val="20"/>
                <w:highlight w:val="none"/>
              </w:rPr>
              <w:t>11</w:t>
            </w:r>
          </w:p>
        </w:tc>
        <w:tc>
          <w:tcPr>
            <w:tcW w:w="563" w:type="pct"/>
            <w:shd w:val="clear" w:color="auto" w:fill="auto"/>
            <w:tcMar>
              <w:top w:w="12" w:type="dxa"/>
              <w:left w:w="12" w:type="dxa"/>
              <w:bottom w:w="12" w:type="dxa"/>
              <w:right w:w="12" w:type="dxa"/>
            </w:tcMar>
            <w:vAlign w:val="center"/>
          </w:tcPr>
          <w:p>
            <w:pPr>
              <w:keepNext w:val="0"/>
              <w:keepLines w:val="0"/>
              <w:widowControl/>
              <w:suppressLineNumbers w:val="0"/>
              <w:wordWrap w:val="0"/>
              <w:jc w:val="left"/>
              <w:rPr>
                <w:sz w:val="20"/>
                <w:szCs w:val="20"/>
                <w:highlight w:val="none"/>
              </w:rPr>
            </w:pPr>
          </w:p>
        </w:tc>
        <w:tc>
          <w:tcPr>
            <w:tcW w:w="4081"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rPr>
                <w:sz w:val="20"/>
                <w:szCs w:val="20"/>
                <w:highlight w:val="none"/>
              </w:rPr>
            </w:pPr>
            <w:r>
              <w:rPr>
                <w:rStyle w:val="9"/>
                <w:rFonts w:hint="eastAsia" w:ascii="宋体" w:hAnsi="宋体" w:eastAsia="宋体" w:cs="宋体"/>
                <w:sz w:val="20"/>
                <w:szCs w:val="20"/>
                <w:highlight w:val="none"/>
              </w:rPr>
              <w:t>履约保证金</w:t>
            </w:r>
            <w:r>
              <w:rPr>
                <w:rStyle w:val="9"/>
                <w:rFonts w:hint="eastAsia" w:ascii="宋体" w:hAnsi="宋体" w:eastAsia="宋体" w:cs="宋体"/>
                <w:sz w:val="20"/>
                <w:szCs w:val="20"/>
                <w:highlight w:val="none"/>
              </w:rPr>
              <w:br w:type="textWrapping"/>
            </w:r>
            <w:r>
              <w:rPr>
                <w:rStyle w:val="9"/>
                <w:rFonts w:hint="eastAsia" w:ascii="宋体" w:hAnsi="宋体" w:eastAsia="宋体" w:cs="宋体"/>
                <w:sz w:val="20"/>
                <w:szCs w:val="20"/>
                <w:highlight w:val="none"/>
              </w:rPr>
              <w:t> </w:t>
            </w:r>
          </w:p>
          <w:p>
            <w:pPr>
              <w:pStyle w:val="6"/>
              <w:keepNext w:val="0"/>
              <w:keepLines w:val="0"/>
              <w:widowControl/>
              <w:suppressLineNumbers w:val="0"/>
              <w:wordWrap w:val="0"/>
              <w:spacing w:before="0" w:beforeAutospacing="1" w:after="0" w:afterAutospacing="1"/>
              <w:rPr>
                <w:sz w:val="20"/>
                <w:szCs w:val="20"/>
                <w:highlight w:val="none"/>
              </w:rPr>
            </w:pPr>
            <w:r>
              <w:rPr>
                <w:rFonts w:hint="eastAsia" w:ascii="宋体" w:hAnsi="宋体" w:eastAsia="宋体" w:cs="宋体"/>
                <w:sz w:val="20"/>
                <w:szCs w:val="20"/>
                <w:highlight w:val="none"/>
              </w:rPr>
              <w:t>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jc w:val="center"/>
              <w:rPr>
                <w:sz w:val="20"/>
                <w:szCs w:val="20"/>
                <w:highlight w:val="none"/>
              </w:rPr>
            </w:pPr>
            <w:r>
              <w:rPr>
                <w:rFonts w:hint="eastAsia" w:ascii="宋体" w:hAnsi="宋体" w:eastAsia="宋体" w:cs="宋体"/>
                <w:sz w:val="20"/>
                <w:szCs w:val="20"/>
                <w:highlight w:val="none"/>
              </w:rPr>
              <w:t>12</w:t>
            </w:r>
          </w:p>
        </w:tc>
        <w:tc>
          <w:tcPr>
            <w:tcW w:w="563" w:type="pct"/>
            <w:shd w:val="clear" w:color="auto" w:fill="auto"/>
            <w:tcMar>
              <w:top w:w="12" w:type="dxa"/>
              <w:left w:w="12" w:type="dxa"/>
              <w:bottom w:w="12" w:type="dxa"/>
              <w:right w:w="12" w:type="dxa"/>
            </w:tcMar>
            <w:vAlign w:val="center"/>
          </w:tcPr>
          <w:p>
            <w:pPr>
              <w:keepNext w:val="0"/>
              <w:keepLines w:val="0"/>
              <w:widowControl/>
              <w:suppressLineNumbers w:val="0"/>
              <w:jc w:val="left"/>
              <w:rPr>
                <w:sz w:val="20"/>
                <w:szCs w:val="20"/>
                <w:highlight w:val="none"/>
              </w:rPr>
            </w:pPr>
          </w:p>
        </w:tc>
        <w:tc>
          <w:tcPr>
            <w:tcW w:w="4081" w:type="pct"/>
            <w:shd w:val="clear" w:color="auto" w:fill="auto"/>
            <w:tcMar>
              <w:top w:w="12" w:type="dxa"/>
              <w:left w:w="12" w:type="dxa"/>
              <w:bottom w:w="12" w:type="dxa"/>
              <w:right w:w="12" w:type="dxa"/>
            </w:tcMar>
            <w:vAlign w:val="center"/>
          </w:tcPr>
          <w:p>
            <w:pPr>
              <w:pStyle w:val="6"/>
              <w:keepNext w:val="0"/>
              <w:keepLines w:val="0"/>
              <w:widowControl/>
              <w:suppressLineNumbers w:val="0"/>
              <w:spacing w:before="0" w:beforeAutospacing="1" w:after="0" w:afterAutospacing="1"/>
              <w:rPr>
                <w:sz w:val="20"/>
                <w:szCs w:val="20"/>
                <w:highlight w:val="none"/>
              </w:rPr>
            </w:pPr>
            <w:r>
              <w:rPr>
                <w:rStyle w:val="9"/>
                <w:rFonts w:hint="eastAsia" w:ascii="宋体" w:hAnsi="宋体" w:eastAsia="宋体" w:cs="宋体"/>
                <w:sz w:val="20"/>
                <w:szCs w:val="20"/>
                <w:highlight w:val="none"/>
              </w:rPr>
              <w:t>合同付款方式 见第四章三、商务条件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jc w:val="center"/>
              <w:rPr>
                <w:sz w:val="20"/>
                <w:szCs w:val="20"/>
                <w:highlight w:val="none"/>
              </w:rPr>
            </w:pPr>
            <w:r>
              <w:rPr>
                <w:rFonts w:hint="eastAsia" w:ascii="宋体" w:hAnsi="宋体" w:eastAsia="宋体" w:cs="宋体"/>
                <w:sz w:val="20"/>
                <w:szCs w:val="20"/>
                <w:highlight w:val="none"/>
              </w:rPr>
              <w:t>13</w:t>
            </w:r>
          </w:p>
        </w:tc>
        <w:tc>
          <w:tcPr>
            <w:tcW w:w="563" w:type="pct"/>
            <w:shd w:val="clear" w:color="auto" w:fill="auto"/>
            <w:tcMar>
              <w:top w:w="12" w:type="dxa"/>
              <w:left w:w="12" w:type="dxa"/>
              <w:bottom w:w="12" w:type="dxa"/>
              <w:right w:w="12" w:type="dxa"/>
            </w:tcMar>
            <w:vAlign w:val="center"/>
          </w:tcPr>
          <w:p>
            <w:pPr>
              <w:keepNext w:val="0"/>
              <w:keepLines w:val="0"/>
              <w:widowControl/>
              <w:suppressLineNumbers w:val="0"/>
              <w:jc w:val="left"/>
              <w:rPr>
                <w:sz w:val="20"/>
                <w:szCs w:val="20"/>
                <w:highlight w:val="none"/>
              </w:rPr>
            </w:pPr>
          </w:p>
        </w:tc>
        <w:tc>
          <w:tcPr>
            <w:tcW w:w="4081" w:type="pct"/>
            <w:shd w:val="clear" w:color="auto" w:fill="auto"/>
            <w:tcMar>
              <w:top w:w="12" w:type="dxa"/>
              <w:left w:w="12" w:type="dxa"/>
              <w:bottom w:w="12" w:type="dxa"/>
              <w:right w:w="12" w:type="dxa"/>
            </w:tcMar>
            <w:vAlign w:val="center"/>
          </w:tcPr>
          <w:p>
            <w:pPr>
              <w:pStyle w:val="6"/>
              <w:keepNext w:val="0"/>
              <w:keepLines w:val="0"/>
              <w:widowControl/>
              <w:suppressLineNumbers w:val="0"/>
              <w:wordWrap w:val="0"/>
              <w:spacing w:after="0" w:afterAutospacing="0"/>
              <w:rPr>
                <w:sz w:val="20"/>
                <w:szCs w:val="20"/>
                <w:highlight w:val="none"/>
              </w:rPr>
            </w:pPr>
            <w:r>
              <w:rPr>
                <w:rStyle w:val="9"/>
                <w:rFonts w:hint="eastAsia" w:ascii="宋体" w:hAnsi="宋体" w:eastAsia="宋体" w:cs="宋体"/>
                <w:sz w:val="20"/>
                <w:szCs w:val="20"/>
                <w:highlight w:val="none"/>
              </w:rPr>
              <w:t>合同包1，2，3采购代理服务费：</w:t>
            </w:r>
            <w:r>
              <w:rPr>
                <w:rFonts w:hint="eastAsia" w:ascii="宋体" w:hAnsi="宋体" w:eastAsia="宋体" w:cs="宋体"/>
                <w:sz w:val="20"/>
                <w:szCs w:val="20"/>
                <w:highlight w:val="none"/>
              </w:rPr>
              <w:t>（1）</w:t>
            </w:r>
            <w:r>
              <w:rPr>
                <w:rFonts w:hint="eastAsia" w:ascii="宋体" w:hAnsi="宋体" w:eastAsia="宋体" w:cs="宋体"/>
                <w:sz w:val="20"/>
                <w:szCs w:val="20"/>
                <w:highlight w:val="none"/>
                <w:u w:val="single"/>
              </w:rPr>
              <w:t>代理费服务费由</w:t>
            </w:r>
            <w:r>
              <w:rPr>
                <w:rFonts w:hint="eastAsia" w:ascii="宋体" w:hAnsi="宋体" w:eastAsia="宋体" w:cs="宋体"/>
                <w:sz w:val="20"/>
                <w:szCs w:val="20"/>
                <w:highlight w:val="none"/>
                <w:u w:val="single"/>
                <w:lang w:eastAsia="zh-CN"/>
              </w:rPr>
              <w:t>合同包</w:t>
            </w:r>
            <w:r>
              <w:rPr>
                <w:rFonts w:hint="eastAsia" w:ascii="宋体" w:hAnsi="宋体" w:eastAsia="宋体" w:cs="宋体"/>
                <w:b/>
                <w:bCs/>
                <w:sz w:val="20"/>
                <w:szCs w:val="20"/>
                <w:highlight w:val="none"/>
                <w:u w:val="single"/>
              </w:rPr>
              <w:t>中标人</w:t>
            </w:r>
            <w:r>
              <w:rPr>
                <w:rFonts w:hint="eastAsia" w:ascii="宋体" w:hAnsi="宋体" w:eastAsia="宋体" w:cs="宋体"/>
                <w:sz w:val="20"/>
                <w:szCs w:val="20"/>
                <w:highlight w:val="none"/>
                <w:u w:val="single"/>
              </w:rPr>
              <w:t>支付。</w:t>
            </w:r>
            <w:r>
              <w:rPr>
                <w:rFonts w:hint="eastAsia" w:ascii="宋体" w:hAnsi="宋体" w:eastAsia="宋体" w:cs="宋体"/>
                <w:sz w:val="20"/>
                <w:szCs w:val="20"/>
                <w:highlight w:val="none"/>
              </w:rPr>
              <w:t>代理服务费收费标准按</w:t>
            </w:r>
            <w:r>
              <w:rPr>
                <w:rFonts w:hint="eastAsia" w:ascii="宋体" w:hAnsi="宋体" w:eastAsia="宋体" w:cs="宋体"/>
                <w:sz w:val="20"/>
                <w:szCs w:val="20"/>
                <w:highlight w:val="none"/>
                <w:lang w:eastAsia="zh-CN"/>
              </w:rPr>
              <w:t>合同包中标价的</w:t>
            </w:r>
            <w:r>
              <w:rPr>
                <w:rFonts w:hint="eastAsia" w:ascii="宋体" w:hAnsi="宋体" w:eastAsia="宋体" w:cs="宋体"/>
                <w:sz w:val="20"/>
                <w:szCs w:val="20"/>
                <w:highlight w:val="none"/>
              </w:rPr>
              <w:t>1.5%收取。 (2)本项目评审专家费由采购人支付。 服务费缴纳帐户：开户名—</w:t>
            </w:r>
            <w:r>
              <w:rPr>
                <w:rFonts w:hint="eastAsia" w:ascii="宋体" w:hAnsi="宋体" w:eastAsia="宋体" w:cs="宋体"/>
                <w:sz w:val="20"/>
                <w:szCs w:val="20"/>
                <w:highlight w:val="none"/>
                <w:lang w:eastAsia="zh-CN"/>
              </w:rPr>
              <w:t>福建中实建设项目管理有限公司</w:t>
            </w:r>
            <w:r>
              <w:rPr>
                <w:rFonts w:hint="eastAsia" w:ascii="宋体" w:hAnsi="宋体" w:eastAsia="宋体" w:cs="宋体"/>
                <w:sz w:val="20"/>
                <w:szCs w:val="20"/>
                <w:highlight w:val="none"/>
              </w:rPr>
              <w:t>，开户行—福建仙游瑞狮村镇银行股份有限公司，帐号—9040710010010000027558。（3）质疑人递交质疑函时除了按招标文件第三章第15.1条的规定来执行，否则其质疑将不予受理。（4）所投产品中如有涉及强制3C认证的，应提供3C认证证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jc w:val="center"/>
              <w:rPr>
                <w:sz w:val="20"/>
                <w:szCs w:val="20"/>
                <w:highlight w:val="none"/>
              </w:rPr>
            </w:pPr>
            <w:r>
              <w:rPr>
                <w:rFonts w:hint="eastAsia" w:ascii="宋体" w:hAnsi="宋体" w:eastAsia="宋体" w:cs="宋体"/>
                <w:sz w:val="20"/>
                <w:szCs w:val="20"/>
                <w:highlight w:val="none"/>
              </w:rPr>
              <w:t>14</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15.1</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监督管理部门</w:t>
            </w:r>
            <w:r>
              <w:rPr>
                <w:rFonts w:hint="eastAsia" w:ascii="宋体" w:hAnsi="宋体" w:eastAsia="宋体" w:cs="宋体"/>
                <w:sz w:val="20"/>
                <w:szCs w:val="20"/>
                <w:highlight w:val="none"/>
              </w:rPr>
              <w:t>：福建省仙游县</w:t>
            </w:r>
            <w:r>
              <w:rPr>
                <w:rFonts w:hint="eastAsia" w:ascii="宋体" w:hAnsi="宋体" w:eastAsia="宋体" w:cs="宋体"/>
                <w:sz w:val="20"/>
                <w:szCs w:val="20"/>
                <w:highlight w:val="none"/>
                <w:lang w:eastAsia="zh-CN"/>
              </w:rPr>
              <w:t>教育</w:t>
            </w:r>
            <w:r>
              <w:rPr>
                <w:rFonts w:hint="eastAsia" w:ascii="宋体" w:hAnsi="宋体" w:eastAsia="宋体" w:cs="宋体"/>
                <w:sz w:val="20"/>
                <w:szCs w:val="20"/>
                <w:highlight w:val="none"/>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jc w:val="center"/>
              <w:rPr>
                <w:sz w:val="20"/>
                <w:szCs w:val="20"/>
                <w:highlight w:val="none"/>
              </w:rPr>
            </w:pPr>
            <w:r>
              <w:rPr>
                <w:rFonts w:hint="eastAsia" w:ascii="宋体" w:hAnsi="宋体" w:eastAsia="宋体" w:cs="宋体"/>
                <w:sz w:val="20"/>
                <w:szCs w:val="20"/>
                <w:highlight w:val="none"/>
              </w:rPr>
              <w:t>15</w:t>
            </w:r>
          </w:p>
        </w:tc>
        <w:tc>
          <w:tcPr>
            <w:tcW w:w="563" w:type="pct"/>
            <w:shd w:val="clear" w:color="auto" w:fill="auto"/>
            <w:tcMar>
              <w:top w:w="0" w:type="dxa"/>
              <w:left w:w="84" w:type="dxa"/>
              <w:bottom w:w="0" w:type="dxa"/>
              <w:right w:w="84" w:type="dxa"/>
            </w:tcMar>
            <w:vAlign w:val="center"/>
          </w:tcPr>
          <w:p>
            <w:pPr>
              <w:keepNext w:val="0"/>
              <w:keepLines w:val="0"/>
              <w:widowControl/>
              <w:suppressLineNumbers w:val="0"/>
              <w:wordWrap w:val="0"/>
              <w:jc w:val="left"/>
              <w:rPr>
                <w:sz w:val="20"/>
                <w:szCs w:val="20"/>
                <w:highlight w:val="none"/>
              </w:rPr>
            </w:pP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spacing w:after="0" w:afterAutospacing="0"/>
              <w:rPr>
                <w:sz w:val="20"/>
                <w:szCs w:val="20"/>
                <w:highlight w:val="none"/>
              </w:rPr>
            </w:pPr>
            <w:r>
              <w:rPr>
                <w:rStyle w:val="9"/>
                <w:rFonts w:hint="eastAsia" w:ascii="宋体" w:hAnsi="宋体" w:eastAsia="宋体" w:cs="宋体"/>
                <w:sz w:val="20"/>
                <w:szCs w:val="20"/>
                <w:highlight w:val="none"/>
              </w:rPr>
              <w:t>报价无效条款：</w:t>
            </w:r>
          </w:p>
          <w:p>
            <w:pPr>
              <w:pStyle w:val="6"/>
              <w:keepNext w:val="0"/>
              <w:keepLines w:val="0"/>
              <w:widowControl/>
              <w:suppressLineNumbers w:val="0"/>
              <w:spacing w:after="0" w:afterAutospacing="0"/>
              <w:rPr>
                <w:sz w:val="20"/>
                <w:szCs w:val="20"/>
                <w:highlight w:val="none"/>
              </w:rPr>
            </w:pPr>
            <w:r>
              <w:rPr>
                <w:rFonts w:hint="eastAsia" w:ascii="宋体" w:hAnsi="宋体" w:eastAsia="宋体" w:cs="宋体"/>
                <w:sz w:val="20"/>
                <w:szCs w:val="20"/>
                <w:highlight w:val="none"/>
              </w:rPr>
              <w:t>（1）本章第2节中的第3.1、7.2、8、9.5、9.7、9.8、9.11条；</w:t>
            </w:r>
          </w:p>
          <w:p>
            <w:pPr>
              <w:pStyle w:val="6"/>
              <w:keepNext w:val="0"/>
              <w:keepLines w:val="0"/>
              <w:widowControl/>
              <w:suppressLineNumbers w:val="0"/>
              <w:spacing w:before="0" w:beforeAutospacing="1" w:after="0" w:afterAutospacing="1"/>
              <w:rPr>
                <w:sz w:val="20"/>
                <w:szCs w:val="20"/>
                <w:highlight w:val="none"/>
              </w:rPr>
            </w:pPr>
            <w:r>
              <w:rPr>
                <w:rFonts w:hint="eastAsia" w:ascii="宋体" w:hAnsi="宋体" w:eastAsia="宋体" w:cs="宋体"/>
                <w:sz w:val="20"/>
                <w:szCs w:val="20"/>
                <w:highlight w:val="none"/>
              </w:rPr>
              <w:t>（2）第三章评审及第六章响应文件格式规定的报价无效的规定。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285"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jc w:val="center"/>
              <w:rPr>
                <w:sz w:val="20"/>
                <w:szCs w:val="20"/>
                <w:highlight w:val="none"/>
              </w:rPr>
            </w:pPr>
            <w:r>
              <w:rPr>
                <w:rFonts w:hint="eastAsia" w:ascii="宋体" w:hAnsi="宋体" w:eastAsia="宋体" w:cs="宋体"/>
                <w:sz w:val="20"/>
                <w:szCs w:val="20"/>
                <w:highlight w:val="none"/>
              </w:rPr>
              <w:t>16</w:t>
            </w:r>
          </w:p>
        </w:tc>
        <w:tc>
          <w:tcPr>
            <w:tcW w:w="563" w:type="pct"/>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1" w:after="0" w:afterAutospacing="1"/>
              <w:jc w:val="center"/>
              <w:rPr>
                <w:sz w:val="20"/>
                <w:szCs w:val="20"/>
                <w:highlight w:val="none"/>
              </w:rPr>
            </w:pPr>
            <w:r>
              <w:rPr>
                <w:rFonts w:hint="eastAsia" w:ascii="宋体" w:hAnsi="宋体" w:eastAsia="宋体" w:cs="宋体"/>
                <w:sz w:val="20"/>
                <w:szCs w:val="20"/>
                <w:highlight w:val="none"/>
              </w:rPr>
              <w:t>18</w:t>
            </w:r>
          </w:p>
        </w:tc>
        <w:tc>
          <w:tcPr>
            <w:tcW w:w="4081" w:type="pct"/>
            <w:shd w:val="clear" w:color="auto" w:fill="auto"/>
            <w:tcMar>
              <w:top w:w="0" w:type="dxa"/>
              <w:left w:w="84" w:type="dxa"/>
              <w:bottom w:w="0" w:type="dxa"/>
              <w:right w:w="84" w:type="dxa"/>
            </w:tcMar>
            <w:vAlign w:val="center"/>
          </w:tcPr>
          <w:p>
            <w:pPr>
              <w:pStyle w:val="6"/>
              <w:keepNext w:val="0"/>
              <w:keepLines w:val="0"/>
              <w:widowControl/>
              <w:suppressLineNumbers w:val="0"/>
              <w:wordWrap w:val="0"/>
              <w:spacing w:before="0" w:beforeAutospacing="1" w:after="0" w:afterAutospacing="1"/>
              <w:rPr>
                <w:sz w:val="20"/>
                <w:szCs w:val="20"/>
                <w:highlight w:val="none"/>
              </w:rPr>
            </w:pPr>
            <w:r>
              <w:rPr>
                <w:rStyle w:val="9"/>
                <w:rFonts w:hint="eastAsia" w:ascii="宋体" w:hAnsi="宋体" w:eastAsia="宋体" w:cs="宋体"/>
                <w:sz w:val="20"/>
                <w:szCs w:val="20"/>
                <w:highlight w:val="none"/>
              </w:rPr>
              <w:t>其他事项：</w:t>
            </w:r>
            <w:r>
              <w:rPr>
                <w:rFonts w:hint="eastAsia" w:ascii="宋体" w:hAnsi="宋体" w:eastAsia="宋体" w:cs="宋体"/>
                <w:sz w:val="20"/>
                <w:szCs w:val="20"/>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285" w:type="pct"/>
            <w:shd w:val="clear" w:color="auto" w:fill="auto"/>
            <w:vAlign w:val="center"/>
          </w:tcPr>
          <w:p>
            <w:pPr>
              <w:keepNext w:val="0"/>
              <w:keepLines w:val="0"/>
              <w:widowControl/>
              <w:suppressLineNumbers w:val="0"/>
              <w:wordWrap w:val="0"/>
              <w:jc w:val="center"/>
              <w:rPr>
                <w:sz w:val="20"/>
                <w:szCs w:val="20"/>
                <w:highlight w:val="none"/>
              </w:rPr>
            </w:pPr>
            <w:r>
              <w:rPr>
                <w:rFonts w:hint="eastAsia" w:ascii="宋体" w:hAnsi="宋体" w:eastAsia="宋体" w:cs="宋体"/>
                <w:kern w:val="0"/>
                <w:sz w:val="20"/>
                <w:szCs w:val="20"/>
                <w:highlight w:val="none"/>
                <w:lang w:val="en-US" w:eastAsia="zh-CN" w:bidi="ar"/>
              </w:rPr>
              <w:t>17</w:t>
            </w:r>
          </w:p>
        </w:tc>
        <w:tc>
          <w:tcPr>
            <w:tcW w:w="563" w:type="pct"/>
            <w:shd w:val="clear" w:color="auto" w:fill="auto"/>
            <w:vAlign w:val="center"/>
          </w:tcPr>
          <w:p>
            <w:pPr>
              <w:keepNext w:val="0"/>
              <w:keepLines w:val="0"/>
              <w:widowControl/>
              <w:suppressLineNumbers w:val="0"/>
              <w:jc w:val="left"/>
              <w:rPr>
                <w:sz w:val="20"/>
                <w:szCs w:val="20"/>
                <w:highlight w:val="none"/>
              </w:rPr>
            </w:pPr>
          </w:p>
        </w:tc>
        <w:tc>
          <w:tcPr>
            <w:tcW w:w="4081" w:type="pct"/>
            <w:shd w:val="clear" w:color="auto" w:fill="auto"/>
            <w:vAlign w:val="center"/>
          </w:tcPr>
          <w:p>
            <w:pPr>
              <w:pStyle w:val="6"/>
              <w:keepNext w:val="0"/>
              <w:keepLines w:val="0"/>
              <w:widowControl/>
              <w:suppressLineNumbers w:val="0"/>
              <w:wordWrap w:val="0"/>
              <w:spacing w:before="0" w:beforeAutospacing="0" w:after="0" w:afterAutospacing="0"/>
              <w:rPr>
                <w:sz w:val="20"/>
                <w:szCs w:val="20"/>
                <w:highlight w:val="none"/>
              </w:rPr>
            </w:pPr>
            <w:r>
              <w:rPr>
                <w:rStyle w:val="9"/>
                <w:rFonts w:hint="eastAsia" w:ascii="宋体" w:hAnsi="宋体" w:eastAsia="宋体" w:cs="宋体"/>
                <w:spacing w:val="0"/>
                <w:sz w:val="20"/>
                <w:szCs w:val="20"/>
                <w:highlight w:val="none"/>
              </w:rPr>
              <w:t>是否组织现场考察或召开开标前答疑会：</w:t>
            </w:r>
            <w:r>
              <w:rPr>
                <w:rFonts w:hint="eastAsia" w:ascii="宋体" w:hAnsi="宋体" w:eastAsia="宋体" w:cs="宋体"/>
                <w:spacing w:val="0"/>
                <w:sz w:val="20"/>
                <w:szCs w:val="20"/>
                <w:highlight w:val="none"/>
              </w:rPr>
              <w:t>否。</w:t>
            </w:r>
          </w:p>
        </w:tc>
      </w:tr>
    </w:tbl>
    <w:p>
      <w:pPr>
        <w:pStyle w:val="6"/>
        <w:keepNext w:val="0"/>
        <w:keepLines w:val="0"/>
        <w:widowControl/>
        <w:suppressLineNumbers w:val="0"/>
        <w:spacing w:before="0" w:beforeAutospacing="1" w:after="192" w:afterAutospacing="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keepNext w:val="0"/>
        <w:keepLines w:val="0"/>
        <w:widowControl/>
        <w:suppressLineNumbers w:val="0"/>
        <w:jc w:val="left"/>
        <w:rPr>
          <w:highlight w:val="none"/>
        </w:rPr>
      </w:pP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22"/>
          <w:szCs w:val="22"/>
          <w:highlight w:val="none"/>
        </w:rPr>
        <w:t>第</w:t>
      </w:r>
      <w:r>
        <w:rPr>
          <w:rStyle w:val="9"/>
          <w:rFonts w:hint="eastAsia" w:ascii="宋体" w:hAnsi="宋体" w:eastAsia="宋体" w:cs="宋体"/>
          <w:i w:val="0"/>
          <w:iCs w:val="0"/>
          <w:caps w:val="0"/>
          <w:color w:val="000000"/>
          <w:spacing w:val="0"/>
          <w:sz w:val="19"/>
          <w:szCs w:val="19"/>
          <w:highlight w:val="none"/>
        </w:rPr>
        <w:t>2节 询价</w:t>
      </w:r>
      <w:r>
        <w:rPr>
          <w:rStyle w:val="9"/>
          <w:rFonts w:hint="eastAsia" w:ascii="宋体" w:hAnsi="宋体" w:eastAsia="宋体" w:cs="宋体"/>
          <w:i w:val="0"/>
          <w:iCs w:val="0"/>
          <w:caps w:val="0"/>
          <w:color w:val="000000"/>
          <w:spacing w:val="0"/>
          <w:sz w:val="22"/>
          <w:szCs w:val="22"/>
          <w:highlight w:val="none"/>
        </w:rPr>
        <w:t>须知正文</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一、总则</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1、适用范围</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1.1适用于询价通知书载明项目的采购活动（以下简称：“本次采购活动”）。</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2、定义</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2.1“采购标的”指询价通知书载明的需要采购的货物。</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2.2“采购人”系指本次采购项目的业主方；“采购代理机构”系指接受采购人委托，组织开展采购活动的代理机构。</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2.3“潜在供应商”指按照询价通知书第一章第</w:t>
      </w:r>
      <w:r>
        <w:rPr>
          <w:rFonts w:hint="default" w:ascii="Calibri" w:hAnsi="Calibri" w:eastAsia="宋体" w:cs="Calibri"/>
          <w:i w:val="0"/>
          <w:iCs w:val="0"/>
          <w:caps w:val="0"/>
          <w:color w:val="000000"/>
          <w:spacing w:val="0"/>
          <w:sz w:val="19"/>
          <w:szCs w:val="19"/>
          <w:highlight w:val="none"/>
        </w:rPr>
        <w:t>7</w:t>
      </w:r>
      <w:r>
        <w:rPr>
          <w:rFonts w:hint="eastAsia" w:ascii="宋体" w:hAnsi="宋体" w:eastAsia="宋体" w:cs="宋体"/>
          <w:i w:val="0"/>
          <w:iCs w:val="0"/>
          <w:caps w:val="0"/>
          <w:color w:val="000000"/>
          <w:spacing w:val="0"/>
          <w:sz w:val="19"/>
          <w:szCs w:val="19"/>
          <w:highlight w:val="none"/>
        </w:rPr>
        <w:t>条规定进行报名且有意向参加本项目询价的供应商。</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2.4“供应商”指按照询价通知书第一章第7条规定进行报名并参加本项目询价的供应商。</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2.5“单位负责人”指单位法定代表人（供应商为法人的）或法律、法规规定代表单位行使职权的主要负责人（供应商为其他组织的）。</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2.6“供应商代表”指供应商（供应商为法人或其他组织的）的单位负责人或由其授权的委托代理人，即单位负责人授权书中载明的接受授权方。</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二、供应商</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3、合格供应商</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3.1一般规定</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（1）供应商除了应遵守政府采购法及实施条例、政府采购非招标采购方式管理办法及财政部、福建省财政厅有关政府采购文件的规定外，还应遵守有关法律、法规和规章的强制性规定。</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（2）供应商的资格要求：详见询价通知书第一章。有任一项不满足的，</w:t>
      </w:r>
      <w:r>
        <w:rPr>
          <w:rStyle w:val="9"/>
          <w:rFonts w:hint="eastAsia" w:ascii="宋体" w:hAnsi="宋体" w:eastAsia="宋体" w:cs="宋体"/>
          <w:i w:val="0"/>
          <w:iCs w:val="0"/>
          <w:caps w:val="0"/>
          <w:color w:val="000000"/>
          <w:spacing w:val="0"/>
          <w:sz w:val="19"/>
          <w:szCs w:val="19"/>
          <w:highlight w:val="none"/>
        </w:rPr>
        <w:t>报价无效。</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3.2若本项目接受联合体报价且供应商为联合体，则联合体各方除了应遵守本章第3.1条规定外，还应遵守下列规定：</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（1）联合体各方应提交联合体协议，联合体协议应符合询价通知书规定。</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（2）联合体各方不得再单独参加或与其他供应商另外组成联合体参加同一合同项下的询价。</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（3）联合体各方应共同与采购人签订政府采购合同，就政府采购合同约定的事项对采购人承担连带责任。</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3.3 单位负责人为同一人或存在直接控股、管理关系的不同供应商不得参加同一合同项下的询价。</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4、询价费用</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4.1除询价通知书另有规定外，供应商应自行承担其参加本项目询价所涉及的一切费用。</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三、询价通知书</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5、询价通知书的组成</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5.1询价通知书由下述部分组成：</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第一章 询价邀请/询价采购通知书</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第二章询价须知（表1）</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第三章评审</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第四章询价内容及要求</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第五章政府采购合同</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第六章响应文件格式</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5.2询价通知书的澄清或修改</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（1）采购代理机构可对已发出的询价通知书进行必要的澄清或修改。</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（2）澄清或修改的内容可能影响响应文件编制的，采购代理机构将在提交响应文件截止时间至少</w:t>
      </w:r>
      <w:r>
        <w:rPr>
          <w:rFonts w:hint="default" w:ascii="Calibri" w:hAnsi="Calibri" w:eastAsia="宋体" w:cs="Calibri"/>
          <w:i w:val="0"/>
          <w:iCs w:val="0"/>
          <w:caps w:val="0"/>
          <w:color w:val="000000"/>
          <w:spacing w:val="0"/>
          <w:sz w:val="19"/>
          <w:szCs w:val="19"/>
          <w:highlight w:val="none"/>
        </w:rPr>
        <w:t>3</w:t>
      </w:r>
      <w:r>
        <w:rPr>
          <w:rFonts w:hint="eastAsia" w:ascii="宋体" w:hAnsi="宋体" w:eastAsia="宋体" w:cs="宋体"/>
          <w:i w:val="0"/>
          <w:iCs w:val="0"/>
          <w:caps w:val="0"/>
          <w:color w:val="000000"/>
          <w:spacing w:val="0"/>
          <w:sz w:val="19"/>
          <w:szCs w:val="19"/>
          <w:highlight w:val="none"/>
        </w:rPr>
        <w:t>个工作日前，在询价通知书载明的指定媒体以更正公告的形式发布澄清或修改的内容。不足3个工作日的，采购代理机构将对提交响应文件截止时间及询价时间进行相应顺延，采购代理机构和供应商受原提交响应文件截止时间及询价时间制约的所有权利和义务均延长至新的提交响应文件截止时间及询价时间。</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6、更正公告</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6.1若采购代理机构发布更正公告，则更正公告及其所发布的内容或信息（包括但不限于询价通知书的澄清或修改等）</w:t>
      </w:r>
      <w:r>
        <w:rPr>
          <w:rStyle w:val="9"/>
          <w:rFonts w:hint="eastAsia" w:ascii="宋体" w:hAnsi="宋体" w:eastAsia="宋体" w:cs="宋体"/>
          <w:i w:val="0"/>
          <w:iCs w:val="0"/>
          <w:caps w:val="0"/>
          <w:color w:val="000000"/>
          <w:spacing w:val="0"/>
          <w:sz w:val="19"/>
          <w:szCs w:val="19"/>
          <w:highlight w:val="none"/>
        </w:rPr>
        <w:t>作为询价通知书组成部分</w:t>
      </w:r>
      <w:r>
        <w:rPr>
          <w:rFonts w:hint="eastAsia" w:ascii="宋体" w:hAnsi="宋体" w:eastAsia="宋体" w:cs="宋体"/>
          <w:i w:val="0"/>
          <w:iCs w:val="0"/>
          <w:caps w:val="0"/>
          <w:color w:val="000000"/>
          <w:spacing w:val="0"/>
          <w:sz w:val="19"/>
          <w:szCs w:val="19"/>
          <w:highlight w:val="none"/>
        </w:rPr>
        <w:t>，对供应商具有约束力。</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6.2更正公告作为采购代理机构通知所有潜在供应商的书面形式，潜在供应商务必随时关注询价通知书载明的指定媒体，以免遗漏。</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四、报价响应文件的编制</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7、报价要求</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7.1供应商可对询价通知书载明的全部或部分合同包进行报价。</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7.2下列情形之一供应商报价无效</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（1）报价时，同一个合同包内所有品目号的内容应完整，否则</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（2）供应商代表只能接受一个供应商的授权参加报价，否则</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（3）单位负责人为同一人或存在直接控股、管理关系的不同供应商，不得同时参加同一合同项下的报价，否则</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（4）为本项目提供整体设计、规范编制或项目管理、监理、检测等服务的供应商，不得参加本项目除整体设计、规范编制和项目管理、监理、检测等服务之外的采购活动，否则</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（5）列入失信被执行人、重大税收违法案件当事人名单、政府采购严重违法失信行为记录名单及其他不符合《中华人民共和国政府采购法》第二十二条规定条件的供应商，不得参加报价，否则</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（6）报价超出最高限价将导致报价无效。</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（7）除询价通知书另有规定外，响应文件不能出现任何选择性的报价，即每一个合同包和品目号的采购标的都只能有一个报价。任何选择性的报价将导致</w:t>
      </w:r>
      <w:r>
        <w:rPr>
          <w:rStyle w:val="9"/>
          <w:rFonts w:hint="eastAsia" w:ascii="宋体" w:hAnsi="宋体" w:eastAsia="宋体" w:cs="宋体"/>
          <w:i w:val="0"/>
          <w:iCs w:val="0"/>
          <w:caps w:val="0"/>
          <w:color w:val="000000"/>
          <w:spacing w:val="0"/>
          <w:sz w:val="19"/>
          <w:szCs w:val="19"/>
          <w:highlight w:val="none"/>
        </w:rPr>
        <w:t>报价无效。</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8供应商有下列情形之一的，视为相互恶意串通投标：</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（1）不同供应商的响应文件由同一单位或个人编制；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（2）不同供应商委托同一单位或个人办理投标事宜；</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（3）不同供应商的响应文件载明的项目管理成员为同一人；</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（4）不同供应商的响应文件异常一致或报价呈规律性差异；</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（5）不同供应商的响应文件相互混装；</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（6）不同供应商的报价保证金从同一单位或个人的账户转出；</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（7）有关法律、法规和规章规定的其他串通投标情形。</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9、编制要求</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9.1响应文件的编制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（1）供应商应先仔细阅读询价通知书的全部内容后，再进行响应文件的编制。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（2）响应文件应按照本章第</w:t>
      </w:r>
      <w:r>
        <w:rPr>
          <w:rFonts w:hint="default" w:ascii="Calibri" w:hAnsi="Calibri" w:eastAsia="宋体" w:cs="Calibri"/>
          <w:i w:val="0"/>
          <w:iCs w:val="0"/>
          <w:caps w:val="0"/>
          <w:color w:val="000000"/>
          <w:spacing w:val="0"/>
          <w:sz w:val="19"/>
          <w:szCs w:val="19"/>
          <w:highlight w:val="none"/>
        </w:rPr>
        <w:t>9.2</w:t>
      </w:r>
      <w:r>
        <w:rPr>
          <w:rFonts w:hint="eastAsia" w:ascii="宋体" w:hAnsi="宋体" w:eastAsia="宋体" w:cs="宋体"/>
          <w:i w:val="0"/>
          <w:iCs w:val="0"/>
          <w:caps w:val="0"/>
          <w:color w:val="000000"/>
          <w:spacing w:val="0"/>
          <w:sz w:val="19"/>
          <w:szCs w:val="19"/>
          <w:highlight w:val="none"/>
        </w:rPr>
        <w:t>条规定编制其组成部分。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（3）响应文件应满足询价通知书提出的实质性要求和条件，并保证其所提交的全部资料是不可割离且真实、合法、有效、准确、完整和不具有任何误导性的，否则造成不利后果由供应商承担法律责任。</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9.2响应文件由下述部分组成,但不限于下列内容：</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（1）承诺函</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（2）报价一览表</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（3）分项报价表</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（4）技术和服务要求响应表</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（5）商务条件响应表</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（6）供应商的资格及资信证明文件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（7）询价保证金</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（8）供应商提交的其他资料（若有）</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（9）按照询价通知书规定作为响应文件组成部分的其他内容（若有）</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9.3响应文件的语言</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（1）除询价通知书另有规定外，响应文件应使用中文文本，若有不同文本，以中文文本为准。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9.4响应文件的份数：详见询价通知书第二章。</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9.5响应文件的格式</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（1）除询价通知书另有规定外，响应文件应使用询价通知书第六章规定的格式。</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（2）除询价通知书另有规定外，响应文件的正本和全部副本均应使用不能擦去的墨料或墨水打印、书写或复印，其中：</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①正本应用</w:t>
      </w:r>
      <w:r>
        <w:rPr>
          <w:rFonts w:hint="default" w:ascii="Calibri" w:hAnsi="Calibri" w:eastAsia="宋体" w:cs="Calibri"/>
          <w:i w:val="0"/>
          <w:iCs w:val="0"/>
          <w:caps w:val="0"/>
          <w:color w:val="000000"/>
          <w:spacing w:val="0"/>
          <w:sz w:val="19"/>
          <w:szCs w:val="19"/>
          <w:highlight w:val="none"/>
        </w:rPr>
        <w:t>A4</w:t>
      </w:r>
      <w:r>
        <w:rPr>
          <w:rFonts w:hint="eastAsia" w:ascii="宋体" w:hAnsi="宋体" w:eastAsia="宋体" w:cs="宋体"/>
          <w:i w:val="0"/>
          <w:iCs w:val="0"/>
          <w:caps w:val="0"/>
          <w:color w:val="000000"/>
          <w:spacing w:val="0"/>
          <w:sz w:val="19"/>
          <w:szCs w:val="19"/>
          <w:highlight w:val="none"/>
        </w:rPr>
        <w:t>幅面纸张打印装订，编制封面（封面标明“正本”字样）、索引、页码，并用胶装装订成册。</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②副本应用</w:t>
      </w:r>
      <w:r>
        <w:rPr>
          <w:rFonts w:hint="default" w:ascii="Calibri" w:hAnsi="Calibri" w:eastAsia="宋体" w:cs="Calibri"/>
          <w:i w:val="0"/>
          <w:iCs w:val="0"/>
          <w:caps w:val="0"/>
          <w:color w:val="000000"/>
          <w:spacing w:val="0"/>
          <w:sz w:val="19"/>
          <w:szCs w:val="19"/>
          <w:highlight w:val="none"/>
        </w:rPr>
        <w:t>A4</w:t>
      </w:r>
      <w:r>
        <w:rPr>
          <w:rFonts w:hint="eastAsia" w:ascii="宋体" w:hAnsi="宋体" w:eastAsia="宋体" w:cs="宋体"/>
          <w:i w:val="0"/>
          <w:iCs w:val="0"/>
          <w:caps w:val="0"/>
          <w:color w:val="000000"/>
          <w:spacing w:val="0"/>
          <w:sz w:val="19"/>
          <w:szCs w:val="19"/>
          <w:highlight w:val="none"/>
        </w:rPr>
        <w:t>幅面纸张打印装订，编制封面（封面标明“副本”字样）、索引、页码，并用胶装装订成册；副本可用正本的完整复印件，并与正本保持一致（若不一致，以正本为准）。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③允许散装或活页装订的内容或材料：详见询价通知书第二章。</w:t>
      </w:r>
    </w:p>
    <w:p>
      <w:pPr>
        <w:pStyle w:val="6"/>
        <w:keepNext w:val="0"/>
        <w:keepLines w:val="0"/>
        <w:widowControl/>
        <w:suppressLineNumbers w:val="0"/>
        <w:spacing w:before="0" w:beforeAutospacing="1" w:after="0" w:afterAutospacing="1"/>
        <w:ind w:left="0" w:firstLine="384"/>
        <w:rPr>
          <w:highlight w:val="none"/>
        </w:rPr>
      </w:pPr>
      <w:r>
        <w:rPr>
          <w:rStyle w:val="9"/>
          <w:rFonts w:hint="eastAsia" w:ascii="宋体" w:hAnsi="宋体" w:eastAsia="宋体" w:cs="宋体"/>
          <w:i w:val="0"/>
          <w:iCs w:val="0"/>
          <w:caps w:val="0"/>
          <w:color w:val="000000"/>
          <w:spacing w:val="0"/>
          <w:sz w:val="19"/>
          <w:szCs w:val="19"/>
          <w:highlight w:val="none"/>
        </w:rPr>
        <w:t>※除本章第9.5条第（2）款第③点规定情形之外，响应文件散装或活页装订将导致报价无效。</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（3）除询价通知书另有规定外，响应文件应使用人民币作为计量货币，计量单位应使用我国法定计量单位。</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（4）响应文件应由供应商代表签字并加盖供应商的单位公章。若供应商代表为单位负责人授权的委托代理人，应提供“单位负责人授权书”。</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（5）响应文件应没有涂改或行间插字，除非这些改动是根据采购方的指示进行的，或是为改正供应商造成的应修改的错误而进行的。若有前述改动，应按照下列规定之一对改动处进行处理：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①供应商代表签字确认；</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②加盖供应商的单位公章或校正章。</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9.6分包</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（1）是否允许成交人进行分包：详见询价通知书第二章。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（2）若允许成交人进行分包且供应商拟在成交后进行分包，则供应商应在响应文件中载明关于非主体、非关键性工作分包及分包人资质条件的说明，否则视为不进行分包</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（3）享受中小企业扶持政策获得政府采购合同的，小微企业不得将合同分包给大中型企业，中型企业不得将合同分包给大型企业。</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9.7响应有效期</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（1）询价通知书载明的响应有效期：详见询价通知书第二章。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（2）响应文件承诺的响应有效期不得少于询价通知书载明的响应有效期，否则</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根据本次采购活动的需要，采购代理机构可于响应有效期届满之前书面要求供应商延长响应有效期，供应商应在采购代理机构规定的期限内以书面形式予以答复。对于延长响应有效期的要求，供应商可以拒绝也可以接受，供应商答复不明确或逾期未答复的，均视为拒绝该要求。对于接受延长响应有效期的供应商，既不要求也不允许修改响应文件。</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9.8询价保证金</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（1）询价保证金作为供应商按照询价通知书要求履行相应报价义务的约束及担保。</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（2）询价保证金的有效期与响应文件承诺的响应有效期保持一致。</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（3）提交</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①供应商应从其银行账户</w:t>
      </w:r>
      <w:r>
        <w:rPr>
          <w:rStyle w:val="9"/>
          <w:rFonts w:hint="eastAsia" w:ascii="宋体" w:hAnsi="宋体" w:eastAsia="宋体" w:cs="宋体"/>
          <w:i w:val="0"/>
          <w:iCs w:val="0"/>
          <w:caps w:val="0"/>
          <w:color w:val="000000"/>
          <w:spacing w:val="0"/>
          <w:sz w:val="19"/>
          <w:szCs w:val="19"/>
          <w:highlight w:val="none"/>
        </w:rPr>
        <w:t>（基本户）</w:t>
      </w:r>
      <w:r>
        <w:rPr>
          <w:rFonts w:hint="eastAsia" w:ascii="宋体" w:hAnsi="宋体" w:eastAsia="宋体" w:cs="宋体"/>
          <w:i w:val="0"/>
          <w:iCs w:val="0"/>
          <w:caps w:val="0"/>
          <w:color w:val="000000"/>
          <w:spacing w:val="0"/>
          <w:sz w:val="19"/>
          <w:szCs w:val="19"/>
          <w:highlight w:val="none"/>
        </w:rPr>
        <w:t>按照下列方式：</w:t>
      </w:r>
      <w:r>
        <w:rPr>
          <w:rFonts w:hint="eastAsia" w:ascii="宋体" w:hAnsi="宋体" w:eastAsia="宋体" w:cs="宋体"/>
          <w:i w:val="0"/>
          <w:iCs w:val="0"/>
          <w:caps w:val="0"/>
          <w:color w:val="000000"/>
          <w:spacing w:val="0"/>
          <w:sz w:val="19"/>
          <w:szCs w:val="19"/>
          <w:highlight w:val="none"/>
          <w:u w:val="single"/>
        </w:rPr>
        <w:t>银行公对公转账</w:t>
      </w:r>
      <w:r>
        <w:rPr>
          <w:rFonts w:hint="eastAsia" w:ascii="宋体" w:hAnsi="宋体" w:eastAsia="宋体" w:cs="宋体"/>
          <w:i w:val="0"/>
          <w:iCs w:val="0"/>
          <w:caps w:val="0"/>
          <w:color w:val="000000"/>
          <w:spacing w:val="0"/>
          <w:sz w:val="19"/>
          <w:szCs w:val="19"/>
          <w:highlight w:val="none"/>
        </w:rPr>
        <w:t>向询价通知书载明的报价保证金账户提交询价保证金，具体金额详见询价通知书第一章。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②询价保证金应于提交响应文件截止时间前到达询价通知书载明的报价保证金账户，否则视为询价保证金未提交；是否到达以询价保证金应于提交响应文件截止时间前到达询价通知书载明的报价保证金账户为准。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③若本项目接受联合体询价且供应商为联合体，则联合体应按照本款第①、②点规定提交询价保证金。</w:t>
      </w:r>
    </w:p>
    <w:p>
      <w:pPr>
        <w:pStyle w:val="6"/>
        <w:keepNext w:val="0"/>
        <w:keepLines w:val="0"/>
        <w:widowControl/>
        <w:suppressLineNumbers w:val="0"/>
        <w:spacing w:before="0" w:beforeAutospacing="1" w:after="0" w:afterAutospacing="1"/>
        <w:ind w:left="0" w:firstLine="384"/>
        <w:rPr>
          <w:highlight w:val="none"/>
        </w:rPr>
      </w:pPr>
      <w:r>
        <w:rPr>
          <w:rStyle w:val="9"/>
          <w:rFonts w:hint="eastAsia" w:ascii="宋体" w:hAnsi="宋体" w:eastAsia="宋体" w:cs="宋体"/>
          <w:i w:val="0"/>
          <w:iCs w:val="0"/>
          <w:caps w:val="0"/>
          <w:color w:val="000000"/>
          <w:spacing w:val="0"/>
          <w:sz w:val="19"/>
          <w:szCs w:val="19"/>
          <w:highlight w:val="none"/>
        </w:rPr>
        <w:t>※未按照上述规定提交询价保证金将导致报价无效。</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（4）退还</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①未成交人的询价保证金将在成交通知书发出之日起</w:t>
      </w:r>
      <w:r>
        <w:rPr>
          <w:rFonts w:hint="default" w:ascii="Calibri" w:hAnsi="Calibri" w:eastAsia="宋体" w:cs="Calibri"/>
          <w:i w:val="0"/>
          <w:iCs w:val="0"/>
          <w:caps w:val="0"/>
          <w:color w:val="000000"/>
          <w:spacing w:val="0"/>
          <w:sz w:val="19"/>
          <w:szCs w:val="19"/>
          <w:highlight w:val="none"/>
        </w:rPr>
        <w:t>5</w:t>
      </w:r>
      <w:r>
        <w:rPr>
          <w:rFonts w:hint="eastAsia" w:ascii="宋体" w:hAnsi="宋体" w:eastAsia="宋体" w:cs="宋体"/>
          <w:i w:val="0"/>
          <w:iCs w:val="0"/>
          <w:caps w:val="0"/>
          <w:color w:val="000000"/>
          <w:spacing w:val="0"/>
          <w:sz w:val="19"/>
          <w:szCs w:val="19"/>
          <w:highlight w:val="none"/>
        </w:rPr>
        <w:t>个工作日内退回原账户。</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②成交人的询价保证金将在政府采购合同签订之日起</w:t>
      </w:r>
      <w:r>
        <w:rPr>
          <w:rFonts w:hint="default" w:ascii="Calibri" w:hAnsi="Calibri" w:eastAsia="宋体" w:cs="Calibri"/>
          <w:i w:val="0"/>
          <w:iCs w:val="0"/>
          <w:caps w:val="0"/>
          <w:color w:val="000000"/>
          <w:spacing w:val="0"/>
          <w:sz w:val="19"/>
          <w:szCs w:val="19"/>
          <w:highlight w:val="none"/>
        </w:rPr>
        <w:t>5</w:t>
      </w:r>
      <w:r>
        <w:rPr>
          <w:rFonts w:hint="eastAsia" w:ascii="宋体" w:hAnsi="宋体" w:eastAsia="宋体" w:cs="宋体"/>
          <w:i w:val="0"/>
          <w:iCs w:val="0"/>
          <w:caps w:val="0"/>
          <w:color w:val="000000"/>
          <w:spacing w:val="0"/>
          <w:sz w:val="19"/>
          <w:szCs w:val="19"/>
          <w:highlight w:val="none"/>
        </w:rPr>
        <w:t>个工作日内退回原账户；签订之日以为准。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③质疑或投诉涉及的供应商，若询价保证金尚未退还，则待质疑或投诉处理完毕后不计利息原额退还。</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（5）若出现本章第</w:t>
      </w:r>
      <w:r>
        <w:rPr>
          <w:rFonts w:hint="default" w:ascii="Calibri" w:hAnsi="Calibri" w:eastAsia="宋体" w:cs="Calibri"/>
          <w:i w:val="0"/>
          <w:iCs w:val="0"/>
          <w:caps w:val="0"/>
          <w:color w:val="000000"/>
          <w:spacing w:val="0"/>
          <w:sz w:val="19"/>
          <w:szCs w:val="19"/>
          <w:highlight w:val="none"/>
        </w:rPr>
        <w:t>9.7</w:t>
      </w:r>
      <w:r>
        <w:rPr>
          <w:rFonts w:hint="eastAsia" w:ascii="宋体" w:hAnsi="宋体" w:eastAsia="宋体" w:cs="宋体"/>
          <w:i w:val="0"/>
          <w:iCs w:val="0"/>
          <w:caps w:val="0"/>
          <w:color w:val="000000"/>
          <w:spacing w:val="0"/>
          <w:sz w:val="19"/>
          <w:szCs w:val="19"/>
          <w:highlight w:val="none"/>
        </w:rPr>
        <w:t>条第（</w:t>
      </w:r>
      <w:r>
        <w:rPr>
          <w:rFonts w:hint="default" w:ascii="Calibri" w:hAnsi="Calibri" w:eastAsia="宋体" w:cs="Calibri"/>
          <w:i w:val="0"/>
          <w:iCs w:val="0"/>
          <w:caps w:val="0"/>
          <w:color w:val="000000"/>
          <w:spacing w:val="0"/>
          <w:sz w:val="19"/>
          <w:szCs w:val="19"/>
          <w:highlight w:val="none"/>
        </w:rPr>
        <w:t>3</w:t>
      </w:r>
      <w:r>
        <w:rPr>
          <w:rFonts w:hint="eastAsia" w:ascii="宋体" w:hAnsi="宋体" w:eastAsia="宋体" w:cs="宋体"/>
          <w:i w:val="0"/>
          <w:iCs w:val="0"/>
          <w:caps w:val="0"/>
          <w:color w:val="000000"/>
          <w:spacing w:val="0"/>
          <w:sz w:val="19"/>
          <w:szCs w:val="19"/>
          <w:highlight w:val="none"/>
        </w:rPr>
        <w:t>）款规定情形，对于拒绝延长响应有效期的供应商，询价保证金仍可退还。对于接受延长响应有效期的供应商，相应延长询价保证金有效期，询价通知书关于退还和不予退还询价保证金的规定继续适用。</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（6）有下列情形之一的，询价保证金将不予退还：</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①供应商恶意串通投标的；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②供应商提供虚假材料的；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③供应商采取不正当手段诋毁、排挤其他供应商；</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④提交响应文件截止时间后，供应商在响应有效期内撤销响应文件的；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⑤供应商不接受询价小组按照询价通知书规定对报价错误之处进行修正的；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⑥询价通知书规定的其他不予退还情形的；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⑦成交人有下列情形之一的；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a.除不可抗力外，因成交人自身原因未在成交通知书要求的期限内与采购人签订政府采购合同；</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b.未按照询价通知书、响应文件的约定签订政府采购合同或提交履约保证金。</w:t>
      </w:r>
    </w:p>
    <w:p>
      <w:pPr>
        <w:pStyle w:val="6"/>
        <w:keepNext w:val="0"/>
        <w:keepLines w:val="0"/>
        <w:widowControl/>
        <w:suppressLineNumbers w:val="0"/>
        <w:spacing w:before="0" w:beforeAutospacing="1" w:after="0" w:afterAutospacing="1"/>
        <w:ind w:left="0" w:firstLine="384"/>
        <w:rPr>
          <w:highlight w:val="none"/>
        </w:rPr>
      </w:pPr>
      <w:r>
        <w:rPr>
          <w:rStyle w:val="9"/>
          <w:rFonts w:hint="eastAsia" w:ascii="宋体" w:hAnsi="宋体" w:eastAsia="宋体" w:cs="宋体"/>
          <w:i w:val="0"/>
          <w:iCs w:val="0"/>
          <w:caps w:val="0"/>
          <w:color w:val="000000"/>
          <w:spacing w:val="0"/>
          <w:sz w:val="19"/>
          <w:szCs w:val="19"/>
          <w:highlight w:val="none"/>
        </w:rPr>
        <w:t>※若上述询价保证金不予退还情形给采购代理机构造成损失，则供应商还要承担相应的赔偿责任。</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9.9响应文件的提交</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（1）一个供应商只能提交一个响应文件，并按照询价通知书第一章规定将其送达。</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（2）密封及其标记的具体形式：详见询价通知书第二章。</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9.10响应文件的补充、修改或撤回</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（1）提交响应文件截止时间前，供应商可对所提交的响应文件进行补充、修改或撤回，并书面通知采购代理机构。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（2）补充、修改的内容应按照本章第</w:t>
      </w:r>
      <w:r>
        <w:rPr>
          <w:rFonts w:hint="default" w:ascii="Calibri" w:hAnsi="Calibri" w:eastAsia="宋体" w:cs="Calibri"/>
          <w:i w:val="0"/>
          <w:iCs w:val="0"/>
          <w:caps w:val="0"/>
          <w:color w:val="000000"/>
          <w:spacing w:val="0"/>
          <w:sz w:val="19"/>
          <w:szCs w:val="19"/>
          <w:highlight w:val="none"/>
        </w:rPr>
        <w:t>9.5</w:t>
      </w:r>
      <w:r>
        <w:rPr>
          <w:rFonts w:hint="eastAsia" w:ascii="宋体" w:hAnsi="宋体" w:eastAsia="宋体" w:cs="宋体"/>
          <w:i w:val="0"/>
          <w:iCs w:val="0"/>
          <w:caps w:val="0"/>
          <w:color w:val="000000"/>
          <w:spacing w:val="0"/>
          <w:sz w:val="19"/>
          <w:szCs w:val="19"/>
          <w:highlight w:val="none"/>
        </w:rPr>
        <w:t>条第（</w:t>
      </w:r>
      <w:r>
        <w:rPr>
          <w:rFonts w:hint="default" w:ascii="Calibri" w:hAnsi="Calibri" w:eastAsia="宋体" w:cs="Calibri"/>
          <w:i w:val="0"/>
          <w:iCs w:val="0"/>
          <w:caps w:val="0"/>
          <w:color w:val="000000"/>
          <w:spacing w:val="0"/>
          <w:sz w:val="19"/>
          <w:szCs w:val="19"/>
          <w:highlight w:val="none"/>
        </w:rPr>
        <w:t>4</w:t>
      </w:r>
      <w:r>
        <w:rPr>
          <w:rFonts w:hint="eastAsia" w:ascii="宋体" w:hAnsi="宋体" w:eastAsia="宋体" w:cs="宋体"/>
          <w:i w:val="0"/>
          <w:iCs w:val="0"/>
          <w:caps w:val="0"/>
          <w:color w:val="000000"/>
          <w:spacing w:val="0"/>
          <w:sz w:val="19"/>
          <w:szCs w:val="19"/>
          <w:highlight w:val="none"/>
        </w:rPr>
        <w:t>）款规定进行签章，并按照本章第</w:t>
      </w:r>
      <w:r>
        <w:rPr>
          <w:rFonts w:hint="default" w:ascii="Calibri" w:hAnsi="Calibri" w:eastAsia="宋体" w:cs="Calibri"/>
          <w:i w:val="0"/>
          <w:iCs w:val="0"/>
          <w:caps w:val="0"/>
          <w:color w:val="000000"/>
          <w:spacing w:val="0"/>
          <w:sz w:val="19"/>
          <w:szCs w:val="19"/>
          <w:highlight w:val="none"/>
        </w:rPr>
        <w:t>9.9</w:t>
      </w:r>
      <w:r>
        <w:rPr>
          <w:rFonts w:hint="eastAsia" w:ascii="宋体" w:hAnsi="宋体" w:eastAsia="宋体" w:cs="宋体"/>
          <w:i w:val="0"/>
          <w:iCs w:val="0"/>
          <w:caps w:val="0"/>
          <w:color w:val="000000"/>
          <w:spacing w:val="0"/>
          <w:sz w:val="19"/>
          <w:szCs w:val="19"/>
          <w:highlight w:val="none"/>
        </w:rPr>
        <w:t>条规定提交，</w:t>
      </w:r>
      <w:r>
        <w:rPr>
          <w:rStyle w:val="9"/>
          <w:rFonts w:hint="eastAsia" w:ascii="宋体" w:hAnsi="宋体" w:eastAsia="宋体" w:cs="宋体"/>
          <w:i w:val="0"/>
          <w:iCs w:val="0"/>
          <w:caps w:val="0"/>
          <w:color w:val="000000"/>
          <w:spacing w:val="0"/>
          <w:sz w:val="19"/>
          <w:szCs w:val="19"/>
          <w:highlight w:val="none"/>
        </w:rPr>
        <w:t>否则将被拒收。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（3）补充、修改的内容</w:t>
      </w:r>
      <w:r>
        <w:rPr>
          <w:rStyle w:val="9"/>
          <w:rFonts w:hint="eastAsia" w:ascii="宋体" w:hAnsi="宋体" w:eastAsia="宋体" w:cs="宋体"/>
          <w:i w:val="0"/>
          <w:iCs w:val="0"/>
          <w:caps w:val="0"/>
          <w:color w:val="000000"/>
          <w:spacing w:val="0"/>
          <w:sz w:val="19"/>
          <w:szCs w:val="19"/>
          <w:highlight w:val="none"/>
        </w:rPr>
        <w:t>作为响应文件组成部分。</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9.11除询价通知书另有规定外，有下列情形之一的，</w:t>
      </w:r>
      <w:r>
        <w:rPr>
          <w:rStyle w:val="9"/>
          <w:rFonts w:hint="eastAsia" w:ascii="宋体" w:hAnsi="宋体" w:eastAsia="宋体" w:cs="宋体"/>
          <w:i w:val="0"/>
          <w:iCs w:val="0"/>
          <w:caps w:val="0"/>
          <w:color w:val="000000"/>
          <w:spacing w:val="0"/>
          <w:sz w:val="19"/>
          <w:szCs w:val="19"/>
          <w:highlight w:val="none"/>
        </w:rPr>
        <w:t>报价无效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（1）询价保证金未按照规定提交的；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（2）响应文件散装或活页装订的；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（3）不具备询价通知书中规定的资格要求的；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（4）报价超过询价通知书中规定的最高限价的；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（5）响应文件含有采购人不能接受的附加条件的；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（6）响应文件不符合有关法律、法规和规章或询价通知书中规定的其他实质性要求的。</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五、报价会</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10、报价</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10.1报价在询价通知书载明的询价时间及地点进行。</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10.2提交响应文件截止时间后，参加询价的供应商不足三家的，不进行响应文件开启活动。同时，本次采购活动终止，采购代理机构将依法组织后续采购活动（包括但不限于重新采购、采用其他方式采购、终止采购等）。</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i w:val="0"/>
          <w:iCs w:val="0"/>
          <w:caps w:val="0"/>
          <w:color w:val="000000"/>
          <w:spacing w:val="0"/>
          <w:sz w:val="19"/>
          <w:szCs w:val="19"/>
          <w:highlight w:val="none"/>
        </w:rPr>
        <w:t>10.3报价会由采购代理机构主持。报价会的主持人、唱标人、记录人及工作人员均由采购代理机构派出，现场监督人员由采购人派出；参加询价的供应商也应派出代表参加，未参加的，视同认可报价会结果。</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10.4参加报价会的供应商代表应签到，非供应商不参加报价会。</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10.5报价会应遵守下列规定：</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（1）首先由主持人宣读报价会须知，然后在现场监督人员的见证下，由供应商代表或者其推选的代表对响应文件的密封情况进行检查。密封经确认无误后，由工作人员或供应商代表对密封的响应文件当众拆封。</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（2）唱标时，唱标人先宣读各供应商关于响应文件补充、修改或撤回的书面通知（若有），再宣读各供应商名称、报价和询价通知书规定的需要宣布的其他内容，记录人对唱标内容作记录。</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（3）唱标结束后，供应商代表应对记录进行签字确认。供应商代表的签字确认，视为供应商对报价过程及记录予以认可。供应商代表拒绝签字确认且无合法理由，亦视为供应商对报价过程及记录予以认可。</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（4）供应商代表对报价过程或记录若有异议，应以书面形式当场向主持人提出，否则，视为供应商对报价过程及记录予以认可。</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（5）若供应商代表未参加报价会（包括但不限于供应商派出的人员不是供应商代表），则视为供应商对报价过程及记录予以认可。</w:t>
      </w:r>
    </w:p>
    <w:p>
      <w:pPr>
        <w:pStyle w:val="6"/>
        <w:keepNext w:val="0"/>
        <w:keepLines w:val="0"/>
        <w:widowControl/>
        <w:suppressLineNumbers w:val="0"/>
        <w:spacing w:before="0" w:beforeAutospacing="1" w:after="0" w:afterAutospacing="1"/>
        <w:ind w:left="0" w:firstLine="384"/>
        <w:rPr>
          <w:highlight w:val="none"/>
        </w:rPr>
      </w:pPr>
      <w:r>
        <w:rPr>
          <w:rStyle w:val="9"/>
          <w:rFonts w:hint="eastAsia" w:ascii="宋体" w:hAnsi="宋体" w:eastAsia="宋体" w:cs="宋体"/>
          <w:i w:val="0"/>
          <w:iCs w:val="0"/>
          <w:caps w:val="0"/>
          <w:color w:val="000000"/>
          <w:spacing w:val="0"/>
          <w:sz w:val="19"/>
          <w:szCs w:val="19"/>
          <w:highlight w:val="none"/>
        </w:rPr>
        <w:t>※若出现本条第（</w:t>
      </w:r>
      <w:r>
        <w:rPr>
          <w:rStyle w:val="9"/>
          <w:rFonts w:hint="default" w:ascii="Calibri" w:hAnsi="Calibri" w:eastAsia="宋体" w:cs="Calibri"/>
          <w:i w:val="0"/>
          <w:iCs w:val="0"/>
          <w:caps w:val="0"/>
          <w:color w:val="000000"/>
          <w:spacing w:val="0"/>
          <w:sz w:val="19"/>
          <w:szCs w:val="19"/>
          <w:highlight w:val="none"/>
        </w:rPr>
        <w:t>3</w:t>
      </w:r>
      <w:r>
        <w:rPr>
          <w:rStyle w:val="9"/>
          <w:rFonts w:hint="eastAsia" w:ascii="宋体" w:hAnsi="宋体" w:eastAsia="宋体" w:cs="宋体"/>
          <w:i w:val="0"/>
          <w:iCs w:val="0"/>
          <w:caps w:val="0"/>
          <w:color w:val="000000"/>
          <w:spacing w:val="0"/>
          <w:sz w:val="19"/>
          <w:szCs w:val="19"/>
          <w:highlight w:val="none"/>
        </w:rPr>
        <w:t>）、（</w:t>
      </w:r>
      <w:r>
        <w:rPr>
          <w:rStyle w:val="9"/>
          <w:rFonts w:hint="default" w:ascii="Calibri" w:hAnsi="Calibri" w:eastAsia="宋体" w:cs="Calibri"/>
          <w:i w:val="0"/>
          <w:iCs w:val="0"/>
          <w:caps w:val="0"/>
          <w:color w:val="000000"/>
          <w:spacing w:val="0"/>
          <w:sz w:val="19"/>
          <w:szCs w:val="19"/>
          <w:highlight w:val="none"/>
        </w:rPr>
        <w:t>4</w:t>
      </w:r>
      <w:r>
        <w:rPr>
          <w:rStyle w:val="9"/>
          <w:rFonts w:hint="eastAsia" w:ascii="宋体" w:hAnsi="宋体" w:eastAsia="宋体" w:cs="宋体"/>
          <w:i w:val="0"/>
          <w:iCs w:val="0"/>
          <w:caps w:val="0"/>
          <w:color w:val="000000"/>
          <w:spacing w:val="0"/>
          <w:sz w:val="19"/>
          <w:szCs w:val="19"/>
          <w:highlight w:val="none"/>
        </w:rPr>
        <w:t>）、（</w:t>
      </w:r>
      <w:r>
        <w:rPr>
          <w:rStyle w:val="9"/>
          <w:rFonts w:hint="default" w:ascii="Calibri" w:hAnsi="Calibri" w:eastAsia="宋体" w:cs="Calibri"/>
          <w:i w:val="0"/>
          <w:iCs w:val="0"/>
          <w:caps w:val="0"/>
          <w:color w:val="000000"/>
          <w:spacing w:val="0"/>
          <w:sz w:val="19"/>
          <w:szCs w:val="19"/>
          <w:highlight w:val="none"/>
        </w:rPr>
        <w:t>5</w:t>
      </w:r>
      <w:r>
        <w:rPr>
          <w:rStyle w:val="9"/>
          <w:rFonts w:hint="eastAsia" w:ascii="宋体" w:hAnsi="宋体" w:eastAsia="宋体" w:cs="宋体"/>
          <w:i w:val="0"/>
          <w:iCs w:val="0"/>
          <w:caps w:val="0"/>
          <w:color w:val="000000"/>
          <w:spacing w:val="0"/>
          <w:sz w:val="19"/>
          <w:szCs w:val="19"/>
          <w:highlight w:val="none"/>
        </w:rPr>
        <w:t>）款规定情形</w:t>
      </w:r>
      <w:r>
        <w:rPr>
          <w:rFonts w:hint="eastAsia" w:ascii="宋体" w:hAnsi="宋体" w:eastAsia="宋体" w:cs="宋体"/>
          <w:i w:val="0"/>
          <w:iCs w:val="0"/>
          <w:caps w:val="0"/>
          <w:color w:val="000000"/>
          <w:spacing w:val="0"/>
          <w:sz w:val="19"/>
          <w:szCs w:val="19"/>
          <w:highlight w:val="none"/>
        </w:rPr>
        <w:t>，</w:t>
      </w:r>
      <w:r>
        <w:rPr>
          <w:rStyle w:val="9"/>
          <w:rFonts w:hint="eastAsia" w:ascii="宋体" w:hAnsi="宋体" w:eastAsia="宋体" w:cs="宋体"/>
          <w:i w:val="0"/>
          <w:iCs w:val="0"/>
          <w:caps w:val="0"/>
          <w:color w:val="000000"/>
          <w:spacing w:val="0"/>
          <w:sz w:val="19"/>
          <w:szCs w:val="19"/>
          <w:highlight w:val="none"/>
        </w:rPr>
        <w:t>则供应商不得在报价会后以响应文件的提交、响应文件的密封、采购方报价及报价会过程或记录等有关事由向采购方提出任何异议或要求（包括质疑）。</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六、成交与政府采购合同</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11、成交</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11.1确定成交：本项目按照询价通知书第二章规定推荐相应的成交候选人,采购人应当在收到评审报告后5个工作日内，从评审报告提出的成交候选人中，根据质量和服务均能满足询价通知书实质性响应要求且报价最低的原则确定成交人，也可以书面授权询价小组直接确定成交人。</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i w:val="0"/>
          <w:iCs w:val="0"/>
          <w:caps w:val="0"/>
          <w:color w:val="000000"/>
          <w:spacing w:val="0"/>
          <w:sz w:val="19"/>
          <w:szCs w:val="19"/>
          <w:highlight w:val="none"/>
        </w:rPr>
        <w:t>11.2询价终止：</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（1）出现下列情形之一的，采购代理机构应当终止询价采购活动，发布项目终止公告并说明原因，重新开展采购活动：</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①因情况变化，不再符合规定的询价采购方式适用情形的；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②出现影响采购公正的违法、违规行为的；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③在采购过程中符合竞争要求的供应商或报价未超过采购最高限价的供应商不足3家的。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i w:val="0"/>
          <w:iCs w:val="0"/>
          <w:caps w:val="0"/>
          <w:color w:val="000000"/>
          <w:spacing w:val="0"/>
          <w:sz w:val="19"/>
          <w:szCs w:val="19"/>
          <w:highlight w:val="none"/>
        </w:rPr>
        <w:t>（2）因重大变故，采购任务取消的，采购代理机构应当终止采购活动，并通知所有参加采购活动的供应商</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11.3成交公告</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（1）成交人确定之日起</w:t>
      </w:r>
      <w:r>
        <w:rPr>
          <w:rFonts w:hint="default" w:ascii="Calibri" w:hAnsi="Calibri" w:eastAsia="宋体" w:cs="Calibri"/>
          <w:i w:val="0"/>
          <w:iCs w:val="0"/>
          <w:caps w:val="0"/>
          <w:color w:val="000000"/>
          <w:spacing w:val="0"/>
          <w:sz w:val="19"/>
          <w:szCs w:val="19"/>
          <w:highlight w:val="none"/>
        </w:rPr>
        <w:t>2</w:t>
      </w:r>
      <w:r>
        <w:rPr>
          <w:rFonts w:hint="eastAsia" w:ascii="宋体" w:hAnsi="宋体" w:eastAsia="宋体" w:cs="宋体"/>
          <w:i w:val="0"/>
          <w:iCs w:val="0"/>
          <w:caps w:val="0"/>
          <w:color w:val="000000"/>
          <w:spacing w:val="0"/>
          <w:sz w:val="19"/>
          <w:szCs w:val="19"/>
          <w:highlight w:val="none"/>
        </w:rPr>
        <w:t>个工作日内，采购代理机构将在询价通知书载明的指定媒体以成交公告的形式发布成交结果。</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（2）成交公告的公告期限为</w:t>
      </w:r>
      <w:r>
        <w:rPr>
          <w:rFonts w:hint="default" w:ascii="Calibri" w:hAnsi="Calibri" w:eastAsia="宋体" w:cs="Calibri"/>
          <w:i w:val="0"/>
          <w:iCs w:val="0"/>
          <w:caps w:val="0"/>
          <w:color w:val="000000"/>
          <w:spacing w:val="0"/>
          <w:sz w:val="19"/>
          <w:szCs w:val="19"/>
          <w:highlight w:val="none"/>
        </w:rPr>
        <w:t>1</w:t>
      </w:r>
      <w:r>
        <w:rPr>
          <w:rFonts w:hint="eastAsia" w:ascii="宋体" w:hAnsi="宋体" w:eastAsia="宋体" w:cs="宋体"/>
          <w:i w:val="0"/>
          <w:iCs w:val="0"/>
          <w:caps w:val="0"/>
          <w:color w:val="000000"/>
          <w:spacing w:val="0"/>
          <w:sz w:val="19"/>
          <w:szCs w:val="19"/>
          <w:highlight w:val="none"/>
        </w:rPr>
        <w:t>个工作日。</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（3）成交公告同时作为采购代理机构通知除成交人外的其他供应商没有成交的书面形式。</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11.4成交通知书</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（1）成交公告发布的同时，采购代理机构将向成交人发出成交通知书。</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（2）成交通知书对采购人和成交人具有同等法律效力。</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（3）成交通知书发出后，成交人放弃成交的，应依法承担法律责任。</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12、政府采购合同</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12.1签订政府采购合同应遵守政府采购法及实施条例的规定，不得对询价通知书和成交人的响应文件作实质性修改。采购人不得提出任何不合理要求作为政府采购合同的签订条件。</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12.2签订时限：自中标通知书发出之日起30个日历日内。。</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12.3政府采购合同的履行、违约责任和解决争议的方法等适用民法典。</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12.4政府采购合同履行过程中，采购人若需追加与合同标的相同的货物或服务，则追加采购金额不得超过原合同采购金额的</w:t>
      </w:r>
      <w:r>
        <w:rPr>
          <w:rFonts w:hint="default" w:ascii="Calibri" w:hAnsi="Calibri" w:eastAsia="宋体" w:cs="Calibri"/>
          <w:i w:val="0"/>
          <w:iCs w:val="0"/>
          <w:caps w:val="0"/>
          <w:color w:val="000000"/>
          <w:spacing w:val="0"/>
          <w:sz w:val="19"/>
          <w:szCs w:val="19"/>
          <w:highlight w:val="none"/>
        </w:rPr>
        <w:t>10%</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12.5成交人在政府采购合同履行过程中应遵守有关法律、法规和规章的强制性规定（即使前述强制性规定有可能在询价通知书中未予列明）。</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12.6成交人有下列情形之一的，应依法承担违约责任：</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（1）在履行期限届满前，明确表示或以自己的行为表明不履行合同；</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（2）迟延履行合同，经催告后在合理期限内仍未履行；</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（3）有其他违约行为致使不能实现合同目的；</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（4）将合同转包，或未经采购人同意采取分包方式履行合同。</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七、询问、质疑与投诉</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13、询问</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13.1潜在供应商或供应商对本次采购活动的有关事项若有疑问，可向采购代理机构提出询问，采购代理机构将按照政府采购法及实施条例的有关规定进行答复。</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14、质疑</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14.1质疑应在政府采购法及实施条例规定的时限内提出，并符合下列条件：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（1）对询价通知书提出质疑的，质疑人应为潜在供应商，且两者的身份、名称等均应保持一致。对采购过程、结果提出质疑的，质疑人应为供应商，且两者的身份、名称等均应保持一致。</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（2）质疑人应按照询价通知书第二章规定方式提交质疑函原件。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（3）质疑函应包括下列主要内容：</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①质疑人的基本信息，至少包括：全称、地址、邮政编码等；</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②所质疑项目的基本信息，至少包括：项目编号、项目名称等；</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③所质疑的具体事项（以下简称：“质疑事项”）；</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④针对质疑事项提出的明确请求，前述明确请求指质疑人提出质疑的目的、希望采购代理机构对其质疑作出的处理结果，如：暂停询价采购活动、修改询价通知书、停止或纠正违法违规行为、成交结果无效、废标、重新开展采购活动等；</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⑤针对质疑事项导致质疑人自身权益受到损害的必要证明材料，至少包括：</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a.质疑人代表的身份证明材料：质疑人为自然人的，提供本人的身份证复印件。质疑人为法人或其他组织的，提供统一社会信用代码营业执照的副本复印件、单位负责人的身份证复印件；质疑人代表为委托代理人的，还应同时提供单位负责人授权书和委托代理人的身份证复印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b.其他证明材料，包括但不限于下列材料：</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b1所质疑的具体事项是与自已有利害关系的证明材料；</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b2质疑函所述事实存在的证明材料，如：采购文件、采购过程或成交结果违法违规或不符合采购文件要求等证明材料；</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b3依法应终止采购程序的证明材料；</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b4应重新采购的证明材料；</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b5采购文件、采购过程或成交、成交结果损害自已合法权益的证明材料等；</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9"/>
          <w:rFonts w:hint="eastAsia" w:ascii="宋体" w:hAnsi="宋体" w:eastAsia="宋体" w:cs="宋体"/>
          <w:i w:val="0"/>
          <w:iCs w:val="0"/>
          <w:caps w:val="0"/>
          <w:color w:val="000000"/>
          <w:spacing w:val="0"/>
          <w:sz w:val="19"/>
          <w:szCs w:val="19"/>
          <w:highlight w:val="none"/>
        </w:rPr>
        <w:t>视为无效</w:t>
      </w:r>
      <w:r>
        <w:rPr>
          <w:rFonts w:hint="eastAsia" w:ascii="宋体" w:hAnsi="宋体" w:eastAsia="宋体" w:cs="宋体"/>
          <w:i w:val="0"/>
          <w:iCs w:val="0"/>
          <w:caps w:val="0"/>
          <w:color w:val="000000"/>
          <w:spacing w:val="0"/>
          <w:sz w:val="19"/>
          <w:szCs w:val="19"/>
          <w:highlight w:val="none"/>
        </w:rPr>
        <w:t>）。</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⑥质疑人代表及其联系方式的信息，至少包括：姓名、手机、电子信箱、邮寄地址等。</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14.2对不符合本章第</w:t>
      </w:r>
      <w:r>
        <w:rPr>
          <w:rFonts w:hint="default" w:ascii="Calibri" w:hAnsi="Calibri" w:eastAsia="宋体" w:cs="Calibri"/>
          <w:i w:val="0"/>
          <w:iCs w:val="0"/>
          <w:caps w:val="0"/>
          <w:color w:val="000000"/>
          <w:spacing w:val="0"/>
          <w:sz w:val="19"/>
          <w:szCs w:val="19"/>
          <w:highlight w:val="none"/>
        </w:rPr>
        <w:t>14.1</w:t>
      </w:r>
      <w:r>
        <w:rPr>
          <w:rFonts w:hint="eastAsia" w:ascii="宋体" w:hAnsi="宋体" w:eastAsia="宋体" w:cs="宋体"/>
          <w:i w:val="0"/>
          <w:iCs w:val="0"/>
          <w:caps w:val="0"/>
          <w:color w:val="000000"/>
          <w:spacing w:val="0"/>
          <w:sz w:val="19"/>
          <w:szCs w:val="19"/>
          <w:highlight w:val="none"/>
        </w:rPr>
        <w:t>条规定的质疑，采购代理机构将按照下列规定进行处理：</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（1）未按照规定提交的，书面告知质疑人不予受理及其理由。</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（2）内容不符合规定的，告知质疑人修改、补充后在规定时限内重新提交质疑函原件。</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14.3对符合本章第</w:t>
      </w:r>
      <w:r>
        <w:rPr>
          <w:rFonts w:hint="default" w:ascii="Calibri" w:hAnsi="Calibri" w:eastAsia="宋体" w:cs="Calibri"/>
          <w:i w:val="0"/>
          <w:iCs w:val="0"/>
          <w:caps w:val="0"/>
          <w:color w:val="000000"/>
          <w:spacing w:val="0"/>
          <w:sz w:val="19"/>
          <w:szCs w:val="19"/>
          <w:highlight w:val="none"/>
        </w:rPr>
        <w:t>14.1</w:t>
      </w:r>
      <w:r>
        <w:rPr>
          <w:rFonts w:hint="eastAsia" w:ascii="宋体" w:hAnsi="宋体" w:eastAsia="宋体" w:cs="宋体"/>
          <w:i w:val="0"/>
          <w:iCs w:val="0"/>
          <w:caps w:val="0"/>
          <w:color w:val="000000"/>
          <w:spacing w:val="0"/>
          <w:sz w:val="19"/>
          <w:szCs w:val="19"/>
          <w:highlight w:val="none"/>
        </w:rPr>
        <w:t>条规定的质疑，采购代理机构将按照政府采购法及实施条例的有关规定进行答复。</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14.4询价通知书的质疑：详见询价通知书第二章。</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15、投诉</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15.1若对质疑答复不满意或质疑答复未在答复期限内作出，质疑人可在答复期限届满之日起</w:t>
      </w:r>
      <w:r>
        <w:rPr>
          <w:rFonts w:hint="default" w:ascii="Calibri" w:hAnsi="Calibri" w:eastAsia="宋体" w:cs="Calibri"/>
          <w:i w:val="0"/>
          <w:iCs w:val="0"/>
          <w:caps w:val="0"/>
          <w:color w:val="000000"/>
          <w:spacing w:val="0"/>
          <w:sz w:val="19"/>
          <w:szCs w:val="19"/>
          <w:highlight w:val="none"/>
        </w:rPr>
        <w:t>15</w:t>
      </w:r>
      <w:r>
        <w:rPr>
          <w:rFonts w:hint="eastAsia" w:ascii="宋体" w:hAnsi="宋体" w:eastAsia="宋体" w:cs="宋体"/>
          <w:i w:val="0"/>
          <w:iCs w:val="0"/>
          <w:caps w:val="0"/>
          <w:color w:val="000000"/>
          <w:spacing w:val="0"/>
          <w:sz w:val="19"/>
          <w:szCs w:val="19"/>
          <w:highlight w:val="none"/>
        </w:rPr>
        <w:t>个工作日内向询价通知书第二章载明的监督管理部门投诉。</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15.2投诉应有明确的请求和必要的证明材料，投诉的事项不得超出已质疑事项的范围。</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八、政府采购政策</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16、政府采购政策由财政部根据国家的经济和社会发展政策并会同国家有关部委制定，包括但不限于下列管理办法或措施：</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16.1进口产品指通过中国海关报关验放进入中国境内且产自关境外的产品，其中：</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（2）凡在海关特殊监管区域内企业生产或加工（包括从境外进口料件）销往境内其他地区的产品，不作为政府采购项下进口产品。</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（3）对从境外进入海关特殊监管区域，再经办理报关手续后从海关特殊监管区进入境内其他地区的产品，认定为进口产品。</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i w:val="0"/>
          <w:iCs w:val="0"/>
          <w:caps w:val="0"/>
          <w:color w:val="000000"/>
          <w:spacing w:val="0"/>
          <w:sz w:val="19"/>
          <w:szCs w:val="19"/>
          <w:highlight w:val="none"/>
        </w:rPr>
        <w:t>（4）询价通知书列明不允许或未列明允许进口产品参加报价的，均视为拒绝进口产品参加报价。</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16.2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16.3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i w:val="0"/>
          <w:iCs w:val="0"/>
          <w:caps w:val="0"/>
          <w:color w:val="000000"/>
          <w:spacing w:val="0"/>
          <w:sz w:val="19"/>
          <w:szCs w:val="19"/>
          <w:highlight w:val="none"/>
        </w:rPr>
        <w:t>16.4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9"/>
          <w:rFonts w:hint="eastAsia" w:ascii="宋体" w:hAnsi="宋体" w:eastAsia="宋体" w:cs="宋体"/>
          <w:i w:val="0"/>
          <w:iCs w:val="0"/>
          <w:caps w:val="0"/>
          <w:color w:val="000000"/>
          <w:spacing w:val="0"/>
          <w:sz w:val="16"/>
          <w:szCs w:val="16"/>
          <w:highlight w:val="none"/>
        </w:rPr>
        <w:t>“残疾人福利性单位”</w:t>
      </w:r>
      <w:r>
        <w:rPr>
          <w:rFonts w:hint="eastAsia" w:ascii="宋体" w:hAnsi="宋体" w:eastAsia="宋体" w:cs="宋体"/>
          <w:i w:val="0"/>
          <w:iCs w:val="0"/>
          <w:caps w:val="0"/>
          <w:color w:val="000000"/>
          <w:spacing w:val="0"/>
          <w:sz w:val="19"/>
          <w:szCs w:val="19"/>
          <w:highlight w:val="none"/>
        </w:rPr>
        <w:t>）亦可享受前述扶持政策。其中：</w:t>
      </w:r>
    </w:p>
    <w:p>
      <w:pPr>
        <w:pStyle w:val="6"/>
        <w:keepNext w:val="0"/>
        <w:keepLines w:val="0"/>
        <w:widowControl/>
        <w:suppressLineNumbers w:val="0"/>
        <w:spacing w:before="60" w:beforeAutospacing="0" w:after="60" w:afterAutospacing="0"/>
        <w:ind w:left="0" w:firstLine="192"/>
        <w:rPr>
          <w:highlight w:val="none"/>
        </w:rPr>
      </w:pPr>
      <w:r>
        <w:rPr>
          <w:rFonts w:hint="eastAsia" w:ascii="宋体" w:hAnsi="宋体" w:eastAsia="宋体" w:cs="宋体"/>
          <w:i w:val="0"/>
          <w:iCs w:val="0"/>
          <w:caps w:val="0"/>
          <w:color w:val="000000"/>
          <w:spacing w:val="0"/>
          <w:sz w:val="19"/>
          <w:szCs w:val="19"/>
          <w:highlight w:val="none"/>
        </w:rPr>
        <w:t>（1）中小企业指符合下列条件的中型、小型、微型企业：</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①符合《工业和信息化部、国家统计局、国家发展和改革委员会、财政部关于印发中小企业划型标准规定的通知》（工信部联企业</w:t>
      </w:r>
      <w:r>
        <w:rPr>
          <w:rFonts w:hint="default" w:ascii="Calibri" w:hAnsi="Calibri" w:eastAsia="宋体" w:cs="Calibri"/>
          <w:i w:val="0"/>
          <w:iCs w:val="0"/>
          <w:caps w:val="0"/>
          <w:color w:val="000000"/>
          <w:spacing w:val="0"/>
          <w:sz w:val="19"/>
          <w:szCs w:val="19"/>
          <w:highlight w:val="none"/>
        </w:rPr>
        <w:t>[2011]300</w:t>
      </w:r>
      <w:r>
        <w:rPr>
          <w:rFonts w:hint="eastAsia" w:ascii="宋体" w:hAnsi="宋体" w:eastAsia="宋体" w:cs="宋体"/>
          <w:i w:val="0"/>
          <w:iCs w:val="0"/>
          <w:caps w:val="0"/>
          <w:color w:val="000000"/>
          <w:spacing w:val="0"/>
          <w:sz w:val="19"/>
          <w:szCs w:val="19"/>
          <w:highlight w:val="none"/>
        </w:rPr>
        <w:t>号）规定的划分标准，但与大企业的负责人为同一人，或者与大企业存在直接控股、管理关系的除外；</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②符合中小企业划分标准的个体工商户，在政府采购活动中视同中小企业。</w:t>
      </w:r>
    </w:p>
    <w:p>
      <w:pPr>
        <w:pStyle w:val="6"/>
        <w:keepNext w:val="0"/>
        <w:keepLines w:val="0"/>
        <w:widowControl/>
        <w:suppressLineNumbers w:val="0"/>
        <w:spacing w:before="60" w:beforeAutospacing="0" w:after="60" w:afterAutospacing="0"/>
        <w:ind w:left="0" w:firstLine="192"/>
        <w:rPr>
          <w:highlight w:val="none"/>
        </w:rPr>
      </w:pPr>
      <w:r>
        <w:rPr>
          <w:rFonts w:hint="eastAsia" w:ascii="宋体" w:hAnsi="宋体" w:eastAsia="宋体" w:cs="宋体"/>
          <w:i w:val="0"/>
          <w:iCs w:val="0"/>
          <w:caps w:val="0"/>
          <w:color w:val="000000"/>
          <w:spacing w:val="0"/>
          <w:sz w:val="19"/>
          <w:szCs w:val="19"/>
          <w:highlight w:val="none"/>
        </w:rPr>
        <w:t>（2）在政府采购活动中，供应商提供的货物、工程或者服务符合下列情形的，享受本办法规定的中小企业扶持政策：</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①在货物采购项目中，货物由中小企业制造，即货物由中小企业生产且使用该中小企业商号或者注册商标；</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②在工程采购项目中，工程由中小企业承建，即工程施工单位为中小企业；</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③在服务采购项目中，服务由中小企业承接，即提供服务的人员为中小企业依照《中华人民共和国劳动合同法》订立劳动合同的从业人员。</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在货物采购项目中，供应商提供的货物既有中小企业制造货物，也有大型企业制造货物的，不享受本办法规定的中小企业扶持政策。</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以联合体形式参加政府采购活动，联合体各方均为中小企业的，联合体视同中小企业。其中，联合体各方均为小微企业的，联合体视同小微企业。</w:t>
      </w:r>
    </w:p>
    <w:p>
      <w:pPr>
        <w:pStyle w:val="6"/>
        <w:keepNext w:val="0"/>
        <w:keepLines w:val="0"/>
        <w:widowControl/>
        <w:suppressLineNumbers w:val="0"/>
        <w:spacing w:before="60" w:beforeAutospacing="0" w:after="60" w:afterAutospacing="0"/>
        <w:ind w:left="0" w:firstLine="192"/>
        <w:rPr>
          <w:highlight w:val="none"/>
        </w:rPr>
      </w:pPr>
      <w:r>
        <w:rPr>
          <w:rFonts w:hint="eastAsia" w:ascii="宋体" w:hAnsi="宋体" w:eastAsia="宋体" w:cs="宋体"/>
          <w:i w:val="0"/>
          <w:iCs w:val="0"/>
          <w:caps w:val="0"/>
          <w:color w:val="000000"/>
          <w:spacing w:val="0"/>
          <w:sz w:val="19"/>
          <w:szCs w:val="19"/>
          <w:highlight w:val="none"/>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①监狱企业参加采购活动时，应提供由省级以上监狱管理局、戒毒管理局（含新疆生产建设兵团）出具的属于监狱企业的证明文件。</w:t>
      </w:r>
    </w:p>
    <w:p>
      <w:pPr>
        <w:pStyle w:val="6"/>
        <w:keepNext w:val="0"/>
        <w:keepLines w:val="0"/>
        <w:widowControl/>
        <w:suppressLineNumbers w:val="0"/>
        <w:spacing w:before="60" w:beforeAutospacing="0" w:after="192"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②监狱企业视同小型、微型企业。</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（4）残疾人福利性单位指同时符合下列条件的单位：</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①安置的残疾人占本单位在职职工人数的比例不低于</w:t>
      </w:r>
      <w:r>
        <w:rPr>
          <w:rFonts w:hint="default" w:ascii="Calibri" w:hAnsi="Calibri" w:eastAsia="宋体" w:cs="Calibri"/>
          <w:i w:val="0"/>
          <w:iCs w:val="0"/>
          <w:caps w:val="0"/>
          <w:color w:val="000000"/>
          <w:spacing w:val="0"/>
          <w:sz w:val="19"/>
          <w:szCs w:val="19"/>
          <w:highlight w:val="none"/>
        </w:rPr>
        <w:t>25%</w:t>
      </w:r>
      <w:r>
        <w:rPr>
          <w:rFonts w:hint="eastAsia" w:ascii="宋体" w:hAnsi="宋体" w:eastAsia="宋体" w:cs="宋体"/>
          <w:i w:val="0"/>
          <w:iCs w:val="0"/>
          <w:caps w:val="0"/>
          <w:color w:val="000000"/>
          <w:spacing w:val="0"/>
          <w:sz w:val="19"/>
          <w:szCs w:val="19"/>
          <w:highlight w:val="none"/>
        </w:rPr>
        <w:t>（含</w:t>
      </w:r>
      <w:r>
        <w:rPr>
          <w:rFonts w:hint="default" w:ascii="Calibri" w:hAnsi="Calibri" w:eastAsia="宋体" w:cs="Calibri"/>
          <w:i w:val="0"/>
          <w:iCs w:val="0"/>
          <w:caps w:val="0"/>
          <w:color w:val="000000"/>
          <w:spacing w:val="0"/>
          <w:sz w:val="19"/>
          <w:szCs w:val="19"/>
          <w:highlight w:val="none"/>
        </w:rPr>
        <w:t>25%</w:t>
      </w:r>
      <w:r>
        <w:rPr>
          <w:rFonts w:hint="eastAsia" w:ascii="宋体" w:hAnsi="宋体" w:eastAsia="宋体" w:cs="宋体"/>
          <w:i w:val="0"/>
          <w:iCs w:val="0"/>
          <w:caps w:val="0"/>
          <w:color w:val="000000"/>
          <w:spacing w:val="0"/>
          <w:sz w:val="19"/>
          <w:szCs w:val="19"/>
          <w:highlight w:val="none"/>
        </w:rPr>
        <w:t>），并且安置的残疾人人数不少于</w:t>
      </w:r>
      <w:r>
        <w:rPr>
          <w:rFonts w:hint="default" w:ascii="Calibri" w:hAnsi="Calibri" w:eastAsia="宋体" w:cs="Calibri"/>
          <w:i w:val="0"/>
          <w:iCs w:val="0"/>
          <w:caps w:val="0"/>
          <w:color w:val="000000"/>
          <w:spacing w:val="0"/>
          <w:sz w:val="19"/>
          <w:szCs w:val="19"/>
          <w:highlight w:val="none"/>
        </w:rPr>
        <w:t>10</w:t>
      </w:r>
      <w:r>
        <w:rPr>
          <w:rFonts w:hint="eastAsia" w:ascii="宋体" w:hAnsi="宋体" w:eastAsia="宋体" w:cs="宋体"/>
          <w:i w:val="0"/>
          <w:iCs w:val="0"/>
          <w:caps w:val="0"/>
          <w:color w:val="000000"/>
          <w:spacing w:val="0"/>
          <w:sz w:val="19"/>
          <w:szCs w:val="19"/>
          <w:highlight w:val="none"/>
        </w:rPr>
        <w:t>人（含</w:t>
      </w:r>
      <w:r>
        <w:rPr>
          <w:rFonts w:hint="default" w:ascii="Calibri" w:hAnsi="Calibri" w:eastAsia="宋体" w:cs="Calibri"/>
          <w:i w:val="0"/>
          <w:iCs w:val="0"/>
          <w:caps w:val="0"/>
          <w:color w:val="000000"/>
          <w:spacing w:val="0"/>
          <w:sz w:val="19"/>
          <w:szCs w:val="19"/>
          <w:highlight w:val="none"/>
        </w:rPr>
        <w:t>10</w:t>
      </w:r>
      <w:r>
        <w:rPr>
          <w:rFonts w:hint="eastAsia" w:ascii="宋体" w:hAnsi="宋体" w:eastAsia="宋体" w:cs="宋体"/>
          <w:i w:val="0"/>
          <w:iCs w:val="0"/>
          <w:caps w:val="0"/>
          <w:color w:val="000000"/>
          <w:spacing w:val="0"/>
          <w:sz w:val="19"/>
          <w:szCs w:val="19"/>
          <w:highlight w:val="none"/>
        </w:rPr>
        <w:t>人）；</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②依法与安置的每位残疾人签订了一年以上（含一年）的劳动合同或服务协议；</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③为安置的每位残疾人按月足额缴纳了基本养老保险、基本医疗保险、失业保险、工伤保险和生育保险等社会保险费；</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④通过银行等金融机构向安置的每位残疾人，按月支付了不低于单位所在区县适用的经省级人民政府批准的月最低工资标准的工资；</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⑤提供本单位制造的货物、承担的工程或服务，或提供其他残疾人福利性单位制造的货物（不包括使用非残疾人福利性单位注册商标的货物）。</w:t>
      </w:r>
    </w:p>
    <w:p>
      <w:pPr>
        <w:pStyle w:val="6"/>
        <w:keepNext w:val="0"/>
        <w:keepLines w:val="0"/>
        <w:widowControl/>
        <w:suppressLineNumbers w:val="0"/>
        <w:spacing w:before="60" w:beforeAutospacing="0" w:after="60" w:afterAutospacing="0"/>
        <w:ind w:left="0" w:firstLine="384"/>
        <w:rPr>
          <w:highlight w:val="none"/>
        </w:rPr>
      </w:pPr>
      <w:r>
        <w:rPr>
          <w:rFonts w:hint="eastAsia" w:ascii="宋体" w:hAnsi="宋体" w:eastAsia="宋体" w:cs="宋体"/>
          <w:i w:val="0"/>
          <w:iCs w:val="0"/>
          <w:caps w:val="0"/>
          <w:color w:val="000000"/>
          <w:spacing w:val="0"/>
          <w:sz w:val="19"/>
          <w:szCs w:val="19"/>
          <w:highlight w:val="none"/>
        </w:rPr>
        <w:t>前款所称残疾人指法定劳动年龄内，持有《中华人民共和国残疾人证》或《中华人民共和国残疾军人证（1至</w:t>
      </w:r>
      <w:r>
        <w:rPr>
          <w:rFonts w:hint="default" w:ascii="Calibri" w:hAnsi="Calibri" w:eastAsia="宋体" w:cs="Calibri"/>
          <w:i w:val="0"/>
          <w:iCs w:val="0"/>
          <w:caps w:val="0"/>
          <w:color w:val="000000"/>
          <w:spacing w:val="0"/>
          <w:sz w:val="19"/>
          <w:szCs w:val="19"/>
          <w:highlight w:val="none"/>
        </w:rPr>
        <w:t>8</w:t>
      </w:r>
      <w:r>
        <w:rPr>
          <w:rFonts w:hint="eastAsia" w:ascii="宋体" w:hAnsi="宋体" w:eastAsia="宋体" w:cs="宋体"/>
          <w:i w:val="0"/>
          <w:iCs w:val="0"/>
          <w:caps w:val="0"/>
          <w:color w:val="000000"/>
          <w:spacing w:val="0"/>
          <w:sz w:val="19"/>
          <w:szCs w:val="19"/>
          <w:highlight w:val="none"/>
        </w:rPr>
        <w:t>级）》的自然人，包括具有劳动条件和劳动意愿的精神残疾人。在职职工人数是指与残疾人福利性单位建立劳动关系并依法签订劳动合同或服务协议的雇员人数。</w:t>
      </w:r>
    </w:p>
    <w:p>
      <w:pPr>
        <w:pStyle w:val="6"/>
        <w:keepNext w:val="0"/>
        <w:keepLines w:val="0"/>
        <w:widowControl/>
        <w:suppressLineNumbers w:val="0"/>
        <w:spacing w:before="60" w:beforeAutospacing="0" w:after="60" w:afterAutospacing="0"/>
        <w:ind w:left="0" w:firstLine="384"/>
        <w:rPr>
          <w:highlight w:val="none"/>
        </w:rPr>
      </w:pPr>
      <w:r>
        <w:rPr>
          <w:rStyle w:val="9"/>
          <w:rFonts w:hint="eastAsia" w:ascii="宋体" w:hAnsi="宋体" w:eastAsia="宋体" w:cs="宋体"/>
          <w:i w:val="0"/>
          <w:iCs w:val="0"/>
          <w:caps w:val="0"/>
          <w:color w:val="000000"/>
          <w:spacing w:val="0"/>
          <w:sz w:val="16"/>
          <w:szCs w:val="16"/>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16.5信用记录指由财政部确定的有关网站提供的相关主体信用信息。信用记录的查询及使用应符合财政部文件（财库[2016]125号）规定。</w:t>
      </w:r>
    </w:p>
    <w:p>
      <w:pPr>
        <w:pStyle w:val="6"/>
        <w:keepNext w:val="0"/>
        <w:keepLines w:val="0"/>
        <w:widowControl/>
        <w:suppressLineNumbers w:val="0"/>
        <w:rPr>
          <w:highlight w:val="none"/>
        </w:rPr>
      </w:pPr>
      <w:r>
        <w:rPr>
          <w:rFonts w:hint="default" w:ascii="Calibri" w:hAnsi="Calibri" w:eastAsia="宋体" w:cs="Calibri"/>
          <w:i w:val="0"/>
          <w:iCs w:val="0"/>
          <w:caps w:val="0"/>
          <w:color w:val="000000"/>
          <w:spacing w:val="0"/>
          <w:sz w:val="19"/>
          <w:szCs w:val="19"/>
          <w:highlight w:val="none"/>
        </w:rPr>
        <w:t>16.6</w:t>
      </w:r>
      <w:r>
        <w:rPr>
          <w:rFonts w:hint="eastAsia" w:ascii="宋体" w:hAnsi="宋体" w:eastAsia="宋体" w:cs="宋体"/>
          <w:i w:val="0"/>
          <w:iCs w:val="0"/>
          <w:caps w:val="0"/>
          <w:color w:val="000000"/>
          <w:spacing w:val="0"/>
          <w:sz w:val="19"/>
          <w:szCs w:val="19"/>
          <w:highlight w:val="none"/>
        </w:rPr>
        <w:t>为落实政府采购政策需满足的要求：详见询价通知书第一章。</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九、本项目的有关信息</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17、本项目的有关信息，包括但不限于询价公告、更正公告（若有）、询价通知书、询价通知书的澄清或修改（若有）、成交公告、终止公告（若有）、废标公告（若有）等都将在询价通知书载明的指定媒体发布。潜在供应商或供应商务必随时关注，以免遗漏。</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17.1指定媒体：详见询价通知书第二章。</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i w:val="0"/>
          <w:iCs w:val="0"/>
          <w:caps w:val="0"/>
          <w:color w:val="000000"/>
          <w:spacing w:val="0"/>
          <w:sz w:val="19"/>
          <w:szCs w:val="19"/>
          <w:highlight w:val="none"/>
        </w:rPr>
        <w:t>十、其他事项</w:t>
      </w:r>
    </w:p>
    <w:p>
      <w:pPr>
        <w:pStyle w:val="6"/>
        <w:keepNext w:val="0"/>
        <w:keepLines w:val="0"/>
        <w:widowControl/>
        <w:suppressLineNumbers w:val="0"/>
        <w:rPr>
          <w:highlight w:val="none"/>
        </w:rPr>
      </w:pPr>
      <w:r>
        <w:rPr>
          <w:rFonts w:hint="eastAsia" w:ascii="宋体" w:hAnsi="宋体" w:eastAsia="宋体" w:cs="宋体"/>
          <w:i w:val="0"/>
          <w:iCs w:val="0"/>
          <w:caps w:val="0"/>
          <w:color w:val="000000"/>
          <w:spacing w:val="0"/>
          <w:sz w:val="19"/>
          <w:szCs w:val="19"/>
          <w:highlight w:val="none"/>
        </w:rPr>
        <w:t>18、其他事项：详见询价通知书第二章。</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br w:type="textWrapping"/>
      </w:r>
      <w:r>
        <w:rPr>
          <w:rStyle w:val="9"/>
          <w:rFonts w:hint="eastAsia" w:ascii="宋体" w:hAnsi="宋体" w:eastAsia="宋体" w:cs="宋体"/>
          <w:sz w:val="28"/>
          <w:szCs w:val="28"/>
          <w:highlight w:val="none"/>
        </w:rPr>
        <w:t>第三章   评审</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一、询价小组</w:t>
      </w:r>
    </w:p>
    <w:p>
      <w:pPr>
        <w:pStyle w:val="6"/>
        <w:keepNext w:val="0"/>
        <w:keepLines w:val="0"/>
        <w:widowControl/>
        <w:suppressLineNumbers w:val="0"/>
        <w:rPr>
          <w:highlight w:val="none"/>
        </w:rPr>
      </w:pPr>
      <w:r>
        <w:rPr>
          <w:rFonts w:hint="eastAsia" w:ascii="宋体" w:hAnsi="宋体" w:eastAsia="宋体" w:cs="宋体"/>
          <w:sz w:val="19"/>
          <w:szCs w:val="19"/>
          <w:highlight w:val="none"/>
        </w:rPr>
        <w:t>1、采购代理机构负责依法组建询价小组及评审工作的组织。</w:t>
      </w:r>
    </w:p>
    <w:p>
      <w:pPr>
        <w:pStyle w:val="6"/>
        <w:keepNext w:val="0"/>
        <w:keepLines w:val="0"/>
        <w:widowControl/>
        <w:suppressLineNumbers w:val="0"/>
        <w:rPr>
          <w:highlight w:val="none"/>
        </w:rPr>
      </w:pPr>
      <w:r>
        <w:rPr>
          <w:rFonts w:hint="eastAsia" w:ascii="宋体" w:hAnsi="宋体" w:eastAsia="宋体" w:cs="宋体"/>
          <w:sz w:val="19"/>
          <w:szCs w:val="19"/>
          <w:highlight w:val="none"/>
        </w:rPr>
        <w:t>1.2、询价小组</w:t>
      </w:r>
    </w:p>
    <w:p>
      <w:pPr>
        <w:pStyle w:val="6"/>
        <w:keepNext w:val="0"/>
        <w:keepLines w:val="0"/>
        <w:widowControl/>
        <w:suppressLineNumbers w:val="0"/>
        <w:rPr>
          <w:highlight w:val="none"/>
        </w:rPr>
      </w:pPr>
      <w:r>
        <w:rPr>
          <w:rFonts w:hint="eastAsia" w:ascii="宋体" w:hAnsi="宋体" w:eastAsia="宋体" w:cs="宋体"/>
          <w:sz w:val="19"/>
          <w:szCs w:val="19"/>
          <w:highlight w:val="none"/>
        </w:rPr>
        <w:t>1.2.1询价小组由采购人代表和评审专家两部分（以下简称“评委”）共</w:t>
      </w:r>
      <w:r>
        <w:rPr>
          <w:rFonts w:hint="eastAsia" w:ascii="宋体" w:hAnsi="宋体" w:eastAsia="宋体" w:cs="宋体"/>
          <w:sz w:val="19"/>
          <w:szCs w:val="19"/>
          <w:highlight w:val="none"/>
          <w:u w:val="single"/>
        </w:rPr>
        <w:t>3</w:t>
      </w:r>
      <w:r>
        <w:rPr>
          <w:rFonts w:hint="eastAsia" w:ascii="宋体" w:hAnsi="宋体" w:eastAsia="宋体" w:cs="宋体"/>
          <w:sz w:val="19"/>
          <w:szCs w:val="19"/>
          <w:highlight w:val="none"/>
        </w:rPr>
        <w:t>人组成，其中：采购人代表</w:t>
      </w:r>
      <w:r>
        <w:rPr>
          <w:rFonts w:hint="eastAsia" w:ascii="宋体" w:hAnsi="宋体" w:eastAsia="宋体" w:cs="宋体"/>
          <w:sz w:val="19"/>
          <w:szCs w:val="19"/>
          <w:highlight w:val="none"/>
          <w:u w:val="single"/>
        </w:rPr>
        <w:t>1</w:t>
      </w:r>
      <w:r>
        <w:rPr>
          <w:rFonts w:hint="eastAsia" w:ascii="宋体" w:hAnsi="宋体" w:eastAsia="宋体" w:cs="宋体"/>
          <w:sz w:val="19"/>
          <w:szCs w:val="19"/>
          <w:highlight w:val="none"/>
        </w:rPr>
        <w:t>人由采购人派出，评审专家</w:t>
      </w:r>
      <w:r>
        <w:rPr>
          <w:rFonts w:hint="eastAsia" w:ascii="宋体" w:hAnsi="宋体" w:eastAsia="宋体" w:cs="宋体"/>
          <w:sz w:val="19"/>
          <w:szCs w:val="19"/>
          <w:highlight w:val="none"/>
          <w:u w:val="single"/>
        </w:rPr>
        <w:t>2</w:t>
      </w:r>
      <w:r>
        <w:rPr>
          <w:rFonts w:hint="eastAsia" w:ascii="宋体" w:hAnsi="宋体" w:eastAsia="宋体" w:cs="宋体"/>
          <w:sz w:val="19"/>
          <w:szCs w:val="19"/>
          <w:highlight w:val="none"/>
        </w:rPr>
        <w:t>人由福建省政府采购评审专家库产生。</w:t>
      </w:r>
    </w:p>
    <w:p>
      <w:pPr>
        <w:pStyle w:val="6"/>
        <w:keepNext w:val="0"/>
        <w:keepLines w:val="0"/>
        <w:widowControl/>
        <w:suppressLineNumbers w:val="0"/>
        <w:rPr>
          <w:highlight w:val="none"/>
        </w:rPr>
      </w:pPr>
      <w:r>
        <w:rPr>
          <w:rFonts w:hint="eastAsia" w:ascii="宋体" w:hAnsi="宋体" w:eastAsia="宋体" w:cs="宋体"/>
          <w:sz w:val="19"/>
          <w:szCs w:val="19"/>
          <w:highlight w:val="none"/>
        </w:rPr>
        <w:t>1.2.2询价小组负责具体评审事务，并按照下列原则依法独立履行有关职责：</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（1）评审应保护国家利益、社会公共利益和各方当事人合法权益，提高采购效益，保证项目质量。</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（2）评审应遵循公平、公正、科学、严谨和择优原则。</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（3）评审的依据是询价通知书和响应文件。</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（4）应按照询价通知书规定推荐成交候选人或确定成交人。</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（5）评审应遵守下列评审纪律：</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①评审情况不得私自外泄，有关信息由采购代理机构统一对外发布。</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②对采购方或供应商提供的要求保密的资料，不得摘记翻印和外传。</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③不得收受供应商或有关人员的任何礼物，不得串联鼓动其他人袒护某供应商。若与供应商存在利害关系，则应主动声明并回避。</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④全体评委应按照询价通知书规定进行评审，一切认定事项应查有实据且不得弄虚作假。</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⑤评审中应充分发扬民主，推荐成交候选人或确定成交人后要服从评审报告。</w:t>
      </w:r>
    </w:p>
    <w:p>
      <w:pPr>
        <w:pStyle w:val="6"/>
        <w:keepNext w:val="0"/>
        <w:keepLines w:val="0"/>
        <w:widowControl/>
        <w:suppressLineNumbers w:val="0"/>
        <w:spacing w:before="0" w:beforeAutospacing="1" w:after="0" w:afterAutospacing="1"/>
        <w:ind w:left="0" w:firstLine="384"/>
        <w:rPr>
          <w:highlight w:val="none"/>
        </w:rPr>
      </w:pPr>
      <w:r>
        <w:rPr>
          <w:rStyle w:val="9"/>
          <w:rFonts w:hint="eastAsia" w:ascii="宋体" w:hAnsi="宋体" w:eastAsia="宋体" w:cs="宋体"/>
          <w:sz w:val="19"/>
          <w:szCs w:val="19"/>
          <w:highlight w:val="none"/>
        </w:rPr>
        <w:t>※对违反评审纪律的评委，将取消其评委资格，对评审工作造成严重损失者将予以通报批评乃至追究法律责任。</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二、评审</w:t>
      </w:r>
    </w:p>
    <w:p>
      <w:pPr>
        <w:pStyle w:val="6"/>
        <w:keepNext w:val="0"/>
        <w:keepLines w:val="0"/>
        <w:widowControl/>
        <w:suppressLineNumbers w:val="0"/>
        <w:rPr>
          <w:highlight w:val="none"/>
        </w:rPr>
      </w:pPr>
      <w:r>
        <w:rPr>
          <w:rFonts w:hint="eastAsia" w:ascii="宋体" w:hAnsi="宋体" w:eastAsia="宋体" w:cs="宋体"/>
          <w:sz w:val="19"/>
          <w:szCs w:val="19"/>
          <w:highlight w:val="none"/>
        </w:rPr>
        <w:t>2.1、评审应遵守下列规定：</w:t>
      </w:r>
    </w:p>
    <w:p>
      <w:pPr>
        <w:pStyle w:val="6"/>
        <w:keepNext w:val="0"/>
        <w:keepLines w:val="0"/>
        <w:widowControl/>
        <w:suppressLineNumbers w:val="0"/>
        <w:rPr>
          <w:highlight w:val="none"/>
        </w:rPr>
      </w:pPr>
      <w:r>
        <w:rPr>
          <w:rFonts w:hint="eastAsia" w:ascii="宋体" w:hAnsi="宋体" w:eastAsia="宋体" w:cs="宋体"/>
          <w:sz w:val="19"/>
          <w:szCs w:val="19"/>
          <w:highlight w:val="none"/>
        </w:rPr>
        <w:t>首先进行资格性与符合性审查，其次再进行技术商务及报价部分的评审，最终按照本章第2.2.7条规定的相应评审标准推荐成交候选人。</w:t>
      </w:r>
    </w:p>
    <w:p>
      <w:pPr>
        <w:pStyle w:val="6"/>
        <w:keepNext w:val="0"/>
        <w:keepLines w:val="0"/>
        <w:widowControl/>
        <w:suppressLineNumbers w:val="0"/>
        <w:rPr>
          <w:highlight w:val="none"/>
        </w:rPr>
      </w:pPr>
      <w:r>
        <w:rPr>
          <w:rFonts w:hint="eastAsia" w:ascii="宋体" w:hAnsi="宋体" w:eastAsia="宋体" w:cs="宋体"/>
          <w:sz w:val="19"/>
          <w:szCs w:val="19"/>
          <w:highlight w:val="none"/>
        </w:rPr>
        <w:t>2.2、评审程序</w:t>
      </w:r>
    </w:p>
    <w:p>
      <w:pPr>
        <w:pStyle w:val="6"/>
        <w:keepNext w:val="0"/>
        <w:keepLines w:val="0"/>
        <w:widowControl/>
        <w:suppressLineNumbers w:val="0"/>
        <w:rPr>
          <w:highlight w:val="none"/>
        </w:rPr>
      </w:pPr>
      <w:r>
        <w:rPr>
          <w:rFonts w:hint="eastAsia" w:ascii="宋体" w:hAnsi="宋体" w:eastAsia="宋体" w:cs="宋体"/>
          <w:sz w:val="19"/>
          <w:szCs w:val="19"/>
          <w:highlight w:val="none"/>
        </w:rPr>
        <w:t>2.2.1</w:t>
      </w:r>
      <w:r>
        <w:rPr>
          <w:rStyle w:val="9"/>
          <w:rFonts w:hint="eastAsia" w:ascii="宋体" w:hAnsi="宋体" w:eastAsia="宋体" w:cs="宋体"/>
          <w:sz w:val="19"/>
          <w:szCs w:val="19"/>
          <w:highlight w:val="none"/>
        </w:rPr>
        <w:t>评审前的准备工作</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（1）全体评委应认真审阅询价通知书，了解评委应履行或遵守的职责、义务和评审纪律，并对询价通知书进行确认。</w:t>
      </w:r>
    </w:p>
    <w:p>
      <w:pPr>
        <w:pStyle w:val="6"/>
        <w:keepNext w:val="0"/>
        <w:keepLines w:val="0"/>
        <w:widowControl/>
        <w:suppressLineNumbers w:val="0"/>
        <w:spacing w:before="0" w:beforeAutospacing="1" w:after="0" w:afterAutospacing="1"/>
        <w:ind w:left="0" w:firstLine="384"/>
        <w:rPr>
          <w:highlight w:val="none"/>
        </w:rPr>
      </w:pPr>
      <w:r>
        <w:rPr>
          <w:rFonts w:hint="eastAsia" w:ascii="宋体" w:hAnsi="宋体" w:eastAsia="宋体" w:cs="宋体"/>
          <w:sz w:val="19"/>
          <w:szCs w:val="19"/>
          <w:highlight w:val="none"/>
        </w:rPr>
        <w:t>（2）参加询价小组的采购人代表可对本项目的背景和采购需求进行介绍，介绍材料应以书面形式提交（随采购文件一并存档），介绍内容不得含有歧视性、倾向性意见，不得超出询价通知书所述范围。</w:t>
      </w:r>
    </w:p>
    <w:p>
      <w:pPr>
        <w:pStyle w:val="6"/>
        <w:keepNext w:val="0"/>
        <w:keepLines w:val="0"/>
        <w:widowControl/>
        <w:suppressLineNumbers w:val="0"/>
        <w:rPr>
          <w:highlight w:val="none"/>
        </w:rPr>
      </w:pPr>
      <w:r>
        <w:rPr>
          <w:rFonts w:hint="eastAsia" w:ascii="宋体" w:hAnsi="宋体" w:eastAsia="宋体" w:cs="宋体"/>
          <w:sz w:val="19"/>
          <w:szCs w:val="19"/>
          <w:highlight w:val="none"/>
        </w:rPr>
        <w:t>2.2.2</w:t>
      </w:r>
      <w:r>
        <w:rPr>
          <w:rStyle w:val="9"/>
          <w:rFonts w:hint="eastAsia" w:ascii="宋体" w:hAnsi="宋体" w:eastAsia="宋体" w:cs="宋体"/>
          <w:sz w:val="19"/>
          <w:szCs w:val="19"/>
          <w:highlight w:val="none"/>
        </w:rPr>
        <w:t>资格性审查</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询价小组将根据询价通知书，对供应商提供的资格证明材料进行审查。有任一项资格证明材料不满足资格条件的，视为</w:t>
      </w:r>
      <w:r>
        <w:rPr>
          <w:rStyle w:val="9"/>
          <w:rFonts w:hint="eastAsia" w:ascii="宋体" w:hAnsi="宋体" w:eastAsia="宋体" w:cs="宋体"/>
          <w:sz w:val="19"/>
          <w:szCs w:val="19"/>
          <w:highlight w:val="none"/>
        </w:rPr>
        <w:t>无效响应</w:t>
      </w:r>
      <w:r>
        <w:rPr>
          <w:rFonts w:hint="eastAsia" w:ascii="宋体" w:hAnsi="宋体" w:eastAsia="宋体" w:cs="宋体"/>
          <w:sz w:val="19"/>
          <w:szCs w:val="19"/>
          <w:highlight w:val="none"/>
        </w:rPr>
        <w:t>。若供应商为联合体的，询价小组对联合体各方资格证明文件及联合体协议进行审查，不满足资格条件的，视为</w:t>
      </w:r>
      <w:r>
        <w:rPr>
          <w:rStyle w:val="9"/>
          <w:rFonts w:hint="eastAsia" w:ascii="宋体" w:hAnsi="宋体" w:eastAsia="宋体" w:cs="宋体"/>
          <w:sz w:val="19"/>
          <w:szCs w:val="19"/>
          <w:highlight w:val="none"/>
        </w:rPr>
        <w:t>无效响应</w:t>
      </w:r>
      <w:r>
        <w:rPr>
          <w:rFonts w:hint="eastAsia" w:ascii="宋体" w:hAnsi="宋体" w:eastAsia="宋体" w:cs="宋体"/>
          <w:sz w:val="19"/>
          <w:szCs w:val="19"/>
          <w:highlight w:val="none"/>
        </w:rPr>
        <w:t>。</w:t>
      </w:r>
    </w:p>
    <w:p>
      <w:pPr>
        <w:pStyle w:val="6"/>
        <w:keepNext w:val="0"/>
        <w:keepLines w:val="0"/>
        <w:widowControl/>
        <w:suppressLineNumbers w:val="0"/>
        <w:rPr>
          <w:highlight w:val="none"/>
        </w:rPr>
      </w:pPr>
      <w:r>
        <w:rPr>
          <w:rFonts w:hint="eastAsia" w:ascii="宋体" w:hAnsi="宋体" w:eastAsia="宋体" w:cs="宋体"/>
          <w:sz w:val="19"/>
          <w:szCs w:val="19"/>
          <w:highlight w:val="none"/>
        </w:rPr>
        <w:t>2.2.3</w:t>
      </w:r>
      <w:r>
        <w:rPr>
          <w:rStyle w:val="9"/>
          <w:rFonts w:hint="eastAsia" w:ascii="宋体" w:hAnsi="宋体" w:eastAsia="宋体" w:cs="宋体"/>
          <w:sz w:val="19"/>
          <w:szCs w:val="19"/>
          <w:highlight w:val="none"/>
        </w:rPr>
        <w:t>符合性审查</w:t>
      </w:r>
    </w:p>
    <w:p>
      <w:pPr>
        <w:pStyle w:val="6"/>
        <w:keepNext w:val="0"/>
        <w:keepLines w:val="0"/>
        <w:widowControl/>
        <w:suppressLineNumbers w:val="0"/>
        <w:spacing w:before="60" w:beforeAutospacing="0" w:after="60" w:afterAutospacing="0"/>
        <w:ind w:left="0" w:right="0" w:firstLine="288"/>
        <w:rPr>
          <w:highlight w:val="none"/>
        </w:rPr>
      </w:pPr>
      <w:r>
        <w:rPr>
          <w:rFonts w:hint="eastAsia" w:ascii="宋体" w:hAnsi="宋体" w:eastAsia="宋体" w:cs="宋体"/>
          <w:sz w:val="19"/>
          <w:szCs w:val="19"/>
          <w:highlight w:val="none"/>
        </w:rPr>
        <w:t>有效性、完整性审查。有下列情形之一的，符合性审查不合格，</w:t>
      </w:r>
      <w:r>
        <w:rPr>
          <w:rStyle w:val="9"/>
          <w:rFonts w:hint="eastAsia" w:ascii="宋体" w:hAnsi="宋体" w:eastAsia="宋体" w:cs="宋体"/>
          <w:sz w:val="19"/>
          <w:szCs w:val="19"/>
          <w:highlight w:val="none"/>
        </w:rPr>
        <w:t>响应文件无效</w:t>
      </w:r>
      <w:r>
        <w:rPr>
          <w:rFonts w:hint="eastAsia" w:ascii="宋体" w:hAnsi="宋体" w:eastAsia="宋体" w:cs="宋体"/>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（1）一般情形</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①未按照询价通知书规定提交询价响应声明的；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②未按照询价通知书规定提交询价保证金的；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③响应文件有效期不足的； </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④本项目规定的其他情形：</w:t>
      </w:r>
    </w:p>
    <w:p>
      <w:pPr>
        <w:pStyle w:val="6"/>
        <w:keepNext w:val="0"/>
        <w:keepLines w:val="0"/>
        <w:widowControl/>
        <w:suppressLineNumbers w:val="0"/>
        <w:rPr>
          <w:highlight w:val="none"/>
        </w:rPr>
      </w:pPr>
      <w:r>
        <w:rPr>
          <w:rFonts w:hint="eastAsia" w:ascii="宋体" w:hAnsi="宋体" w:eastAsia="宋体" w:cs="宋体"/>
          <w:sz w:val="19"/>
          <w:szCs w:val="19"/>
          <w:highlight w:val="none"/>
        </w:rPr>
        <w:t>      包：1</w:t>
      </w:r>
      <w:r>
        <w:rPr>
          <w:rFonts w:hint="eastAsia" w:ascii="宋体" w:hAnsi="宋体" w:eastAsia="宋体" w:cs="宋体"/>
          <w:sz w:val="19"/>
          <w:szCs w:val="19"/>
          <w:highlight w:val="none"/>
        </w:rPr>
        <w:br w:type="textWrapping"/>
      </w:r>
      <w:r>
        <w:rPr>
          <w:rFonts w:hint="eastAsia" w:ascii="宋体" w:hAnsi="宋体" w:eastAsia="宋体" w:cs="宋体"/>
          <w:sz w:val="19"/>
          <w:szCs w:val="19"/>
          <w:highlight w:val="none"/>
        </w:rPr>
        <w:t>包一般情形</w:t>
      </w:r>
      <w:r>
        <w:rPr>
          <w:highlight w:val="none"/>
        </w:rPr>
        <w:br w:type="textWrapping"/>
      </w:r>
      <w:r>
        <w:rPr>
          <w:rStyle w:val="9"/>
          <w:sz w:val="19"/>
          <w:szCs w:val="19"/>
          <w:highlight w:val="none"/>
        </w:rPr>
        <w:t>         无</w:t>
      </w:r>
    </w:p>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br w:type="textWrapping"/>
      </w:r>
      <w:r>
        <w:rPr>
          <w:rFonts w:ascii="宋体" w:hAnsi="宋体" w:eastAsia="宋体" w:cs="宋体"/>
          <w:kern w:val="0"/>
          <w:sz w:val="24"/>
          <w:szCs w:val="24"/>
          <w:highlight w:val="none"/>
          <w:lang w:val="en-US" w:eastAsia="zh-CN" w:bidi="ar"/>
        </w:rPr>
        <w:t>技术符合性</w:t>
      </w:r>
    </w:p>
    <w:tbl>
      <w:tblPr>
        <w:tblStyle w:val="7"/>
        <w:tblW w:w="5000"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blCellSpacing w:w="0" w:type="dxa"/>
        </w:trPr>
        <w:tc>
          <w:tcPr>
            <w:tcW w:w="5000" w:type="pct"/>
            <w:shd w:val="clear" w:color="auto" w:fill="auto"/>
            <w:vAlign w:val="center"/>
          </w:tcPr>
          <w:p>
            <w:pPr>
              <w:keepNext w:val="0"/>
              <w:keepLines w:val="0"/>
              <w:widowControl/>
              <w:suppressLineNumbers w:val="0"/>
              <w:jc w:val="center"/>
              <w:rPr>
                <w:b/>
                <w:bCs/>
                <w:highlight w:val="none"/>
              </w:rPr>
            </w:pPr>
            <w:r>
              <w:rPr>
                <w:rFonts w:ascii="宋体" w:hAnsi="宋体" w:eastAsia="宋体" w:cs="宋体"/>
                <w:b/>
                <w:bCs/>
                <w:kern w:val="0"/>
                <w:sz w:val="24"/>
                <w:szCs w:val="24"/>
                <w:highlight w:val="none"/>
                <w:lang w:val="en-US" w:eastAsia="zh-CN" w:bidi="ar"/>
              </w:rPr>
              <w:t>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000" w:type="pct"/>
            <w:shd w:val="clear" w:color="auto" w:fill="auto"/>
            <w:vAlign w:val="center"/>
          </w:tcPr>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t>第四章《询价内容及要求》“二、技术要求”中有任意一项负偏离的</w:t>
            </w:r>
          </w:p>
        </w:tc>
      </w:tr>
    </w:tbl>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br w:type="textWrapping"/>
      </w:r>
      <w:r>
        <w:rPr>
          <w:rFonts w:ascii="宋体" w:hAnsi="宋体" w:eastAsia="宋体" w:cs="宋体"/>
          <w:kern w:val="0"/>
          <w:sz w:val="24"/>
          <w:szCs w:val="24"/>
          <w:highlight w:val="none"/>
          <w:lang w:val="en-US" w:eastAsia="zh-CN" w:bidi="ar"/>
        </w:rPr>
        <w:t>商务符合性</w:t>
      </w:r>
    </w:p>
    <w:tbl>
      <w:tblPr>
        <w:tblStyle w:val="7"/>
        <w:tblW w:w="5000" w:type="pct"/>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blCellSpacing w:w="0" w:type="dxa"/>
        </w:trPr>
        <w:tc>
          <w:tcPr>
            <w:tcW w:w="5000" w:type="pct"/>
            <w:shd w:val="clear" w:color="auto" w:fill="auto"/>
            <w:vAlign w:val="center"/>
          </w:tcPr>
          <w:p>
            <w:pPr>
              <w:keepNext w:val="0"/>
              <w:keepLines w:val="0"/>
              <w:widowControl/>
              <w:suppressLineNumbers w:val="0"/>
              <w:jc w:val="center"/>
              <w:rPr>
                <w:b/>
                <w:bCs/>
                <w:highlight w:val="none"/>
              </w:rPr>
            </w:pPr>
            <w:r>
              <w:rPr>
                <w:rFonts w:ascii="宋体" w:hAnsi="宋体" w:eastAsia="宋体" w:cs="宋体"/>
                <w:b/>
                <w:bCs/>
                <w:kern w:val="0"/>
                <w:sz w:val="24"/>
                <w:szCs w:val="24"/>
                <w:highlight w:val="none"/>
                <w:lang w:val="en-US" w:eastAsia="zh-CN" w:bidi="ar"/>
              </w:rPr>
              <w:t>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0" w:type="auto"/>
            <w:shd w:val="clear" w:color="auto" w:fill="auto"/>
            <w:vAlign w:val="center"/>
          </w:tcPr>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t>交付地点、交付时间、交付条件、支付方式、售后服务等商务条件不满足询价文件要求</w:t>
            </w:r>
          </w:p>
        </w:tc>
      </w:tr>
    </w:tbl>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br w:type="textWrapping"/>
      </w:r>
      <w:r>
        <w:rPr>
          <w:rFonts w:ascii="宋体" w:hAnsi="宋体" w:eastAsia="宋体" w:cs="宋体"/>
          <w:kern w:val="0"/>
          <w:sz w:val="24"/>
          <w:szCs w:val="24"/>
          <w:highlight w:val="none"/>
          <w:lang w:val="en-US" w:eastAsia="zh-CN" w:bidi="ar"/>
        </w:rPr>
        <w:t>附加符合性</w:t>
      </w:r>
      <w:r>
        <w:rPr>
          <w:rFonts w:ascii="宋体" w:hAnsi="宋体" w:eastAsia="宋体" w:cs="宋体"/>
          <w:kern w:val="0"/>
          <w:sz w:val="24"/>
          <w:szCs w:val="24"/>
          <w:highlight w:val="none"/>
          <w:lang w:val="en-US" w:eastAsia="zh-CN" w:bidi="ar"/>
        </w:rPr>
        <w:br w:type="textWrapping"/>
      </w:r>
      <w:r>
        <w:rPr>
          <w:rStyle w:val="9"/>
          <w:rFonts w:ascii="宋体" w:hAnsi="宋体" w:eastAsia="宋体" w:cs="宋体"/>
          <w:kern w:val="0"/>
          <w:sz w:val="19"/>
          <w:szCs w:val="19"/>
          <w:highlight w:val="none"/>
          <w:lang w:val="en-US" w:eastAsia="zh-CN" w:bidi="ar"/>
        </w:rPr>
        <w:t>         无</w:t>
      </w:r>
      <w:r>
        <w:rPr>
          <w:rFonts w:ascii="宋体" w:hAnsi="宋体" w:eastAsia="宋体" w:cs="宋体"/>
          <w:kern w:val="0"/>
          <w:sz w:val="24"/>
          <w:szCs w:val="24"/>
          <w:highlight w:val="none"/>
          <w:lang w:val="en-US" w:eastAsia="zh-CN" w:bidi="ar"/>
        </w:rPr>
        <w:br w:type="textWrapping"/>
      </w:r>
      <w:r>
        <w:rPr>
          <w:rFonts w:ascii="宋体" w:hAnsi="宋体" w:eastAsia="宋体" w:cs="宋体"/>
          <w:kern w:val="0"/>
          <w:sz w:val="24"/>
          <w:szCs w:val="24"/>
          <w:highlight w:val="none"/>
          <w:lang w:val="en-US" w:eastAsia="zh-CN" w:bidi="ar"/>
        </w:rPr>
        <w:br w:type="textWrapping"/>
      </w:r>
      <w:r>
        <w:rPr>
          <w:rFonts w:ascii="宋体" w:hAnsi="宋体" w:eastAsia="宋体" w:cs="宋体"/>
          <w:kern w:val="0"/>
          <w:sz w:val="24"/>
          <w:szCs w:val="24"/>
          <w:highlight w:val="none"/>
          <w:lang w:val="en-US" w:eastAsia="zh-CN" w:bidi="ar"/>
        </w:rPr>
        <w:t>价格符合性</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2.2.4</w:t>
      </w:r>
      <w:r>
        <w:rPr>
          <w:rStyle w:val="9"/>
          <w:rFonts w:hint="eastAsia" w:ascii="宋体" w:hAnsi="宋体" w:eastAsia="宋体" w:cs="宋体"/>
          <w:sz w:val="19"/>
          <w:szCs w:val="19"/>
          <w:highlight w:val="none"/>
        </w:rPr>
        <w:t>响应程度审查</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（1）审查响应文件是否与询价通知书要求的实质性条款、条件和规格相符。</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（2）响应文件是否实质性响应询价通知书，由询价小组依据询价通知书规定和响应文件内容认定。有任一项实质性要求条款偏离的，视为</w:t>
      </w:r>
      <w:r>
        <w:rPr>
          <w:rStyle w:val="9"/>
          <w:rFonts w:hint="eastAsia" w:ascii="宋体" w:hAnsi="宋体" w:eastAsia="宋体" w:cs="宋体"/>
          <w:sz w:val="19"/>
          <w:szCs w:val="19"/>
          <w:highlight w:val="none"/>
        </w:rPr>
        <w:t>无效响应</w:t>
      </w:r>
      <w:r>
        <w:rPr>
          <w:rFonts w:hint="eastAsia" w:ascii="宋体" w:hAnsi="宋体" w:eastAsia="宋体" w:cs="宋体"/>
          <w:sz w:val="19"/>
          <w:szCs w:val="19"/>
          <w:highlight w:val="none"/>
        </w:rPr>
        <w:t>。</w:t>
      </w:r>
    </w:p>
    <w:p>
      <w:pPr>
        <w:pStyle w:val="6"/>
        <w:keepNext w:val="0"/>
        <w:keepLines w:val="0"/>
        <w:widowControl/>
        <w:suppressLineNumbers w:val="0"/>
        <w:rPr>
          <w:highlight w:val="none"/>
        </w:rPr>
      </w:pPr>
      <w:r>
        <w:rPr>
          <w:rFonts w:hint="eastAsia" w:ascii="宋体" w:hAnsi="宋体" w:eastAsia="宋体" w:cs="宋体"/>
          <w:sz w:val="19"/>
          <w:szCs w:val="19"/>
          <w:highlight w:val="none"/>
        </w:rPr>
        <w:t>2.2.5</w:t>
      </w:r>
      <w:r>
        <w:rPr>
          <w:rStyle w:val="9"/>
          <w:rFonts w:hint="eastAsia" w:ascii="宋体" w:hAnsi="宋体" w:eastAsia="宋体" w:cs="宋体"/>
          <w:sz w:val="19"/>
          <w:szCs w:val="19"/>
          <w:highlight w:val="none"/>
        </w:rPr>
        <w:t>澄清</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1）询价小组在对响应文件的有效性、完整性和对询价通知书的响应程度进行审查时，可以以书面形式要求供应商对响应文件中含义不明确、同类问题表述不一致或有明显文字和计算错误的内容，作出必要的澄清、说明或更正。</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2）供应商的澄清、说明或更正应当采用书面形式，由其单位负责人或其授权代表签字，前述澄清、说明或更正不得超出响应文件的范围或改变响应文件的实质性内容。若供应商未按前述规定向询价小组提交书面澄清、说明或更正，则询价小组将按照不利于供应商的内容进行认定。</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（3）关于报价计算错误修正的原则</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①报价一览表内容与分项报价表内容不一致的，以报价一览表为准；</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②大写金额和小写金额不一致的，以大写金额为准；</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③单价金额小数点或百分比有明显错位的，以报价一览表的总价为准，并修改单价。</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④总价金额与按单价汇总金额不一致的，以单价金额计算结果为准；</w:t>
      </w:r>
    </w:p>
    <w:p>
      <w:pPr>
        <w:pStyle w:val="6"/>
        <w:keepNext w:val="0"/>
        <w:keepLines w:val="0"/>
        <w:widowControl/>
        <w:suppressLineNumbers w:val="0"/>
        <w:spacing w:before="60" w:beforeAutospacing="0" w:after="60" w:afterAutospacing="0"/>
        <w:ind w:left="0" w:right="0" w:firstLine="384"/>
        <w:rPr>
          <w:highlight w:val="none"/>
        </w:rPr>
      </w:pPr>
      <w:r>
        <w:rPr>
          <w:rStyle w:val="9"/>
          <w:rFonts w:hint="eastAsia" w:ascii="宋体" w:hAnsi="宋体" w:eastAsia="宋体" w:cs="宋体"/>
          <w:sz w:val="19"/>
          <w:szCs w:val="19"/>
          <w:highlight w:val="none"/>
        </w:rPr>
        <w:t>※同时出现两种以上不一致的，按照前款规定的顺序修正。若询价小组按照上述规定修正，则相应供应商应予接受且修正后的报价对其起约束作用。若供应商不接受修正或未按照询价小组的要求提交修正后的报价确认意见，则视为该供应商未实质性响应询价通知书要求，其符合性检查不合格且询价保证金将不予退还。</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（4）关于细微偏差</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①细微偏差指响应文件实质性响应询价通知书要求，但在个别地方存在漏项或提供了不完整的技术信息和数据等情况，并且补正这些遗漏或不完整不会对其他供应商造成不公平的结果。细微偏差不影响响应文件的有效性。</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②询价小组将以书面形式要求存在细微偏差的供应商在询价小组规定的时间内予以补正。若无法补正，则询价小组将按照不利于供应商的内容进行认定。</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（5）关于响应描述（即响应文件中描述的内容）</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①响应描述前后不一致且不涉及证明材料的：按照本章第4.5条第（1）、（2）款规定执行。</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②响应描述与证明材料不一致或多份证明材料之间不一致的：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a.询价小组将要求供应商进行书面澄清，并按照不利于供应商的内容进行评审。</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b.供应商按要求进行澄清的，采购人以澄清内容为准进行验收；供应商未按要求进行澄清的，采购人以响应描述或证明材料中有利于采购人的内容进行验收。供应商应对证明材料的真实性、有效性承担责任。</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③若成交人的响应描述存在前后不一致、与证明材料不一致或多份证明材料之间不一致情形之一但在评审中未能发现，则采购人将以响应描述或证明材料中有利于采购人的内容进行验收，成交人应自行承担由此产生的风险及费用。</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④响应文件提供的全部资料中，若原件属于非中文描述，但响应文件未提供中文译本或提供的中文译本不符合询价通知书第二章第9.3条第（2）款规定，则该资料</w:t>
      </w:r>
      <w:r>
        <w:rPr>
          <w:rStyle w:val="9"/>
          <w:rFonts w:hint="eastAsia" w:ascii="宋体" w:hAnsi="宋体" w:eastAsia="宋体" w:cs="宋体"/>
          <w:sz w:val="19"/>
          <w:szCs w:val="19"/>
          <w:highlight w:val="none"/>
        </w:rPr>
        <w:t>视为无效。</w:t>
      </w:r>
    </w:p>
    <w:p>
      <w:pPr>
        <w:pStyle w:val="6"/>
        <w:keepNext w:val="0"/>
        <w:keepLines w:val="0"/>
        <w:widowControl/>
        <w:suppressLineNumbers w:val="0"/>
        <w:rPr>
          <w:highlight w:val="none"/>
        </w:rPr>
      </w:pPr>
      <w:r>
        <w:rPr>
          <w:rFonts w:hint="eastAsia" w:ascii="宋体" w:hAnsi="宋体" w:eastAsia="宋体" w:cs="宋体"/>
          <w:sz w:val="19"/>
          <w:szCs w:val="19"/>
          <w:highlight w:val="none"/>
        </w:rPr>
        <w:t>2.2.6</w:t>
      </w:r>
      <w:r>
        <w:rPr>
          <w:rStyle w:val="9"/>
          <w:rFonts w:hint="eastAsia" w:ascii="宋体" w:hAnsi="宋体" w:eastAsia="宋体" w:cs="宋体"/>
          <w:sz w:val="19"/>
          <w:szCs w:val="19"/>
          <w:highlight w:val="none"/>
        </w:rPr>
        <w:t>询价</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（1）询价小组在询价过程中，不得改变询价通知书所确定的技术和服务等要求、评审程序、评定成交的标准和合同文本等事项。</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（2）关于同品牌同型号产品规定：对单一品目或报价核心产品多家供应商用同一品牌同一型号产品参加同一个项目报价的，应作为一家供应商计算。</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（3）漏（缺）项</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①询价通知书中要求列入报价的费用（含配置、功能），漏（缺）项的报价视为已经包括在报价总价中。</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z w:val="19"/>
          <w:szCs w:val="19"/>
          <w:highlight w:val="none"/>
        </w:rPr>
        <w:t>②对多报项及赠送项的价格评审时不予核减，全部进入评审价评议。</w:t>
      </w:r>
    </w:p>
    <w:p>
      <w:pPr>
        <w:pStyle w:val="6"/>
        <w:keepNext w:val="0"/>
        <w:keepLines w:val="0"/>
        <w:widowControl/>
        <w:suppressLineNumbers w:val="0"/>
        <w:rPr>
          <w:highlight w:val="none"/>
        </w:rPr>
      </w:pPr>
      <w:r>
        <w:rPr>
          <w:rFonts w:hint="eastAsia" w:ascii="宋体" w:hAnsi="宋体" w:eastAsia="宋体" w:cs="宋体"/>
          <w:sz w:val="19"/>
          <w:szCs w:val="19"/>
          <w:highlight w:val="none"/>
        </w:rPr>
        <w:t>   （4）评审过程中，询价小组认为供应商的报价明显低于其他通过符合性审查供应商的报价，有可能影响产品质量或不能诚信履约的，应要求其在评审现场合理的时间内提供书面说明，并提交相关证明材料；供应商不能证明其报价合理性的，询价小组应当将其作为无效响应文件。</w:t>
      </w:r>
    </w:p>
    <w:p>
      <w:pPr>
        <w:pStyle w:val="6"/>
        <w:keepNext w:val="0"/>
        <w:keepLines w:val="0"/>
        <w:widowControl/>
        <w:suppressLineNumbers w:val="0"/>
        <w:rPr>
          <w:highlight w:val="none"/>
        </w:rPr>
      </w:pPr>
      <w:r>
        <w:rPr>
          <w:rFonts w:hint="eastAsia" w:ascii="宋体" w:hAnsi="宋体" w:eastAsia="宋体" w:cs="宋体"/>
          <w:sz w:val="19"/>
          <w:szCs w:val="19"/>
          <w:highlight w:val="none"/>
        </w:rPr>
        <w:t>2.2.7</w:t>
      </w:r>
      <w:r>
        <w:rPr>
          <w:rStyle w:val="9"/>
          <w:rFonts w:hint="eastAsia" w:ascii="宋体" w:hAnsi="宋体" w:eastAsia="宋体" w:cs="宋体"/>
          <w:sz w:val="19"/>
          <w:szCs w:val="19"/>
          <w:highlight w:val="none"/>
        </w:rPr>
        <w:t>推荐成交候选人</w:t>
      </w:r>
      <w:r>
        <w:rPr>
          <w:rFonts w:hint="eastAsia" w:ascii="宋体" w:hAnsi="宋体" w:eastAsia="宋体" w:cs="宋体"/>
          <w:sz w:val="19"/>
          <w:szCs w:val="19"/>
          <w:highlight w:val="none"/>
        </w:rPr>
        <w:br w:type="textWrapping"/>
      </w:r>
      <w:r>
        <w:rPr>
          <w:rFonts w:hint="eastAsia" w:ascii="宋体" w:hAnsi="宋体" w:eastAsia="宋体" w:cs="宋体"/>
          <w:sz w:val="19"/>
          <w:szCs w:val="19"/>
          <w:highlight w:val="none"/>
        </w:rPr>
        <w:t>  </w:t>
      </w:r>
    </w:p>
    <w:p>
      <w:pPr>
        <w:pStyle w:val="6"/>
        <w:keepNext w:val="0"/>
        <w:keepLines w:val="0"/>
        <w:widowControl/>
        <w:suppressLineNumbers w:val="0"/>
        <w:shd w:val="clear" w:fill="FFFFFF"/>
        <w:spacing w:before="0" w:beforeAutospacing="0" w:after="120" w:afterAutospacing="0"/>
        <w:rPr>
          <w:rFonts w:hint="eastAsia" w:ascii="微软雅黑" w:hAnsi="微软雅黑" w:eastAsia="微软雅黑" w:cs="微软雅黑"/>
          <w:color w:val="393939"/>
          <w:sz w:val="15"/>
          <w:szCs w:val="15"/>
          <w:highlight w:val="none"/>
        </w:rPr>
      </w:pPr>
      <w:r>
        <w:rPr>
          <w:rStyle w:val="9"/>
          <w:rFonts w:hint="eastAsia" w:ascii="宋体" w:hAnsi="宋体" w:eastAsia="宋体" w:cs="宋体"/>
          <w:color w:val="393939"/>
          <w:sz w:val="19"/>
          <w:szCs w:val="19"/>
          <w:highlight w:val="none"/>
          <w:shd w:val="clear" w:fill="FFFFFF"/>
        </w:rPr>
        <w:t>合同包</w:t>
      </w:r>
      <w:r>
        <w:rPr>
          <w:rStyle w:val="9"/>
          <w:rFonts w:hint="default" w:ascii="Times New Roman" w:hAnsi="Times New Roman" w:eastAsia="宋体" w:cs="Times New Roman"/>
          <w:color w:val="393939"/>
          <w:sz w:val="19"/>
          <w:szCs w:val="19"/>
          <w:highlight w:val="none"/>
          <w:shd w:val="clear" w:fill="FFFFFF"/>
        </w:rPr>
        <w:t>1</w:t>
      </w:r>
      <w:r>
        <w:rPr>
          <w:rStyle w:val="9"/>
          <w:rFonts w:hint="eastAsia" w:ascii="Times New Roman" w:hAnsi="Times New Roman" w:eastAsia="宋体" w:cs="Times New Roman"/>
          <w:color w:val="393939"/>
          <w:sz w:val="19"/>
          <w:szCs w:val="19"/>
          <w:highlight w:val="none"/>
          <w:shd w:val="clear" w:fill="FFFFFF"/>
          <w:lang w:eastAsia="zh-CN"/>
        </w:rPr>
        <w:t>，</w:t>
      </w:r>
      <w:r>
        <w:rPr>
          <w:rStyle w:val="9"/>
          <w:rFonts w:hint="eastAsia" w:ascii="Times New Roman" w:hAnsi="Times New Roman" w:eastAsia="宋体" w:cs="Times New Roman"/>
          <w:color w:val="393939"/>
          <w:sz w:val="19"/>
          <w:szCs w:val="19"/>
          <w:highlight w:val="none"/>
          <w:shd w:val="clear" w:fill="FFFFFF"/>
          <w:lang w:val="en-US" w:eastAsia="zh-CN"/>
        </w:rPr>
        <w:t>2，3</w:t>
      </w:r>
      <w:r>
        <w:rPr>
          <w:rStyle w:val="9"/>
          <w:rFonts w:hint="eastAsia" w:ascii="宋体" w:hAnsi="宋体" w:eastAsia="宋体" w:cs="宋体"/>
          <w:color w:val="393939"/>
          <w:sz w:val="19"/>
          <w:szCs w:val="19"/>
          <w:highlight w:val="none"/>
          <w:shd w:val="clear" w:fill="FFFFFF"/>
        </w:rPr>
        <w:t>采用最低评标价法</w:t>
      </w:r>
      <w:r>
        <w:rPr>
          <w:rFonts w:hint="eastAsia" w:ascii="宋体" w:hAnsi="宋体" w:eastAsia="宋体" w:cs="宋体"/>
          <w:color w:val="393939"/>
          <w:sz w:val="19"/>
          <w:szCs w:val="19"/>
          <w:highlight w:val="none"/>
          <w:shd w:val="clear" w:fill="FFFFFF"/>
        </w:rPr>
        <w:t>：</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（1）在全部满足招标文件实质性要求前提下，按照统一的价格要素评定最低报价，以提出最低报价的投标人作为中标候选人。</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（2）价格扣除规则如下：</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a.小型、微型企业产品：</w:t>
      </w:r>
      <w:r>
        <w:rPr>
          <w:rFonts w:hint="eastAsia" w:ascii="宋体" w:hAnsi="宋体" w:eastAsia="宋体" w:cs="宋体"/>
          <w:color w:val="393939"/>
          <w:sz w:val="19"/>
          <w:szCs w:val="19"/>
          <w:highlight w:val="none"/>
          <w:u w:val="single"/>
          <w:shd w:val="clear" w:fill="FFFFFF"/>
        </w:rPr>
        <w:t>1、对小、微企业报价给予 15%（工程项目为 3%）的扣除。 2、联合协议或分包意向协议约定小微企业的合同份额占到合同总金额 30%以上的，对联合体或者大中型企业的报价给予 5%（工程项目为 1%）的扣除。 3、监狱企业视同上述中小企业享受政府采购扶持政策。 4、残疾人福利性单位提供本单位制造的货物、承担的工程或服务，或提供其他残疾人福利性单位制造的货物（不包括使用非残疾人福利性单位注册商标的货物），对报价给予 10%（工程项目为 3%）的扣除</w:t>
      </w:r>
      <w:r>
        <w:rPr>
          <w:rFonts w:hint="eastAsia" w:ascii="宋体" w:hAnsi="宋体" w:eastAsia="宋体" w:cs="宋体"/>
          <w:color w:val="393939"/>
          <w:sz w:val="19"/>
          <w:szCs w:val="19"/>
          <w:highlight w:val="none"/>
          <w:u w:val="single"/>
          <w:shd w:val="clear" w:fill="FFFFFF"/>
          <w:lang w:eastAsia="zh-CN"/>
        </w:rPr>
        <w:t>。</w:t>
      </w:r>
      <w:r>
        <w:rPr>
          <w:rFonts w:hint="eastAsia" w:ascii="宋体" w:hAnsi="宋体" w:eastAsia="宋体" w:cs="宋体"/>
          <w:color w:val="393939"/>
          <w:sz w:val="19"/>
          <w:szCs w:val="19"/>
          <w:highlight w:val="none"/>
          <w:u w:val="single"/>
          <w:shd w:val="clear" w:fill="FFFFFF"/>
          <w:lang w:val="en-US" w:eastAsia="zh-CN"/>
        </w:rPr>
        <w:t>5、本项目为货物类采购项目，合同包1，2，3采购标的对应的中小企业划分标准所属行业为工业</w:t>
      </w:r>
      <w:r>
        <w:rPr>
          <w:rFonts w:hint="eastAsia" w:ascii="宋体" w:hAnsi="宋体" w:eastAsia="宋体" w:cs="宋体"/>
          <w:color w:val="393939"/>
          <w:sz w:val="19"/>
          <w:szCs w:val="19"/>
          <w:highlight w:val="none"/>
          <w:shd w:val="clear" w:fill="FFFFFF"/>
        </w:rPr>
        <w:t>。</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b.优先类节能产品、环境标志产品：</w:t>
      </w:r>
      <w:r>
        <w:rPr>
          <w:rFonts w:hint="eastAsia" w:ascii="宋体" w:hAnsi="宋体" w:eastAsia="宋体" w:cs="宋体"/>
          <w:color w:val="393939"/>
          <w:sz w:val="19"/>
          <w:szCs w:val="19"/>
          <w:highlight w:val="none"/>
          <w:u w:val="single"/>
          <w:shd w:val="clear" w:fill="FFFFFF"/>
        </w:rPr>
        <w:t> 无 </w:t>
      </w:r>
      <w:r>
        <w:rPr>
          <w:rFonts w:hint="eastAsia" w:ascii="宋体" w:hAnsi="宋体" w:eastAsia="宋体" w:cs="宋体"/>
          <w:color w:val="393939"/>
          <w:sz w:val="19"/>
          <w:szCs w:val="19"/>
          <w:highlight w:val="none"/>
          <w:shd w:val="clear" w:fill="FFFFFF"/>
        </w:rPr>
        <w:t>。</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c.若节能、环境标志产品仅是构成投标产品的部件、组件或零件，则该投标产品不享受鼓励优惠政策。同一品目中各认证证书不重复计算价格扣除。强制类节能产品不享受价格扣除。</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d.其他：无。。</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Style w:val="9"/>
          <w:rFonts w:hint="eastAsia" w:ascii="宋体" w:hAnsi="宋体" w:eastAsia="宋体" w:cs="宋体"/>
          <w:color w:val="393939"/>
          <w:sz w:val="19"/>
          <w:szCs w:val="19"/>
          <w:highlight w:val="none"/>
          <w:shd w:val="clear" w:fill="FFFFFF"/>
        </w:rPr>
        <w:t>※除本章第</w:t>
      </w:r>
      <w:r>
        <w:rPr>
          <w:rStyle w:val="9"/>
          <w:rFonts w:hint="default" w:ascii="Times New Roman" w:hAnsi="Times New Roman" w:eastAsia="宋体" w:cs="Times New Roman"/>
          <w:color w:val="393939"/>
          <w:sz w:val="19"/>
          <w:szCs w:val="19"/>
          <w:highlight w:val="none"/>
          <w:shd w:val="clear" w:fill="FFFFFF"/>
        </w:rPr>
        <w:t>4.3</w:t>
      </w:r>
      <w:r>
        <w:rPr>
          <w:rStyle w:val="9"/>
          <w:rFonts w:hint="eastAsia" w:ascii="宋体" w:hAnsi="宋体" w:eastAsia="宋体" w:cs="宋体"/>
          <w:color w:val="393939"/>
          <w:sz w:val="19"/>
          <w:szCs w:val="19"/>
          <w:highlight w:val="none"/>
          <w:shd w:val="clear" w:fill="FFFFFF"/>
        </w:rPr>
        <w:t>条第（</w:t>
      </w:r>
      <w:r>
        <w:rPr>
          <w:rStyle w:val="9"/>
          <w:rFonts w:hint="default" w:ascii="Times New Roman" w:hAnsi="Times New Roman" w:eastAsia="宋体" w:cs="Times New Roman"/>
          <w:color w:val="393939"/>
          <w:sz w:val="19"/>
          <w:szCs w:val="19"/>
          <w:highlight w:val="none"/>
          <w:shd w:val="clear" w:fill="FFFFFF"/>
        </w:rPr>
        <w:t>3</w:t>
      </w:r>
      <w:r>
        <w:rPr>
          <w:rStyle w:val="9"/>
          <w:rFonts w:hint="eastAsia" w:ascii="宋体" w:hAnsi="宋体" w:eastAsia="宋体" w:cs="宋体"/>
          <w:color w:val="393939"/>
          <w:sz w:val="19"/>
          <w:szCs w:val="19"/>
          <w:highlight w:val="none"/>
          <w:shd w:val="clear" w:fill="FFFFFF"/>
        </w:rPr>
        <w:t>）款规定情形和根据政府采购政策应进行价格扣除的情形外，不能对投标人的投标报价进行任何调整。</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（3）中标候选人排列规则顺序如下：</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a.按照评标价（即价格扣除后的投标报价）由低到高顺序排列。</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b.评标价相同的，按照投标报价由低到高顺序排列。</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c.投标报价相同的，按照技术指标优劣顺序排列。</w:t>
      </w:r>
    </w:p>
    <w:p>
      <w:pPr>
        <w:pStyle w:val="6"/>
        <w:keepNext w:val="0"/>
        <w:keepLines w:val="0"/>
        <w:widowControl/>
        <w:suppressLineNumbers w:val="0"/>
        <w:shd w:val="clear" w:fill="FFFFFF"/>
        <w:spacing w:before="0" w:beforeAutospacing="0" w:after="120" w:afterAutospacing="0"/>
        <w:ind w:left="0" w:firstLine="384"/>
        <w:rPr>
          <w:rFonts w:hint="eastAsia" w:ascii="微软雅黑" w:hAnsi="微软雅黑" w:eastAsia="微软雅黑" w:cs="微软雅黑"/>
          <w:color w:val="393939"/>
          <w:sz w:val="15"/>
          <w:szCs w:val="15"/>
          <w:highlight w:val="none"/>
        </w:rPr>
      </w:pPr>
      <w:r>
        <w:rPr>
          <w:rFonts w:hint="eastAsia" w:ascii="宋体" w:hAnsi="宋体" w:eastAsia="宋体" w:cs="宋体"/>
          <w:color w:val="393939"/>
          <w:sz w:val="19"/>
          <w:szCs w:val="19"/>
          <w:highlight w:val="none"/>
          <w:shd w:val="clear" w:fill="FFFFFF"/>
        </w:rPr>
        <w:t>d.其他：无。</w:t>
      </w:r>
    </w:p>
    <w:p>
      <w:pPr>
        <w:pStyle w:val="6"/>
        <w:keepNext w:val="0"/>
        <w:keepLines w:val="0"/>
        <w:widowControl/>
        <w:suppressLineNumbers w:val="0"/>
        <w:rPr>
          <w:highlight w:val="none"/>
        </w:rPr>
      </w:pPr>
    </w:p>
    <w:p>
      <w:pPr>
        <w:pStyle w:val="6"/>
        <w:keepNext w:val="0"/>
        <w:keepLines w:val="0"/>
        <w:widowControl/>
        <w:suppressLineNumbers w:val="0"/>
        <w:rPr>
          <w:highlight w:val="none"/>
        </w:rPr>
      </w:pPr>
      <w:r>
        <w:rPr>
          <w:rStyle w:val="9"/>
          <w:rFonts w:hint="eastAsia" w:ascii="宋体" w:hAnsi="宋体" w:eastAsia="宋体" w:cs="宋体"/>
          <w:color w:val="393939"/>
          <w:sz w:val="19"/>
          <w:szCs w:val="19"/>
          <w:highlight w:val="none"/>
        </w:rPr>
        <w:t>   ※除本章第</w:t>
      </w:r>
      <w:r>
        <w:rPr>
          <w:rStyle w:val="9"/>
          <w:rFonts w:hint="default" w:ascii="Times New Roman" w:hAnsi="Times New Roman" w:cs="Times New Roman"/>
          <w:color w:val="393939"/>
          <w:sz w:val="19"/>
          <w:szCs w:val="19"/>
          <w:highlight w:val="none"/>
        </w:rPr>
        <w:t>2.2.5</w:t>
      </w:r>
      <w:r>
        <w:rPr>
          <w:rStyle w:val="9"/>
          <w:rFonts w:hint="eastAsia" w:ascii="宋体" w:hAnsi="宋体" w:eastAsia="宋体" w:cs="宋体"/>
          <w:color w:val="393939"/>
          <w:sz w:val="19"/>
          <w:szCs w:val="19"/>
          <w:highlight w:val="none"/>
        </w:rPr>
        <w:t>条第（</w:t>
      </w:r>
      <w:r>
        <w:rPr>
          <w:rStyle w:val="9"/>
          <w:rFonts w:hint="default" w:ascii="Times New Roman" w:hAnsi="Times New Roman" w:cs="Times New Roman"/>
          <w:color w:val="393939"/>
          <w:sz w:val="19"/>
          <w:szCs w:val="19"/>
          <w:highlight w:val="none"/>
        </w:rPr>
        <w:t>3</w:t>
      </w:r>
      <w:r>
        <w:rPr>
          <w:rStyle w:val="9"/>
          <w:rFonts w:hint="eastAsia" w:ascii="宋体" w:hAnsi="宋体" w:eastAsia="宋体" w:cs="宋体"/>
          <w:color w:val="393939"/>
          <w:sz w:val="19"/>
          <w:szCs w:val="19"/>
          <w:highlight w:val="none"/>
        </w:rPr>
        <w:t>）款规定情形和根据政府采购政策应进行价格扣除的情形外，不能对供应商的报价进行任何调整。</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Style w:val="9"/>
          <w:rFonts w:hint="eastAsia" w:ascii="宋体" w:hAnsi="宋体" w:eastAsia="宋体" w:cs="宋体"/>
          <w:color w:val="393939"/>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color w:val="393939"/>
          <w:sz w:val="19"/>
          <w:szCs w:val="19"/>
          <w:highlight w:val="none"/>
        </w:rPr>
        <w:t>三、评审报告</w:t>
      </w:r>
    </w:p>
    <w:p>
      <w:pPr>
        <w:pStyle w:val="6"/>
        <w:keepNext w:val="0"/>
        <w:keepLines w:val="0"/>
        <w:widowControl/>
        <w:suppressLineNumbers w:val="0"/>
        <w:spacing w:before="60" w:beforeAutospacing="0" w:after="60" w:afterAutospacing="0" w:line="324" w:lineRule="atLeast"/>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line="324" w:lineRule="atLeast"/>
        <w:ind w:left="0" w:right="0" w:firstLine="192"/>
        <w:rPr>
          <w:highlight w:val="none"/>
        </w:rPr>
      </w:pPr>
      <w:r>
        <w:rPr>
          <w:rFonts w:hint="eastAsia" w:ascii="宋体" w:hAnsi="宋体" w:eastAsia="宋体" w:cs="宋体"/>
          <w:sz w:val="19"/>
          <w:szCs w:val="19"/>
          <w:highlight w:val="none"/>
        </w:rPr>
        <w:t>3.1询价小组完成评审后，应当编写评审报告并提交给采购代理机构，采购代理机构应当在评审结束后2个工作日内将评审报告送采购人确认。</w:t>
      </w:r>
    </w:p>
    <w:p>
      <w:pPr>
        <w:pStyle w:val="6"/>
        <w:keepNext w:val="0"/>
        <w:keepLines w:val="0"/>
        <w:widowControl/>
        <w:suppressLineNumbers w:val="0"/>
        <w:spacing w:before="60" w:beforeAutospacing="0" w:after="60" w:afterAutospacing="0" w:line="324" w:lineRule="atLeast"/>
        <w:ind w:left="0" w:right="0" w:firstLine="192"/>
        <w:rPr>
          <w:highlight w:val="none"/>
        </w:rPr>
      </w:pPr>
      <w:r>
        <w:rPr>
          <w:rFonts w:hint="eastAsia" w:ascii="宋体" w:hAnsi="宋体" w:eastAsia="宋体" w:cs="宋体"/>
          <w:sz w:val="19"/>
          <w:szCs w:val="19"/>
          <w:highlight w:val="none"/>
        </w:rPr>
        <w:t>3.2评审报告应当包括以下主要内容：</w:t>
      </w:r>
    </w:p>
    <w:p>
      <w:pPr>
        <w:pStyle w:val="6"/>
        <w:keepNext w:val="0"/>
        <w:keepLines w:val="0"/>
        <w:widowControl/>
        <w:suppressLineNumbers w:val="0"/>
        <w:spacing w:before="60" w:beforeAutospacing="0" w:after="60" w:afterAutospacing="0" w:line="324" w:lineRule="atLeast"/>
        <w:ind w:left="0" w:right="0" w:firstLine="384"/>
        <w:rPr>
          <w:highlight w:val="none"/>
        </w:rPr>
      </w:pPr>
      <w:r>
        <w:rPr>
          <w:rFonts w:hint="eastAsia" w:ascii="宋体" w:hAnsi="宋体" w:eastAsia="宋体" w:cs="宋体"/>
          <w:sz w:val="19"/>
          <w:szCs w:val="19"/>
          <w:highlight w:val="none"/>
        </w:rPr>
        <w:t>（一）邀请供应商参加采购活动的具体方式和相关情况，以及参加采购活动的供应商名单；</w:t>
      </w:r>
    </w:p>
    <w:p>
      <w:pPr>
        <w:pStyle w:val="6"/>
        <w:keepNext w:val="0"/>
        <w:keepLines w:val="0"/>
        <w:widowControl/>
        <w:suppressLineNumbers w:val="0"/>
        <w:spacing w:before="60" w:beforeAutospacing="0" w:after="60" w:afterAutospacing="0" w:line="324" w:lineRule="atLeast"/>
        <w:ind w:left="0" w:right="0" w:firstLine="384"/>
        <w:rPr>
          <w:highlight w:val="none"/>
        </w:rPr>
      </w:pPr>
      <w:r>
        <w:rPr>
          <w:rFonts w:hint="eastAsia" w:ascii="宋体" w:hAnsi="宋体" w:eastAsia="宋体" w:cs="宋体"/>
          <w:sz w:val="19"/>
          <w:szCs w:val="19"/>
          <w:highlight w:val="none"/>
        </w:rPr>
        <w:t>（二）评审日期和地点，询价小组成员名单；</w:t>
      </w:r>
    </w:p>
    <w:p>
      <w:pPr>
        <w:pStyle w:val="6"/>
        <w:keepNext w:val="0"/>
        <w:keepLines w:val="0"/>
        <w:widowControl/>
        <w:suppressLineNumbers w:val="0"/>
        <w:spacing w:before="60" w:beforeAutospacing="0" w:after="60" w:afterAutospacing="0" w:line="324" w:lineRule="atLeast"/>
        <w:ind w:left="0" w:right="0" w:firstLine="384"/>
        <w:rPr>
          <w:highlight w:val="none"/>
        </w:rPr>
      </w:pPr>
      <w:r>
        <w:rPr>
          <w:rFonts w:hint="eastAsia" w:ascii="宋体" w:hAnsi="宋体" w:eastAsia="宋体" w:cs="宋体"/>
          <w:sz w:val="19"/>
          <w:szCs w:val="19"/>
          <w:highlight w:val="none"/>
        </w:rPr>
        <w:t>（三）评审情况记录和说明，包括对供应商的资格审查情况、供应商响应文件评审情况、报价情况等；</w:t>
      </w:r>
    </w:p>
    <w:p>
      <w:pPr>
        <w:pStyle w:val="6"/>
        <w:keepNext w:val="0"/>
        <w:keepLines w:val="0"/>
        <w:widowControl/>
        <w:suppressLineNumbers w:val="0"/>
        <w:spacing w:before="60" w:beforeAutospacing="0" w:after="60" w:afterAutospacing="0" w:line="324" w:lineRule="atLeast"/>
        <w:ind w:left="0" w:right="0" w:firstLine="384"/>
        <w:rPr>
          <w:highlight w:val="none"/>
        </w:rPr>
      </w:pPr>
      <w:r>
        <w:rPr>
          <w:rFonts w:hint="eastAsia" w:ascii="宋体" w:hAnsi="宋体" w:eastAsia="宋体" w:cs="宋体"/>
          <w:sz w:val="19"/>
          <w:szCs w:val="19"/>
          <w:highlight w:val="none"/>
        </w:rPr>
        <w:t>（四）提出的成交候选人的名单及理由。</w:t>
      </w:r>
    </w:p>
    <w:p>
      <w:pPr>
        <w:pStyle w:val="6"/>
        <w:keepNext w:val="0"/>
        <w:keepLines w:val="0"/>
        <w:widowControl/>
        <w:suppressLineNumbers w:val="0"/>
        <w:spacing w:before="60" w:beforeAutospacing="0" w:after="60" w:afterAutospacing="0" w:line="324" w:lineRule="atLeast"/>
        <w:ind w:left="0" w:right="0" w:firstLine="192"/>
        <w:rPr>
          <w:highlight w:val="none"/>
        </w:rPr>
      </w:pPr>
      <w:r>
        <w:rPr>
          <w:rFonts w:hint="eastAsia" w:ascii="宋体" w:hAnsi="宋体" w:eastAsia="宋体" w:cs="宋体"/>
          <w:sz w:val="19"/>
          <w:szCs w:val="19"/>
          <w:highlight w:val="none"/>
        </w:rPr>
        <w:t>3.3评审报告应当由询价小组全体人员签字认可。询价小组成员对评审报告有异议的，询价小组按照少数服从多数的原则推荐成交候选人，采购程序继续进行。对评审报告有异议的询价小组成员，应当在报告上签署不同意见并说明理由，由询价小组书面记录相关情况。询价小组成员拒绝在报告上签字又不书面说明其不同意见和理由的，视为同意评审报告。</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四、其他规定</w:t>
      </w:r>
    </w:p>
    <w:p>
      <w:pPr>
        <w:pStyle w:val="6"/>
        <w:keepNext w:val="0"/>
        <w:keepLines w:val="0"/>
        <w:widowControl/>
        <w:suppressLineNumbers w:val="0"/>
        <w:rPr>
          <w:highlight w:val="none"/>
        </w:rPr>
      </w:pPr>
      <w:r>
        <w:rPr>
          <w:rFonts w:hint="eastAsia" w:ascii="宋体" w:hAnsi="宋体" w:eastAsia="宋体" w:cs="宋体"/>
          <w:sz w:val="19"/>
          <w:szCs w:val="19"/>
          <w:highlight w:val="none"/>
        </w:rPr>
        <w:t>4、其他规定</w:t>
      </w:r>
    </w:p>
    <w:p>
      <w:pPr>
        <w:pStyle w:val="6"/>
        <w:keepNext w:val="0"/>
        <w:keepLines w:val="0"/>
        <w:widowControl/>
        <w:suppressLineNumbers w:val="0"/>
        <w:rPr>
          <w:highlight w:val="none"/>
        </w:rPr>
      </w:pPr>
      <w:r>
        <w:rPr>
          <w:rFonts w:hint="eastAsia" w:ascii="宋体" w:hAnsi="宋体" w:eastAsia="宋体" w:cs="宋体"/>
          <w:sz w:val="19"/>
          <w:szCs w:val="19"/>
          <w:highlight w:val="none"/>
        </w:rPr>
        <w:t>4.1评审应全程保密且不得透露给任一供应商或与评审工作无关的人员。</w:t>
      </w:r>
    </w:p>
    <w:p>
      <w:pPr>
        <w:pStyle w:val="6"/>
        <w:keepNext w:val="0"/>
        <w:keepLines w:val="0"/>
        <w:widowControl/>
        <w:suppressLineNumbers w:val="0"/>
        <w:rPr>
          <w:highlight w:val="none"/>
        </w:rPr>
      </w:pPr>
      <w:r>
        <w:rPr>
          <w:rFonts w:hint="eastAsia" w:ascii="宋体" w:hAnsi="宋体" w:eastAsia="宋体" w:cs="宋体"/>
          <w:sz w:val="19"/>
          <w:szCs w:val="19"/>
          <w:highlight w:val="none"/>
        </w:rPr>
        <w:t>4.2评审将进行全程实时录音录像，录音录像资料随采购文件一并存档。</w:t>
      </w:r>
    </w:p>
    <w:p>
      <w:pPr>
        <w:pStyle w:val="6"/>
        <w:keepNext w:val="0"/>
        <w:keepLines w:val="0"/>
        <w:widowControl/>
        <w:suppressLineNumbers w:val="0"/>
        <w:rPr>
          <w:highlight w:val="none"/>
        </w:rPr>
      </w:pPr>
      <w:r>
        <w:rPr>
          <w:rFonts w:hint="eastAsia" w:ascii="宋体" w:hAnsi="宋体" w:eastAsia="宋体" w:cs="宋体"/>
          <w:sz w:val="19"/>
          <w:szCs w:val="19"/>
          <w:highlight w:val="none"/>
        </w:rPr>
        <w:t>4.3若供应商有任何试图干扰具体评审事务，影响询价小组独立履行职责的行为，</w:t>
      </w:r>
      <w:r>
        <w:rPr>
          <w:rStyle w:val="9"/>
          <w:rFonts w:hint="eastAsia" w:ascii="宋体" w:hAnsi="宋体" w:eastAsia="宋体" w:cs="宋体"/>
          <w:sz w:val="19"/>
          <w:szCs w:val="19"/>
          <w:highlight w:val="none"/>
        </w:rPr>
        <w:t>其报价无效且不予退还报价保证金</w:t>
      </w:r>
      <w:r>
        <w:rPr>
          <w:rFonts w:hint="eastAsia" w:ascii="宋体" w:hAnsi="宋体" w:eastAsia="宋体" w:cs="宋体"/>
          <w:sz w:val="19"/>
          <w:szCs w:val="19"/>
          <w:highlight w:val="none"/>
        </w:rPr>
        <w:t>。情节严重的，由财政部门列入不良行为记录。</w:t>
      </w:r>
    </w:p>
    <w:p>
      <w:pPr>
        <w:pStyle w:val="6"/>
        <w:keepNext w:val="0"/>
        <w:keepLines w:val="0"/>
        <w:widowControl/>
        <w:suppressLineNumbers w:val="0"/>
        <w:rPr>
          <w:highlight w:val="none"/>
        </w:rPr>
      </w:pPr>
      <w:r>
        <w:rPr>
          <w:rFonts w:hint="eastAsia" w:ascii="宋体" w:hAnsi="宋体" w:eastAsia="宋体" w:cs="宋体"/>
          <w:sz w:val="19"/>
          <w:szCs w:val="19"/>
          <w:highlight w:val="none"/>
        </w:rPr>
        <w:t>4.4其他：无。</w:t>
      </w:r>
    </w:p>
    <w:p>
      <w:pPr>
        <w:pStyle w:val="6"/>
        <w:keepNext w:val="0"/>
        <w:keepLines w:val="0"/>
        <w:widowControl/>
        <w:suppressLineNumbers w:val="0"/>
        <w:ind w:left="0" w:firstLine="0"/>
        <w:rPr>
          <w:rFonts w:hint="eastAsia" w:ascii="微软雅黑" w:hAnsi="微软雅黑" w:eastAsia="微软雅黑" w:cs="微软雅黑"/>
          <w:i w:val="0"/>
          <w:iCs w:val="0"/>
          <w:caps w:val="0"/>
          <w:color w:val="000000"/>
          <w:spacing w:val="0"/>
          <w:sz w:val="27"/>
          <w:szCs w:val="27"/>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both"/>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both"/>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sz w:val="28"/>
          <w:szCs w:val="28"/>
          <w:highlight w:val="none"/>
        </w:rPr>
      </w:pPr>
      <w:r>
        <w:rPr>
          <w:rStyle w:val="9"/>
          <w:rFonts w:hint="eastAsia" w:ascii="宋体" w:hAnsi="宋体" w:eastAsia="宋体" w:cs="宋体"/>
          <w:sz w:val="28"/>
          <w:szCs w:val="28"/>
          <w:highlight w:val="none"/>
        </w:rPr>
        <w:t>第四章   询价内容及要求</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numPr>
          <w:ilvl w:val="0"/>
          <w:numId w:val="1"/>
        </w:numPr>
        <w:suppressLineNumbers w:val="0"/>
        <w:rPr>
          <w:rFonts w:hint="eastAsia" w:ascii="宋体" w:hAnsi="宋体" w:eastAsia="宋体" w:cs="宋体"/>
          <w:sz w:val="24"/>
          <w:szCs w:val="24"/>
          <w:highlight w:val="none"/>
        </w:rPr>
      </w:pPr>
      <w:r>
        <w:rPr>
          <w:rFonts w:hint="eastAsia" w:ascii="宋体" w:hAnsi="宋体" w:eastAsia="宋体" w:cs="宋体"/>
          <w:sz w:val="24"/>
          <w:szCs w:val="24"/>
          <w:highlight w:val="none"/>
        </w:rPr>
        <w:t>（根据本项目实际情况，填写“采购标的”或“项目概况”）</w:t>
      </w:r>
    </w:p>
    <w:p>
      <w:pPr>
        <w:numPr>
          <w:ilvl w:val="0"/>
          <w:numId w:val="0"/>
        </w:numPr>
        <w:ind w:firstLine="420" w:firstLineChars="200"/>
        <w:rPr>
          <w:rFonts w:hint="eastAsia"/>
          <w:highlight w:val="none"/>
        </w:rPr>
      </w:pPr>
      <w:r>
        <w:rPr>
          <w:rFonts w:hint="eastAsia"/>
          <w:highlight w:val="none"/>
        </w:rPr>
        <w:t>1、投标人为本次项目提供的货物必须通过合法渠道获得，具有在中国境内的合法使用权和用户保护权，且要求货物及配件为原厂产品，货物的制造标准及技术规范等有关资料必须符合相关标准、规范要求。</w:t>
      </w:r>
    </w:p>
    <w:p>
      <w:pPr>
        <w:numPr>
          <w:ilvl w:val="0"/>
          <w:numId w:val="0"/>
        </w:numPr>
        <w:ind w:firstLine="420" w:firstLineChars="200"/>
        <w:rPr>
          <w:highlight w:val="none"/>
        </w:rPr>
      </w:pPr>
      <w:r>
        <w:rPr>
          <w:rFonts w:hint="eastAsia"/>
          <w:highlight w:val="none"/>
        </w:rPr>
        <w:t>2、评审与授标以合同包为单位，投标人以合同包为单位投标报价，合同包内所有品目号内容投标时必须</w:t>
      </w:r>
      <w:r>
        <w:rPr>
          <w:rFonts w:hint="eastAsia"/>
          <w:highlight w:val="none"/>
          <w:lang w:eastAsia="zh-CN"/>
        </w:rPr>
        <w:t>报价</w:t>
      </w:r>
      <w:r>
        <w:rPr>
          <w:rFonts w:hint="eastAsia"/>
          <w:highlight w:val="none"/>
        </w:rPr>
        <w:t>完整。</w:t>
      </w:r>
    </w:p>
    <w:p>
      <w:pPr>
        <w:pStyle w:val="6"/>
        <w:keepNext w:val="0"/>
        <w:keepLines w:val="0"/>
        <w:widowControl/>
        <w:suppressLineNumbers w:val="0"/>
        <w:rPr>
          <w:rStyle w:val="9"/>
          <w:rFonts w:hint="eastAsia" w:ascii="宋体" w:hAnsi="宋体" w:eastAsia="宋体" w:cs="宋体"/>
          <w:sz w:val="21"/>
          <w:szCs w:val="21"/>
          <w:highlight w:val="none"/>
        </w:rPr>
      </w:pPr>
      <w:r>
        <w:rPr>
          <w:rFonts w:hint="eastAsia" w:ascii="宋体" w:hAnsi="宋体" w:eastAsia="宋体" w:cs="宋体"/>
          <w:sz w:val="24"/>
          <w:szCs w:val="24"/>
          <w:highlight w:val="none"/>
        </w:rPr>
        <w:t>二、技术要求</w:t>
      </w:r>
      <w:r>
        <w:rPr>
          <w:rStyle w:val="9"/>
          <w:rFonts w:hint="eastAsia" w:ascii="宋体" w:hAnsi="宋体" w:eastAsia="宋体" w:cs="宋体"/>
          <w:sz w:val="24"/>
          <w:szCs w:val="24"/>
          <w:highlight w:val="none"/>
        </w:rPr>
        <w:t>（以下内容不允许负偏离）</w:t>
      </w:r>
    </w:p>
    <w:tbl>
      <w:tblPr>
        <w:tblStyle w:val="7"/>
        <w:tblW w:w="52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6"/>
        <w:gridCol w:w="1416"/>
        <w:gridCol w:w="4040"/>
        <w:gridCol w:w="930"/>
        <w:gridCol w:w="693"/>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合同包1：教玩具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数学区（小班）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货物名称</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规模技术参数</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小小分类车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材质：HDPP。产品内含96个中英文卡片和一本说明书，小朋友通过小卡片放入4个分类小垃圾桶中，学习物品认知，垃圾分类认知，安装小汽车锻炼动手能力。</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规格约：140*220*310mm。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236220</wp:posOffset>
                  </wp:positionV>
                  <wp:extent cx="624840" cy="708660"/>
                  <wp:effectExtent l="0" t="0" r="3810" b="15240"/>
                  <wp:wrapNone/>
                  <wp:docPr id="1" name="13_SpCnt_1"/>
                  <wp:cNvGraphicFramePr/>
                  <a:graphic xmlns:a="http://schemas.openxmlformats.org/drawingml/2006/main">
                    <a:graphicData uri="http://schemas.openxmlformats.org/drawingml/2006/picture">
                      <pic:pic xmlns:pic="http://schemas.openxmlformats.org/drawingml/2006/picture">
                        <pic:nvPicPr>
                          <pic:cNvPr id="1" name="13_SpCnt_1"/>
                          <pic:cNvPicPr/>
                        </pic:nvPicPr>
                        <pic:blipFill>
                          <a:blip r:embed="rId6"/>
                          <a:stretch>
                            <a:fillRect/>
                          </a:stretch>
                        </pic:blipFill>
                        <pic:spPr>
                          <a:xfrm>
                            <a:off x="0" y="0"/>
                            <a:ext cx="624840" cy="70866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274320</wp:posOffset>
                  </wp:positionV>
                  <wp:extent cx="464820" cy="0"/>
                  <wp:effectExtent l="0" t="0" r="0" b="0"/>
                  <wp:wrapNone/>
                  <wp:docPr id="15" name="13"/>
                  <wp:cNvGraphicFramePr/>
                  <a:graphic xmlns:a="http://schemas.openxmlformats.org/drawingml/2006/main">
                    <a:graphicData uri="http://schemas.openxmlformats.org/drawingml/2006/picture">
                      <pic:pic xmlns:pic="http://schemas.openxmlformats.org/drawingml/2006/picture">
                        <pic:nvPicPr>
                          <pic:cNvPr id="15" name="13"/>
                          <pic:cNvPicPr/>
                        </pic:nvPicPr>
                        <pic:blipFill>
                          <a:blip r:embed="rId7"/>
                          <a:stretch>
                            <a:fillRect/>
                          </a:stretch>
                        </pic:blipFill>
                        <pic:spPr>
                          <a:xfrm>
                            <a:off x="0" y="0"/>
                            <a:ext cx="46482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8"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彩虹积木</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材质：PP与ABS，140粒，12款车辆包装规格：24x25x19CM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194310</wp:posOffset>
                  </wp:positionV>
                  <wp:extent cx="770255" cy="689610"/>
                  <wp:effectExtent l="0" t="0" r="10795" b="15240"/>
                  <wp:wrapNone/>
                  <wp:docPr id="2" name="Obraz_3"/>
                  <wp:cNvGraphicFramePr/>
                  <a:graphic xmlns:a="http://schemas.openxmlformats.org/drawingml/2006/main">
                    <a:graphicData uri="http://schemas.openxmlformats.org/drawingml/2006/picture">
                      <pic:pic xmlns:pic="http://schemas.openxmlformats.org/drawingml/2006/picture">
                        <pic:nvPicPr>
                          <pic:cNvPr id="2" name="Obraz_3"/>
                          <pic:cNvPicPr/>
                        </pic:nvPicPr>
                        <pic:blipFill>
                          <a:blip r:embed="rId8"/>
                          <a:stretch>
                            <a:fillRect/>
                          </a:stretch>
                        </pic:blipFill>
                        <pic:spPr>
                          <a:xfrm>
                            <a:off x="0" y="0"/>
                            <a:ext cx="770255" cy="689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螺丝螺母游戏</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材质：PP。</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尺寸：螺栓直径约5cm，高度约5cm。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红、黄、蓝、绿各8个。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可以进行颜色、形状配对， 也可以通过对螺丝螺母的螺旋、拧，锻炼手眼协 调及手部小肌肉</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237490</wp:posOffset>
                  </wp:positionV>
                  <wp:extent cx="660400" cy="581660"/>
                  <wp:effectExtent l="0" t="0" r="6350" b="8890"/>
                  <wp:wrapNone/>
                  <wp:docPr id="4" name="15_SpCnt_1"/>
                  <wp:cNvGraphicFramePr/>
                  <a:graphic xmlns:a="http://schemas.openxmlformats.org/drawingml/2006/main">
                    <a:graphicData uri="http://schemas.openxmlformats.org/drawingml/2006/picture">
                      <pic:pic xmlns:pic="http://schemas.openxmlformats.org/drawingml/2006/picture">
                        <pic:nvPicPr>
                          <pic:cNvPr id="4" name="15_SpCnt_1"/>
                          <pic:cNvPicPr/>
                        </pic:nvPicPr>
                        <pic:blipFill>
                          <a:blip r:embed="rId9"/>
                          <a:stretch>
                            <a:fillRect/>
                          </a:stretch>
                        </pic:blipFill>
                        <pic:spPr>
                          <a:xfrm>
                            <a:off x="0" y="0"/>
                            <a:ext cx="660400" cy="5816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198120</wp:posOffset>
                  </wp:positionV>
                  <wp:extent cx="548640" cy="0"/>
                  <wp:effectExtent l="0" t="0" r="0" b="0"/>
                  <wp:wrapNone/>
                  <wp:docPr id="3" name="15"/>
                  <wp:cNvGraphicFramePr/>
                  <a:graphic xmlns:a="http://schemas.openxmlformats.org/drawingml/2006/main">
                    <a:graphicData uri="http://schemas.openxmlformats.org/drawingml/2006/picture">
                      <pic:pic xmlns:pic="http://schemas.openxmlformats.org/drawingml/2006/picture">
                        <pic:nvPicPr>
                          <pic:cNvPr id="3" name="15"/>
                          <pic:cNvPicPr/>
                        </pic:nvPicPr>
                        <pic:blipFill>
                          <a:blip r:embed="rId7"/>
                          <a:stretch>
                            <a:fillRect/>
                          </a:stretch>
                        </pic:blipFill>
                        <pic:spPr>
                          <a:xfrm>
                            <a:off x="0" y="0"/>
                            <a:ext cx="54864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6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单色形状分类拼图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规格：34*34cm；材质：实木制；包装：盒装。</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144780</wp:posOffset>
                  </wp:positionV>
                  <wp:extent cx="784860" cy="822960"/>
                  <wp:effectExtent l="0" t="0" r="15240" b="15240"/>
                  <wp:wrapNone/>
                  <wp:docPr id="5" name="Picture_133"/>
                  <wp:cNvGraphicFramePr/>
                  <a:graphic xmlns:a="http://schemas.openxmlformats.org/drawingml/2006/main">
                    <a:graphicData uri="http://schemas.openxmlformats.org/drawingml/2006/picture">
                      <pic:pic xmlns:pic="http://schemas.openxmlformats.org/drawingml/2006/picture">
                        <pic:nvPicPr>
                          <pic:cNvPr id="5" name="Picture_133"/>
                          <pic:cNvPicPr/>
                        </pic:nvPicPr>
                        <pic:blipFill>
                          <a:blip r:embed="rId10"/>
                          <a:stretch>
                            <a:fillRect/>
                          </a:stretch>
                        </pic:blipFill>
                        <pic:spPr>
                          <a:xfrm>
                            <a:off x="0" y="0"/>
                            <a:ext cx="784860" cy="822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钥匙拼图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材质：底座/榉木（使用浅色榉木）、钥匙片/槐木，柱子/榉木；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产品尺寸约：30*7.5*7.5cm；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积木片：厚度约1cm；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中间圆柱：直径约1.5cm；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底座约：30*7.5*1.5cm；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部件：单孔钥匙：深蓝*1，橙色*1，浅绿*1；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“一”形双孔钥匙：紫色*1，深绿*1，红色*1；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三孔钥匙：黄色*1，深蓝*1，粉色*1；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“L”形双孔钥匙：浅蓝*1，红色*1，黄色*1；</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462915</wp:posOffset>
                  </wp:positionV>
                  <wp:extent cx="845820" cy="701040"/>
                  <wp:effectExtent l="0" t="0" r="11430" b="3810"/>
                  <wp:wrapNone/>
                  <wp:docPr id="6" name="0"/>
                  <wp:cNvGraphicFramePr/>
                  <a:graphic xmlns:a="http://schemas.openxmlformats.org/drawingml/2006/main">
                    <a:graphicData uri="http://schemas.openxmlformats.org/drawingml/2006/picture">
                      <pic:pic xmlns:pic="http://schemas.openxmlformats.org/drawingml/2006/picture">
                        <pic:nvPicPr>
                          <pic:cNvPr id="6" name="0"/>
                          <pic:cNvPicPr/>
                        </pic:nvPicPr>
                        <pic:blipFill>
                          <a:blip r:embed="rId11"/>
                          <a:stretch>
                            <a:fillRect/>
                          </a:stretch>
                        </pic:blipFill>
                        <pic:spPr>
                          <a:xfrm>
                            <a:off x="0" y="0"/>
                            <a:ext cx="845820" cy="7010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441960</wp:posOffset>
                  </wp:positionV>
                  <wp:extent cx="541020" cy="0"/>
                  <wp:effectExtent l="0" t="0" r="0" b="0"/>
                  <wp:wrapNone/>
                  <wp:docPr id="7" name="0_SpCnt_1"/>
                  <wp:cNvGraphicFramePr/>
                  <a:graphic xmlns:a="http://schemas.openxmlformats.org/drawingml/2006/main">
                    <a:graphicData uri="http://schemas.openxmlformats.org/drawingml/2006/picture">
                      <pic:pic xmlns:pic="http://schemas.openxmlformats.org/drawingml/2006/picture">
                        <pic:nvPicPr>
                          <pic:cNvPr id="7" name="0_SpCnt_1"/>
                          <pic:cNvPicPr/>
                        </pic:nvPicPr>
                        <pic:blipFill>
                          <a:blip r:embed="rId7"/>
                          <a:stretch>
                            <a:fillRect/>
                          </a:stretch>
                        </pic:blipFill>
                        <pic:spPr>
                          <a:xfrm>
                            <a:off x="0" y="0"/>
                            <a:ext cx="54102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木钟</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材质：橡胶木；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直径约: 22cm,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钟盘的厚度约：5cm.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数字积木高度约：3.7CM,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盆内开口约1.5cm；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部件：2个颜色形状不一的积木，及2个指针及一个针轴。</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368935</wp:posOffset>
                  </wp:positionV>
                  <wp:extent cx="817245" cy="535940"/>
                  <wp:effectExtent l="0" t="0" r="1905" b="16510"/>
                  <wp:wrapNone/>
                  <wp:docPr id="8" name="图片_564"/>
                  <wp:cNvGraphicFramePr/>
                  <a:graphic xmlns:a="http://schemas.openxmlformats.org/drawingml/2006/main">
                    <a:graphicData uri="http://schemas.openxmlformats.org/drawingml/2006/picture">
                      <pic:pic xmlns:pic="http://schemas.openxmlformats.org/drawingml/2006/picture">
                        <pic:nvPicPr>
                          <pic:cNvPr id="8" name="图片_564"/>
                          <pic:cNvPicPr/>
                        </pic:nvPicPr>
                        <pic:blipFill>
                          <a:blip r:embed="rId12"/>
                          <a:stretch>
                            <a:fillRect/>
                          </a:stretch>
                        </pic:blipFill>
                        <pic:spPr>
                          <a:xfrm>
                            <a:off x="0" y="0"/>
                            <a:ext cx="817245" cy="535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小片鱼</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材质：安全塑料；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尺寸：4cm；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红、黄、蓝、绿、紫、各28个，含教具盒。</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173355</wp:posOffset>
                  </wp:positionV>
                  <wp:extent cx="723900" cy="784860"/>
                  <wp:effectExtent l="0" t="0" r="0" b="15240"/>
                  <wp:wrapNone/>
                  <wp:docPr id="9" name="17"/>
                  <wp:cNvGraphicFramePr/>
                  <a:graphic xmlns:a="http://schemas.openxmlformats.org/drawingml/2006/main">
                    <a:graphicData uri="http://schemas.openxmlformats.org/drawingml/2006/picture">
                      <pic:pic xmlns:pic="http://schemas.openxmlformats.org/drawingml/2006/picture">
                        <pic:nvPicPr>
                          <pic:cNvPr id="9" name="17"/>
                          <pic:cNvPicPr/>
                        </pic:nvPicPr>
                        <pic:blipFill>
                          <a:blip r:embed="rId13"/>
                          <a:stretch>
                            <a:fillRect/>
                          </a:stretch>
                        </pic:blipFill>
                        <pic:spPr>
                          <a:xfrm>
                            <a:off x="0" y="0"/>
                            <a:ext cx="723900" cy="784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GAM数字小卡</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材质：PP；白色数字卡片，小中大合计36块。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31115</wp:posOffset>
                  </wp:positionV>
                  <wp:extent cx="809625" cy="647700"/>
                  <wp:effectExtent l="0" t="0" r="0" b="0"/>
                  <wp:wrapNone/>
                  <wp:docPr id="10" name="16"/>
                  <wp:cNvGraphicFramePr/>
                  <a:graphic xmlns:a="http://schemas.openxmlformats.org/drawingml/2006/main">
                    <a:graphicData uri="http://schemas.openxmlformats.org/drawingml/2006/picture">
                      <pic:pic xmlns:pic="http://schemas.openxmlformats.org/drawingml/2006/picture">
                        <pic:nvPicPr>
                          <pic:cNvPr id="10" name="16"/>
                          <pic:cNvPicPr/>
                        </pic:nvPicPr>
                        <pic:blipFill>
                          <a:blip r:embed="rId14"/>
                          <a:stretch>
                            <a:fillRect/>
                          </a:stretch>
                        </pic:blipFill>
                        <pic:spPr>
                          <a:xfrm>
                            <a:off x="0" y="0"/>
                            <a:ext cx="809625" cy="647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积木宝宝排排队</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积木：34个，规格：长方形：60*32mm、厚15mm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正方形：40*40mm、厚15mm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圆形：直径40mm、厚15mm，材质：密度板；串绳：8根，规格：长800mm、两端塑封20mm，直径2mm，材质：棉质；操作卡：16张，规格：260*92.5mm（14张）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16开（185*260mm）2张，材质：纸质；情境图：4张，规格：16开（185*260mm），材质：纸质；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1311275</wp:posOffset>
                  </wp:positionV>
                  <wp:extent cx="773430" cy="285750"/>
                  <wp:effectExtent l="0" t="0" r="7620" b="0"/>
                  <wp:wrapNone/>
                  <wp:docPr id="11" name="Picture_66"/>
                  <wp:cNvGraphicFramePr/>
                  <a:graphic xmlns:a="http://schemas.openxmlformats.org/drawingml/2006/main">
                    <a:graphicData uri="http://schemas.openxmlformats.org/drawingml/2006/picture">
                      <pic:pic xmlns:pic="http://schemas.openxmlformats.org/drawingml/2006/picture">
                        <pic:nvPicPr>
                          <pic:cNvPr id="11" name="Picture_66"/>
                          <pic:cNvPicPr/>
                        </pic:nvPicPr>
                        <pic:blipFill>
                          <a:blip r:embed="rId15"/>
                          <a:stretch>
                            <a:fillRect/>
                          </a:stretch>
                        </pic:blipFill>
                        <pic:spPr>
                          <a:xfrm>
                            <a:off x="0" y="0"/>
                            <a:ext cx="773430" cy="28575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289560</wp:posOffset>
                  </wp:positionV>
                  <wp:extent cx="434340" cy="0"/>
                  <wp:effectExtent l="0" t="0" r="0" b="0"/>
                  <wp:wrapNone/>
                  <wp:docPr id="12" name="90"/>
                  <wp:cNvGraphicFramePr/>
                  <a:graphic xmlns:a="http://schemas.openxmlformats.org/drawingml/2006/main">
                    <a:graphicData uri="http://schemas.openxmlformats.org/drawingml/2006/picture">
                      <pic:pic xmlns:pic="http://schemas.openxmlformats.org/drawingml/2006/picture">
                        <pic:nvPicPr>
                          <pic:cNvPr id="12" name="90"/>
                          <pic:cNvPicPr/>
                        </pic:nvPicPr>
                        <pic:blipFill>
                          <a:blip r:embed="rId7"/>
                          <a:stretch>
                            <a:fillRect/>
                          </a:stretch>
                        </pic:blipFill>
                        <pic:spPr>
                          <a:xfrm>
                            <a:off x="0" y="0"/>
                            <a:ext cx="43434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289560</wp:posOffset>
                  </wp:positionV>
                  <wp:extent cx="434340" cy="0"/>
                  <wp:effectExtent l="0" t="0" r="0" b="0"/>
                  <wp:wrapNone/>
                  <wp:docPr id="13" name="90_SpCnt_1"/>
                  <wp:cNvGraphicFramePr/>
                  <a:graphic xmlns:a="http://schemas.openxmlformats.org/drawingml/2006/main">
                    <a:graphicData uri="http://schemas.openxmlformats.org/drawingml/2006/picture">
                      <pic:pic xmlns:pic="http://schemas.openxmlformats.org/drawingml/2006/picture">
                        <pic:nvPicPr>
                          <pic:cNvPr id="13" name="90_SpCnt_1"/>
                          <pic:cNvPicPr/>
                        </pic:nvPicPr>
                        <pic:blipFill>
                          <a:blip r:embed="rId7"/>
                          <a:stretch>
                            <a:fillRect/>
                          </a:stretch>
                        </pic:blipFill>
                        <pic:spPr>
                          <a:xfrm>
                            <a:off x="0" y="0"/>
                            <a:ext cx="43434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289560</wp:posOffset>
                  </wp:positionV>
                  <wp:extent cx="434340" cy="0"/>
                  <wp:effectExtent l="0" t="0" r="0" b="0"/>
                  <wp:wrapNone/>
                  <wp:docPr id="14" name="90_SpCnt_2"/>
                  <wp:cNvGraphicFramePr/>
                  <a:graphic xmlns:a="http://schemas.openxmlformats.org/drawingml/2006/main">
                    <a:graphicData uri="http://schemas.openxmlformats.org/drawingml/2006/picture">
                      <pic:pic xmlns:pic="http://schemas.openxmlformats.org/drawingml/2006/picture">
                        <pic:nvPicPr>
                          <pic:cNvPr id="14" name="90_SpCnt_2"/>
                          <pic:cNvPicPr/>
                        </pic:nvPicPr>
                        <pic:blipFill>
                          <a:blip r:embed="rId7"/>
                          <a:stretch>
                            <a:fillRect/>
                          </a:stretch>
                        </pic:blipFill>
                        <pic:spPr>
                          <a:xfrm>
                            <a:off x="0" y="0"/>
                            <a:ext cx="43434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289560</wp:posOffset>
                  </wp:positionV>
                  <wp:extent cx="434340" cy="0"/>
                  <wp:effectExtent l="0" t="0" r="0" b="0"/>
                  <wp:wrapNone/>
                  <wp:docPr id="77" name="90_SpCnt_3"/>
                  <wp:cNvGraphicFramePr/>
                  <a:graphic xmlns:a="http://schemas.openxmlformats.org/drawingml/2006/main">
                    <a:graphicData uri="http://schemas.openxmlformats.org/drawingml/2006/picture">
                      <pic:pic xmlns:pic="http://schemas.openxmlformats.org/drawingml/2006/picture">
                        <pic:nvPicPr>
                          <pic:cNvPr id="77" name="90_SpCnt_3"/>
                          <pic:cNvPicPr/>
                        </pic:nvPicPr>
                        <pic:blipFill>
                          <a:blip r:embed="rId7"/>
                          <a:stretch>
                            <a:fillRect/>
                          </a:stretch>
                        </pic:blipFill>
                        <pic:spPr>
                          <a:xfrm>
                            <a:off x="0" y="0"/>
                            <a:ext cx="43434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生日聚会</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操作卡：6张，规格：260*185mm、厚3mm，材质：磁性板；底板：1套，规格：260*185mm、厚3mm，2个，材质：磁性板；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181610</wp:posOffset>
                  </wp:positionV>
                  <wp:extent cx="629920" cy="438150"/>
                  <wp:effectExtent l="0" t="0" r="17780" b="0"/>
                  <wp:wrapNone/>
                  <wp:docPr id="78" name="Picture_426"/>
                  <wp:cNvGraphicFramePr/>
                  <a:graphic xmlns:a="http://schemas.openxmlformats.org/drawingml/2006/main">
                    <a:graphicData uri="http://schemas.openxmlformats.org/drawingml/2006/picture">
                      <pic:pic xmlns:pic="http://schemas.openxmlformats.org/drawingml/2006/picture">
                        <pic:nvPicPr>
                          <pic:cNvPr id="78" name="Picture_426"/>
                          <pic:cNvPicPr/>
                        </pic:nvPicPr>
                        <pic:blipFill>
                          <a:blip r:embed="rId16"/>
                          <a:stretch>
                            <a:fillRect/>
                          </a:stretch>
                        </pic:blipFill>
                        <pic:spPr>
                          <a:xfrm>
                            <a:off x="0" y="0"/>
                            <a:ext cx="629920" cy="43815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228600</wp:posOffset>
                  </wp:positionV>
                  <wp:extent cx="289560" cy="0"/>
                  <wp:effectExtent l="0" t="0" r="0" b="0"/>
                  <wp:wrapNone/>
                  <wp:docPr id="79" name="92"/>
                  <wp:cNvGraphicFramePr/>
                  <a:graphic xmlns:a="http://schemas.openxmlformats.org/drawingml/2006/main">
                    <a:graphicData uri="http://schemas.openxmlformats.org/drawingml/2006/picture">
                      <pic:pic xmlns:pic="http://schemas.openxmlformats.org/drawingml/2006/picture">
                        <pic:nvPicPr>
                          <pic:cNvPr id="79" name="92"/>
                          <pic:cNvPicPr/>
                        </pic:nvPicPr>
                        <pic:blipFill>
                          <a:blip r:embed="rId7"/>
                          <a:stretch>
                            <a:fillRect/>
                          </a:stretch>
                        </pic:blipFill>
                        <pic:spPr>
                          <a:xfrm>
                            <a:off x="0" y="0"/>
                            <a:ext cx="28956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228600</wp:posOffset>
                  </wp:positionV>
                  <wp:extent cx="289560" cy="0"/>
                  <wp:effectExtent l="0" t="0" r="0" b="0"/>
                  <wp:wrapNone/>
                  <wp:docPr id="80" name="92_SpCnt_1"/>
                  <wp:cNvGraphicFramePr/>
                  <a:graphic xmlns:a="http://schemas.openxmlformats.org/drawingml/2006/main">
                    <a:graphicData uri="http://schemas.openxmlformats.org/drawingml/2006/picture">
                      <pic:pic xmlns:pic="http://schemas.openxmlformats.org/drawingml/2006/picture">
                        <pic:nvPicPr>
                          <pic:cNvPr id="80" name="92_SpCnt_1"/>
                          <pic:cNvPicPr/>
                        </pic:nvPicPr>
                        <pic:blipFill>
                          <a:blip r:embed="rId7"/>
                          <a:stretch>
                            <a:fillRect/>
                          </a:stretch>
                        </pic:blipFill>
                        <pic:spPr>
                          <a:xfrm>
                            <a:off x="0" y="0"/>
                            <a:ext cx="28956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228600</wp:posOffset>
                  </wp:positionV>
                  <wp:extent cx="289560" cy="0"/>
                  <wp:effectExtent l="0" t="0" r="0" b="0"/>
                  <wp:wrapNone/>
                  <wp:docPr id="81" name="92_SpCnt_2"/>
                  <wp:cNvGraphicFramePr/>
                  <a:graphic xmlns:a="http://schemas.openxmlformats.org/drawingml/2006/main">
                    <a:graphicData uri="http://schemas.openxmlformats.org/drawingml/2006/picture">
                      <pic:pic xmlns:pic="http://schemas.openxmlformats.org/drawingml/2006/picture">
                        <pic:nvPicPr>
                          <pic:cNvPr id="81" name="92_SpCnt_2"/>
                          <pic:cNvPicPr/>
                        </pic:nvPicPr>
                        <pic:blipFill>
                          <a:blip r:embed="rId7"/>
                          <a:stretch>
                            <a:fillRect/>
                          </a:stretch>
                        </pic:blipFill>
                        <pic:spPr>
                          <a:xfrm>
                            <a:off x="0" y="0"/>
                            <a:ext cx="28956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228600</wp:posOffset>
                  </wp:positionV>
                  <wp:extent cx="289560" cy="0"/>
                  <wp:effectExtent l="0" t="0" r="0" b="0"/>
                  <wp:wrapNone/>
                  <wp:docPr id="82" name="92_SpCnt_3"/>
                  <wp:cNvGraphicFramePr/>
                  <a:graphic xmlns:a="http://schemas.openxmlformats.org/drawingml/2006/main">
                    <a:graphicData uri="http://schemas.openxmlformats.org/drawingml/2006/picture">
                      <pic:pic xmlns:pic="http://schemas.openxmlformats.org/drawingml/2006/picture">
                        <pic:nvPicPr>
                          <pic:cNvPr id="82" name="92_SpCnt_3"/>
                          <pic:cNvPicPr/>
                        </pic:nvPicPr>
                        <pic:blipFill>
                          <a:blip r:embed="rId7"/>
                          <a:stretch>
                            <a:fillRect/>
                          </a:stretch>
                        </pic:blipFill>
                        <pic:spPr>
                          <a:xfrm>
                            <a:off x="0" y="0"/>
                            <a:ext cx="28956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动物擂台赛</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钓竿：4根，规格：钓杆：长165mm。直径10mm。顶端有穿孔，孔直径3mm。清漆。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线绳：长约140mm，直径2mm，白色。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吊坠：直径15mm，高10mm。上端有孔，孔直径3mm。底部装直径5mm的磁铁。，材质：荷木；动物：24个，规格：螃蟹73*46mm、章鱼55*44mm、乌龟62*46mm、鲸鱼60*45mm、海星60*50mm、金鱼70*44mm。厚度均为12mm，顶部小磁片直径7mm，材质：密度板；骰子：1个，规格：30*30*30mm，材质：荷木；底板：12块，规格：100*100*5mm，材质：密度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320675</wp:posOffset>
                  </wp:positionV>
                  <wp:extent cx="777240" cy="370840"/>
                  <wp:effectExtent l="0" t="0" r="3810" b="10160"/>
                  <wp:wrapNone/>
                  <wp:docPr id="83" name="Picture_424"/>
                  <wp:cNvGraphicFramePr/>
                  <a:graphic xmlns:a="http://schemas.openxmlformats.org/drawingml/2006/main">
                    <a:graphicData uri="http://schemas.openxmlformats.org/drawingml/2006/picture">
                      <pic:pic xmlns:pic="http://schemas.openxmlformats.org/drawingml/2006/picture">
                        <pic:nvPicPr>
                          <pic:cNvPr id="83" name="Picture_424"/>
                          <pic:cNvPicPr/>
                        </pic:nvPicPr>
                        <pic:blipFill>
                          <a:blip r:embed="rId17"/>
                          <a:stretch>
                            <a:fillRect/>
                          </a:stretch>
                        </pic:blipFill>
                        <pic:spPr>
                          <a:xfrm>
                            <a:off x="0" y="0"/>
                            <a:ext cx="777240" cy="3708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243840</wp:posOffset>
                  </wp:positionV>
                  <wp:extent cx="457200" cy="0"/>
                  <wp:effectExtent l="0" t="0" r="0" b="0"/>
                  <wp:wrapNone/>
                  <wp:docPr id="84" name="95"/>
                  <wp:cNvGraphicFramePr/>
                  <a:graphic xmlns:a="http://schemas.openxmlformats.org/drawingml/2006/main">
                    <a:graphicData uri="http://schemas.openxmlformats.org/drawingml/2006/picture">
                      <pic:pic xmlns:pic="http://schemas.openxmlformats.org/drawingml/2006/picture">
                        <pic:nvPicPr>
                          <pic:cNvPr id="84" name="95"/>
                          <pic:cNvPicPr/>
                        </pic:nvPicPr>
                        <pic:blipFill>
                          <a:blip r:embed="rId7"/>
                          <a:stretch>
                            <a:fillRect/>
                          </a:stretch>
                        </pic:blipFill>
                        <pic:spPr>
                          <a:xfrm>
                            <a:off x="0" y="0"/>
                            <a:ext cx="457200" cy="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243840</wp:posOffset>
                  </wp:positionV>
                  <wp:extent cx="457200" cy="0"/>
                  <wp:effectExtent l="0" t="0" r="0" b="0"/>
                  <wp:wrapNone/>
                  <wp:docPr id="85" name="95_SpCnt_1"/>
                  <wp:cNvGraphicFramePr/>
                  <a:graphic xmlns:a="http://schemas.openxmlformats.org/drawingml/2006/main">
                    <a:graphicData uri="http://schemas.openxmlformats.org/drawingml/2006/picture">
                      <pic:pic xmlns:pic="http://schemas.openxmlformats.org/drawingml/2006/picture">
                        <pic:nvPicPr>
                          <pic:cNvPr id="85" name="95_SpCnt_1"/>
                          <pic:cNvPicPr/>
                        </pic:nvPicPr>
                        <pic:blipFill>
                          <a:blip r:embed="rId7"/>
                          <a:stretch>
                            <a:fillRect/>
                          </a:stretch>
                        </pic:blipFill>
                        <pic:spPr>
                          <a:xfrm>
                            <a:off x="0" y="0"/>
                            <a:ext cx="45720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找朋友</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透明拼图片：24片，规格：92*60*2mm，材质：亚克力；操作卡：12张，规格：16开（185*260mm），材质：纸质；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124460</wp:posOffset>
                  </wp:positionV>
                  <wp:extent cx="676910" cy="262890"/>
                  <wp:effectExtent l="0" t="0" r="8890" b="3810"/>
                  <wp:wrapNone/>
                  <wp:docPr id="88" name="Picture_67"/>
                  <wp:cNvGraphicFramePr/>
                  <a:graphic xmlns:a="http://schemas.openxmlformats.org/drawingml/2006/main">
                    <a:graphicData uri="http://schemas.openxmlformats.org/drawingml/2006/picture">
                      <pic:pic xmlns:pic="http://schemas.openxmlformats.org/drawingml/2006/picture">
                        <pic:nvPicPr>
                          <pic:cNvPr id="88" name="Picture_67"/>
                          <pic:cNvPicPr/>
                        </pic:nvPicPr>
                        <pic:blipFill>
                          <a:blip r:embed="rId18"/>
                          <a:stretch>
                            <a:fillRect/>
                          </a:stretch>
                        </pic:blipFill>
                        <pic:spPr>
                          <a:xfrm>
                            <a:off x="0" y="0"/>
                            <a:ext cx="676910" cy="26289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243840</wp:posOffset>
                  </wp:positionV>
                  <wp:extent cx="457200" cy="0"/>
                  <wp:effectExtent l="0" t="0" r="0" b="0"/>
                  <wp:wrapNone/>
                  <wp:docPr id="86" name="95_SpCnt_2"/>
                  <wp:cNvGraphicFramePr/>
                  <a:graphic xmlns:a="http://schemas.openxmlformats.org/drawingml/2006/main">
                    <a:graphicData uri="http://schemas.openxmlformats.org/drawingml/2006/picture">
                      <pic:pic xmlns:pic="http://schemas.openxmlformats.org/drawingml/2006/picture">
                        <pic:nvPicPr>
                          <pic:cNvPr id="86" name="95_SpCnt_2"/>
                          <pic:cNvPicPr/>
                        </pic:nvPicPr>
                        <pic:blipFill>
                          <a:blip r:embed="rId7"/>
                          <a:stretch>
                            <a:fillRect/>
                          </a:stretch>
                        </pic:blipFill>
                        <pic:spPr>
                          <a:xfrm>
                            <a:off x="0" y="0"/>
                            <a:ext cx="457200" cy="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243840</wp:posOffset>
                  </wp:positionV>
                  <wp:extent cx="457200" cy="0"/>
                  <wp:effectExtent l="0" t="0" r="0" b="0"/>
                  <wp:wrapNone/>
                  <wp:docPr id="87" name="95_SpCnt_3"/>
                  <wp:cNvGraphicFramePr/>
                  <a:graphic xmlns:a="http://schemas.openxmlformats.org/drawingml/2006/main">
                    <a:graphicData uri="http://schemas.openxmlformats.org/drawingml/2006/picture">
                      <pic:pic xmlns:pic="http://schemas.openxmlformats.org/drawingml/2006/picture">
                        <pic:nvPicPr>
                          <pic:cNvPr id="87" name="95_SpCnt_3"/>
                          <pic:cNvPicPr/>
                        </pic:nvPicPr>
                        <pic:blipFill>
                          <a:blip r:embed="rId7"/>
                          <a:stretch>
                            <a:fillRect/>
                          </a:stretch>
                        </pic:blipFill>
                        <pic:spPr>
                          <a:xfrm>
                            <a:off x="0" y="0"/>
                            <a:ext cx="45720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对对碰游戏</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棋盘：1套，规格：直径370mm，厚6mm，材质：夹板；棋子：10个，规格：竹子56*52mm、猫53*54mm、鱼52*30mm、胡萝卜55*25mm、兔子53*44mm、熊猫50*40mm、骨头52*24mm、狗55*47mm、牛54*30mm、谷堆54*58mm，厚度均为12mm，材质：密度板；骰子：2个，规格：30*30*30mm，材质：荷木；操作卡：2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248920</wp:posOffset>
                  </wp:positionV>
                  <wp:extent cx="687705" cy="419100"/>
                  <wp:effectExtent l="0" t="0" r="17145" b="0"/>
                  <wp:wrapNone/>
                  <wp:docPr id="89" name="Picture_68"/>
                  <wp:cNvGraphicFramePr/>
                  <a:graphic xmlns:a="http://schemas.openxmlformats.org/drawingml/2006/main">
                    <a:graphicData uri="http://schemas.openxmlformats.org/drawingml/2006/picture">
                      <pic:pic xmlns:pic="http://schemas.openxmlformats.org/drawingml/2006/picture">
                        <pic:nvPicPr>
                          <pic:cNvPr id="89" name="Picture_68"/>
                          <pic:cNvPicPr/>
                        </pic:nvPicPr>
                        <pic:blipFill>
                          <a:blip r:embed="rId19"/>
                          <a:stretch>
                            <a:fillRect/>
                          </a:stretch>
                        </pic:blipFill>
                        <pic:spPr>
                          <a:xfrm>
                            <a:off x="0" y="0"/>
                            <a:ext cx="687705" cy="419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数字找家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底板：2个，规格：260*92.5mm，厚8mm，槽深5mm，材质：夹板；数字：12个，规格：异形，见设计图，厚12mm，材质：密度板；骰子：2个，规格：30*30*30mm，材质：荷木；操作卡：4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226695</wp:posOffset>
                  </wp:positionV>
                  <wp:extent cx="739775" cy="480695"/>
                  <wp:effectExtent l="0" t="0" r="3175" b="14605"/>
                  <wp:wrapNone/>
                  <wp:docPr id="90" name="Picture_69"/>
                  <wp:cNvGraphicFramePr/>
                  <a:graphic xmlns:a="http://schemas.openxmlformats.org/drawingml/2006/main">
                    <a:graphicData uri="http://schemas.openxmlformats.org/drawingml/2006/picture">
                      <pic:pic xmlns:pic="http://schemas.openxmlformats.org/drawingml/2006/picture">
                        <pic:nvPicPr>
                          <pic:cNvPr id="90" name="Picture_69"/>
                          <pic:cNvPicPr/>
                        </pic:nvPicPr>
                        <pic:blipFill>
                          <a:blip r:embed="rId20"/>
                          <a:stretch>
                            <a:fillRect/>
                          </a:stretch>
                        </pic:blipFill>
                        <pic:spPr>
                          <a:xfrm>
                            <a:off x="0" y="0"/>
                            <a:ext cx="739775" cy="480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拼图数一数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拼图：8套，规格：285*210mm，材质：工业纸板；操作卡：6张，规格：16开（185*260mm），材质：纸质；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244475</wp:posOffset>
                  </wp:positionV>
                  <wp:extent cx="682625" cy="302895"/>
                  <wp:effectExtent l="0" t="0" r="3175" b="1905"/>
                  <wp:wrapNone/>
                  <wp:docPr id="91" name="Picture_70"/>
                  <wp:cNvGraphicFramePr/>
                  <a:graphic xmlns:a="http://schemas.openxmlformats.org/drawingml/2006/main">
                    <a:graphicData uri="http://schemas.openxmlformats.org/drawingml/2006/picture">
                      <pic:pic xmlns:pic="http://schemas.openxmlformats.org/drawingml/2006/picture">
                        <pic:nvPicPr>
                          <pic:cNvPr id="91" name="Picture_70"/>
                          <pic:cNvPicPr/>
                        </pic:nvPicPr>
                        <pic:blipFill>
                          <a:blip r:embed="rId21"/>
                          <a:stretch>
                            <a:fillRect/>
                          </a:stretch>
                        </pic:blipFill>
                        <pic:spPr>
                          <a:xfrm>
                            <a:off x="0" y="0"/>
                            <a:ext cx="682625" cy="302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彩色气球</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气球片：42片，规格：60*44mm，厚5mm，材质：密度板；骰子：4个，规格：30*30*30mm，材质：荷木；操作卡：10张，规格：16开（185*260mm），材质：纸质；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242570</wp:posOffset>
                  </wp:positionV>
                  <wp:extent cx="610235" cy="312420"/>
                  <wp:effectExtent l="0" t="0" r="18415" b="11430"/>
                  <wp:wrapNone/>
                  <wp:docPr id="92" name="Picture_431"/>
                  <wp:cNvGraphicFramePr/>
                  <a:graphic xmlns:a="http://schemas.openxmlformats.org/drawingml/2006/main">
                    <a:graphicData uri="http://schemas.openxmlformats.org/drawingml/2006/picture">
                      <pic:pic xmlns:pic="http://schemas.openxmlformats.org/drawingml/2006/picture">
                        <pic:nvPicPr>
                          <pic:cNvPr id="92" name="Picture_431"/>
                          <pic:cNvPicPr/>
                        </pic:nvPicPr>
                        <pic:blipFill>
                          <a:blip r:embed="rId22"/>
                          <a:stretch>
                            <a:fillRect/>
                          </a:stretch>
                        </pic:blipFill>
                        <pic:spPr>
                          <a:xfrm>
                            <a:off x="0" y="0"/>
                            <a:ext cx="610235" cy="3124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请你来分类</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积木片：50片，规格：33*38mm、厚度5mm，材质：夹板；底板：1个，规格：260*92.5mm；前段厚12mm、后段厚7mm，材质：木质；操作卡：10张，规格：260*92.5mm，材质：纸质；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274955</wp:posOffset>
                  </wp:positionV>
                  <wp:extent cx="760095" cy="312420"/>
                  <wp:effectExtent l="0" t="0" r="1905" b="11430"/>
                  <wp:wrapNone/>
                  <wp:docPr id="93" name="Picture_71"/>
                  <wp:cNvGraphicFramePr/>
                  <a:graphic xmlns:a="http://schemas.openxmlformats.org/drawingml/2006/main">
                    <a:graphicData uri="http://schemas.openxmlformats.org/drawingml/2006/picture">
                      <pic:pic xmlns:pic="http://schemas.openxmlformats.org/drawingml/2006/picture">
                        <pic:nvPicPr>
                          <pic:cNvPr id="93" name="Picture_71"/>
                          <pic:cNvPicPr/>
                        </pic:nvPicPr>
                        <pic:blipFill>
                          <a:blip r:embed="rId23"/>
                          <a:stretch>
                            <a:fillRect/>
                          </a:stretch>
                        </pic:blipFill>
                        <pic:spPr>
                          <a:xfrm>
                            <a:off x="0" y="0"/>
                            <a:ext cx="760095" cy="3124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创意拼图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几何形状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片：57片，规格：圆形12片：直径分别60mm、50mm、40mm、厚9mm；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正方形12片：60*60mm、50*50mm、40*40mm、厚9mm；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椭圆形2片：长直径80mm、短直径60mm，厚9mm；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等腰梯形1片：上底边长40mm、下底边长80mm、高度40mm、厚度9mm；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平行四边形1片：边长60mm、夹角45度、厚9mm；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半圆形2片：半圆直径60mm、厚9mm；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长方形9片：80*60mm、66.7*50mm、53.3*40mm、厚度9mm；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等腰三角形9片：边长60mm、边长50mm、边长40mm、厚9mm；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等边三角形9片：直角边长分别60mm、50mm、40mm、厚9mm，材质：密度板；情境图：10张，规格：16开（185*260mm），材质：纸质；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199390</wp:posOffset>
                  </wp:positionV>
                  <wp:extent cx="776605" cy="361315"/>
                  <wp:effectExtent l="0" t="0" r="4445" b="635"/>
                  <wp:wrapNone/>
                  <wp:docPr id="94" name="Picture_72"/>
                  <wp:cNvGraphicFramePr/>
                  <a:graphic xmlns:a="http://schemas.openxmlformats.org/drawingml/2006/main">
                    <a:graphicData uri="http://schemas.openxmlformats.org/drawingml/2006/picture">
                      <pic:pic xmlns:pic="http://schemas.openxmlformats.org/drawingml/2006/picture">
                        <pic:nvPicPr>
                          <pic:cNvPr id="94" name="Picture_72"/>
                          <pic:cNvPicPr/>
                        </pic:nvPicPr>
                        <pic:blipFill>
                          <a:blip r:embed="rId24"/>
                          <a:stretch>
                            <a:fillRect/>
                          </a:stretch>
                        </pic:blipFill>
                        <pic:spPr>
                          <a:xfrm>
                            <a:off x="0" y="0"/>
                            <a:ext cx="776605" cy="36131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222885</wp:posOffset>
                  </wp:positionH>
                  <wp:positionV relativeFrom="paragraph">
                    <wp:posOffset>852170</wp:posOffset>
                  </wp:positionV>
                  <wp:extent cx="675640" cy="0"/>
                  <wp:effectExtent l="0" t="0" r="0" b="0"/>
                  <wp:wrapNone/>
                  <wp:docPr id="95" name="Picture_72_SpCnt_1"/>
                  <wp:cNvGraphicFramePr/>
                  <a:graphic xmlns:a="http://schemas.openxmlformats.org/drawingml/2006/main">
                    <a:graphicData uri="http://schemas.openxmlformats.org/drawingml/2006/picture">
                      <pic:pic xmlns:pic="http://schemas.openxmlformats.org/drawingml/2006/picture">
                        <pic:nvPicPr>
                          <pic:cNvPr id="95" name="Picture_72_SpCnt_1"/>
                          <pic:cNvPicPr/>
                        </pic:nvPicPr>
                        <pic:blipFill>
                          <a:blip r:embed="rId7"/>
                          <a:stretch>
                            <a:fillRect/>
                          </a:stretch>
                        </pic:blipFill>
                        <pic:spPr>
                          <a:xfrm>
                            <a:off x="0" y="0"/>
                            <a:ext cx="67564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骨牌接龙</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骨牌：40片，规格：80*40mm，厚9mm，材质：密度板；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98425</wp:posOffset>
                  </wp:positionV>
                  <wp:extent cx="737870" cy="386715"/>
                  <wp:effectExtent l="0" t="0" r="5080" b="13335"/>
                  <wp:wrapNone/>
                  <wp:docPr id="96" name="Picture_73"/>
                  <wp:cNvGraphicFramePr/>
                  <a:graphic xmlns:a="http://schemas.openxmlformats.org/drawingml/2006/main">
                    <a:graphicData uri="http://schemas.openxmlformats.org/drawingml/2006/picture">
                      <pic:pic xmlns:pic="http://schemas.openxmlformats.org/drawingml/2006/picture">
                        <pic:nvPicPr>
                          <pic:cNvPr id="96" name="Picture_73"/>
                          <pic:cNvPicPr/>
                        </pic:nvPicPr>
                        <pic:blipFill>
                          <a:blip r:embed="rId25"/>
                          <a:stretch>
                            <a:fillRect/>
                          </a:stretch>
                        </pic:blipFill>
                        <pic:spPr>
                          <a:xfrm>
                            <a:off x="0" y="0"/>
                            <a:ext cx="737870" cy="386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数果果</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底板：1套，规格：4个，185*185mm，厚10mm，材质：夹板；果子：64个，规格：直径20mm，材质：荷木；骰子：2个，规格：30*30*30mm，材质：荷木；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199390</wp:posOffset>
                  </wp:positionV>
                  <wp:extent cx="766445" cy="356235"/>
                  <wp:effectExtent l="0" t="0" r="14605" b="5715"/>
                  <wp:wrapNone/>
                  <wp:docPr id="97" name="Picture_74"/>
                  <wp:cNvGraphicFramePr/>
                  <a:graphic xmlns:a="http://schemas.openxmlformats.org/drawingml/2006/main">
                    <a:graphicData uri="http://schemas.openxmlformats.org/drawingml/2006/picture">
                      <pic:pic xmlns:pic="http://schemas.openxmlformats.org/drawingml/2006/picture">
                        <pic:nvPicPr>
                          <pic:cNvPr id="97" name="Picture_74"/>
                          <pic:cNvPicPr/>
                        </pic:nvPicPr>
                        <pic:blipFill>
                          <a:blip r:embed="rId26"/>
                          <a:stretch>
                            <a:fillRect/>
                          </a:stretch>
                        </pic:blipFill>
                        <pic:spPr>
                          <a:xfrm>
                            <a:off x="0" y="0"/>
                            <a:ext cx="766445" cy="356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长尾巴火车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车头：1个，规格：总高度62mm。上端高12mm。长60mm，宽60mm；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车厢底板：长108mm，宽50mm，厚10mm；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车轮：两侧各有2个车轮。车轮直径30mm，厚度10mm；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连接环：封闭型8mm，内径4mm。环的厚度2mm，材质：松木；车厢：7节；规格：车厢长108mm，宽50mm，厚10mm；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车轮直径30mm，厚10mm；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连接部件内空直径4mm。另一端有连接环外圈直径8mm，内圈直径4mm；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孔直径8mm，深度8mm，材质：松木；车厢载物：32块，规格：圆形：直径40mm，厚度9mm；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中心有1穿孔，孔直径10mm；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长方形：长80mm，宽40mm，厚9mm，孔距30mm；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中心有2个穿孔，呈直线排列。孔直径10mm；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三角形：边长50mm，厚度9mm，孔距5mm；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中心有3个穿孔，呈正三角形排列。孔直径10mm；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正方形：边长40mm，厚度9mm，孔距7mm；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中心有4个穿孔，呈正方形排列。孔直径10mm；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八边形：①直径45mm，厚度9mm，中心有1个穿孔，孔直径10mm。1个，红色；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②直径40mm，厚度9mm，中心有1个穿孔，孔直径10mm。1个，黄色；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③直径35mm，厚度9mm，中心有1个穿孔，孔直径10mm。1个，蓝色；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④直径30mm，厚度9mm，中心有1个穿孔，孔直径10mm。1个，绿色；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算盘珠：①直径45mm，厚度9mm，中心有1个穿孔，孔直径10mm，1个，红色；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②直径40mm，厚度9mm，中心有1个穿孔，孔直径10mm，1个，黄色；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③直径35mm，厚度9mm，中心有1个穿孔，孔直径10mm，1个，蓝色；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④直径30mm，厚度9mm，中心有1个穿孔，孔直径10mm，1个，绿色；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阶梯形：①边长45mm，高阶厚度7mm，低阶厚度2mm，中心有1个穿孔，孔直径10mm，2个，红色；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②边长40mm，高阶厚度7mm，低阶厚度2mm，，中心有1个穿孔，孔直径10mm，2个，黄色；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③边长35mm，高阶厚度7mm，低阶厚度2mm，中心有1个穿孔，孔直径10mm，2个，蓝色；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④边长30mm，高阶厚度7mm，低阶厚度2mm，，中心有1个穿孔，孔直径10mm，2个，绿色 ，材质：密度板；木棍：13个，规格：长度85mm，直径7.5mm，材质：荷木；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589915</wp:posOffset>
                  </wp:positionV>
                  <wp:extent cx="755650" cy="261620"/>
                  <wp:effectExtent l="0" t="0" r="6350" b="5080"/>
                  <wp:wrapNone/>
                  <wp:docPr id="98" name="Picture_75"/>
                  <wp:cNvGraphicFramePr/>
                  <a:graphic xmlns:a="http://schemas.openxmlformats.org/drawingml/2006/main">
                    <a:graphicData uri="http://schemas.openxmlformats.org/drawingml/2006/picture">
                      <pic:pic xmlns:pic="http://schemas.openxmlformats.org/drawingml/2006/picture">
                        <pic:nvPicPr>
                          <pic:cNvPr id="98" name="Picture_75"/>
                          <pic:cNvPicPr/>
                        </pic:nvPicPr>
                        <pic:blipFill>
                          <a:blip r:embed="rId27"/>
                          <a:stretch>
                            <a:fillRect/>
                          </a:stretch>
                        </pic:blipFill>
                        <pic:spPr>
                          <a:xfrm>
                            <a:off x="0" y="0"/>
                            <a:ext cx="755650" cy="2616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数棒比一比</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数棒：10根，规格：30*22*16mm；60*22*16mm；90*22*16mm；120*22*16mm；150*22*16mm；180*22*16mm；210*22*16mm；240*22*16mm；270*22*16mm；300*22*16mm，材质：松木；操作卡：8张，规格：16开（185*260mm），材质：纸质；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219710</wp:posOffset>
                  </wp:positionV>
                  <wp:extent cx="766445" cy="367665"/>
                  <wp:effectExtent l="0" t="0" r="14605" b="13335"/>
                  <wp:wrapNone/>
                  <wp:docPr id="99" name="Picture_76"/>
                  <wp:cNvGraphicFramePr/>
                  <a:graphic xmlns:a="http://schemas.openxmlformats.org/drawingml/2006/main">
                    <a:graphicData uri="http://schemas.openxmlformats.org/drawingml/2006/picture">
                      <pic:pic xmlns:pic="http://schemas.openxmlformats.org/drawingml/2006/picture">
                        <pic:nvPicPr>
                          <pic:cNvPr id="99" name="Picture_76"/>
                          <pic:cNvPicPr/>
                        </pic:nvPicPr>
                        <pic:blipFill>
                          <a:blip r:embed="rId28"/>
                          <a:stretch>
                            <a:fillRect/>
                          </a:stretch>
                        </pic:blipFill>
                        <pic:spPr>
                          <a:xfrm>
                            <a:off x="0" y="0"/>
                            <a:ext cx="766445" cy="367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礼物一样多</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礼物片：45片，规格：芒果55*42mm、苹果46*42mm、菠萝62*35mmm、葡萄53*42mm、草莓53*42mm、玫瑰花62*40mm、向日葵62*42mm、郁金香44*42mm、百合54*45mm、小雏菊50*44mm、木马48*40mm、小熊51*45mm、鸭子44*45mm、足球直径45mm、小车36*60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，材质：密度板；操作卡：16张，规格：260*92.5mm，材质：纸质；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247015</wp:posOffset>
                  </wp:positionV>
                  <wp:extent cx="824230" cy="309245"/>
                  <wp:effectExtent l="0" t="0" r="13970" b="14605"/>
                  <wp:wrapNone/>
                  <wp:docPr id="100" name="Picture_77"/>
                  <wp:cNvGraphicFramePr/>
                  <a:graphic xmlns:a="http://schemas.openxmlformats.org/drawingml/2006/main">
                    <a:graphicData uri="http://schemas.openxmlformats.org/drawingml/2006/picture">
                      <pic:pic xmlns:pic="http://schemas.openxmlformats.org/drawingml/2006/picture">
                        <pic:nvPicPr>
                          <pic:cNvPr id="100" name="Picture_77"/>
                          <pic:cNvPicPr/>
                        </pic:nvPicPr>
                        <pic:blipFill>
                          <a:blip r:embed="rId29"/>
                          <a:stretch>
                            <a:fillRect/>
                          </a:stretch>
                        </pic:blipFill>
                        <pic:spPr>
                          <a:xfrm>
                            <a:off x="0" y="0"/>
                            <a:ext cx="824230" cy="3092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衣服排一排</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操作架：2个，规格：300*90*60mm，详见设计图，材质：夹板；衣物片：72片，规格：50*50mm、40*40mm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30*30mm、厚均为3mm，材质：夹板；操作卡：20张，规格：260*92.5mm，材质：纸质；骰子：2个，规格：30*30*30mm，材质：荷木；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279400</wp:posOffset>
                  </wp:positionV>
                  <wp:extent cx="805815" cy="240665"/>
                  <wp:effectExtent l="0" t="0" r="13335" b="6985"/>
                  <wp:wrapNone/>
                  <wp:docPr id="101" name="Picture_78"/>
                  <wp:cNvGraphicFramePr/>
                  <a:graphic xmlns:a="http://schemas.openxmlformats.org/drawingml/2006/main">
                    <a:graphicData uri="http://schemas.openxmlformats.org/drawingml/2006/picture">
                      <pic:pic xmlns:pic="http://schemas.openxmlformats.org/drawingml/2006/picture">
                        <pic:nvPicPr>
                          <pic:cNvPr id="101" name="Picture_78"/>
                          <pic:cNvPicPr/>
                        </pic:nvPicPr>
                        <pic:blipFill>
                          <a:blip r:embed="rId30"/>
                          <a:stretch>
                            <a:fillRect/>
                          </a:stretch>
                        </pic:blipFill>
                        <pic:spPr>
                          <a:xfrm>
                            <a:off x="0" y="0"/>
                            <a:ext cx="805815" cy="240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w:t>
            </w:r>
          </w:p>
        </w:tc>
        <w:tc>
          <w:tcPr>
            <w:tcW w:w="793"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收纳盒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（对应层阶色）</w:t>
            </w:r>
          </w:p>
        </w:tc>
        <w:tc>
          <w:tcPr>
            <w:tcW w:w="2262" w:type="pc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配套收纳盒16个</w:t>
            </w:r>
          </w:p>
        </w:tc>
        <w:tc>
          <w:tcPr>
            <w:tcW w:w="521" w:type="pc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组</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65405</wp:posOffset>
                  </wp:positionV>
                  <wp:extent cx="793750" cy="471170"/>
                  <wp:effectExtent l="0" t="0" r="6350" b="5080"/>
                  <wp:wrapNone/>
                  <wp:docPr id="102" name="图片_1219"/>
                  <wp:cNvGraphicFramePr/>
                  <a:graphic xmlns:a="http://schemas.openxmlformats.org/drawingml/2006/main">
                    <a:graphicData uri="http://schemas.openxmlformats.org/drawingml/2006/picture">
                      <pic:pic xmlns:pic="http://schemas.openxmlformats.org/drawingml/2006/picture">
                        <pic:nvPicPr>
                          <pic:cNvPr id="102" name="图片_1219"/>
                          <pic:cNvPicPr/>
                        </pic:nvPicPr>
                        <pic:blipFill>
                          <a:blip r:embed="rId31"/>
                          <a:stretch>
                            <a:fillRect/>
                          </a:stretch>
                        </pic:blipFill>
                        <pic:spPr>
                          <a:xfrm>
                            <a:off x="0" y="0"/>
                            <a:ext cx="793750" cy="471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奥尔夫打击乐器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材质：木质；包含铃鼓1套， 铃圈1套，棒铃1套，铜镲1套，塑料午板4套，三角铁1套，塑料砂球1套,碰钟1套，串铃1套，,板镲1套，单响筒1套，双响加沟1套，塑料响板1套,13音琴1套。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4"/>
                <w:szCs w:val="24"/>
                <w:highlight w:val="none"/>
                <w:u w:val="none"/>
              </w:rPr>
            </w:pPr>
            <w:r>
              <w:rPr>
                <w:rFonts w:hint="eastAsia" w:ascii="宋体" w:hAnsi="宋体" w:eastAsia="宋体" w:cs="宋体"/>
                <w:b/>
                <w:bCs/>
                <w:i w:val="0"/>
                <w:iCs w:val="0"/>
                <w:color w:val="FF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288290</wp:posOffset>
                  </wp:positionV>
                  <wp:extent cx="740410" cy="741680"/>
                  <wp:effectExtent l="0" t="0" r="2540" b="1270"/>
                  <wp:wrapNone/>
                  <wp:docPr id="103" name="图片_638"/>
                  <wp:cNvGraphicFramePr/>
                  <a:graphic xmlns:a="http://schemas.openxmlformats.org/drawingml/2006/main">
                    <a:graphicData uri="http://schemas.openxmlformats.org/drawingml/2006/picture">
                      <pic:pic xmlns:pic="http://schemas.openxmlformats.org/drawingml/2006/picture">
                        <pic:nvPicPr>
                          <pic:cNvPr id="103" name="图片_638"/>
                          <pic:cNvPicPr/>
                        </pic:nvPicPr>
                        <pic:blipFill>
                          <a:blip r:embed="rId32"/>
                          <a:stretch>
                            <a:fillRect/>
                          </a:stretch>
                        </pic:blipFill>
                        <pic:spPr>
                          <a:xfrm>
                            <a:off x="0" y="0"/>
                            <a:ext cx="740410" cy="7416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大灶台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规格：63*31*63cm，材质：桦木多层板；5件/套。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53340</wp:posOffset>
                  </wp:positionV>
                  <wp:extent cx="776605" cy="1067435"/>
                  <wp:effectExtent l="0" t="0" r="4445" b="18415"/>
                  <wp:wrapNone/>
                  <wp:docPr id="105" name="图片_639"/>
                  <wp:cNvGraphicFramePr/>
                  <a:graphic xmlns:a="http://schemas.openxmlformats.org/drawingml/2006/main">
                    <a:graphicData uri="http://schemas.openxmlformats.org/drawingml/2006/picture">
                      <pic:pic xmlns:pic="http://schemas.openxmlformats.org/drawingml/2006/picture">
                        <pic:nvPicPr>
                          <pic:cNvPr id="105" name="图片_639"/>
                          <pic:cNvPicPr/>
                        </pic:nvPicPr>
                        <pic:blipFill>
                          <a:blip r:embed="rId33"/>
                          <a:stretch>
                            <a:fillRect/>
                          </a:stretch>
                        </pic:blipFill>
                        <pic:spPr>
                          <a:xfrm>
                            <a:off x="0" y="0"/>
                            <a:ext cx="776605" cy="10674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205740</wp:posOffset>
                  </wp:positionH>
                  <wp:positionV relativeFrom="paragraph">
                    <wp:posOffset>0</wp:posOffset>
                  </wp:positionV>
                  <wp:extent cx="403860" cy="0"/>
                  <wp:effectExtent l="0" t="0" r="0" b="0"/>
                  <wp:wrapNone/>
                  <wp:docPr id="104" name="18"/>
                  <wp:cNvGraphicFramePr/>
                  <a:graphic xmlns:a="http://schemas.openxmlformats.org/drawingml/2006/main">
                    <a:graphicData uri="http://schemas.openxmlformats.org/drawingml/2006/picture">
                      <pic:pic xmlns:pic="http://schemas.openxmlformats.org/drawingml/2006/picture">
                        <pic:nvPicPr>
                          <pic:cNvPr id="104" name="18"/>
                          <pic:cNvPicPr/>
                        </pic:nvPicPr>
                        <pic:blipFill>
                          <a:blip r:embed="rId7"/>
                          <a:stretch>
                            <a:fillRect/>
                          </a:stretch>
                        </pic:blipFill>
                        <pic:spPr>
                          <a:xfrm>
                            <a:off x="0" y="0"/>
                            <a:ext cx="40386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欢乐一家人手偶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规格：6种/套，含爷爷、奶奶、爸爸、妈妈、哥哥、妹妹各1个。</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294005</wp:posOffset>
                  </wp:positionV>
                  <wp:extent cx="670560" cy="556260"/>
                  <wp:effectExtent l="0" t="0" r="15240" b="15240"/>
                  <wp:wrapNone/>
                  <wp:docPr id="106" name="20"/>
                  <wp:cNvGraphicFramePr/>
                  <a:graphic xmlns:a="http://schemas.openxmlformats.org/drawingml/2006/main">
                    <a:graphicData uri="http://schemas.openxmlformats.org/drawingml/2006/picture">
                      <pic:pic xmlns:pic="http://schemas.openxmlformats.org/drawingml/2006/picture">
                        <pic:nvPicPr>
                          <pic:cNvPr id="106" name="20"/>
                          <pic:cNvPicPr/>
                        </pic:nvPicPr>
                        <pic:blipFill>
                          <a:blip r:embed="rId34"/>
                          <a:stretch>
                            <a:fillRect/>
                          </a:stretch>
                        </pic:blipFill>
                        <pic:spPr>
                          <a:xfrm>
                            <a:off x="0" y="0"/>
                            <a:ext cx="670560" cy="556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美食家茶具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规格约：30cm，12件/套；材质：实木。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75565</wp:posOffset>
                  </wp:positionV>
                  <wp:extent cx="817880" cy="995680"/>
                  <wp:effectExtent l="0" t="0" r="1270" b="13970"/>
                  <wp:wrapNone/>
                  <wp:docPr id="107" name="21"/>
                  <wp:cNvGraphicFramePr/>
                  <a:graphic xmlns:a="http://schemas.openxmlformats.org/drawingml/2006/main">
                    <a:graphicData uri="http://schemas.openxmlformats.org/drawingml/2006/picture">
                      <pic:pic xmlns:pic="http://schemas.openxmlformats.org/drawingml/2006/picture">
                        <pic:nvPicPr>
                          <pic:cNvPr id="107" name="21"/>
                          <pic:cNvPicPr/>
                        </pic:nvPicPr>
                        <pic:blipFill>
                          <a:blip r:embed="rId35"/>
                          <a:stretch>
                            <a:fillRect/>
                          </a:stretch>
                        </pic:blipFill>
                        <pic:spPr>
                          <a:xfrm>
                            <a:off x="0" y="0"/>
                            <a:ext cx="817880" cy="9956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切切乐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规格：30cm，20件/套；材质：实木。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310515</wp:posOffset>
                  </wp:positionV>
                  <wp:extent cx="794385" cy="624840"/>
                  <wp:effectExtent l="0" t="0" r="5715" b="3810"/>
                  <wp:wrapNone/>
                  <wp:docPr id="108" name="23"/>
                  <wp:cNvGraphicFramePr/>
                  <a:graphic xmlns:a="http://schemas.openxmlformats.org/drawingml/2006/main">
                    <a:graphicData uri="http://schemas.openxmlformats.org/drawingml/2006/picture">
                      <pic:pic xmlns:pic="http://schemas.openxmlformats.org/drawingml/2006/picture">
                        <pic:nvPicPr>
                          <pic:cNvPr id="108" name="23"/>
                          <pic:cNvPicPr/>
                        </pic:nvPicPr>
                        <pic:blipFill>
                          <a:blip r:embed="rId36"/>
                          <a:stretch>
                            <a:fillRect/>
                          </a:stretch>
                        </pic:blipFill>
                        <pic:spPr>
                          <a:xfrm>
                            <a:off x="0" y="0"/>
                            <a:ext cx="794385" cy="624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盒混装打花器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规格约：38*38*5cm；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材质：塑料，五金；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多种款式的打花器是一种互动启发式的教学工具，是教师和孩子理想的手工工具。</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360045</wp:posOffset>
                  </wp:positionV>
                  <wp:extent cx="828675" cy="624840"/>
                  <wp:effectExtent l="0" t="0" r="9525" b="3810"/>
                  <wp:wrapNone/>
                  <wp:docPr id="109" name="27"/>
                  <wp:cNvGraphicFramePr/>
                  <a:graphic xmlns:a="http://schemas.openxmlformats.org/drawingml/2006/main">
                    <a:graphicData uri="http://schemas.openxmlformats.org/drawingml/2006/picture">
                      <pic:pic xmlns:pic="http://schemas.openxmlformats.org/drawingml/2006/picture">
                        <pic:nvPicPr>
                          <pic:cNvPr id="109" name="27"/>
                          <pic:cNvPicPr/>
                        </pic:nvPicPr>
                        <pic:blipFill>
                          <a:blip r:embed="rId37"/>
                          <a:stretch>
                            <a:fillRect/>
                          </a:stretch>
                        </pic:blipFill>
                        <pic:spPr>
                          <a:xfrm>
                            <a:off x="0" y="0"/>
                            <a:ext cx="828675" cy="624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小医生工具箱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规格：51件/套，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大听筒规格约80*23cm；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材质：塑料。</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361315</wp:posOffset>
                  </wp:positionV>
                  <wp:extent cx="774065" cy="578485"/>
                  <wp:effectExtent l="0" t="0" r="6985" b="12065"/>
                  <wp:wrapNone/>
                  <wp:docPr id="110" name="25"/>
                  <wp:cNvGraphicFramePr/>
                  <a:graphic xmlns:a="http://schemas.openxmlformats.org/drawingml/2006/main">
                    <a:graphicData uri="http://schemas.openxmlformats.org/drawingml/2006/picture">
                      <pic:pic xmlns:pic="http://schemas.openxmlformats.org/drawingml/2006/picture">
                        <pic:nvPicPr>
                          <pic:cNvPr id="110" name="25"/>
                          <pic:cNvPicPr/>
                        </pic:nvPicPr>
                        <pic:blipFill>
                          <a:blip r:embed="rId38"/>
                          <a:stretch>
                            <a:fillRect/>
                          </a:stretch>
                        </pic:blipFill>
                        <pic:spPr>
                          <a:xfrm>
                            <a:off x="0" y="0"/>
                            <a:ext cx="774065" cy="578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大葡萄球</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材质：PE。</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尺寸：单件直径约11.5cm，厚度约3.5cm。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每盒12件，红、黄、蓝、绿各3个。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多种颜色的 大葡萄球，可以进行颜色辨识、计数、分类，还可以组合成花朵、动物等造型，锻炼幼儿小手灵活性，创意能力。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407035</wp:posOffset>
                  </wp:positionV>
                  <wp:extent cx="824230" cy="691515"/>
                  <wp:effectExtent l="0" t="0" r="13970" b="13335"/>
                  <wp:wrapNone/>
                  <wp:docPr id="112" name="图片_65_SpCnt_1"/>
                  <wp:cNvGraphicFramePr/>
                  <a:graphic xmlns:a="http://schemas.openxmlformats.org/drawingml/2006/main">
                    <a:graphicData uri="http://schemas.openxmlformats.org/drawingml/2006/picture">
                      <pic:pic xmlns:pic="http://schemas.openxmlformats.org/drawingml/2006/picture">
                        <pic:nvPicPr>
                          <pic:cNvPr id="112" name="图片_65_SpCnt_1"/>
                          <pic:cNvPicPr/>
                        </pic:nvPicPr>
                        <pic:blipFill>
                          <a:blip r:embed="rId39"/>
                          <a:stretch>
                            <a:fillRect/>
                          </a:stretch>
                        </pic:blipFill>
                        <pic:spPr>
                          <a:xfrm>
                            <a:off x="0" y="0"/>
                            <a:ext cx="824230" cy="691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266700</wp:posOffset>
                  </wp:positionV>
                  <wp:extent cx="586740" cy="0"/>
                  <wp:effectExtent l="0" t="0" r="0" b="0"/>
                  <wp:wrapNone/>
                  <wp:docPr id="111" name="图片_65"/>
                  <wp:cNvGraphicFramePr/>
                  <a:graphic xmlns:a="http://schemas.openxmlformats.org/drawingml/2006/main">
                    <a:graphicData uri="http://schemas.openxmlformats.org/drawingml/2006/picture">
                      <pic:pic xmlns:pic="http://schemas.openxmlformats.org/drawingml/2006/picture">
                        <pic:nvPicPr>
                          <pic:cNvPr id="111" name="图片_65"/>
                          <pic:cNvPicPr/>
                        </pic:nvPicPr>
                        <pic:blipFill>
                          <a:blip r:embed="rId7"/>
                          <a:stretch>
                            <a:fillRect/>
                          </a:stretch>
                        </pic:blipFill>
                        <pic:spPr>
                          <a:xfrm>
                            <a:off x="0" y="0"/>
                            <a:ext cx="58674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智多星</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1、材质 ：PP食品级环保塑料、100%安全无毒，颜色艳丽，耐光照不褪色，抗压耐磨，光滑不伤手；2、规格件数：1100件。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191135</wp:posOffset>
                  </wp:positionV>
                  <wp:extent cx="793750" cy="826770"/>
                  <wp:effectExtent l="0" t="0" r="6350" b="11430"/>
                  <wp:wrapNone/>
                  <wp:docPr id="113" name="1"/>
                  <wp:cNvGraphicFramePr/>
                  <a:graphic xmlns:a="http://schemas.openxmlformats.org/drawingml/2006/main">
                    <a:graphicData uri="http://schemas.openxmlformats.org/drawingml/2006/picture">
                      <pic:pic xmlns:pic="http://schemas.openxmlformats.org/drawingml/2006/picture">
                        <pic:nvPicPr>
                          <pic:cNvPr id="113" name="1"/>
                          <pic:cNvPicPr/>
                        </pic:nvPicPr>
                        <pic:blipFill>
                          <a:blip r:embed="rId40"/>
                          <a:stretch>
                            <a:fillRect/>
                          </a:stretch>
                        </pic:blipFill>
                        <pic:spPr>
                          <a:xfrm>
                            <a:off x="0" y="0"/>
                            <a:ext cx="793750" cy="826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雪花片</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1、材质：PP食品级环保塑料，100%安全无毒，颜色艳丽，耐光照不褪色，抗压耐磨，光滑不伤手。2、规格：花片直径43mm，厚2.5mm,8片花瓣，中央有一圆孔，孔径为Φ7mm。3、件数：1080片/箱。</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331470</wp:posOffset>
                  </wp:positionV>
                  <wp:extent cx="745490" cy="615950"/>
                  <wp:effectExtent l="0" t="0" r="16510" b="12700"/>
                  <wp:wrapNone/>
                  <wp:docPr id="115" name="4_SpCnt_1"/>
                  <wp:cNvGraphicFramePr/>
                  <a:graphic xmlns:a="http://schemas.openxmlformats.org/drawingml/2006/main">
                    <a:graphicData uri="http://schemas.openxmlformats.org/drawingml/2006/picture">
                      <pic:pic xmlns:pic="http://schemas.openxmlformats.org/drawingml/2006/picture">
                        <pic:nvPicPr>
                          <pic:cNvPr id="115" name="4_SpCnt_1"/>
                          <pic:cNvPicPr/>
                        </pic:nvPicPr>
                        <pic:blipFill>
                          <a:blip r:embed="rId41"/>
                          <a:stretch>
                            <a:fillRect/>
                          </a:stretch>
                        </pic:blipFill>
                        <pic:spPr>
                          <a:xfrm>
                            <a:off x="0" y="0"/>
                            <a:ext cx="745490" cy="6159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190500</wp:posOffset>
                  </wp:positionV>
                  <wp:extent cx="563880" cy="0"/>
                  <wp:effectExtent l="0" t="0" r="0" b="0"/>
                  <wp:wrapNone/>
                  <wp:docPr id="114" name="4"/>
                  <wp:cNvGraphicFramePr/>
                  <a:graphic xmlns:a="http://schemas.openxmlformats.org/drawingml/2006/main">
                    <a:graphicData uri="http://schemas.openxmlformats.org/drawingml/2006/picture">
                      <pic:pic xmlns:pic="http://schemas.openxmlformats.org/drawingml/2006/picture">
                        <pic:nvPicPr>
                          <pic:cNvPr id="114" name="4"/>
                          <pic:cNvPicPr/>
                        </pic:nvPicPr>
                        <pic:blipFill>
                          <a:blip r:embed="rId7"/>
                          <a:stretch>
                            <a:fillRect/>
                          </a:stretch>
                        </pic:blipFill>
                        <pic:spPr>
                          <a:xfrm>
                            <a:off x="0" y="0"/>
                            <a:ext cx="56388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童趣</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材质：PP食品级工程塑料制作，无毒无味，安全环保，颜色鲜艳，采用注塑一次成型工艺，可随意拚搭各类造型，发挥儿童的想象力。规格：300件，直径：40mm。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248285</wp:posOffset>
                  </wp:positionV>
                  <wp:extent cx="803910" cy="746760"/>
                  <wp:effectExtent l="0" t="0" r="15240" b="15240"/>
                  <wp:wrapNone/>
                  <wp:docPr id="116" name="3"/>
                  <wp:cNvGraphicFramePr/>
                  <a:graphic xmlns:a="http://schemas.openxmlformats.org/drawingml/2006/main">
                    <a:graphicData uri="http://schemas.openxmlformats.org/drawingml/2006/picture">
                      <pic:pic xmlns:pic="http://schemas.openxmlformats.org/drawingml/2006/picture">
                        <pic:nvPicPr>
                          <pic:cNvPr id="116" name="3"/>
                          <pic:cNvPicPr/>
                        </pic:nvPicPr>
                        <pic:blipFill>
                          <a:blip r:embed="rId42"/>
                          <a:stretch>
                            <a:fillRect/>
                          </a:stretch>
                        </pic:blipFill>
                        <pic:spPr>
                          <a:xfrm>
                            <a:off x="0" y="0"/>
                            <a:ext cx="803910" cy="746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弯曲旋转</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材质：安全塑料；尺寸约：5.5*3cm；红、黄、蓝、绿、紫、橘各15个，含教具盒。</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254635</wp:posOffset>
                  </wp:positionV>
                  <wp:extent cx="774065" cy="714375"/>
                  <wp:effectExtent l="0" t="0" r="6985" b="9525"/>
                  <wp:wrapNone/>
                  <wp:docPr id="197" name="图片_1329"/>
                  <wp:cNvGraphicFramePr/>
                  <a:graphic xmlns:a="http://schemas.openxmlformats.org/drawingml/2006/main">
                    <a:graphicData uri="http://schemas.openxmlformats.org/drawingml/2006/picture">
                      <pic:pic xmlns:pic="http://schemas.openxmlformats.org/drawingml/2006/picture">
                        <pic:nvPicPr>
                          <pic:cNvPr id="197" name="图片_1329"/>
                          <pic:cNvPicPr/>
                        </pic:nvPicPr>
                        <pic:blipFill>
                          <a:blip r:embed="rId43"/>
                          <a:stretch>
                            <a:fillRect/>
                          </a:stretch>
                        </pic:blipFill>
                        <pic:spPr>
                          <a:xfrm>
                            <a:off x="0" y="0"/>
                            <a:ext cx="774065" cy="714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磁力片</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材质：PP食品级工程塑料制作，无毒无味，安全环保，颜色鲜艳，塑料收纳盒包装；规格：92件。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298450</wp:posOffset>
                  </wp:positionV>
                  <wp:extent cx="808355" cy="539750"/>
                  <wp:effectExtent l="0" t="0" r="10795" b="12700"/>
                  <wp:wrapNone/>
                  <wp:docPr id="198" name="图片_13"/>
                  <wp:cNvGraphicFramePr/>
                  <a:graphic xmlns:a="http://schemas.openxmlformats.org/drawingml/2006/main">
                    <a:graphicData uri="http://schemas.openxmlformats.org/drawingml/2006/picture">
                      <pic:pic xmlns:pic="http://schemas.openxmlformats.org/drawingml/2006/picture">
                        <pic:nvPicPr>
                          <pic:cNvPr id="198" name="图片_13"/>
                          <pic:cNvPicPr/>
                        </pic:nvPicPr>
                        <pic:blipFill>
                          <a:blip r:embed="rId44"/>
                          <a:stretch>
                            <a:fillRect/>
                          </a:stretch>
                        </pic:blipFill>
                        <pic:spPr>
                          <a:xfrm>
                            <a:off x="0" y="0"/>
                            <a:ext cx="808355" cy="539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车辆创意积木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pp材质，251粒,10款车辆</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75565</wp:posOffset>
                  </wp:positionV>
                  <wp:extent cx="798195" cy="966470"/>
                  <wp:effectExtent l="0" t="0" r="1905" b="5080"/>
                  <wp:wrapNone/>
                  <wp:docPr id="199" name="图片_17"/>
                  <wp:cNvGraphicFramePr/>
                  <a:graphic xmlns:a="http://schemas.openxmlformats.org/drawingml/2006/main">
                    <a:graphicData uri="http://schemas.openxmlformats.org/drawingml/2006/picture">
                      <pic:pic xmlns:pic="http://schemas.openxmlformats.org/drawingml/2006/picture">
                        <pic:nvPicPr>
                          <pic:cNvPr id="199" name="图片_17"/>
                          <pic:cNvPicPr/>
                        </pic:nvPicPr>
                        <pic:blipFill>
                          <a:blip r:embed="rId45"/>
                          <a:stretch>
                            <a:fillRect/>
                          </a:stretch>
                        </pic:blipFill>
                        <pic:spPr>
                          <a:xfrm>
                            <a:off x="0" y="0"/>
                            <a:ext cx="798195" cy="9664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宇宙飞船创意积木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pp材质，334粒</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119380</wp:posOffset>
                  </wp:positionV>
                  <wp:extent cx="764540" cy="838835"/>
                  <wp:effectExtent l="0" t="0" r="16510" b="18415"/>
                  <wp:wrapNone/>
                  <wp:docPr id="200" name="图片_26"/>
                  <wp:cNvGraphicFramePr/>
                  <a:graphic xmlns:a="http://schemas.openxmlformats.org/drawingml/2006/main">
                    <a:graphicData uri="http://schemas.openxmlformats.org/drawingml/2006/picture">
                      <pic:pic xmlns:pic="http://schemas.openxmlformats.org/drawingml/2006/picture">
                        <pic:nvPicPr>
                          <pic:cNvPr id="200" name="图片_26"/>
                          <pic:cNvPicPr/>
                        </pic:nvPicPr>
                        <pic:blipFill>
                          <a:blip r:embed="rId46"/>
                          <a:stretch>
                            <a:fillRect/>
                          </a:stretch>
                        </pic:blipFill>
                        <pic:spPr>
                          <a:xfrm>
                            <a:off x="0" y="0"/>
                            <a:ext cx="764540" cy="838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汽车积木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pp材质，110粒</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24765</wp:posOffset>
                  </wp:positionV>
                  <wp:extent cx="843280" cy="1079500"/>
                  <wp:effectExtent l="0" t="0" r="13970" b="0"/>
                  <wp:wrapNone/>
                  <wp:docPr id="201" name="图片_4"/>
                  <wp:cNvGraphicFramePr/>
                  <a:graphic xmlns:a="http://schemas.openxmlformats.org/drawingml/2006/main">
                    <a:graphicData uri="http://schemas.openxmlformats.org/drawingml/2006/picture">
                      <pic:pic xmlns:pic="http://schemas.openxmlformats.org/drawingml/2006/picture">
                        <pic:nvPicPr>
                          <pic:cNvPr id="201" name="图片_4"/>
                          <pic:cNvPicPr/>
                        </pic:nvPicPr>
                        <pic:blipFill>
                          <a:blip r:embed="rId47"/>
                          <a:stretch>
                            <a:fillRect/>
                          </a:stretch>
                        </pic:blipFill>
                        <pic:spPr>
                          <a:xfrm>
                            <a:off x="0" y="0"/>
                            <a:ext cx="843280" cy="1079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好乐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2、规格件数：280件。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305435</wp:posOffset>
                  </wp:positionV>
                  <wp:extent cx="845185" cy="599440"/>
                  <wp:effectExtent l="0" t="0" r="12065" b="10160"/>
                  <wp:wrapNone/>
                  <wp:docPr id="203" name="图片_16_SpCnt_1"/>
                  <wp:cNvGraphicFramePr/>
                  <a:graphic xmlns:a="http://schemas.openxmlformats.org/drawingml/2006/main">
                    <a:graphicData uri="http://schemas.openxmlformats.org/drawingml/2006/picture">
                      <pic:pic xmlns:pic="http://schemas.openxmlformats.org/drawingml/2006/picture">
                        <pic:nvPicPr>
                          <pic:cNvPr id="203" name="图片_16_SpCnt_1"/>
                          <pic:cNvPicPr/>
                        </pic:nvPicPr>
                        <pic:blipFill>
                          <a:blip r:embed="rId48"/>
                          <a:stretch>
                            <a:fillRect/>
                          </a:stretch>
                        </pic:blipFill>
                        <pic:spPr>
                          <a:xfrm>
                            <a:off x="0" y="0"/>
                            <a:ext cx="845185" cy="5994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182880</wp:posOffset>
                  </wp:positionV>
                  <wp:extent cx="548640" cy="0"/>
                  <wp:effectExtent l="0" t="0" r="0" b="0"/>
                  <wp:wrapNone/>
                  <wp:docPr id="202" name="图片_16"/>
                  <wp:cNvGraphicFramePr/>
                  <a:graphic xmlns:a="http://schemas.openxmlformats.org/drawingml/2006/main">
                    <a:graphicData uri="http://schemas.openxmlformats.org/drawingml/2006/picture">
                      <pic:pic xmlns:pic="http://schemas.openxmlformats.org/drawingml/2006/picture">
                        <pic:nvPicPr>
                          <pic:cNvPr id="202" name="图片_16"/>
                          <pic:cNvPicPr/>
                        </pic:nvPicPr>
                        <pic:blipFill>
                          <a:blip r:embed="rId7"/>
                          <a:stretch>
                            <a:fillRect/>
                          </a:stretch>
                        </pic:blipFill>
                        <pic:spPr>
                          <a:xfrm>
                            <a:off x="0" y="0"/>
                            <a:ext cx="54864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彩虹积木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：PP食品级环保塑料、100%安全无毒，颜色艳丽，耐光照不褪色，抗压耐磨，光滑不伤手；2.产品由红、黄、蓝、绿4种颜色组成；规格：1孔：直径27*26mm 2孔：直径56*26mm；3孔：直径84*26mm；3.  件数：438件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217805</wp:posOffset>
                  </wp:positionV>
                  <wp:extent cx="831215" cy="609600"/>
                  <wp:effectExtent l="0" t="0" r="6985" b="0"/>
                  <wp:wrapNone/>
                  <wp:docPr id="204" name="图片_191"/>
                  <wp:cNvGraphicFramePr/>
                  <a:graphic xmlns:a="http://schemas.openxmlformats.org/drawingml/2006/main">
                    <a:graphicData uri="http://schemas.openxmlformats.org/drawingml/2006/picture">
                      <pic:pic xmlns:pic="http://schemas.openxmlformats.org/drawingml/2006/picture">
                        <pic:nvPicPr>
                          <pic:cNvPr id="204" name="图片_191"/>
                          <pic:cNvPicPr/>
                        </pic:nvPicPr>
                        <pic:blipFill>
                          <a:blip r:embed="rId49"/>
                          <a:stretch>
                            <a:fillRect/>
                          </a:stretch>
                        </pic:blipFill>
                        <pic:spPr>
                          <a:xfrm>
                            <a:off x="0" y="0"/>
                            <a:ext cx="831215" cy="6096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304800</wp:posOffset>
                  </wp:positionV>
                  <wp:extent cx="0" cy="678180"/>
                  <wp:effectExtent l="0" t="0" r="0" b="0"/>
                  <wp:wrapNone/>
                  <wp:docPr id="205" name="Obraz_3_SpCnt_1"/>
                  <wp:cNvGraphicFramePr/>
                  <a:graphic xmlns:a="http://schemas.openxmlformats.org/drawingml/2006/main">
                    <a:graphicData uri="http://schemas.openxmlformats.org/drawingml/2006/picture">
                      <pic:pic xmlns:pic="http://schemas.openxmlformats.org/drawingml/2006/picture">
                        <pic:nvPicPr>
                          <pic:cNvPr id="205" name="Obraz_3_SpCnt_1"/>
                          <pic:cNvPicPr/>
                        </pic:nvPicPr>
                        <pic:blipFill>
                          <a:blip r:embed="rId7"/>
                          <a:stretch>
                            <a:fillRect/>
                          </a:stretch>
                        </pic:blipFill>
                        <pic:spPr>
                          <a:xfrm>
                            <a:off x="0" y="0"/>
                            <a:ext cx="0" cy="6781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大串珠</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2、规格件数：300件。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244475</wp:posOffset>
                  </wp:positionV>
                  <wp:extent cx="662940" cy="693420"/>
                  <wp:effectExtent l="0" t="0" r="3810" b="11430"/>
                  <wp:wrapNone/>
                  <wp:docPr id="206" name="5"/>
                  <wp:cNvGraphicFramePr/>
                  <a:graphic xmlns:a="http://schemas.openxmlformats.org/drawingml/2006/main">
                    <a:graphicData uri="http://schemas.openxmlformats.org/drawingml/2006/picture">
                      <pic:pic xmlns:pic="http://schemas.openxmlformats.org/drawingml/2006/picture">
                        <pic:nvPicPr>
                          <pic:cNvPr id="206" name="5"/>
                          <pic:cNvPicPr/>
                        </pic:nvPicPr>
                        <pic:blipFill>
                          <a:blip r:embed="rId50"/>
                          <a:stretch>
                            <a:fillRect/>
                          </a:stretch>
                        </pic:blipFill>
                        <pic:spPr>
                          <a:xfrm>
                            <a:off x="0" y="0"/>
                            <a:ext cx="662940" cy="6934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水果四色游戏</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2、玩具类型：木制玩具。</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3.分类水果四色游戏，动物四色游戏，木妈妈四色游戏，巧之木四色游戏，多功能彩色计数器。规格：22.5*18*5cm。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195580</wp:posOffset>
                  </wp:positionV>
                  <wp:extent cx="805180" cy="799465"/>
                  <wp:effectExtent l="0" t="0" r="13970" b="635"/>
                  <wp:wrapNone/>
                  <wp:docPr id="207" name="图片_651"/>
                  <wp:cNvGraphicFramePr/>
                  <a:graphic xmlns:a="http://schemas.openxmlformats.org/drawingml/2006/main">
                    <a:graphicData uri="http://schemas.openxmlformats.org/drawingml/2006/picture">
                      <pic:pic xmlns:pic="http://schemas.openxmlformats.org/drawingml/2006/picture">
                        <pic:nvPicPr>
                          <pic:cNvPr id="207" name="图片_651"/>
                          <pic:cNvPicPr/>
                        </pic:nvPicPr>
                        <pic:blipFill>
                          <a:blip r:embed="rId51"/>
                          <a:stretch>
                            <a:fillRect/>
                          </a:stretch>
                        </pic:blipFill>
                        <pic:spPr>
                          <a:xfrm>
                            <a:off x="0" y="0"/>
                            <a:ext cx="80518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牛(木质拼图)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1、材质：木质，规格：11*11*0.4cm。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2、玩具类型：其它玩具，安全环保，颜色鲜艳，有利于激发儿童的兴趣和主动性。</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334010</wp:posOffset>
                  </wp:positionV>
                  <wp:extent cx="662305" cy="589915"/>
                  <wp:effectExtent l="0" t="0" r="4445" b="635"/>
                  <wp:wrapNone/>
                  <wp:docPr id="208" name="图片_654"/>
                  <wp:cNvGraphicFramePr/>
                  <a:graphic xmlns:a="http://schemas.openxmlformats.org/drawingml/2006/main">
                    <a:graphicData uri="http://schemas.openxmlformats.org/drawingml/2006/picture">
                      <pic:pic xmlns:pic="http://schemas.openxmlformats.org/drawingml/2006/picture">
                        <pic:nvPicPr>
                          <pic:cNvPr id="208" name="图片_654"/>
                          <pic:cNvPicPr/>
                        </pic:nvPicPr>
                        <pic:blipFill>
                          <a:blip r:embed="rId52"/>
                          <a:stretch>
                            <a:fillRect/>
                          </a:stretch>
                        </pic:blipFill>
                        <pic:spPr>
                          <a:xfrm>
                            <a:off x="0" y="0"/>
                            <a:ext cx="662305" cy="5899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螃蟹(木质拼图) </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1、材质：材质：木质，规格：11*11*0.4cm。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2、玩具类型：其它玩具，颜色鲜艳，安全无味可以锻炼幼儿的动手能力。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199390</wp:posOffset>
                  </wp:positionV>
                  <wp:extent cx="502285" cy="528955"/>
                  <wp:effectExtent l="0" t="0" r="12065" b="4445"/>
                  <wp:wrapNone/>
                  <wp:docPr id="209" name="图片_656"/>
                  <wp:cNvGraphicFramePr/>
                  <a:graphic xmlns:a="http://schemas.openxmlformats.org/drawingml/2006/main">
                    <a:graphicData uri="http://schemas.openxmlformats.org/drawingml/2006/picture">
                      <pic:pic xmlns:pic="http://schemas.openxmlformats.org/drawingml/2006/picture">
                        <pic:nvPicPr>
                          <pic:cNvPr id="209" name="图片_656"/>
                          <pic:cNvPicPr/>
                        </pic:nvPicPr>
                        <pic:blipFill>
                          <a:blip r:embed="rId53"/>
                          <a:stretch>
                            <a:fillRect/>
                          </a:stretch>
                        </pic:blipFill>
                        <pic:spPr>
                          <a:xfrm>
                            <a:off x="0" y="0"/>
                            <a:ext cx="502285" cy="528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水果六面画</w:t>
            </w:r>
          </w:p>
        </w:tc>
        <w:tc>
          <w:tcPr>
            <w:tcW w:w="2262" w:type="pct"/>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1.材质：木质，规格：10.5*10.5*3.5cm。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2.玩具类型：木制玩具，安全无毒，颜色鲜艳。</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3.拼图类型：立体拼图。含托盘。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6985</wp:posOffset>
                  </wp:positionV>
                  <wp:extent cx="850265" cy="858520"/>
                  <wp:effectExtent l="0" t="0" r="6985" b="17780"/>
                  <wp:wrapNone/>
                  <wp:docPr id="210" name="图片_658"/>
                  <wp:cNvGraphicFramePr/>
                  <a:graphic xmlns:a="http://schemas.openxmlformats.org/drawingml/2006/main">
                    <a:graphicData uri="http://schemas.openxmlformats.org/drawingml/2006/picture">
                      <pic:pic xmlns:pic="http://schemas.openxmlformats.org/drawingml/2006/picture">
                        <pic:nvPicPr>
                          <pic:cNvPr id="210" name="图片_658"/>
                          <pic:cNvPicPr/>
                        </pic:nvPicPr>
                        <pic:blipFill>
                          <a:blip r:embed="rId54"/>
                          <a:stretch>
                            <a:fillRect/>
                          </a:stretch>
                        </pic:blipFill>
                        <pic:spPr>
                          <a:xfrm>
                            <a:off x="0" y="0"/>
                            <a:ext cx="850265" cy="858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森林六面画</w:t>
            </w:r>
          </w:p>
        </w:tc>
        <w:tc>
          <w:tcPr>
            <w:tcW w:w="2262" w:type="pct"/>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1.材质：木质，规格：10.5*10.5*3.5cm。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2.玩具类型：木制玩具，安全无毒，颜色鲜艳。</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3.拼图类型：立体拼图。含托盘。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37465</wp:posOffset>
                  </wp:positionV>
                  <wp:extent cx="803275" cy="791210"/>
                  <wp:effectExtent l="0" t="0" r="15875" b="8890"/>
                  <wp:wrapNone/>
                  <wp:docPr id="211" name="图片_659"/>
                  <wp:cNvGraphicFramePr/>
                  <a:graphic xmlns:a="http://schemas.openxmlformats.org/drawingml/2006/main">
                    <a:graphicData uri="http://schemas.openxmlformats.org/drawingml/2006/picture">
                      <pic:pic xmlns:pic="http://schemas.openxmlformats.org/drawingml/2006/picture">
                        <pic:nvPicPr>
                          <pic:cNvPr id="211" name="图片_659"/>
                          <pic:cNvPicPr/>
                        </pic:nvPicPr>
                        <pic:blipFill>
                          <a:blip r:embed="rId55"/>
                          <a:stretch>
                            <a:fillRect/>
                          </a:stretch>
                        </pic:blipFill>
                        <pic:spPr>
                          <a:xfrm>
                            <a:off x="0" y="0"/>
                            <a:ext cx="803275" cy="7912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蜜蜂9片拼图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1.材质：木质，规格：14.8*14.8cm。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2：玩具类型：木制玩具，安全环保，颜色鲜艳。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194310</wp:posOffset>
                  </wp:positionV>
                  <wp:extent cx="767080" cy="799465"/>
                  <wp:effectExtent l="0" t="0" r="13970" b="635"/>
                  <wp:wrapNone/>
                  <wp:docPr id="212" name="图片_661"/>
                  <wp:cNvGraphicFramePr/>
                  <a:graphic xmlns:a="http://schemas.openxmlformats.org/drawingml/2006/main">
                    <a:graphicData uri="http://schemas.openxmlformats.org/drawingml/2006/picture">
                      <pic:pic xmlns:pic="http://schemas.openxmlformats.org/drawingml/2006/picture">
                        <pic:nvPicPr>
                          <pic:cNvPr id="212" name="图片_661"/>
                          <pic:cNvPicPr/>
                        </pic:nvPicPr>
                        <pic:blipFill>
                          <a:blip r:embed="rId56"/>
                          <a:stretch>
                            <a:fillRect/>
                          </a:stretch>
                        </pic:blipFill>
                        <pic:spPr>
                          <a:xfrm>
                            <a:off x="0" y="0"/>
                            <a:ext cx="76708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青蛙9片拼图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1：材质：木质，规格：14.8*14.8cm。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2.图案：青蛙拼图。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3.型号：9片动物拼图。</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198755</wp:posOffset>
                  </wp:positionV>
                  <wp:extent cx="769620" cy="774700"/>
                  <wp:effectExtent l="0" t="0" r="11430" b="6350"/>
                  <wp:wrapNone/>
                  <wp:docPr id="213" name="图片_663"/>
                  <wp:cNvGraphicFramePr/>
                  <a:graphic xmlns:a="http://schemas.openxmlformats.org/drawingml/2006/main">
                    <a:graphicData uri="http://schemas.openxmlformats.org/drawingml/2006/picture">
                      <pic:pic xmlns:pic="http://schemas.openxmlformats.org/drawingml/2006/picture">
                        <pic:nvPicPr>
                          <pic:cNvPr id="213" name="图片_663"/>
                          <pic:cNvPicPr/>
                        </pic:nvPicPr>
                        <pic:blipFill>
                          <a:blip r:embed="rId57"/>
                          <a:stretch>
                            <a:fillRect/>
                          </a:stretch>
                        </pic:blipFill>
                        <pic:spPr>
                          <a:xfrm>
                            <a:off x="0" y="0"/>
                            <a:ext cx="769620"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飞机9片拼图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1：材质：木质，规格：14.8*14.8cm。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2.图案：动物拼图，颜色丰富多彩，容易激发幼儿的兴趣。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3.型号：9片动物拼图。</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170815</wp:posOffset>
                  </wp:positionV>
                  <wp:extent cx="859155" cy="856615"/>
                  <wp:effectExtent l="0" t="0" r="17145" b="635"/>
                  <wp:wrapNone/>
                  <wp:docPr id="214" name="图片_665"/>
                  <wp:cNvGraphicFramePr/>
                  <a:graphic xmlns:a="http://schemas.openxmlformats.org/drawingml/2006/main">
                    <a:graphicData uri="http://schemas.openxmlformats.org/drawingml/2006/picture">
                      <pic:pic xmlns:pic="http://schemas.openxmlformats.org/drawingml/2006/picture">
                        <pic:nvPicPr>
                          <pic:cNvPr id="214" name="图片_665"/>
                          <pic:cNvPicPr/>
                        </pic:nvPicPr>
                        <pic:blipFill>
                          <a:blip r:embed="rId58"/>
                          <a:stretch>
                            <a:fillRect/>
                          </a:stretch>
                        </pic:blipFill>
                        <pic:spPr>
                          <a:xfrm>
                            <a:off x="0" y="0"/>
                            <a:ext cx="859155" cy="8566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公鸡9片拼图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1：材质：木质，规格：14.8*14.8cm。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2.图案：公鸡拼图。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3.型号：9片动物拼图。</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184150</wp:posOffset>
                  </wp:positionV>
                  <wp:extent cx="882650" cy="891540"/>
                  <wp:effectExtent l="0" t="0" r="12700" b="3810"/>
                  <wp:wrapNone/>
                  <wp:docPr id="215" name="图片_664"/>
                  <wp:cNvGraphicFramePr/>
                  <a:graphic xmlns:a="http://schemas.openxmlformats.org/drawingml/2006/main">
                    <a:graphicData uri="http://schemas.openxmlformats.org/drawingml/2006/picture">
                      <pic:pic xmlns:pic="http://schemas.openxmlformats.org/drawingml/2006/picture">
                        <pic:nvPicPr>
                          <pic:cNvPr id="215" name="图片_664"/>
                          <pic:cNvPicPr/>
                        </pic:nvPicPr>
                        <pic:blipFill>
                          <a:blip r:embed="rId59"/>
                          <a:stretch>
                            <a:fillRect/>
                          </a:stretch>
                        </pic:blipFill>
                        <pic:spPr>
                          <a:xfrm>
                            <a:off x="0" y="0"/>
                            <a:ext cx="882650" cy="891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小狮子磁力迷宫</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1.材质：木质，规格：15*15cm。2.玩具类型：木制玩具，安全无毒无味，有利于儿童专注力训练。</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147320</wp:posOffset>
                  </wp:positionV>
                  <wp:extent cx="847725" cy="888365"/>
                  <wp:effectExtent l="0" t="0" r="9525" b="6985"/>
                  <wp:wrapNone/>
                  <wp:docPr id="216" name="图片_668"/>
                  <wp:cNvGraphicFramePr/>
                  <a:graphic xmlns:a="http://schemas.openxmlformats.org/drawingml/2006/main">
                    <a:graphicData uri="http://schemas.openxmlformats.org/drawingml/2006/picture">
                      <pic:pic xmlns:pic="http://schemas.openxmlformats.org/drawingml/2006/picture">
                        <pic:nvPicPr>
                          <pic:cNvPr id="216" name="图片_668"/>
                          <pic:cNvPicPr/>
                        </pic:nvPicPr>
                        <pic:blipFill>
                          <a:blip r:embed="rId60"/>
                          <a:stretch>
                            <a:fillRect/>
                          </a:stretch>
                        </pic:blipFill>
                        <pic:spPr>
                          <a:xfrm>
                            <a:off x="0" y="0"/>
                            <a:ext cx="847725" cy="8883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小熊磁力迷宫</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1：材质：木质，规格：15*15cm。2.玩具类型：木制玩具，颜色鲜艳，容易激发幼儿的兴趣。</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212725</wp:posOffset>
                  </wp:positionV>
                  <wp:extent cx="809625" cy="826770"/>
                  <wp:effectExtent l="0" t="0" r="9525" b="11430"/>
                  <wp:wrapNone/>
                  <wp:docPr id="177" name="图片_667"/>
                  <wp:cNvGraphicFramePr/>
                  <a:graphic xmlns:a="http://schemas.openxmlformats.org/drawingml/2006/main">
                    <a:graphicData uri="http://schemas.openxmlformats.org/drawingml/2006/picture">
                      <pic:pic xmlns:pic="http://schemas.openxmlformats.org/drawingml/2006/picture">
                        <pic:nvPicPr>
                          <pic:cNvPr id="177" name="图片_667"/>
                          <pic:cNvPicPr/>
                        </pic:nvPicPr>
                        <pic:blipFill>
                          <a:blip r:embed="rId61"/>
                          <a:stretch>
                            <a:fillRect/>
                          </a:stretch>
                        </pic:blipFill>
                        <pic:spPr>
                          <a:xfrm>
                            <a:off x="0" y="0"/>
                            <a:ext cx="809625" cy="826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猫头鹰磁力迷宫</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1.材质：木质，规格：15*15cm；2.玩具类型：木制玩具，无毒无味，安全环保，颜色鲜艳。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188595</wp:posOffset>
                  </wp:positionV>
                  <wp:extent cx="783590" cy="807085"/>
                  <wp:effectExtent l="0" t="0" r="16510" b="12065"/>
                  <wp:wrapNone/>
                  <wp:docPr id="178" name="图片_666"/>
                  <wp:cNvGraphicFramePr/>
                  <a:graphic xmlns:a="http://schemas.openxmlformats.org/drawingml/2006/main">
                    <a:graphicData uri="http://schemas.openxmlformats.org/drawingml/2006/picture">
                      <pic:pic xmlns:pic="http://schemas.openxmlformats.org/drawingml/2006/picture">
                        <pic:nvPicPr>
                          <pic:cNvPr id="178" name="图片_666"/>
                          <pic:cNvPicPr/>
                        </pic:nvPicPr>
                        <pic:blipFill>
                          <a:blip r:embed="rId62"/>
                          <a:stretch>
                            <a:fillRect/>
                          </a:stretch>
                        </pic:blipFill>
                        <pic:spPr>
                          <a:xfrm>
                            <a:off x="0" y="0"/>
                            <a:ext cx="783590"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形状认知板 </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1.材质：实木，规格：30*23*1.6cm。2.玩具类型:木制玩具，形状多种多样，有利于幼儿更好的认识图形和分解形状。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342900</wp:posOffset>
                  </wp:positionV>
                  <wp:extent cx="823595" cy="624840"/>
                  <wp:effectExtent l="0" t="0" r="14605" b="3810"/>
                  <wp:wrapNone/>
                  <wp:docPr id="179" name="图片_669"/>
                  <wp:cNvGraphicFramePr/>
                  <a:graphic xmlns:a="http://schemas.openxmlformats.org/drawingml/2006/main">
                    <a:graphicData uri="http://schemas.openxmlformats.org/drawingml/2006/picture">
                      <pic:pic xmlns:pic="http://schemas.openxmlformats.org/drawingml/2006/picture">
                        <pic:nvPicPr>
                          <pic:cNvPr id="179" name="图片_669"/>
                          <pic:cNvPicPr/>
                        </pic:nvPicPr>
                        <pic:blipFill>
                          <a:blip r:embed="rId63"/>
                          <a:stretch>
                            <a:fillRect/>
                          </a:stretch>
                        </pic:blipFill>
                        <pic:spPr>
                          <a:xfrm>
                            <a:off x="0" y="0"/>
                            <a:ext cx="823595" cy="624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纽扣母鸡</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规格约：21*19cm。无毒无味，颜色鲜艳。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224790</wp:posOffset>
                  </wp:positionV>
                  <wp:extent cx="768350" cy="799465"/>
                  <wp:effectExtent l="0" t="0" r="12700" b="635"/>
                  <wp:wrapNone/>
                  <wp:docPr id="180" name="图片_674"/>
                  <wp:cNvGraphicFramePr/>
                  <a:graphic xmlns:a="http://schemas.openxmlformats.org/drawingml/2006/main">
                    <a:graphicData uri="http://schemas.openxmlformats.org/drawingml/2006/picture">
                      <pic:pic xmlns:pic="http://schemas.openxmlformats.org/drawingml/2006/picture">
                        <pic:nvPicPr>
                          <pic:cNvPr id="180" name="图片_674"/>
                          <pic:cNvPicPr/>
                        </pic:nvPicPr>
                        <pic:blipFill>
                          <a:blip r:embed="rId64"/>
                          <a:stretch>
                            <a:fillRect/>
                          </a:stretch>
                        </pic:blipFill>
                        <pic:spPr>
                          <a:xfrm>
                            <a:off x="0" y="0"/>
                            <a:ext cx="76835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黄色纽扣衣服</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规格约：11.2*13*0.5cm。安全环保，有利于幼儿手部精细动作发展。</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80010</wp:posOffset>
                  </wp:positionV>
                  <wp:extent cx="691515" cy="866140"/>
                  <wp:effectExtent l="0" t="0" r="13335" b="10160"/>
                  <wp:wrapNone/>
                  <wp:docPr id="181" name="图片_676"/>
                  <wp:cNvGraphicFramePr/>
                  <a:graphic xmlns:a="http://schemas.openxmlformats.org/drawingml/2006/main">
                    <a:graphicData uri="http://schemas.openxmlformats.org/drawingml/2006/picture">
                      <pic:pic xmlns:pic="http://schemas.openxmlformats.org/drawingml/2006/picture">
                        <pic:nvPicPr>
                          <pic:cNvPr id="181" name="图片_676"/>
                          <pic:cNvPicPr/>
                        </pic:nvPicPr>
                        <pic:blipFill>
                          <a:blip r:embed="rId65"/>
                          <a:stretch>
                            <a:fillRect/>
                          </a:stretch>
                        </pic:blipFill>
                        <pic:spPr>
                          <a:xfrm>
                            <a:off x="0" y="0"/>
                            <a:ext cx="691515" cy="866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纽扣拉链蝴蝶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规格约：22*18cm。颜色鲜艳，耐光照不褪色，无毒无味。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286385</wp:posOffset>
                  </wp:positionV>
                  <wp:extent cx="750570" cy="768985"/>
                  <wp:effectExtent l="0" t="0" r="11430" b="12065"/>
                  <wp:wrapNone/>
                  <wp:docPr id="182" name="图片_683"/>
                  <wp:cNvGraphicFramePr/>
                  <a:graphic xmlns:a="http://schemas.openxmlformats.org/drawingml/2006/main">
                    <a:graphicData uri="http://schemas.openxmlformats.org/drawingml/2006/picture">
                      <pic:pic xmlns:pic="http://schemas.openxmlformats.org/drawingml/2006/picture">
                        <pic:nvPicPr>
                          <pic:cNvPr id="182" name="图片_683"/>
                          <pic:cNvPicPr/>
                        </pic:nvPicPr>
                        <pic:blipFill>
                          <a:blip r:embed="rId66"/>
                          <a:stretch>
                            <a:fillRect/>
                          </a:stretch>
                        </pic:blipFill>
                        <pic:spPr>
                          <a:xfrm>
                            <a:off x="0" y="0"/>
                            <a:ext cx="750570" cy="768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红色小瓢虫</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规格约：31*21cm。安全环保，颜色丰富，锻炼孩子的动手能力。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242570</wp:posOffset>
                  </wp:positionV>
                  <wp:extent cx="723900" cy="808990"/>
                  <wp:effectExtent l="0" t="0" r="0" b="10160"/>
                  <wp:wrapNone/>
                  <wp:docPr id="183" name="图片_692"/>
                  <wp:cNvGraphicFramePr/>
                  <a:graphic xmlns:a="http://schemas.openxmlformats.org/drawingml/2006/main">
                    <a:graphicData uri="http://schemas.openxmlformats.org/drawingml/2006/picture">
                      <pic:pic xmlns:pic="http://schemas.openxmlformats.org/drawingml/2006/picture">
                        <pic:nvPicPr>
                          <pic:cNvPr id="183" name="图片_692"/>
                          <pic:cNvPicPr/>
                        </pic:nvPicPr>
                        <pic:blipFill>
                          <a:blip r:embed="rId67"/>
                          <a:stretch>
                            <a:fillRect/>
                          </a:stretch>
                        </pic:blipFill>
                        <pic:spPr>
                          <a:xfrm>
                            <a:off x="0" y="0"/>
                            <a:ext cx="723900" cy="808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DIY绳子穿珠子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：PP食品级环保塑料、100%安全无毒，颜色艳丽，耐光照不褪色，抗压耐磨，光滑不伤手；2、产品由红、黄、蓝、绿、浅蓝、浅绿、橙、紫8种颜色组成；规格：圆柱形φ16*22 φ18*20 φ18*22  正方形：14*14*14 三角形：17*15*16 圆形：φ23*9 φ23*8  花形：19*16 六边形：17*15*17  菱形：15*25*16 圆体：φ19*17；3.件数:818件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569595</wp:posOffset>
                  </wp:positionV>
                  <wp:extent cx="735330" cy="495935"/>
                  <wp:effectExtent l="0" t="0" r="7620" b="18415"/>
                  <wp:wrapNone/>
                  <wp:docPr id="184" name="图片_55"/>
                  <wp:cNvGraphicFramePr/>
                  <a:graphic xmlns:a="http://schemas.openxmlformats.org/drawingml/2006/main">
                    <a:graphicData uri="http://schemas.openxmlformats.org/drawingml/2006/picture">
                      <pic:pic xmlns:pic="http://schemas.openxmlformats.org/drawingml/2006/picture">
                        <pic:nvPicPr>
                          <pic:cNvPr id="184" name="图片_55"/>
                          <pic:cNvPicPr/>
                        </pic:nvPicPr>
                        <pic:blipFill>
                          <a:blip r:embed="rId68"/>
                          <a:stretch>
                            <a:fillRect/>
                          </a:stretch>
                        </pic:blipFill>
                        <pic:spPr>
                          <a:xfrm>
                            <a:off x="0" y="0"/>
                            <a:ext cx="735330" cy="495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仿真橱柜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1.材质：实木，规格：70*34.2*101.5cm，台面宽55cm。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2.玩具类型：仿真厨房类，功能齐全，容易引起幼儿的兴趣。</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153670</wp:posOffset>
                  </wp:positionV>
                  <wp:extent cx="779145" cy="873760"/>
                  <wp:effectExtent l="0" t="0" r="1905" b="2540"/>
                  <wp:wrapNone/>
                  <wp:docPr id="185" name="attachment-1650271360204-cd5da651948be8be"/>
                  <wp:cNvGraphicFramePr/>
                  <a:graphic xmlns:a="http://schemas.openxmlformats.org/drawingml/2006/main">
                    <a:graphicData uri="http://schemas.openxmlformats.org/drawingml/2006/picture">
                      <pic:pic xmlns:pic="http://schemas.openxmlformats.org/drawingml/2006/picture">
                        <pic:nvPicPr>
                          <pic:cNvPr id="185" name="attachment-1650271360204-cd5da651948be8be"/>
                          <pic:cNvPicPr/>
                        </pic:nvPicPr>
                        <pic:blipFill>
                          <a:blip r:embed="rId69"/>
                          <a:stretch>
                            <a:fillRect/>
                          </a:stretch>
                        </pic:blipFill>
                        <pic:spPr>
                          <a:xfrm>
                            <a:off x="0" y="0"/>
                            <a:ext cx="779145" cy="873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书柜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1.材质：生态板，规格：170*115*24cm。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2.流行元素：拼接。无毒无味。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229870</wp:posOffset>
                  </wp:positionV>
                  <wp:extent cx="830580" cy="774065"/>
                  <wp:effectExtent l="0" t="0" r="7620" b="6985"/>
                  <wp:wrapNone/>
                  <wp:docPr id="186" name="attachment-1650271404669-142b3be88a1594fb"/>
                  <wp:cNvGraphicFramePr/>
                  <a:graphic xmlns:a="http://schemas.openxmlformats.org/drawingml/2006/main">
                    <a:graphicData uri="http://schemas.openxmlformats.org/drawingml/2006/picture">
                      <pic:pic xmlns:pic="http://schemas.openxmlformats.org/drawingml/2006/picture">
                        <pic:nvPicPr>
                          <pic:cNvPr id="186" name="attachment-1650271404669-142b3be88a1594fb"/>
                          <pic:cNvPicPr/>
                        </pic:nvPicPr>
                        <pic:blipFill>
                          <a:blip r:embed="rId70"/>
                          <a:stretch>
                            <a:fillRect/>
                          </a:stretch>
                        </pic:blipFill>
                        <pic:spPr>
                          <a:xfrm>
                            <a:off x="0" y="0"/>
                            <a:ext cx="830580" cy="774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娃娃床</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1.材质：木,规格：47*24.5*26.5cm。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2.玩具类型：仿真玩具</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273685</wp:posOffset>
                  </wp:positionV>
                  <wp:extent cx="770255" cy="730885"/>
                  <wp:effectExtent l="0" t="0" r="10795" b="12065"/>
                  <wp:wrapNone/>
                  <wp:docPr id="187" name="attachment-1650271432171-c3e5e2097efffc95"/>
                  <wp:cNvGraphicFramePr/>
                  <a:graphic xmlns:a="http://schemas.openxmlformats.org/drawingml/2006/main">
                    <a:graphicData uri="http://schemas.openxmlformats.org/drawingml/2006/picture">
                      <pic:pic xmlns:pic="http://schemas.openxmlformats.org/drawingml/2006/picture">
                        <pic:nvPicPr>
                          <pic:cNvPr id="187" name="attachment-1650271432171-c3e5e2097efffc95"/>
                          <pic:cNvPicPr/>
                        </pic:nvPicPr>
                        <pic:blipFill>
                          <a:blip r:embed="rId71"/>
                          <a:stretch>
                            <a:fillRect/>
                          </a:stretch>
                        </pic:blipFill>
                        <pic:spPr>
                          <a:xfrm>
                            <a:off x="0" y="0"/>
                            <a:ext cx="770255" cy="730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仿真橱柜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1.材质：木,规格：84.2*73.5*29.7cm。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2.玩具类型：仿真玩具，无毒无味，安全环保。</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250190</wp:posOffset>
                  </wp:positionV>
                  <wp:extent cx="744220" cy="817245"/>
                  <wp:effectExtent l="0" t="0" r="17780" b="1905"/>
                  <wp:wrapNone/>
                  <wp:docPr id="188" name="attachment-1650271456184-3f9e28816e24ab09"/>
                  <wp:cNvGraphicFramePr/>
                  <a:graphic xmlns:a="http://schemas.openxmlformats.org/drawingml/2006/main">
                    <a:graphicData uri="http://schemas.openxmlformats.org/drawingml/2006/picture">
                      <pic:pic xmlns:pic="http://schemas.openxmlformats.org/drawingml/2006/picture">
                        <pic:nvPicPr>
                          <pic:cNvPr id="188" name="attachment-1650271456184-3f9e28816e24ab09"/>
                          <pic:cNvPicPr/>
                        </pic:nvPicPr>
                        <pic:blipFill>
                          <a:blip r:embed="rId72"/>
                          <a:stretch>
                            <a:fillRect/>
                          </a:stretch>
                        </pic:blipFill>
                        <pic:spPr>
                          <a:xfrm>
                            <a:off x="0" y="0"/>
                            <a:ext cx="744220" cy="8172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娃娃家中华美食＋蒸笼</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三个小黄人包子一笼</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257810</wp:posOffset>
                  </wp:positionV>
                  <wp:extent cx="750570" cy="754380"/>
                  <wp:effectExtent l="0" t="0" r="11430" b="7620"/>
                  <wp:wrapNone/>
                  <wp:docPr id="189" name="attachment-1650271491722-30a24b233a7c9c39"/>
                  <wp:cNvGraphicFramePr/>
                  <a:graphic xmlns:a="http://schemas.openxmlformats.org/drawingml/2006/main">
                    <a:graphicData uri="http://schemas.openxmlformats.org/drawingml/2006/picture">
                      <pic:pic xmlns:pic="http://schemas.openxmlformats.org/drawingml/2006/picture">
                        <pic:nvPicPr>
                          <pic:cNvPr id="189" name="attachment-1650271491722-30a24b233a7c9c39"/>
                          <pic:cNvPicPr/>
                        </pic:nvPicPr>
                        <pic:blipFill>
                          <a:blip r:embed="rId73"/>
                          <a:stretch>
                            <a:fillRect/>
                          </a:stretch>
                        </pic:blipFill>
                        <pic:spPr>
                          <a:xfrm>
                            <a:off x="0" y="0"/>
                            <a:ext cx="750570" cy="754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仿真厨具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材质；塑料，功能齐全，没有异味。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256540</wp:posOffset>
                  </wp:positionV>
                  <wp:extent cx="646430" cy="706755"/>
                  <wp:effectExtent l="0" t="0" r="1270" b="17145"/>
                  <wp:wrapNone/>
                  <wp:docPr id="190" name="attachment-1650271540665-af6be33aefcb6ea0"/>
                  <wp:cNvGraphicFramePr/>
                  <a:graphic xmlns:a="http://schemas.openxmlformats.org/drawingml/2006/main">
                    <a:graphicData uri="http://schemas.openxmlformats.org/drawingml/2006/picture">
                      <pic:pic xmlns:pic="http://schemas.openxmlformats.org/drawingml/2006/picture">
                        <pic:nvPicPr>
                          <pic:cNvPr id="190" name="attachment-1650271540665-af6be33aefcb6ea0"/>
                          <pic:cNvPicPr/>
                        </pic:nvPicPr>
                        <pic:blipFill>
                          <a:blip r:embed="rId74"/>
                          <a:stretch>
                            <a:fillRect/>
                          </a:stretch>
                        </pic:blipFill>
                        <pic:spPr>
                          <a:xfrm>
                            <a:off x="0" y="0"/>
                            <a:ext cx="646430" cy="7067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娃娃家化妆台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材质：木,规格：123*39*58cm。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玩具类型：仿真化妆台，贴近幼儿的生活，容易激发幼儿的兴趣。</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161290</wp:posOffset>
                  </wp:positionV>
                  <wp:extent cx="835025" cy="943610"/>
                  <wp:effectExtent l="0" t="0" r="3175" b="8890"/>
                  <wp:wrapNone/>
                  <wp:docPr id="191" name="attachment-1650271574676-4d5f663313358e82"/>
                  <wp:cNvGraphicFramePr/>
                  <a:graphic xmlns:a="http://schemas.openxmlformats.org/drawingml/2006/main">
                    <a:graphicData uri="http://schemas.openxmlformats.org/drawingml/2006/picture">
                      <pic:pic xmlns:pic="http://schemas.openxmlformats.org/drawingml/2006/picture">
                        <pic:nvPicPr>
                          <pic:cNvPr id="191" name="attachment-1650271574676-4d5f663313358e82"/>
                          <pic:cNvPicPr/>
                        </pic:nvPicPr>
                        <pic:blipFill>
                          <a:blip r:embed="rId75"/>
                          <a:stretch>
                            <a:fillRect/>
                          </a:stretch>
                        </pic:blipFill>
                        <pic:spPr>
                          <a:xfrm>
                            <a:off x="0" y="0"/>
                            <a:ext cx="835025" cy="943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仿真茶具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玩具类型：其他过家家玩具，无毒无味。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235585</wp:posOffset>
                  </wp:positionV>
                  <wp:extent cx="655320" cy="742950"/>
                  <wp:effectExtent l="0" t="0" r="11430" b="0"/>
                  <wp:wrapNone/>
                  <wp:docPr id="192" name="attachment-1650271624669-b3f4011bb1028af9"/>
                  <wp:cNvGraphicFramePr/>
                  <a:graphic xmlns:a="http://schemas.openxmlformats.org/drawingml/2006/main">
                    <a:graphicData uri="http://schemas.openxmlformats.org/drawingml/2006/picture">
                      <pic:pic xmlns:pic="http://schemas.openxmlformats.org/drawingml/2006/picture">
                        <pic:nvPicPr>
                          <pic:cNvPr id="192" name="attachment-1650271624669-b3f4011bb1028af9"/>
                          <pic:cNvPicPr/>
                        </pic:nvPicPr>
                        <pic:blipFill>
                          <a:blip r:embed="rId76"/>
                          <a:stretch>
                            <a:fillRect/>
                          </a:stretch>
                        </pic:blipFill>
                        <pic:spPr>
                          <a:xfrm>
                            <a:off x="0" y="0"/>
                            <a:ext cx="65532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书架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材质：实木。安全环保，无毒无味。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158115</wp:posOffset>
                  </wp:positionV>
                  <wp:extent cx="775970" cy="875030"/>
                  <wp:effectExtent l="0" t="0" r="5080" b="1270"/>
                  <wp:wrapNone/>
                  <wp:docPr id="193" name="attachment-1650271670836-f4f63ce87b432007"/>
                  <wp:cNvGraphicFramePr/>
                  <a:graphic xmlns:a="http://schemas.openxmlformats.org/drawingml/2006/main">
                    <a:graphicData uri="http://schemas.openxmlformats.org/drawingml/2006/picture">
                      <pic:pic xmlns:pic="http://schemas.openxmlformats.org/drawingml/2006/picture">
                        <pic:nvPicPr>
                          <pic:cNvPr id="193" name="attachment-1650271670836-f4f63ce87b432007"/>
                          <pic:cNvPicPr/>
                        </pic:nvPicPr>
                        <pic:blipFill>
                          <a:blip r:embed="rId77"/>
                          <a:stretch>
                            <a:fillRect/>
                          </a:stretch>
                        </pic:blipFill>
                        <pic:spPr>
                          <a:xfrm>
                            <a:off x="0" y="0"/>
                            <a:ext cx="775970" cy="875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五官认知拼图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图案：巧板/拼板。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玩具类型：木制玩具，安全环保，有利于幼儿认识五官。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229235</wp:posOffset>
                  </wp:positionV>
                  <wp:extent cx="742950" cy="754380"/>
                  <wp:effectExtent l="0" t="0" r="0" b="7620"/>
                  <wp:wrapNone/>
                  <wp:docPr id="194" name="attachment-1650271747167-76e6d82c84b9dcbd"/>
                  <wp:cNvGraphicFramePr/>
                  <a:graphic xmlns:a="http://schemas.openxmlformats.org/drawingml/2006/main">
                    <a:graphicData uri="http://schemas.openxmlformats.org/drawingml/2006/picture">
                      <pic:pic xmlns:pic="http://schemas.openxmlformats.org/drawingml/2006/picture">
                        <pic:nvPicPr>
                          <pic:cNvPr id="194" name="attachment-1650271747167-76e6d82c84b9dcbd"/>
                          <pic:cNvPicPr/>
                        </pic:nvPicPr>
                        <pic:blipFill>
                          <a:blip r:embed="rId78"/>
                          <a:stretch>
                            <a:fillRect/>
                          </a:stretch>
                        </pic:blipFill>
                        <pic:spPr>
                          <a:xfrm>
                            <a:off x="0" y="0"/>
                            <a:ext cx="742950" cy="754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四色板玩具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材质：木制玩具，无毒无味，锻炼儿童逻辑思维能力。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234950</wp:posOffset>
                  </wp:positionV>
                  <wp:extent cx="734060" cy="735330"/>
                  <wp:effectExtent l="0" t="0" r="8890" b="7620"/>
                  <wp:wrapNone/>
                  <wp:docPr id="195" name="attachment-1650271773165-00ca6f3804117efe"/>
                  <wp:cNvGraphicFramePr/>
                  <a:graphic xmlns:a="http://schemas.openxmlformats.org/drawingml/2006/main">
                    <a:graphicData uri="http://schemas.openxmlformats.org/drawingml/2006/picture">
                      <pic:pic xmlns:pic="http://schemas.openxmlformats.org/drawingml/2006/picture">
                        <pic:nvPicPr>
                          <pic:cNvPr id="195" name="attachment-1650271773165-00ca6f3804117efe"/>
                          <pic:cNvPicPr/>
                        </pic:nvPicPr>
                        <pic:blipFill>
                          <a:blip r:embed="rId79"/>
                          <a:stretch>
                            <a:fillRect/>
                          </a:stretch>
                        </pic:blipFill>
                        <pic:spPr>
                          <a:xfrm>
                            <a:off x="0" y="0"/>
                            <a:ext cx="734060" cy="7353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木制动物拼图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材质：木制玩具，颜色鲜艳，无毒无味，安全环保。</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266065</wp:posOffset>
                  </wp:positionV>
                  <wp:extent cx="765810" cy="735330"/>
                  <wp:effectExtent l="0" t="0" r="15240" b="7620"/>
                  <wp:wrapNone/>
                  <wp:docPr id="196" name="attachment-1650271792305-f132f0c6f3910c15"/>
                  <wp:cNvGraphicFramePr/>
                  <a:graphic xmlns:a="http://schemas.openxmlformats.org/drawingml/2006/main">
                    <a:graphicData uri="http://schemas.openxmlformats.org/drawingml/2006/picture">
                      <pic:pic xmlns:pic="http://schemas.openxmlformats.org/drawingml/2006/picture">
                        <pic:nvPicPr>
                          <pic:cNvPr id="196" name="attachment-1650271792305-f132f0c6f3910c15"/>
                          <pic:cNvPicPr/>
                        </pic:nvPicPr>
                        <pic:blipFill>
                          <a:blip r:embed="rId80"/>
                          <a:stretch>
                            <a:fillRect/>
                          </a:stretch>
                        </pic:blipFill>
                        <pic:spPr>
                          <a:xfrm>
                            <a:off x="0" y="0"/>
                            <a:ext cx="765810" cy="7353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木制磁性钓鱼</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材质：木制玩具，颜色鲜艳，无毒无味，安全环保。</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189865</wp:posOffset>
                  </wp:positionV>
                  <wp:extent cx="688975" cy="752475"/>
                  <wp:effectExtent l="0" t="0" r="15875" b="9525"/>
                  <wp:wrapNone/>
                  <wp:docPr id="237" name="attachment-1650271825730-23a116c88c9bfe1b"/>
                  <wp:cNvGraphicFramePr/>
                  <a:graphic xmlns:a="http://schemas.openxmlformats.org/drawingml/2006/main">
                    <a:graphicData uri="http://schemas.openxmlformats.org/drawingml/2006/picture">
                      <pic:pic xmlns:pic="http://schemas.openxmlformats.org/drawingml/2006/picture">
                        <pic:nvPicPr>
                          <pic:cNvPr id="237" name="attachment-1650271825730-23a116c88c9bfe1b"/>
                          <pic:cNvPicPr/>
                        </pic:nvPicPr>
                        <pic:blipFill>
                          <a:blip r:embed="rId81"/>
                          <a:stretch>
                            <a:fillRect/>
                          </a:stretch>
                        </pic:blipFill>
                        <pic:spPr>
                          <a:xfrm>
                            <a:off x="0" y="0"/>
                            <a:ext cx="688975" cy="752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木制手抓虫子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材质：木制玩具，颜色鲜艳，无毒无味，安全环保。</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140335</wp:posOffset>
                  </wp:positionV>
                  <wp:extent cx="829945" cy="932815"/>
                  <wp:effectExtent l="0" t="0" r="8255" b="635"/>
                  <wp:wrapNone/>
                  <wp:docPr id="238" name="attachment-1650271862668-166ac3d5083b817f"/>
                  <wp:cNvGraphicFramePr/>
                  <a:graphic xmlns:a="http://schemas.openxmlformats.org/drawingml/2006/main">
                    <a:graphicData uri="http://schemas.openxmlformats.org/drawingml/2006/picture">
                      <pic:pic xmlns:pic="http://schemas.openxmlformats.org/drawingml/2006/picture">
                        <pic:nvPicPr>
                          <pic:cNvPr id="238" name="attachment-1650271862668-166ac3d5083b817f"/>
                          <pic:cNvPicPr/>
                        </pic:nvPicPr>
                        <pic:blipFill>
                          <a:blip r:embed="rId82"/>
                          <a:stretch>
                            <a:fillRect/>
                          </a:stretch>
                        </pic:blipFill>
                        <pic:spPr>
                          <a:xfrm>
                            <a:off x="0" y="0"/>
                            <a:ext cx="829945" cy="9328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软胶洋娃娃</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材质：搪胶，普通娃娃，安全无味。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160020</wp:posOffset>
                  </wp:positionV>
                  <wp:extent cx="681355" cy="746760"/>
                  <wp:effectExtent l="0" t="0" r="4445" b="15240"/>
                  <wp:wrapNone/>
                  <wp:docPr id="239" name="attachment-1650272230170-e9eaab1a414e1d56"/>
                  <wp:cNvGraphicFramePr/>
                  <a:graphic xmlns:a="http://schemas.openxmlformats.org/drawingml/2006/main">
                    <a:graphicData uri="http://schemas.openxmlformats.org/drawingml/2006/picture">
                      <pic:pic xmlns:pic="http://schemas.openxmlformats.org/drawingml/2006/picture">
                        <pic:nvPicPr>
                          <pic:cNvPr id="239" name="attachment-1650272230170-e9eaab1a414e1d56"/>
                          <pic:cNvPicPr/>
                        </pic:nvPicPr>
                        <pic:blipFill>
                          <a:blip r:embed="rId83"/>
                          <a:stretch>
                            <a:fillRect/>
                          </a:stretch>
                        </pic:blipFill>
                        <pic:spPr>
                          <a:xfrm>
                            <a:off x="0" y="0"/>
                            <a:ext cx="681355" cy="746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功能室（鲤中）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创意异形沙发</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主材材质: 实木+海绵+布艺；规格：200*350cm；颜色：绿色+白色；造型：S形；优点：可以根据不同场景角色需要进行自由拼搭组合。产品经过检测检验合格。</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202565</wp:posOffset>
                  </wp:positionV>
                  <wp:extent cx="761365" cy="705485"/>
                  <wp:effectExtent l="0" t="0" r="635" b="18415"/>
                  <wp:wrapNone/>
                  <wp:docPr id="240" name="图片_555"/>
                  <wp:cNvGraphicFramePr/>
                  <a:graphic xmlns:a="http://schemas.openxmlformats.org/drawingml/2006/main">
                    <a:graphicData uri="http://schemas.openxmlformats.org/drawingml/2006/picture">
                      <pic:pic xmlns:pic="http://schemas.openxmlformats.org/drawingml/2006/picture">
                        <pic:nvPicPr>
                          <pic:cNvPr id="240" name="图片_555"/>
                          <pic:cNvPicPr/>
                        </pic:nvPicPr>
                        <pic:blipFill>
                          <a:blip r:embed="rId84"/>
                          <a:stretch>
                            <a:fillRect/>
                          </a:stretch>
                        </pic:blipFill>
                        <pic:spPr>
                          <a:xfrm>
                            <a:off x="0" y="0"/>
                            <a:ext cx="761365" cy="705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长颈鹿书架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材质：实木多层板；规格：120*30cm及168*30cm组合；颜色：柯达红。2座/套。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131445</wp:posOffset>
                  </wp:positionV>
                  <wp:extent cx="742950" cy="934085"/>
                  <wp:effectExtent l="0" t="0" r="0" b="18415"/>
                  <wp:wrapNone/>
                  <wp:docPr id="241" name="图片_60"/>
                  <wp:cNvGraphicFramePr/>
                  <a:graphic xmlns:a="http://schemas.openxmlformats.org/drawingml/2006/main">
                    <a:graphicData uri="http://schemas.openxmlformats.org/drawingml/2006/picture">
                      <pic:pic xmlns:pic="http://schemas.openxmlformats.org/drawingml/2006/picture">
                        <pic:nvPicPr>
                          <pic:cNvPr id="241" name="图片_60"/>
                          <pic:cNvPicPr/>
                        </pic:nvPicPr>
                        <pic:blipFill>
                          <a:blip r:embed="rId85"/>
                          <a:stretch>
                            <a:fillRect/>
                          </a:stretch>
                        </pic:blipFill>
                        <pic:spPr>
                          <a:xfrm>
                            <a:off x="0" y="0"/>
                            <a:ext cx="742950" cy="934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书架壁挂</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规格：尺寸约：80*80*17cm（大号）、70*67*17cm（小号）；材质：实木；颜色：原木色。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212090</wp:posOffset>
                  </wp:positionV>
                  <wp:extent cx="817880" cy="784225"/>
                  <wp:effectExtent l="0" t="0" r="1270" b="15875"/>
                  <wp:wrapNone/>
                  <wp:docPr id="242" name="图片_538"/>
                  <wp:cNvGraphicFramePr/>
                  <a:graphic xmlns:a="http://schemas.openxmlformats.org/drawingml/2006/main">
                    <a:graphicData uri="http://schemas.openxmlformats.org/drawingml/2006/picture">
                      <pic:pic xmlns:pic="http://schemas.openxmlformats.org/drawingml/2006/picture">
                        <pic:nvPicPr>
                          <pic:cNvPr id="242" name="图片_538"/>
                          <pic:cNvPicPr/>
                        </pic:nvPicPr>
                        <pic:blipFill>
                          <a:blip r:embed="rId86"/>
                          <a:stretch>
                            <a:fillRect/>
                          </a:stretch>
                        </pic:blipFill>
                        <pic:spPr>
                          <a:xfrm>
                            <a:off x="0" y="0"/>
                            <a:ext cx="817880" cy="784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松树原木书架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材质：实木；规格：119*32*60mm；上下共计四层；两侧均可放置绘本；颜色：原木色；油漆：环保水性漆。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架</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208915</wp:posOffset>
                  </wp:positionV>
                  <wp:extent cx="857885" cy="765810"/>
                  <wp:effectExtent l="0" t="0" r="18415" b="15240"/>
                  <wp:wrapNone/>
                  <wp:docPr id="243" name="图片_539"/>
                  <wp:cNvGraphicFramePr/>
                  <a:graphic xmlns:a="http://schemas.openxmlformats.org/drawingml/2006/main">
                    <a:graphicData uri="http://schemas.openxmlformats.org/drawingml/2006/picture">
                      <pic:pic xmlns:pic="http://schemas.openxmlformats.org/drawingml/2006/picture">
                        <pic:nvPicPr>
                          <pic:cNvPr id="243" name="图片_539"/>
                          <pic:cNvPicPr/>
                        </pic:nvPicPr>
                        <pic:blipFill>
                          <a:blip r:embed="rId87"/>
                          <a:stretch>
                            <a:fillRect/>
                          </a:stretch>
                        </pic:blipFill>
                        <pic:spPr>
                          <a:xfrm>
                            <a:off x="0" y="0"/>
                            <a:ext cx="857885" cy="765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绘本书架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材质：实木多层板；底部为格子柜；上部内嵌圆形坐台（颜色：白色）；背面：实木多层板；尺寸约：2700*300*1800mm；板侧面收边：PVC收边。造型：异形；颜色：枫木色*白色。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356235</wp:posOffset>
                  </wp:positionV>
                  <wp:extent cx="826135" cy="662305"/>
                  <wp:effectExtent l="0" t="0" r="12065" b="4445"/>
                  <wp:wrapNone/>
                  <wp:docPr id="244" name="图片_63"/>
                  <wp:cNvGraphicFramePr/>
                  <a:graphic xmlns:a="http://schemas.openxmlformats.org/drawingml/2006/main">
                    <a:graphicData uri="http://schemas.openxmlformats.org/drawingml/2006/picture">
                      <pic:pic xmlns:pic="http://schemas.openxmlformats.org/drawingml/2006/picture">
                        <pic:nvPicPr>
                          <pic:cNvPr id="244" name="图片_63"/>
                          <pic:cNvPicPr/>
                        </pic:nvPicPr>
                        <pic:blipFill>
                          <a:blip r:embed="rId88"/>
                          <a:stretch>
                            <a:fillRect/>
                          </a:stretch>
                        </pic:blipFill>
                        <pic:spPr>
                          <a:xfrm>
                            <a:off x="0" y="0"/>
                            <a:ext cx="826135" cy="662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组合书柜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阅读书桌2，组合书架L180*W100*H60cm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208915</wp:posOffset>
                  </wp:positionV>
                  <wp:extent cx="801370" cy="756285"/>
                  <wp:effectExtent l="0" t="0" r="17780" b="5715"/>
                  <wp:wrapNone/>
                  <wp:docPr id="245" name="图片_543"/>
                  <wp:cNvGraphicFramePr/>
                  <a:graphic xmlns:a="http://schemas.openxmlformats.org/drawingml/2006/main">
                    <a:graphicData uri="http://schemas.openxmlformats.org/drawingml/2006/picture">
                      <pic:pic xmlns:pic="http://schemas.openxmlformats.org/drawingml/2006/picture">
                        <pic:nvPicPr>
                          <pic:cNvPr id="245" name="图片_543"/>
                          <pic:cNvPicPr/>
                        </pic:nvPicPr>
                        <pic:blipFill>
                          <a:blip r:embed="rId89"/>
                          <a:stretch>
                            <a:fillRect/>
                          </a:stretch>
                        </pic:blipFill>
                        <pic:spPr>
                          <a:xfrm>
                            <a:off x="0" y="0"/>
                            <a:ext cx="801370" cy="756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藤编组合桌</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材质：塑料仿藤；规格：120*50*38CM，含2个席面方墩、2个席面圆墩。</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116205</wp:posOffset>
                  </wp:positionV>
                  <wp:extent cx="687705" cy="977265"/>
                  <wp:effectExtent l="0" t="0" r="17145" b="13335"/>
                  <wp:wrapNone/>
                  <wp:docPr id="246" name="图片_544"/>
                  <wp:cNvGraphicFramePr/>
                  <a:graphic xmlns:a="http://schemas.openxmlformats.org/drawingml/2006/main">
                    <a:graphicData uri="http://schemas.openxmlformats.org/drawingml/2006/picture">
                      <pic:pic xmlns:pic="http://schemas.openxmlformats.org/drawingml/2006/picture">
                        <pic:nvPicPr>
                          <pic:cNvPr id="246" name="图片_544"/>
                          <pic:cNvPicPr/>
                        </pic:nvPicPr>
                        <pic:blipFill>
                          <a:blip r:embed="rId90"/>
                          <a:stretch>
                            <a:fillRect/>
                          </a:stretch>
                        </pic:blipFill>
                        <pic:spPr>
                          <a:xfrm>
                            <a:off x="0" y="0"/>
                            <a:ext cx="687705" cy="9772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窗台小餐桌套装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材质：松木；规格：100*50*30CM(加厚款），含一张桌子、四个垫子。</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292100</wp:posOffset>
                  </wp:positionV>
                  <wp:extent cx="785495" cy="629285"/>
                  <wp:effectExtent l="0" t="0" r="14605" b="18415"/>
                  <wp:wrapNone/>
                  <wp:docPr id="247" name="图片_545"/>
                  <wp:cNvGraphicFramePr/>
                  <a:graphic xmlns:a="http://schemas.openxmlformats.org/drawingml/2006/main">
                    <a:graphicData uri="http://schemas.openxmlformats.org/drawingml/2006/picture">
                      <pic:pic xmlns:pic="http://schemas.openxmlformats.org/drawingml/2006/picture">
                        <pic:nvPicPr>
                          <pic:cNvPr id="247" name="图片_545"/>
                          <pic:cNvPicPr/>
                        </pic:nvPicPr>
                        <pic:blipFill>
                          <a:blip r:embed="rId91"/>
                          <a:stretch>
                            <a:fillRect/>
                          </a:stretch>
                        </pic:blipFill>
                        <pic:spPr>
                          <a:xfrm>
                            <a:off x="0" y="0"/>
                            <a:ext cx="785495" cy="629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大号鹅卵石沙发凳</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主材材质: 实木+抹布；面料使用优质麻布，使得更透气亲肤清新自然，耐磨性强，不掉色，不染色，小朋友使用更安全；规格：长度: 70*35cm；颜色：灰色。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220345</wp:posOffset>
                  </wp:positionV>
                  <wp:extent cx="719455" cy="680085"/>
                  <wp:effectExtent l="0" t="0" r="4445" b="5715"/>
                  <wp:wrapNone/>
                  <wp:docPr id="248" name="图片_546"/>
                  <wp:cNvGraphicFramePr/>
                  <a:graphic xmlns:a="http://schemas.openxmlformats.org/drawingml/2006/main">
                    <a:graphicData uri="http://schemas.openxmlformats.org/drawingml/2006/picture">
                      <pic:pic xmlns:pic="http://schemas.openxmlformats.org/drawingml/2006/picture">
                        <pic:nvPicPr>
                          <pic:cNvPr id="248" name="图片_546"/>
                          <pic:cNvPicPr/>
                        </pic:nvPicPr>
                        <pic:blipFill>
                          <a:blip r:embed="rId92"/>
                          <a:stretch>
                            <a:fillRect/>
                          </a:stretch>
                        </pic:blipFill>
                        <pic:spPr>
                          <a:xfrm>
                            <a:off x="0" y="0"/>
                            <a:ext cx="719455" cy="680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中号鹅卵石沙发凳</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主材材质: 实木+抹布；面料使用优质麻布，使得更透气亲肤清新自然，耐磨性强，不掉色，不染色，小朋友使用更安全；规格：长度: 55.5*35cm；颜色：草绿色。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361315</wp:posOffset>
                  </wp:positionV>
                  <wp:extent cx="502920" cy="449580"/>
                  <wp:effectExtent l="0" t="0" r="11430" b="7620"/>
                  <wp:wrapNone/>
                  <wp:docPr id="249" name="图片_547"/>
                  <wp:cNvGraphicFramePr/>
                  <a:graphic xmlns:a="http://schemas.openxmlformats.org/drawingml/2006/main">
                    <a:graphicData uri="http://schemas.openxmlformats.org/drawingml/2006/picture">
                      <pic:pic xmlns:pic="http://schemas.openxmlformats.org/drawingml/2006/picture">
                        <pic:nvPicPr>
                          <pic:cNvPr id="249" name="图片_547"/>
                          <pic:cNvPicPr/>
                        </pic:nvPicPr>
                        <pic:blipFill>
                          <a:blip r:embed="rId93"/>
                          <a:stretch>
                            <a:fillRect/>
                          </a:stretch>
                        </pic:blipFill>
                        <pic:spPr>
                          <a:xfrm>
                            <a:off x="0" y="0"/>
                            <a:ext cx="502920" cy="449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小号鹅卵石沙发凳</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主材材质: 实木+抹布；面料使用优质麻布，使得更透气亲肤清新自然，耐磨性强，不掉色，不染色，小朋友使用更安全；规格：长度: 42.5*35cm；颜色：黄色。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276225</wp:posOffset>
                  </wp:positionV>
                  <wp:extent cx="594360" cy="685800"/>
                  <wp:effectExtent l="0" t="0" r="15240" b="0"/>
                  <wp:wrapNone/>
                  <wp:docPr id="250" name="图片_548"/>
                  <wp:cNvGraphicFramePr/>
                  <a:graphic xmlns:a="http://schemas.openxmlformats.org/drawingml/2006/main">
                    <a:graphicData uri="http://schemas.openxmlformats.org/drawingml/2006/picture">
                      <pic:pic xmlns:pic="http://schemas.openxmlformats.org/drawingml/2006/picture">
                        <pic:nvPicPr>
                          <pic:cNvPr id="250" name="图片_548"/>
                          <pic:cNvPicPr/>
                        </pic:nvPicPr>
                        <pic:blipFill>
                          <a:blip r:embed="rId94"/>
                          <a:stretch>
                            <a:fillRect/>
                          </a:stretch>
                        </pic:blipFill>
                        <pic:spPr>
                          <a:xfrm>
                            <a:off x="0" y="0"/>
                            <a:ext cx="594360" cy="685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儿童沙发</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主材材质: 实木+抹布；面料使用优质麻布，使得更透气亲肤清新自然，耐磨性强，不掉色，不染色，小朋友使用更安全；规格：650*570*900mM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213995</wp:posOffset>
                  </wp:positionV>
                  <wp:extent cx="727710" cy="608965"/>
                  <wp:effectExtent l="0" t="0" r="15240" b="635"/>
                  <wp:wrapNone/>
                  <wp:docPr id="251" name="图片_549"/>
                  <wp:cNvGraphicFramePr/>
                  <a:graphic xmlns:a="http://schemas.openxmlformats.org/drawingml/2006/main">
                    <a:graphicData uri="http://schemas.openxmlformats.org/drawingml/2006/picture">
                      <pic:pic xmlns:pic="http://schemas.openxmlformats.org/drawingml/2006/picture">
                        <pic:nvPicPr>
                          <pic:cNvPr id="251" name="图片_549"/>
                          <pic:cNvPicPr/>
                        </pic:nvPicPr>
                        <pic:blipFill>
                          <a:blip r:embed="rId95"/>
                          <a:stretch>
                            <a:fillRect/>
                          </a:stretch>
                        </pic:blipFill>
                        <pic:spPr>
                          <a:xfrm>
                            <a:off x="0" y="0"/>
                            <a:ext cx="727710" cy="6089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加厚地垫</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绒面材质：超柔纤维，底部材质：点塑防滑材质；优点：不掉色，不染色，无异味；规格：圆形直径200厘米。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365760</wp:posOffset>
                  </wp:positionV>
                  <wp:extent cx="769620" cy="518160"/>
                  <wp:effectExtent l="0" t="0" r="11430" b="15240"/>
                  <wp:wrapNone/>
                  <wp:docPr id="252" name="图片_550"/>
                  <wp:cNvGraphicFramePr/>
                  <a:graphic xmlns:a="http://schemas.openxmlformats.org/drawingml/2006/main">
                    <a:graphicData uri="http://schemas.openxmlformats.org/drawingml/2006/picture">
                      <pic:pic xmlns:pic="http://schemas.openxmlformats.org/drawingml/2006/picture">
                        <pic:nvPicPr>
                          <pic:cNvPr id="252" name="图片_550"/>
                          <pic:cNvPicPr/>
                        </pic:nvPicPr>
                        <pic:blipFill>
                          <a:blip r:embed="rId96"/>
                          <a:stretch>
                            <a:fillRect/>
                          </a:stretch>
                        </pic:blipFill>
                        <pic:spPr>
                          <a:xfrm>
                            <a:off x="0" y="0"/>
                            <a:ext cx="769620" cy="518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树形书架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材质：实木；规格：200*20CM；颜色：原木色，造型：树叉结构造型。</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架</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419100</wp:posOffset>
                  </wp:positionV>
                  <wp:extent cx="767080" cy="508635"/>
                  <wp:effectExtent l="0" t="0" r="13970" b="5715"/>
                  <wp:wrapNone/>
                  <wp:docPr id="253" name="图片_551"/>
                  <wp:cNvGraphicFramePr/>
                  <a:graphic xmlns:a="http://schemas.openxmlformats.org/drawingml/2006/main">
                    <a:graphicData uri="http://schemas.openxmlformats.org/drawingml/2006/picture">
                      <pic:pic xmlns:pic="http://schemas.openxmlformats.org/drawingml/2006/picture">
                        <pic:nvPicPr>
                          <pic:cNvPr id="253" name="图片_551"/>
                          <pic:cNvPicPr/>
                        </pic:nvPicPr>
                        <pic:blipFill>
                          <a:blip r:embed="rId97"/>
                          <a:stretch>
                            <a:fillRect/>
                          </a:stretch>
                        </pic:blipFill>
                        <pic:spPr>
                          <a:xfrm>
                            <a:off x="0" y="0"/>
                            <a:ext cx="767080" cy="508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置物架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材质：合成木；规格：140*26*15cm；颜色：原木色；2件/套。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314325</wp:posOffset>
                  </wp:positionV>
                  <wp:extent cx="820420" cy="703580"/>
                  <wp:effectExtent l="0" t="0" r="17780" b="1270"/>
                  <wp:wrapNone/>
                  <wp:docPr id="254" name="图片_552"/>
                  <wp:cNvGraphicFramePr/>
                  <a:graphic xmlns:a="http://schemas.openxmlformats.org/drawingml/2006/main">
                    <a:graphicData uri="http://schemas.openxmlformats.org/drawingml/2006/picture">
                      <pic:pic xmlns:pic="http://schemas.openxmlformats.org/drawingml/2006/picture">
                        <pic:nvPicPr>
                          <pic:cNvPr id="254" name="图片_552"/>
                          <pic:cNvPicPr/>
                        </pic:nvPicPr>
                        <pic:blipFill>
                          <a:blip r:embed="rId98"/>
                          <a:stretch>
                            <a:fillRect/>
                          </a:stretch>
                        </pic:blipFill>
                        <pic:spPr>
                          <a:xfrm>
                            <a:off x="0" y="0"/>
                            <a:ext cx="820420" cy="703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石臼</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规格尺寸约：14.2（口）；10.6（底）；10.5（高）cm。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390525</wp:posOffset>
                  </wp:positionV>
                  <wp:extent cx="678180" cy="480060"/>
                  <wp:effectExtent l="0" t="0" r="7620" b="15240"/>
                  <wp:wrapNone/>
                  <wp:docPr id="255" name="图片_1"/>
                  <wp:cNvGraphicFramePr/>
                  <a:graphic xmlns:a="http://schemas.openxmlformats.org/drawingml/2006/main">
                    <a:graphicData uri="http://schemas.openxmlformats.org/drawingml/2006/picture">
                      <pic:pic xmlns:pic="http://schemas.openxmlformats.org/drawingml/2006/picture">
                        <pic:nvPicPr>
                          <pic:cNvPr id="255" name="图片_1"/>
                          <pic:cNvPicPr/>
                        </pic:nvPicPr>
                        <pic:blipFill>
                          <a:blip r:embed="rId99"/>
                          <a:stretch>
                            <a:fillRect/>
                          </a:stretch>
                        </pic:blipFill>
                        <pic:spPr>
                          <a:xfrm>
                            <a:off x="0" y="0"/>
                            <a:ext cx="678180" cy="4800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烤箱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规格：（68升）：产品尺寸：65*38*38cm；内胆尺寸：50*35*28cm。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281940</wp:posOffset>
                  </wp:positionV>
                  <wp:extent cx="772795" cy="716280"/>
                  <wp:effectExtent l="0" t="0" r="8255" b="7620"/>
                  <wp:wrapNone/>
                  <wp:docPr id="256" name="图片_32"/>
                  <wp:cNvGraphicFramePr/>
                  <a:graphic xmlns:a="http://schemas.openxmlformats.org/drawingml/2006/main">
                    <a:graphicData uri="http://schemas.openxmlformats.org/drawingml/2006/picture">
                      <pic:pic xmlns:pic="http://schemas.openxmlformats.org/drawingml/2006/picture">
                        <pic:nvPicPr>
                          <pic:cNvPr id="256" name="图片_32"/>
                          <pic:cNvPicPr/>
                        </pic:nvPicPr>
                        <pic:blipFill>
                          <a:blip r:embed="rId100"/>
                          <a:stretch>
                            <a:fillRect/>
                          </a:stretch>
                        </pic:blipFill>
                        <pic:spPr>
                          <a:xfrm>
                            <a:off x="0" y="0"/>
                            <a:ext cx="772795" cy="7162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不粘炒锅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 铝合金；锅盖类型: 不锈钢镶玻璃盖；规格：32寸；特点: 无油烟 不粘 无油烟，不粘。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182880</wp:posOffset>
                  </wp:positionV>
                  <wp:extent cx="731520" cy="708660"/>
                  <wp:effectExtent l="0" t="0" r="11430" b="15240"/>
                  <wp:wrapNone/>
                  <wp:docPr id="17" name="图片_559"/>
                  <wp:cNvGraphicFramePr/>
                  <a:graphic xmlns:a="http://schemas.openxmlformats.org/drawingml/2006/main">
                    <a:graphicData uri="http://schemas.openxmlformats.org/drawingml/2006/picture">
                      <pic:pic xmlns:pic="http://schemas.openxmlformats.org/drawingml/2006/picture">
                        <pic:nvPicPr>
                          <pic:cNvPr id="17" name="图片_559"/>
                          <pic:cNvPicPr/>
                        </pic:nvPicPr>
                        <pic:blipFill>
                          <a:blip r:embed="rId101"/>
                          <a:stretch>
                            <a:fillRect/>
                          </a:stretch>
                        </pic:blipFill>
                        <pic:spPr>
                          <a:xfrm>
                            <a:off x="0" y="0"/>
                            <a:ext cx="731520" cy="708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密胺餐具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汤碗：20;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圆盘:20;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长方形盘子：20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292735</wp:posOffset>
                  </wp:positionV>
                  <wp:extent cx="800100" cy="754380"/>
                  <wp:effectExtent l="0" t="0" r="0" b="7620"/>
                  <wp:wrapNone/>
                  <wp:docPr id="18" name="图片_36"/>
                  <wp:cNvGraphicFramePr/>
                  <a:graphic xmlns:a="http://schemas.openxmlformats.org/drawingml/2006/main">
                    <a:graphicData uri="http://schemas.openxmlformats.org/drawingml/2006/picture">
                      <pic:pic xmlns:pic="http://schemas.openxmlformats.org/drawingml/2006/picture">
                        <pic:nvPicPr>
                          <pic:cNvPr id="18" name="图片_36"/>
                          <pic:cNvPicPr/>
                        </pic:nvPicPr>
                        <pic:blipFill>
                          <a:blip r:embed="rId102"/>
                          <a:stretch>
                            <a:fillRect/>
                          </a:stretch>
                        </pic:blipFill>
                        <pic:spPr>
                          <a:xfrm>
                            <a:off x="0" y="0"/>
                            <a:ext cx="800100" cy="754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陶瓷白骨瓷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8英寸</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290830</wp:posOffset>
                  </wp:positionV>
                  <wp:extent cx="678180" cy="678180"/>
                  <wp:effectExtent l="0" t="0" r="7620" b="7620"/>
                  <wp:wrapNone/>
                  <wp:docPr id="19" name="图片_563"/>
                  <wp:cNvGraphicFramePr/>
                  <a:graphic xmlns:a="http://schemas.openxmlformats.org/drawingml/2006/main">
                    <a:graphicData uri="http://schemas.openxmlformats.org/drawingml/2006/picture">
                      <pic:pic xmlns:pic="http://schemas.openxmlformats.org/drawingml/2006/picture">
                        <pic:nvPicPr>
                          <pic:cNvPr id="19" name="图片_563"/>
                          <pic:cNvPicPr/>
                        </pic:nvPicPr>
                        <pic:blipFill>
                          <a:blip r:embed="rId103"/>
                          <a:stretch>
                            <a:fillRect/>
                          </a:stretch>
                        </pic:blipFill>
                        <pic:spPr>
                          <a:xfrm>
                            <a:off x="0" y="0"/>
                            <a:ext cx="678180" cy="6781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电饭煲</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内胆材质:釜胆；容量: 5L；加热方式: 底盘加热；规格：33.8*26.7*25.2cm；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184150</wp:posOffset>
                  </wp:positionV>
                  <wp:extent cx="662940" cy="632460"/>
                  <wp:effectExtent l="0" t="0" r="3810" b="15240"/>
                  <wp:wrapNone/>
                  <wp:docPr id="20" name="图片_38"/>
                  <wp:cNvGraphicFramePr/>
                  <a:graphic xmlns:a="http://schemas.openxmlformats.org/drawingml/2006/main">
                    <a:graphicData uri="http://schemas.openxmlformats.org/drawingml/2006/picture">
                      <pic:pic xmlns:pic="http://schemas.openxmlformats.org/drawingml/2006/picture">
                        <pic:nvPicPr>
                          <pic:cNvPr id="20" name="图片_38"/>
                          <pic:cNvPicPr/>
                        </pic:nvPicPr>
                        <pic:blipFill>
                          <a:blip r:embed="rId104"/>
                          <a:stretch>
                            <a:fillRect/>
                          </a:stretch>
                        </pic:blipFill>
                        <pic:spPr>
                          <a:xfrm>
                            <a:off x="0" y="0"/>
                            <a:ext cx="662940" cy="632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蒸箱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18升以上（三层蒸格）</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175260</wp:posOffset>
                  </wp:positionV>
                  <wp:extent cx="805180" cy="887095"/>
                  <wp:effectExtent l="0" t="0" r="13970" b="8255"/>
                  <wp:wrapNone/>
                  <wp:docPr id="21" name="图片_565"/>
                  <wp:cNvGraphicFramePr/>
                  <a:graphic xmlns:a="http://schemas.openxmlformats.org/drawingml/2006/main">
                    <a:graphicData uri="http://schemas.openxmlformats.org/drawingml/2006/picture">
                      <pic:pic xmlns:pic="http://schemas.openxmlformats.org/drawingml/2006/picture">
                        <pic:nvPicPr>
                          <pic:cNvPr id="21" name="图片_565"/>
                          <pic:cNvPicPr/>
                        </pic:nvPicPr>
                        <pic:blipFill>
                          <a:blip r:embed="rId105"/>
                          <a:stretch>
                            <a:fillRect/>
                          </a:stretch>
                        </pic:blipFill>
                        <pic:spPr>
                          <a:xfrm>
                            <a:off x="0" y="0"/>
                            <a:ext cx="805180" cy="887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微波炉</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20L</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36195</wp:posOffset>
                  </wp:positionV>
                  <wp:extent cx="812800" cy="1040765"/>
                  <wp:effectExtent l="0" t="0" r="6350" b="6985"/>
                  <wp:wrapNone/>
                  <wp:docPr id="22" name="图片_566"/>
                  <wp:cNvGraphicFramePr/>
                  <a:graphic xmlns:a="http://schemas.openxmlformats.org/drawingml/2006/main">
                    <a:graphicData uri="http://schemas.openxmlformats.org/drawingml/2006/picture">
                      <pic:pic xmlns:pic="http://schemas.openxmlformats.org/drawingml/2006/picture">
                        <pic:nvPicPr>
                          <pic:cNvPr id="22" name="图片_566"/>
                          <pic:cNvPicPr/>
                        </pic:nvPicPr>
                        <pic:blipFill>
                          <a:blip r:embed="rId106"/>
                          <a:stretch>
                            <a:fillRect/>
                          </a:stretch>
                        </pic:blipFill>
                        <pic:spPr>
                          <a:xfrm>
                            <a:off x="0" y="0"/>
                            <a:ext cx="812800" cy="1040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电冰箱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单门（银灰色）,规格：185*595*682MM；商品具有中国强制性产品认证（CCC）编号，符合国家CCC认证标准。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254000</wp:posOffset>
                  </wp:positionV>
                  <wp:extent cx="495300" cy="784860"/>
                  <wp:effectExtent l="0" t="0" r="0" b="15240"/>
                  <wp:wrapNone/>
                  <wp:docPr id="23" name="图片_41"/>
                  <wp:cNvGraphicFramePr/>
                  <a:graphic xmlns:a="http://schemas.openxmlformats.org/drawingml/2006/main">
                    <a:graphicData uri="http://schemas.openxmlformats.org/drawingml/2006/picture">
                      <pic:pic xmlns:pic="http://schemas.openxmlformats.org/drawingml/2006/picture">
                        <pic:nvPicPr>
                          <pic:cNvPr id="23" name="图片_41"/>
                          <pic:cNvPicPr/>
                        </pic:nvPicPr>
                        <pic:blipFill>
                          <a:blip r:embed="rId107"/>
                          <a:stretch>
                            <a:fillRect/>
                          </a:stretch>
                        </pic:blipFill>
                        <pic:spPr>
                          <a:xfrm>
                            <a:off x="0" y="0"/>
                            <a:ext cx="495300" cy="784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消毒柜（1）</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容量：300L以上；规格：555*400*1630MM。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383540</wp:posOffset>
                  </wp:positionV>
                  <wp:extent cx="548640" cy="556260"/>
                  <wp:effectExtent l="0" t="0" r="3810" b="15240"/>
                  <wp:wrapNone/>
                  <wp:docPr id="24" name="图片_568"/>
                  <wp:cNvGraphicFramePr/>
                  <a:graphic xmlns:a="http://schemas.openxmlformats.org/drawingml/2006/main">
                    <a:graphicData uri="http://schemas.openxmlformats.org/drawingml/2006/picture">
                      <pic:pic xmlns:pic="http://schemas.openxmlformats.org/drawingml/2006/picture">
                        <pic:nvPicPr>
                          <pic:cNvPr id="24" name="图片_568"/>
                          <pic:cNvPicPr/>
                        </pic:nvPicPr>
                        <pic:blipFill>
                          <a:blip r:embed="rId108"/>
                          <a:stretch>
                            <a:fillRect/>
                          </a:stretch>
                        </pic:blipFill>
                        <pic:spPr>
                          <a:xfrm>
                            <a:off x="0" y="0"/>
                            <a:ext cx="548640" cy="556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消毒柜（2）</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壁挂消毒柜:规格：40*40*100cm；含安装。</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297180</wp:posOffset>
                  </wp:positionV>
                  <wp:extent cx="796925" cy="555625"/>
                  <wp:effectExtent l="0" t="0" r="3175" b="15875"/>
                  <wp:wrapNone/>
                  <wp:docPr id="25" name="图片_7"/>
                  <wp:cNvGraphicFramePr/>
                  <a:graphic xmlns:a="http://schemas.openxmlformats.org/drawingml/2006/main">
                    <a:graphicData uri="http://schemas.openxmlformats.org/drawingml/2006/picture">
                      <pic:pic xmlns:pic="http://schemas.openxmlformats.org/drawingml/2006/picture">
                        <pic:nvPicPr>
                          <pic:cNvPr id="25" name="图片_7"/>
                          <pic:cNvPicPr/>
                        </pic:nvPicPr>
                        <pic:blipFill>
                          <a:blip r:embed="rId109"/>
                          <a:stretch>
                            <a:fillRect/>
                          </a:stretch>
                        </pic:blipFill>
                        <pic:spPr>
                          <a:xfrm>
                            <a:off x="0" y="0"/>
                            <a:ext cx="796925" cy="555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个性桌子3张</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规格：异性桌260CM*65*55，圆圈直径110CM；优点：采用松木材质使得具有良好的抗震力。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229870</wp:posOffset>
                  </wp:positionV>
                  <wp:extent cx="814070" cy="711835"/>
                  <wp:effectExtent l="0" t="0" r="5080" b="12065"/>
                  <wp:wrapNone/>
                  <wp:docPr id="26" name="图片_2"/>
                  <wp:cNvGraphicFramePr/>
                  <a:graphic xmlns:a="http://schemas.openxmlformats.org/drawingml/2006/main">
                    <a:graphicData uri="http://schemas.openxmlformats.org/drawingml/2006/picture">
                      <pic:pic xmlns:pic="http://schemas.openxmlformats.org/drawingml/2006/picture">
                        <pic:nvPicPr>
                          <pic:cNvPr id="26" name="图片_2"/>
                          <pic:cNvPicPr/>
                        </pic:nvPicPr>
                        <pic:blipFill>
                          <a:blip r:embed="rId110"/>
                          <a:stretch>
                            <a:fillRect/>
                          </a:stretch>
                        </pic:blipFill>
                        <pic:spPr>
                          <a:xfrm>
                            <a:off x="0" y="0"/>
                            <a:ext cx="814070" cy="711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儿童书柜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材质：书柜立柱采用进口橡胶木，抽屉侧板采用俄罗斯落叶松，其余为E1级环保密度板；规格：80*40*201cm。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283210</wp:posOffset>
                  </wp:positionV>
                  <wp:extent cx="850900" cy="731520"/>
                  <wp:effectExtent l="0" t="0" r="6350" b="11430"/>
                  <wp:wrapNone/>
                  <wp:docPr id="27" name="图片_6"/>
                  <wp:cNvGraphicFramePr/>
                  <a:graphic xmlns:a="http://schemas.openxmlformats.org/drawingml/2006/main">
                    <a:graphicData uri="http://schemas.openxmlformats.org/drawingml/2006/picture">
                      <pic:pic xmlns:pic="http://schemas.openxmlformats.org/drawingml/2006/picture">
                        <pic:nvPicPr>
                          <pic:cNvPr id="27" name="图片_6"/>
                          <pic:cNvPicPr/>
                        </pic:nvPicPr>
                        <pic:blipFill>
                          <a:blip r:embed="rId111"/>
                          <a:stretch>
                            <a:fillRect/>
                          </a:stretch>
                        </pic:blipFill>
                        <pic:spPr>
                          <a:xfrm>
                            <a:off x="0" y="0"/>
                            <a:ext cx="850900" cy="731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休闲柜子（高)</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材质：活动层板+橡胶木柜脚；规格：135*50*148cm；其中下柜规格：90*135*50cm；上部杯架柜高为58cm。颜色：白+绿。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44450</wp:posOffset>
                  </wp:positionV>
                  <wp:extent cx="715645" cy="986790"/>
                  <wp:effectExtent l="0" t="0" r="8255" b="3810"/>
                  <wp:wrapNone/>
                  <wp:docPr id="28" name="图片_7_SpCnt_1"/>
                  <wp:cNvGraphicFramePr/>
                  <a:graphic xmlns:a="http://schemas.openxmlformats.org/drawingml/2006/main">
                    <a:graphicData uri="http://schemas.openxmlformats.org/drawingml/2006/picture">
                      <pic:pic xmlns:pic="http://schemas.openxmlformats.org/drawingml/2006/picture">
                        <pic:nvPicPr>
                          <pic:cNvPr id="28" name="图片_7_SpCnt_1"/>
                          <pic:cNvPicPr/>
                        </pic:nvPicPr>
                        <pic:blipFill>
                          <a:blip r:embed="rId112"/>
                          <a:stretch>
                            <a:fillRect/>
                          </a:stretch>
                        </pic:blipFill>
                        <pic:spPr>
                          <a:xfrm>
                            <a:off x="0" y="0"/>
                            <a:ext cx="715645" cy="986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椅子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规格：28.5（凳高）*31.5*55.5（靠背高）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把</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68580</wp:posOffset>
                  </wp:positionV>
                  <wp:extent cx="638175" cy="748030"/>
                  <wp:effectExtent l="0" t="0" r="9525" b="13970"/>
                  <wp:wrapNone/>
                  <wp:docPr id="29" name="图片_682"/>
                  <wp:cNvGraphicFramePr/>
                  <a:graphic xmlns:a="http://schemas.openxmlformats.org/drawingml/2006/main">
                    <a:graphicData uri="http://schemas.openxmlformats.org/drawingml/2006/picture">
                      <pic:pic xmlns:pic="http://schemas.openxmlformats.org/drawingml/2006/picture">
                        <pic:nvPicPr>
                          <pic:cNvPr id="29" name="图片_682"/>
                          <pic:cNvPicPr/>
                        </pic:nvPicPr>
                        <pic:blipFill>
                          <a:blip r:embed="rId113"/>
                          <a:stretch>
                            <a:fillRect/>
                          </a:stretch>
                        </pic:blipFill>
                        <pic:spPr>
                          <a:xfrm>
                            <a:off x="0" y="0"/>
                            <a:ext cx="638175" cy="748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小茶桌</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材质：实木+E1环保密度板+水性环保漆；规格：46*50*23cm。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211455</wp:posOffset>
                  </wp:positionV>
                  <wp:extent cx="758825" cy="863600"/>
                  <wp:effectExtent l="0" t="0" r="3175" b="12700"/>
                  <wp:wrapNone/>
                  <wp:docPr id="30" name="图片_4_SpCnt_1"/>
                  <wp:cNvGraphicFramePr/>
                  <a:graphic xmlns:a="http://schemas.openxmlformats.org/drawingml/2006/main">
                    <a:graphicData uri="http://schemas.openxmlformats.org/drawingml/2006/picture">
                      <pic:pic xmlns:pic="http://schemas.openxmlformats.org/drawingml/2006/picture">
                        <pic:nvPicPr>
                          <pic:cNvPr id="30" name="图片_4_SpCnt_1"/>
                          <pic:cNvPicPr/>
                        </pic:nvPicPr>
                        <pic:blipFill>
                          <a:blip r:embed="rId114"/>
                          <a:stretch>
                            <a:fillRect/>
                          </a:stretch>
                        </pic:blipFill>
                        <pic:spPr>
                          <a:xfrm>
                            <a:off x="0" y="0"/>
                            <a:ext cx="758825" cy="863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休闲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桌椅（混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规格：桌子：桌面直径70*75cm；含椅子4把。</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172720</wp:posOffset>
                  </wp:positionV>
                  <wp:extent cx="731520" cy="755015"/>
                  <wp:effectExtent l="0" t="0" r="11430" b="6985"/>
                  <wp:wrapNone/>
                  <wp:docPr id="31" name="图片_10"/>
                  <wp:cNvGraphicFramePr/>
                  <a:graphic xmlns:a="http://schemas.openxmlformats.org/drawingml/2006/main">
                    <a:graphicData uri="http://schemas.openxmlformats.org/drawingml/2006/picture">
                      <pic:pic xmlns:pic="http://schemas.openxmlformats.org/drawingml/2006/picture">
                        <pic:nvPicPr>
                          <pic:cNvPr id="31" name="图片_10"/>
                          <pic:cNvPicPr/>
                        </pic:nvPicPr>
                        <pic:blipFill>
                          <a:blip r:embed="rId115"/>
                          <a:stretch>
                            <a:fillRect/>
                          </a:stretch>
                        </pic:blipFill>
                        <pic:spPr>
                          <a:xfrm>
                            <a:off x="0" y="0"/>
                            <a:ext cx="731520" cy="7550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格子层架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材质：桦木板，规格：120*24*104cm；共计7格；颜色：原木色+白色，柜子含有背板。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219075</wp:posOffset>
                  </wp:positionV>
                  <wp:extent cx="793750" cy="792480"/>
                  <wp:effectExtent l="0" t="0" r="6350" b="7620"/>
                  <wp:wrapNone/>
                  <wp:docPr id="32" name="图片_576"/>
                  <wp:cNvGraphicFramePr/>
                  <a:graphic xmlns:a="http://schemas.openxmlformats.org/drawingml/2006/main">
                    <a:graphicData uri="http://schemas.openxmlformats.org/drawingml/2006/picture">
                      <pic:pic xmlns:pic="http://schemas.openxmlformats.org/drawingml/2006/picture">
                        <pic:nvPicPr>
                          <pic:cNvPr id="32" name="图片_576"/>
                          <pic:cNvPicPr/>
                        </pic:nvPicPr>
                        <pic:blipFill>
                          <a:blip r:embed="rId116"/>
                          <a:stretch>
                            <a:fillRect/>
                          </a:stretch>
                        </pic:blipFill>
                        <pic:spPr>
                          <a:xfrm>
                            <a:off x="0" y="0"/>
                            <a:ext cx="793750" cy="792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厨师服</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材质：纯棉；含帽子、围裙、袖子。</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38</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178435</wp:posOffset>
                  </wp:positionV>
                  <wp:extent cx="723900" cy="769620"/>
                  <wp:effectExtent l="0" t="0" r="0" b="11430"/>
                  <wp:wrapNone/>
                  <wp:docPr id="33" name="图片_577"/>
                  <wp:cNvGraphicFramePr/>
                  <a:graphic xmlns:a="http://schemas.openxmlformats.org/drawingml/2006/main">
                    <a:graphicData uri="http://schemas.openxmlformats.org/drawingml/2006/picture">
                      <pic:pic xmlns:pic="http://schemas.openxmlformats.org/drawingml/2006/picture">
                        <pic:nvPicPr>
                          <pic:cNvPr id="33" name="图片_577"/>
                          <pic:cNvPicPr/>
                        </pic:nvPicPr>
                        <pic:blipFill>
                          <a:blip r:embed="rId117"/>
                          <a:stretch>
                            <a:fillRect/>
                          </a:stretch>
                        </pic:blipFill>
                        <pic:spPr>
                          <a:xfrm>
                            <a:off x="0" y="0"/>
                            <a:ext cx="723900" cy="7696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食品口罩</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PC防雾涂层。单只装，透明</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273050</wp:posOffset>
                  </wp:positionV>
                  <wp:extent cx="795655" cy="568325"/>
                  <wp:effectExtent l="0" t="0" r="4445" b="3175"/>
                  <wp:wrapNone/>
                  <wp:docPr id="34" name="图片_578"/>
                  <wp:cNvGraphicFramePr/>
                  <a:graphic xmlns:a="http://schemas.openxmlformats.org/drawingml/2006/main">
                    <a:graphicData uri="http://schemas.openxmlformats.org/drawingml/2006/picture">
                      <pic:pic xmlns:pic="http://schemas.openxmlformats.org/drawingml/2006/picture">
                        <pic:nvPicPr>
                          <pic:cNvPr id="34" name="图片_578"/>
                          <pic:cNvPicPr/>
                        </pic:nvPicPr>
                        <pic:blipFill>
                          <a:blip r:embed="rId118"/>
                          <a:stretch>
                            <a:fillRect/>
                          </a:stretch>
                        </pic:blipFill>
                        <pic:spPr>
                          <a:xfrm>
                            <a:off x="0" y="0"/>
                            <a:ext cx="795655" cy="568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破壁机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功率: 1500W；容量: 175L；规格：67.5*30.5*37.5cm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231140</wp:posOffset>
                  </wp:positionV>
                  <wp:extent cx="810895" cy="794385"/>
                  <wp:effectExtent l="0" t="0" r="8255" b="5715"/>
                  <wp:wrapNone/>
                  <wp:docPr id="35" name="图片_579"/>
                  <wp:cNvGraphicFramePr/>
                  <a:graphic xmlns:a="http://schemas.openxmlformats.org/drawingml/2006/main">
                    <a:graphicData uri="http://schemas.openxmlformats.org/drawingml/2006/picture">
                      <pic:pic xmlns:pic="http://schemas.openxmlformats.org/drawingml/2006/picture">
                        <pic:nvPicPr>
                          <pic:cNvPr id="35" name="图片_579"/>
                          <pic:cNvPicPr/>
                        </pic:nvPicPr>
                        <pic:blipFill>
                          <a:blip r:embed="rId119"/>
                          <a:stretch>
                            <a:fillRect/>
                          </a:stretch>
                        </pic:blipFill>
                        <pic:spPr>
                          <a:xfrm>
                            <a:off x="0" y="0"/>
                            <a:ext cx="810895" cy="7943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揉面机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食物接触材质: 304不锈钢；容量: 6.2L；规格：36.4*18.9*32.2cm；额定功率1500W。</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244475</wp:posOffset>
                  </wp:positionV>
                  <wp:extent cx="795655" cy="662940"/>
                  <wp:effectExtent l="0" t="0" r="4445" b="3810"/>
                  <wp:wrapNone/>
                  <wp:docPr id="36" name="图片_581"/>
                  <wp:cNvGraphicFramePr/>
                  <a:graphic xmlns:a="http://schemas.openxmlformats.org/drawingml/2006/main">
                    <a:graphicData uri="http://schemas.openxmlformats.org/drawingml/2006/picture">
                      <pic:pic xmlns:pic="http://schemas.openxmlformats.org/drawingml/2006/picture">
                        <pic:nvPicPr>
                          <pic:cNvPr id="36" name="图片_581"/>
                          <pic:cNvPicPr/>
                        </pic:nvPicPr>
                        <pic:blipFill>
                          <a:blip r:embed="rId120"/>
                          <a:stretch>
                            <a:fillRect/>
                          </a:stretch>
                        </pic:blipFill>
                        <pic:spPr>
                          <a:xfrm>
                            <a:off x="0" y="0"/>
                            <a:ext cx="795655" cy="662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打蛋器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打蛋棒规格：4cm；额定功率：125W；含打蛋机一台，打蛋棒两把。</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319405</wp:posOffset>
                  </wp:positionV>
                  <wp:extent cx="548640" cy="624840"/>
                  <wp:effectExtent l="0" t="0" r="3810" b="3810"/>
                  <wp:wrapNone/>
                  <wp:docPr id="217" name="图片_56"/>
                  <wp:cNvGraphicFramePr/>
                  <a:graphic xmlns:a="http://schemas.openxmlformats.org/drawingml/2006/main">
                    <a:graphicData uri="http://schemas.openxmlformats.org/drawingml/2006/picture">
                      <pic:pic xmlns:pic="http://schemas.openxmlformats.org/drawingml/2006/picture">
                        <pic:nvPicPr>
                          <pic:cNvPr id="217" name="图片_56"/>
                          <pic:cNvPicPr/>
                        </pic:nvPicPr>
                        <pic:blipFill>
                          <a:blip r:embed="rId121"/>
                          <a:stretch>
                            <a:fillRect/>
                          </a:stretch>
                        </pic:blipFill>
                        <pic:spPr>
                          <a:xfrm>
                            <a:off x="0" y="0"/>
                            <a:ext cx="548640" cy="624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儿童操作台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台面材质：石英石；规格：宽60cm*边厚4cm*高58cm；地柜材质：生态板，带实木柜门。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293370</wp:posOffset>
                  </wp:positionV>
                  <wp:extent cx="586740" cy="609600"/>
                  <wp:effectExtent l="0" t="0" r="3810" b="0"/>
                  <wp:wrapNone/>
                  <wp:docPr id="218" name="图片_57"/>
                  <wp:cNvGraphicFramePr/>
                  <a:graphic xmlns:a="http://schemas.openxmlformats.org/drawingml/2006/main">
                    <a:graphicData uri="http://schemas.openxmlformats.org/drawingml/2006/picture">
                      <pic:pic xmlns:pic="http://schemas.openxmlformats.org/drawingml/2006/picture">
                        <pic:nvPicPr>
                          <pic:cNvPr id="218" name="图片_57"/>
                          <pic:cNvPicPr/>
                        </pic:nvPicPr>
                        <pic:blipFill>
                          <a:blip r:embed="rId122"/>
                          <a:stretch>
                            <a:fillRect/>
                          </a:stretch>
                        </pic:blipFill>
                        <pic:spPr>
                          <a:xfrm>
                            <a:off x="0" y="0"/>
                            <a:ext cx="586740"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成人操作台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台面材质：石英石；规格：宽60cm*边度2cm*高80cm；地柜柜子：铝合金柜门，实木柜门。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330835</wp:posOffset>
                  </wp:positionV>
                  <wp:extent cx="813435" cy="685800"/>
                  <wp:effectExtent l="0" t="0" r="5715" b="0"/>
                  <wp:wrapNone/>
                  <wp:docPr id="219" name="图片_58"/>
                  <wp:cNvGraphicFramePr/>
                  <a:graphic xmlns:a="http://schemas.openxmlformats.org/drawingml/2006/main">
                    <a:graphicData uri="http://schemas.openxmlformats.org/drawingml/2006/picture">
                      <pic:pic xmlns:pic="http://schemas.openxmlformats.org/drawingml/2006/picture">
                        <pic:nvPicPr>
                          <pic:cNvPr id="219" name="图片_58"/>
                          <pic:cNvPicPr/>
                        </pic:nvPicPr>
                        <pic:blipFill>
                          <a:blip r:embed="rId123"/>
                          <a:stretch>
                            <a:fillRect/>
                          </a:stretch>
                        </pic:blipFill>
                        <pic:spPr>
                          <a:xfrm>
                            <a:off x="0" y="0"/>
                            <a:ext cx="813435" cy="6858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户外玩具清单（鲤中）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60" w:hRule="atLeast"/>
        </w:trPr>
        <w:tc>
          <w:tcPr>
            <w:tcW w:w="32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118</w:t>
            </w:r>
          </w:p>
        </w:tc>
        <w:tc>
          <w:tcPr>
            <w:tcW w:w="793"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滑梯</w:t>
            </w:r>
          </w:p>
        </w:tc>
        <w:tc>
          <w:tcPr>
            <w:tcW w:w="2262" w:type="pct"/>
            <w:vMerge w:val="restar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规格:1100*540*570CM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1．质材坚固，所有镀锌管钢制件均经除锈、磷化等金属表面处理后喷塑，长期使用不锈蚀。</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2．塑料为食品级塑料，安全、无毒，颜色稳定、抗老化。</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3．产品边角圆润，无飞边毛刺，使用中具有足够的安全性和稳定。</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立柱:立柱约为φ10cm槐木，经手工打磨后，用腻子灰填补木材原生裂纹，随后采用室外专用氨脂类防水清漆，经过两底一面刷漆处理，总共三道刷漆工艺后自然晾干，成品防腐、防水能力好，无锐边锐角等，整体牢固，无安全隐患；木材的天然纹路看起来非常精美，因其独特的原木材造型可以弯曲，与森林的原始树木十分相似，符合一些比较追求贴近大自然的幼儿园要求，所以采用槐木作为主材的游乐设施是如今户外游乐比较热衷的一种设备之一。</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四方平台：平台尺寸包立柱约为115cm*115cm，材质为槐木，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6．其他镀锌管配件：φ32mm、φ38 mm、φ42 mm厚度1.5mm镀锌管。原材料采用CO2 气体保护焊工艺、经过点焊，拉焊，补焊后，经过质检人员检查无误，通过打磨抛光的方法除绣，接着采用抛砂工艺处理铁件表面，随后将阿克苏漆粉通过喷枪，借助于喷枪压力，均匀喷涂于被涂物表面，在铁件专用高温烤箱内经过230度高温固化、最终成品表面光滑、色彩鲜艳、不易脱落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塑料滑梯：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部分网绳：采用钢丝绳是将力学性能和几何尺寸符合要求的钢丝按照一定的规则捻制在一起的螺旋状钢丝束，钢丝绳由钢丝、绳芯及润滑脂组成。钢丝绳是先由6股钢丝捻成股，再以绳芯为中心，由一定数量股捻绕成螺旋状的绳；通过专用绳网扣件连接，牢固安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9、网通：框架使用φ3.8cm和φ3.2cm的镀锌管，外圈包外78cm，内圈包内73cm，绳网绳子全部采用1.4cm航海船用缆绳，中芯为镀铬钢丝，外层再覆以变色锦纶编织绳，强度大，抗磨损，耐腐蚀，安全性能好，安全使用性能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10．五金零件：材质：不锈钢半圆头，T 型平头螺丝。表面处理：机械抛光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11. 装饰、隔板PE板材质：高密度聚乙烯，厚度1.5cm，产品无臭，无毒，手感似蜡，具有优良的耐低温性能(最低使用温度可达-70～-100℃)，化学稳定性好，能耐大多数酸碱的侵蚀（不耐具有氧化性质的酸）,常温下不溶于一般溶剂，吸水性小，电绝缘性能优良。</w:t>
            </w:r>
          </w:p>
        </w:tc>
        <w:tc>
          <w:tcPr>
            <w:tcW w:w="521"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1688465</wp:posOffset>
                  </wp:positionV>
                  <wp:extent cx="0" cy="968375"/>
                  <wp:effectExtent l="0" t="0" r="0" b="0"/>
                  <wp:wrapNone/>
                  <wp:docPr id="220" name="图片_1_SpCnt_1"/>
                  <wp:cNvGraphicFramePr/>
                  <a:graphic xmlns:a="http://schemas.openxmlformats.org/drawingml/2006/main">
                    <a:graphicData uri="http://schemas.openxmlformats.org/drawingml/2006/picture">
                      <pic:pic xmlns:pic="http://schemas.openxmlformats.org/drawingml/2006/picture">
                        <pic:nvPicPr>
                          <pic:cNvPr id="220" name="图片_1_SpCnt_1"/>
                          <pic:cNvPicPr/>
                        </pic:nvPicPr>
                        <pic:blipFill>
                          <a:blip r:embed="rId7"/>
                          <a:stretch>
                            <a:fillRect/>
                          </a:stretch>
                        </pic:blipFill>
                        <pic:spPr>
                          <a:xfrm>
                            <a:off x="0" y="0"/>
                            <a:ext cx="0" cy="9683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518160</wp:posOffset>
                  </wp:positionV>
                  <wp:extent cx="635" cy="0"/>
                  <wp:effectExtent l="0" t="0" r="0" b="0"/>
                  <wp:wrapNone/>
                  <wp:docPr id="221" name="图片_1_SpCnt_2"/>
                  <wp:cNvGraphicFramePr/>
                  <a:graphic xmlns:a="http://schemas.openxmlformats.org/drawingml/2006/main">
                    <a:graphicData uri="http://schemas.openxmlformats.org/drawingml/2006/picture">
                      <pic:pic xmlns:pic="http://schemas.openxmlformats.org/drawingml/2006/picture">
                        <pic:nvPicPr>
                          <pic:cNvPr id="221" name="图片_1_SpCnt_2"/>
                          <pic:cNvPicPr/>
                        </pic:nvPicPr>
                        <pic:blipFill>
                          <a:blip r:embed="rId7"/>
                          <a:stretch>
                            <a:fillRect/>
                          </a:stretch>
                        </pic:blipFill>
                        <pic:spPr>
                          <a:xfrm>
                            <a:off x="0" y="0"/>
                            <a:ext cx="635"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801" w:hRule="atLeast"/>
        </w:trPr>
        <w:tc>
          <w:tcPr>
            <w:tcW w:w="322"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93"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2262" w:type="pct"/>
            <w:vMerge w:val="continue"/>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521"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户外组合攀登架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规格：16件/套，4个梯凳、4个梯子、6块平衡板。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材质：木质。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功能说明：含平衡训练、攀爬训练等。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幼儿可自行搬动，自行组合，锻炼幼儿的手眼协调能力及团队协作能力。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379730</wp:posOffset>
                  </wp:positionV>
                  <wp:extent cx="804545" cy="541655"/>
                  <wp:effectExtent l="0" t="0" r="14605" b="10795"/>
                  <wp:wrapNone/>
                  <wp:docPr id="222" name="Picture_23"/>
                  <wp:cNvGraphicFramePr/>
                  <a:graphic xmlns:a="http://schemas.openxmlformats.org/drawingml/2006/main">
                    <a:graphicData uri="http://schemas.openxmlformats.org/drawingml/2006/picture">
                      <pic:pic xmlns:pic="http://schemas.openxmlformats.org/drawingml/2006/picture">
                        <pic:nvPicPr>
                          <pic:cNvPr id="222" name="Picture_23"/>
                          <pic:cNvPicPr/>
                        </pic:nvPicPr>
                        <pic:blipFill>
                          <a:blip r:embed="rId124"/>
                          <a:stretch>
                            <a:fillRect/>
                          </a:stretch>
                        </pic:blipFill>
                        <pic:spPr>
                          <a:xfrm>
                            <a:off x="0" y="0"/>
                            <a:ext cx="804545" cy="5416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4"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教玩具（蜚山二幼数学区中班）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8" w:hRule="atLeast"/>
        </w:trPr>
        <w:tc>
          <w:tcPr>
            <w:tcW w:w="32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货物名称</w:t>
            </w:r>
          </w:p>
        </w:tc>
        <w:tc>
          <w:tcPr>
            <w:tcW w:w="226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规模技术参数</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顽皮小猴-学算术</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规格约：29*22*9cm，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小猴学算术由一个猴子天秤，15串数量不等的彩色香蕉组成的幼教玩具。</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324485</wp:posOffset>
                  </wp:positionV>
                  <wp:extent cx="797560" cy="668020"/>
                  <wp:effectExtent l="0" t="0" r="2540" b="17780"/>
                  <wp:wrapNone/>
                  <wp:docPr id="223" name="Picture_1278"/>
                  <wp:cNvGraphicFramePr/>
                  <a:graphic xmlns:a="http://schemas.openxmlformats.org/drawingml/2006/main">
                    <a:graphicData uri="http://schemas.openxmlformats.org/drawingml/2006/picture">
                      <pic:pic xmlns:pic="http://schemas.openxmlformats.org/drawingml/2006/picture">
                        <pic:nvPicPr>
                          <pic:cNvPr id="223" name="Picture_1278"/>
                          <pic:cNvPicPr/>
                        </pic:nvPicPr>
                        <pic:blipFill>
                          <a:blip r:embed="rId125"/>
                          <a:stretch>
                            <a:fillRect/>
                          </a:stretch>
                        </pic:blipFill>
                        <pic:spPr>
                          <a:xfrm>
                            <a:off x="0" y="0"/>
                            <a:ext cx="797560" cy="668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记忆翻翻乐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尺寸：约21.6×2.3×29.7cm。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内含7张双面游戏卡、1个双人记分板。卡片上 有彩色的主题插图，如颜色、动物园、水果等。 从14个有趣的主题中找出翻开过的对应游戏 图卡，先找出1个对应图卡的可在记分卡上加1 分。让幼儿在游戏中提升记忆能力。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322580</wp:posOffset>
                  </wp:positionV>
                  <wp:extent cx="804545" cy="754380"/>
                  <wp:effectExtent l="0" t="0" r="14605" b="7620"/>
                  <wp:wrapNone/>
                  <wp:docPr id="224" name="图片_2076"/>
                  <wp:cNvGraphicFramePr/>
                  <a:graphic xmlns:a="http://schemas.openxmlformats.org/drawingml/2006/main">
                    <a:graphicData uri="http://schemas.openxmlformats.org/drawingml/2006/picture">
                      <pic:pic xmlns:pic="http://schemas.openxmlformats.org/drawingml/2006/picture">
                        <pic:nvPicPr>
                          <pic:cNvPr id="224" name="图片_2076"/>
                          <pic:cNvPicPr/>
                        </pic:nvPicPr>
                        <pic:blipFill>
                          <a:blip r:embed="rId126"/>
                          <a:stretch>
                            <a:fillRect/>
                          </a:stretch>
                        </pic:blipFill>
                        <pic:spPr>
                          <a:xfrm>
                            <a:off x="0" y="0"/>
                            <a:ext cx="804545" cy="754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数字分类卡片游戏</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规格：一个木框，一块ps夹板，24块木制拼图目标：认识单数、双数；</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268605</wp:posOffset>
                  </wp:positionV>
                  <wp:extent cx="671830" cy="719455"/>
                  <wp:effectExtent l="0" t="0" r="13970" b="4445"/>
                  <wp:wrapNone/>
                  <wp:docPr id="225" name="图片_2040"/>
                  <wp:cNvGraphicFramePr/>
                  <a:graphic xmlns:a="http://schemas.openxmlformats.org/drawingml/2006/main">
                    <a:graphicData uri="http://schemas.openxmlformats.org/drawingml/2006/picture">
                      <pic:pic xmlns:pic="http://schemas.openxmlformats.org/drawingml/2006/picture">
                        <pic:nvPicPr>
                          <pic:cNvPr id="225" name="图片_2040"/>
                          <pic:cNvPicPr/>
                        </pic:nvPicPr>
                        <pic:blipFill>
                          <a:blip r:embed="rId127"/>
                          <a:stretch>
                            <a:fillRect/>
                          </a:stretch>
                        </pic:blipFill>
                        <pic:spPr>
                          <a:xfrm>
                            <a:off x="0" y="0"/>
                            <a:ext cx="671830" cy="719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数字形状积木对应板</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材质：椴木夹板；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规格约：29.5*29.5*2cm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315595</wp:posOffset>
                  </wp:positionV>
                  <wp:extent cx="729615" cy="629285"/>
                  <wp:effectExtent l="0" t="0" r="13335" b="18415"/>
                  <wp:wrapNone/>
                  <wp:docPr id="226" name="图片_1_SpCnt_3"/>
                  <wp:cNvGraphicFramePr/>
                  <a:graphic xmlns:a="http://schemas.openxmlformats.org/drawingml/2006/main">
                    <a:graphicData uri="http://schemas.openxmlformats.org/drawingml/2006/picture">
                      <pic:pic xmlns:pic="http://schemas.openxmlformats.org/drawingml/2006/picture">
                        <pic:nvPicPr>
                          <pic:cNvPr id="226" name="图片_1_SpCnt_3"/>
                          <pic:cNvPicPr/>
                        </pic:nvPicPr>
                        <pic:blipFill>
                          <a:blip r:embed="rId128"/>
                          <a:stretch>
                            <a:fillRect/>
                          </a:stretch>
                        </pic:blipFill>
                        <pic:spPr>
                          <a:xfrm>
                            <a:off x="0" y="0"/>
                            <a:ext cx="729615" cy="629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形状认知拼图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粒子约： 4.8*4.8*0.5cm；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彩盒尺寸约：21x19x4.5cm;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材质：椴木夹板；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产品部件：粒子35pcs 筛子1pcs；配有磁性翻盖盒收纳盒</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317500</wp:posOffset>
                  </wp:positionV>
                  <wp:extent cx="821690" cy="498475"/>
                  <wp:effectExtent l="0" t="0" r="16510" b="15875"/>
                  <wp:wrapNone/>
                  <wp:docPr id="227" name="图片_2032"/>
                  <wp:cNvGraphicFramePr/>
                  <a:graphic xmlns:a="http://schemas.openxmlformats.org/drawingml/2006/main">
                    <a:graphicData uri="http://schemas.openxmlformats.org/drawingml/2006/picture">
                      <pic:pic xmlns:pic="http://schemas.openxmlformats.org/drawingml/2006/picture">
                        <pic:nvPicPr>
                          <pic:cNvPr id="227" name="图片_2032"/>
                          <pic:cNvPicPr/>
                        </pic:nvPicPr>
                        <pic:blipFill>
                          <a:blip r:embed="rId129"/>
                          <a:stretch>
                            <a:fillRect/>
                          </a:stretch>
                        </pic:blipFill>
                        <pic:spPr>
                          <a:xfrm>
                            <a:off x="0" y="0"/>
                            <a:ext cx="821690" cy="498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125</w:t>
            </w:r>
          </w:p>
        </w:tc>
        <w:tc>
          <w:tcPr>
            <w:tcW w:w="7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蛇形棋</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内含棋盘：1套，规格370*370mm，厚6mm，材质夹板；棋子：16个，规格高度30mm，圆柱直径12mm，圆球直径15mm，材质荷木；骰子：1个，规格30*30*30mm，材质荷木；</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329565</wp:posOffset>
                  </wp:positionV>
                  <wp:extent cx="776605" cy="494665"/>
                  <wp:effectExtent l="0" t="0" r="4445" b="635"/>
                  <wp:wrapNone/>
                  <wp:docPr id="228" name="Picture_92"/>
                  <wp:cNvGraphicFramePr/>
                  <a:graphic xmlns:a="http://schemas.openxmlformats.org/drawingml/2006/main">
                    <a:graphicData uri="http://schemas.openxmlformats.org/drawingml/2006/picture">
                      <pic:pic xmlns:pic="http://schemas.openxmlformats.org/drawingml/2006/picture">
                        <pic:nvPicPr>
                          <pic:cNvPr id="228" name="Picture_92"/>
                          <pic:cNvPicPr/>
                        </pic:nvPicPr>
                        <pic:blipFill>
                          <a:blip r:embed="rId130"/>
                          <a:stretch>
                            <a:fillRect/>
                          </a:stretch>
                        </pic:blipFill>
                        <pic:spPr>
                          <a:xfrm>
                            <a:off x="0" y="0"/>
                            <a:ext cx="776605" cy="494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126</w:t>
            </w:r>
          </w:p>
        </w:tc>
        <w:tc>
          <w:tcPr>
            <w:tcW w:w="7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点数多米诺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内含点数多米诺牌：56块，规格80*40mm，厚5mm，材质夹板；操作卡：14张，规格16开（185*260mm），材质纸质；</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379095</wp:posOffset>
                  </wp:positionV>
                  <wp:extent cx="782320" cy="464185"/>
                  <wp:effectExtent l="0" t="0" r="17780" b="12065"/>
                  <wp:wrapNone/>
                  <wp:docPr id="229" name="图片_6_SpCnt_1"/>
                  <wp:cNvGraphicFramePr/>
                  <a:graphic xmlns:a="http://schemas.openxmlformats.org/drawingml/2006/main">
                    <a:graphicData uri="http://schemas.openxmlformats.org/drawingml/2006/picture">
                      <pic:pic xmlns:pic="http://schemas.openxmlformats.org/drawingml/2006/picture">
                        <pic:nvPicPr>
                          <pic:cNvPr id="229" name="图片_6_SpCnt_1"/>
                          <pic:cNvPicPr/>
                        </pic:nvPicPr>
                        <pic:blipFill>
                          <a:blip r:embed="rId131"/>
                          <a:stretch>
                            <a:fillRect/>
                          </a:stretch>
                        </pic:blipFill>
                        <pic:spPr>
                          <a:xfrm>
                            <a:off x="0" y="0"/>
                            <a:ext cx="782320"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127</w:t>
            </w:r>
          </w:p>
        </w:tc>
        <w:tc>
          <w:tcPr>
            <w:tcW w:w="7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几何拼图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内含几何形状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片：157片，规格正六边形12个：30*30mm，厚9mm；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等腰直角三角形20个：30*30mm，厚9mm；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梯形25个：上边长25mm，下边长50mm，高25mm，厚9mm；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正方形25个：30*30mm，厚9mm；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平行四边形25个：边长30mm，夹角60度，厚9mm；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菱形25个：边长30mm，夹角30度，厚9mm；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正三角形25个：边长30mm，厚9mm，材质密度板；情境图：10张，规格16开（185*260mm），材质纸质；</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363220</wp:posOffset>
                  </wp:positionV>
                  <wp:extent cx="681990" cy="455930"/>
                  <wp:effectExtent l="0" t="0" r="3810" b="1270"/>
                  <wp:wrapNone/>
                  <wp:docPr id="230" name="图片_5"/>
                  <wp:cNvGraphicFramePr/>
                  <a:graphic xmlns:a="http://schemas.openxmlformats.org/drawingml/2006/main">
                    <a:graphicData uri="http://schemas.openxmlformats.org/drawingml/2006/picture">
                      <pic:pic xmlns:pic="http://schemas.openxmlformats.org/drawingml/2006/picture">
                        <pic:nvPicPr>
                          <pic:cNvPr id="230" name="图片_5"/>
                          <pic:cNvPicPr/>
                        </pic:nvPicPr>
                        <pic:blipFill>
                          <a:blip r:embed="rId132"/>
                          <a:stretch>
                            <a:fillRect/>
                          </a:stretch>
                        </pic:blipFill>
                        <pic:spPr>
                          <a:xfrm>
                            <a:off x="0" y="0"/>
                            <a:ext cx="681990" cy="45593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563245</wp:posOffset>
                  </wp:positionV>
                  <wp:extent cx="549910" cy="1905"/>
                  <wp:effectExtent l="0" t="0" r="0" b="0"/>
                  <wp:wrapNone/>
                  <wp:docPr id="231" name="图片_662"/>
                  <wp:cNvGraphicFramePr/>
                  <a:graphic xmlns:a="http://schemas.openxmlformats.org/drawingml/2006/main">
                    <a:graphicData uri="http://schemas.openxmlformats.org/drawingml/2006/picture">
                      <pic:pic xmlns:pic="http://schemas.openxmlformats.org/drawingml/2006/picture">
                        <pic:nvPicPr>
                          <pic:cNvPr id="231" name="图片_662"/>
                          <pic:cNvPicPr/>
                        </pic:nvPicPr>
                        <pic:blipFill>
                          <a:blip r:embed="rId133"/>
                          <a:stretch>
                            <a:fillRect/>
                          </a:stretch>
                        </pic:blipFill>
                        <pic:spPr>
                          <a:xfrm>
                            <a:off x="0" y="0"/>
                            <a:ext cx="549910" cy="1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128</w:t>
            </w:r>
          </w:p>
        </w:tc>
        <w:tc>
          <w:tcPr>
            <w:tcW w:w="793"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点数乐园</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点数棒：40根，规格：20*20mm、20*40mm、20*60mm、20*80mm、20*100mm、20*120mm、20*140mm、20*160mm,20*180mm、20*200mm，厚度为20mm，材质：松木；情境图：8张，规格：16开（185*260mm），材质：纸质；操作卡：18张，规格：260*92.5mm，材质：纸质；</w:t>
            </w:r>
          </w:p>
        </w:tc>
        <w:tc>
          <w:tcPr>
            <w:tcW w:w="52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593725</wp:posOffset>
                  </wp:positionV>
                  <wp:extent cx="751840" cy="505460"/>
                  <wp:effectExtent l="0" t="0" r="10160" b="8890"/>
                  <wp:wrapNone/>
                  <wp:docPr id="232" name="Picture_82"/>
                  <wp:cNvGraphicFramePr/>
                  <a:graphic xmlns:a="http://schemas.openxmlformats.org/drawingml/2006/main">
                    <a:graphicData uri="http://schemas.openxmlformats.org/drawingml/2006/picture">
                      <pic:pic xmlns:pic="http://schemas.openxmlformats.org/drawingml/2006/picture">
                        <pic:nvPicPr>
                          <pic:cNvPr id="232" name="Picture_82"/>
                          <pic:cNvPicPr/>
                        </pic:nvPicPr>
                        <pic:blipFill>
                          <a:blip r:embed="rId134"/>
                          <a:stretch>
                            <a:fillRect/>
                          </a:stretch>
                        </pic:blipFill>
                        <pic:spPr>
                          <a:xfrm>
                            <a:off x="0" y="0"/>
                            <a:ext cx="751840"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129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动物金字塔</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棋盘：1套，规格：370*370mm，厚6mm，材质：夹板；棋子：26个，规格：鳄鱼1个：120*43*12mm。鸟5个：40*25*12mm。熊5个：90*54*12mm。羊5个：65*52*12mm。长颈鹿5个：50*88*12mm。骆驼5个：85*82*12mm，材质：密度板；船：1条，规格：45*300mm，厚6mm，单面贴纸，材质：夹板；骰子：1个，规格：30*30*30mm，材质：荷木；操作卡：8张，规格：16开（185*260mm），材质：纸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组</w:t>
            </w:r>
          </w:p>
        </w:tc>
        <w:tc>
          <w:tcPr>
            <w:tcW w:w="388" w:type="pct"/>
            <w:vMerge w:val="continue"/>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765810</wp:posOffset>
                  </wp:positionV>
                  <wp:extent cx="821055" cy="586740"/>
                  <wp:effectExtent l="0" t="0" r="17145" b="3810"/>
                  <wp:wrapNone/>
                  <wp:docPr id="233" name="图片_1225"/>
                  <wp:cNvGraphicFramePr/>
                  <a:graphic xmlns:a="http://schemas.openxmlformats.org/drawingml/2006/main">
                    <a:graphicData uri="http://schemas.openxmlformats.org/drawingml/2006/picture">
                      <pic:pic xmlns:pic="http://schemas.openxmlformats.org/drawingml/2006/picture">
                        <pic:nvPicPr>
                          <pic:cNvPr id="233" name="图片_1225"/>
                          <pic:cNvPicPr/>
                        </pic:nvPicPr>
                        <pic:blipFill>
                          <a:blip r:embed="rId135"/>
                          <a:stretch>
                            <a:fillRect/>
                          </a:stretch>
                        </pic:blipFill>
                        <pic:spPr>
                          <a:xfrm>
                            <a:off x="0" y="0"/>
                            <a:ext cx="821055" cy="586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2"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表演角色区（中班）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幼儿表演服饰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20件/套。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绒布制，幼儿适用。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包括各种角色服饰</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344170</wp:posOffset>
                  </wp:positionV>
                  <wp:extent cx="823595" cy="652145"/>
                  <wp:effectExtent l="0" t="0" r="14605" b="14605"/>
                  <wp:wrapNone/>
                  <wp:docPr id="234" name="Picture_1024"/>
                  <wp:cNvGraphicFramePr/>
                  <a:graphic xmlns:a="http://schemas.openxmlformats.org/drawingml/2006/main">
                    <a:graphicData uri="http://schemas.openxmlformats.org/drawingml/2006/picture">
                      <pic:pic xmlns:pic="http://schemas.openxmlformats.org/drawingml/2006/picture">
                        <pic:nvPicPr>
                          <pic:cNvPr id="234" name="Picture_1024"/>
                          <pic:cNvPicPr/>
                        </pic:nvPicPr>
                        <pic:blipFill>
                          <a:blip r:embed="rId136"/>
                          <a:stretch>
                            <a:fillRect/>
                          </a:stretch>
                        </pic:blipFill>
                        <pic:spPr>
                          <a:xfrm>
                            <a:off x="0" y="0"/>
                            <a:ext cx="823595" cy="652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动物人物角色手偶组合</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规格：32种/套，各种人物角色和动物手偶。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422275</wp:posOffset>
                  </wp:positionV>
                  <wp:extent cx="797560" cy="570865"/>
                  <wp:effectExtent l="0" t="0" r="2540" b="635"/>
                  <wp:wrapNone/>
                  <wp:docPr id="235" name="Picture_41"/>
                  <wp:cNvGraphicFramePr/>
                  <a:graphic xmlns:a="http://schemas.openxmlformats.org/drawingml/2006/main">
                    <a:graphicData uri="http://schemas.openxmlformats.org/drawingml/2006/picture">
                      <pic:pic xmlns:pic="http://schemas.openxmlformats.org/drawingml/2006/picture">
                        <pic:nvPicPr>
                          <pic:cNvPr id="235" name="Picture_41"/>
                          <pic:cNvPicPr/>
                        </pic:nvPicPr>
                        <pic:blipFill>
                          <a:blip r:embed="rId137"/>
                          <a:stretch>
                            <a:fillRect/>
                          </a:stretch>
                        </pic:blipFill>
                        <pic:spPr>
                          <a:xfrm>
                            <a:off x="0" y="0"/>
                            <a:ext cx="797560" cy="570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仿真熟食</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 PVC；</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规格：4件/套；含红烧肉1碗、排骨1碗、爆炒猪皮1碗、红烧肉肠1碗。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碗规格约：12.5*4.5cm。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注：可以随机选4种/套。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340360</wp:posOffset>
                  </wp:positionV>
                  <wp:extent cx="796290" cy="664845"/>
                  <wp:effectExtent l="0" t="0" r="3810" b="1905"/>
                  <wp:wrapNone/>
                  <wp:docPr id="236" name="图片_13_SpCnt_1"/>
                  <wp:cNvGraphicFramePr/>
                  <a:graphic xmlns:a="http://schemas.openxmlformats.org/drawingml/2006/main">
                    <a:graphicData uri="http://schemas.openxmlformats.org/drawingml/2006/picture">
                      <pic:pic xmlns:pic="http://schemas.openxmlformats.org/drawingml/2006/picture">
                        <pic:nvPicPr>
                          <pic:cNvPr id="236" name="图片_13_SpCnt_1"/>
                          <pic:cNvPicPr/>
                        </pic:nvPicPr>
                        <pic:blipFill>
                          <a:blip r:embed="rId138"/>
                          <a:stretch>
                            <a:fillRect/>
                          </a:stretch>
                        </pic:blipFill>
                        <pic:spPr>
                          <a:xfrm>
                            <a:off x="0" y="0"/>
                            <a:ext cx="796290" cy="6648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仿真水果蔬菜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2.规格件数：80件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319405</wp:posOffset>
                  </wp:positionV>
                  <wp:extent cx="813435" cy="658495"/>
                  <wp:effectExtent l="0" t="0" r="5715" b="8255"/>
                  <wp:wrapNone/>
                  <wp:docPr id="157" name="图片_249"/>
                  <wp:cNvGraphicFramePr/>
                  <a:graphic xmlns:a="http://schemas.openxmlformats.org/drawingml/2006/main">
                    <a:graphicData uri="http://schemas.openxmlformats.org/drawingml/2006/picture">
                      <pic:pic xmlns:pic="http://schemas.openxmlformats.org/drawingml/2006/picture">
                        <pic:nvPicPr>
                          <pic:cNvPr id="157" name="图片_249"/>
                          <pic:cNvPicPr/>
                        </pic:nvPicPr>
                        <pic:blipFill>
                          <a:blip r:embed="rId139"/>
                          <a:stretch>
                            <a:fillRect/>
                          </a:stretch>
                        </pic:blipFill>
                        <pic:spPr>
                          <a:xfrm>
                            <a:off x="0" y="0"/>
                            <a:ext cx="813435" cy="6584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水果点心切切</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2.规格件数：103件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400050</wp:posOffset>
                  </wp:positionV>
                  <wp:extent cx="804545" cy="547370"/>
                  <wp:effectExtent l="0" t="0" r="14605" b="5080"/>
                  <wp:wrapNone/>
                  <wp:docPr id="159" name="图片_2077"/>
                  <wp:cNvGraphicFramePr/>
                  <a:graphic xmlns:a="http://schemas.openxmlformats.org/drawingml/2006/main">
                    <a:graphicData uri="http://schemas.openxmlformats.org/drawingml/2006/picture">
                      <pic:pic xmlns:pic="http://schemas.openxmlformats.org/drawingml/2006/picture">
                        <pic:nvPicPr>
                          <pic:cNvPr id="159" name="图片_2077"/>
                          <pic:cNvPicPr/>
                        </pic:nvPicPr>
                        <pic:blipFill>
                          <a:blip r:embed="rId140"/>
                          <a:stretch>
                            <a:fillRect/>
                          </a:stretch>
                        </pic:blipFill>
                        <pic:spPr>
                          <a:xfrm>
                            <a:off x="0" y="0"/>
                            <a:ext cx="804545" cy="54737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205740</wp:posOffset>
                  </wp:positionV>
                  <wp:extent cx="848360" cy="1905"/>
                  <wp:effectExtent l="0" t="0" r="0" b="0"/>
                  <wp:wrapNone/>
                  <wp:docPr id="158" name="图片_677"/>
                  <wp:cNvGraphicFramePr/>
                  <a:graphic xmlns:a="http://schemas.openxmlformats.org/drawingml/2006/main">
                    <a:graphicData uri="http://schemas.openxmlformats.org/drawingml/2006/picture">
                      <pic:pic xmlns:pic="http://schemas.openxmlformats.org/drawingml/2006/picture">
                        <pic:nvPicPr>
                          <pic:cNvPr id="158" name="图片_677"/>
                          <pic:cNvPicPr/>
                        </pic:nvPicPr>
                        <pic:blipFill>
                          <a:blip r:embed="rId141"/>
                          <a:stretch>
                            <a:fillRect/>
                          </a:stretch>
                        </pic:blipFill>
                        <pic:spPr>
                          <a:xfrm>
                            <a:off x="0" y="0"/>
                            <a:ext cx="848360" cy="1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厨师服</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规格：含厨师帽、厨师服装；</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材质：优质棉布。</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252095</wp:posOffset>
                  </wp:positionV>
                  <wp:extent cx="578485" cy="652780"/>
                  <wp:effectExtent l="0" t="0" r="12065" b="13970"/>
                  <wp:wrapNone/>
                  <wp:docPr id="160" name="图片_12"/>
                  <wp:cNvGraphicFramePr/>
                  <a:graphic xmlns:a="http://schemas.openxmlformats.org/drawingml/2006/main">
                    <a:graphicData uri="http://schemas.openxmlformats.org/drawingml/2006/picture">
                      <pic:pic xmlns:pic="http://schemas.openxmlformats.org/drawingml/2006/picture">
                        <pic:nvPicPr>
                          <pic:cNvPr id="160" name="图片_12"/>
                          <pic:cNvPicPr/>
                        </pic:nvPicPr>
                        <pic:blipFill>
                          <a:blip r:embed="rId142"/>
                          <a:stretch>
                            <a:fillRect/>
                          </a:stretch>
                        </pic:blipFill>
                        <pic:spPr>
                          <a:xfrm>
                            <a:off x="0" y="0"/>
                            <a:ext cx="578485" cy="6527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交警服饰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规格：120cm,包含帽子、外套、衬衫、腰带、裤子。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幼儿适用。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材质：涤棉。</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335280</wp:posOffset>
                  </wp:positionV>
                  <wp:extent cx="464820" cy="650240"/>
                  <wp:effectExtent l="0" t="0" r="11430" b="16510"/>
                  <wp:wrapNone/>
                  <wp:docPr id="161" name="Picture_50"/>
                  <wp:cNvGraphicFramePr/>
                  <a:graphic xmlns:a="http://schemas.openxmlformats.org/drawingml/2006/main">
                    <a:graphicData uri="http://schemas.openxmlformats.org/drawingml/2006/picture">
                      <pic:pic xmlns:pic="http://schemas.openxmlformats.org/drawingml/2006/picture">
                        <pic:nvPicPr>
                          <pic:cNvPr id="161" name="Picture_50"/>
                          <pic:cNvPicPr/>
                        </pic:nvPicPr>
                        <pic:blipFill>
                          <a:blip r:embed="rId143"/>
                          <a:stretch>
                            <a:fillRect/>
                          </a:stretch>
                        </pic:blipFill>
                        <pic:spPr>
                          <a:xfrm>
                            <a:off x="0" y="0"/>
                            <a:ext cx="46482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医院入口门洞</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规格约：L108*H147cm,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材质：桦木多层板。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320675</wp:posOffset>
                  </wp:positionV>
                  <wp:extent cx="552450" cy="749935"/>
                  <wp:effectExtent l="0" t="0" r="0" b="12065"/>
                  <wp:wrapNone/>
                  <wp:docPr id="162" name="Picture_5"/>
                  <wp:cNvGraphicFramePr/>
                  <a:graphic xmlns:a="http://schemas.openxmlformats.org/drawingml/2006/main">
                    <a:graphicData uri="http://schemas.openxmlformats.org/drawingml/2006/picture">
                      <pic:pic xmlns:pic="http://schemas.openxmlformats.org/drawingml/2006/picture">
                        <pic:nvPicPr>
                          <pic:cNvPr id="162" name="Picture_5"/>
                          <pic:cNvPicPr/>
                        </pic:nvPicPr>
                        <pic:blipFill>
                          <a:blip r:embed="rId144"/>
                          <a:stretch>
                            <a:fillRect/>
                          </a:stretch>
                        </pic:blipFill>
                        <pic:spPr>
                          <a:xfrm>
                            <a:off x="0" y="0"/>
                            <a:ext cx="552450" cy="749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小小医疗包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1、产品规格约：20.5×8×19.5cm。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2、材质选择进口榉木，表面选用环保水性漆。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3、每套包含医疗包、温度计、听诊器、诊疗卡等其他配件。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356235</wp:posOffset>
                  </wp:positionV>
                  <wp:extent cx="810895" cy="655320"/>
                  <wp:effectExtent l="0" t="0" r="8255" b="11430"/>
                  <wp:wrapNone/>
                  <wp:docPr id="163" name="图片_60_SpCnt_1"/>
                  <wp:cNvGraphicFramePr/>
                  <a:graphic xmlns:a="http://schemas.openxmlformats.org/drawingml/2006/main">
                    <a:graphicData uri="http://schemas.openxmlformats.org/drawingml/2006/picture">
                      <pic:pic xmlns:pic="http://schemas.openxmlformats.org/drawingml/2006/picture">
                        <pic:nvPicPr>
                          <pic:cNvPr id="163" name="图片_60_SpCnt_1"/>
                          <pic:cNvPicPr/>
                        </pic:nvPicPr>
                        <pic:blipFill>
                          <a:blip r:embed="rId145"/>
                          <a:stretch>
                            <a:fillRect/>
                          </a:stretch>
                        </pic:blipFill>
                        <pic:spPr>
                          <a:xfrm>
                            <a:off x="0" y="0"/>
                            <a:ext cx="810895" cy="655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139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直立挂架（点滴架）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尺寸约：55×55×120cm。本商品不含教具与其它配件。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304165</wp:posOffset>
                  </wp:positionV>
                  <wp:extent cx="564515" cy="565785"/>
                  <wp:effectExtent l="0" t="0" r="6985" b="5715"/>
                  <wp:wrapNone/>
                  <wp:docPr id="164" name="图片_75"/>
                  <wp:cNvGraphicFramePr/>
                  <a:graphic xmlns:a="http://schemas.openxmlformats.org/drawingml/2006/main">
                    <a:graphicData uri="http://schemas.openxmlformats.org/drawingml/2006/picture">
                      <pic:pic xmlns:pic="http://schemas.openxmlformats.org/drawingml/2006/picture">
                        <pic:nvPicPr>
                          <pic:cNvPr id="164" name="图片_75"/>
                          <pic:cNvPicPr/>
                        </pic:nvPicPr>
                        <pic:blipFill>
                          <a:blip r:embed="rId146"/>
                          <a:stretch>
                            <a:fillRect/>
                          </a:stretch>
                        </pic:blipFill>
                        <pic:spPr>
                          <a:xfrm>
                            <a:off x="0" y="0"/>
                            <a:ext cx="564515" cy="565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医生护士服</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规格：2件/套，含120cm医生服一件，120cm护士服一件。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材质：棉涤。</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45720</wp:posOffset>
                  </wp:positionV>
                  <wp:extent cx="530860" cy="969645"/>
                  <wp:effectExtent l="0" t="0" r="2540" b="1905"/>
                  <wp:wrapNone/>
                  <wp:docPr id="165" name="Picture_46"/>
                  <wp:cNvGraphicFramePr/>
                  <a:graphic xmlns:a="http://schemas.openxmlformats.org/drawingml/2006/main">
                    <a:graphicData uri="http://schemas.openxmlformats.org/drawingml/2006/picture">
                      <pic:pic xmlns:pic="http://schemas.openxmlformats.org/drawingml/2006/picture">
                        <pic:nvPicPr>
                          <pic:cNvPr id="165" name="Picture_46"/>
                          <pic:cNvPicPr/>
                        </pic:nvPicPr>
                        <pic:blipFill>
                          <a:blip r:embed="rId147"/>
                          <a:stretch>
                            <a:fillRect/>
                          </a:stretch>
                        </pic:blipFill>
                        <pic:spPr>
                          <a:xfrm>
                            <a:off x="0" y="0"/>
                            <a:ext cx="530860" cy="9696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建构区（中班）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飞船积木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2、规格件数：261件。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259715</wp:posOffset>
                  </wp:positionV>
                  <wp:extent cx="801370" cy="745490"/>
                  <wp:effectExtent l="0" t="0" r="17780" b="16510"/>
                  <wp:wrapNone/>
                  <wp:docPr id="166" name="图片_8"/>
                  <wp:cNvGraphicFramePr/>
                  <a:graphic xmlns:a="http://schemas.openxmlformats.org/drawingml/2006/main">
                    <a:graphicData uri="http://schemas.openxmlformats.org/drawingml/2006/picture">
                      <pic:pic xmlns:pic="http://schemas.openxmlformats.org/drawingml/2006/picture">
                        <pic:nvPicPr>
                          <pic:cNvPr id="166" name="图片_8"/>
                          <pic:cNvPicPr/>
                        </pic:nvPicPr>
                        <pic:blipFill>
                          <a:blip r:embed="rId148"/>
                          <a:stretch>
                            <a:fillRect/>
                          </a:stretch>
                        </pic:blipFill>
                        <pic:spPr>
                          <a:xfrm>
                            <a:off x="0" y="0"/>
                            <a:ext cx="801370" cy="7454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弯管</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2、规格件数：300件。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154940</wp:posOffset>
                  </wp:positionV>
                  <wp:extent cx="804545" cy="955040"/>
                  <wp:effectExtent l="0" t="0" r="14605" b="16510"/>
                  <wp:wrapNone/>
                  <wp:docPr id="167" name="图片_11"/>
                  <wp:cNvGraphicFramePr/>
                  <a:graphic xmlns:a="http://schemas.openxmlformats.org/drawingml/2006/main">
                    <a:graphicData uri="http://schemas.openxmlformats.org/drawingml/2006/picture">
                      <pic:pic xmlns:pic="http://schemas.openxmlformats.org/drawingml/2006/picture">
                        <pic:nvPicPr>
                          <pic:cNvPr id="167" name="图片_11"/>
                          <pic:cNvPicPr/>
                        </pic:nvPicPr>
                        <pic:blipFill>
                          <a:blip r:embed="rId149"/>
                          <a:stretch>
                            <a:fillRect/>
                          </a:stretch>
                        </pic:blipFill>
                        <pic:spPr>
                          <a:xfrm>
                            <a:off x="0" y="0"/>
                            <a:ext cx="804545" cy="955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快乐拼装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2、规格件数：220件。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341630</wp:posOffset>
                  </wp:positionV>
                  <wp:extent cx="791210" cy="565785"/>
                  <wp:effectExtent l="0" t="0" r="8890" b="5715"/>
                  <wp:wrapNone/>
                  <wp:docPr id="168" name="图片_91"/>
                  <wp:cNvGraphicFramePr/>
                  <a:graphic xmlns:a="http://schemas.openxmlformats.org/drawingml/2006/main">
                    <a:graphicData uri="http://schemas.openxmlformats.org/drawingml/2006/picture">
                      <pic:pic xmlns:pic="http://schemas.openxmlformats.org/drawingml/2006/picture">
                        <pic:nvPicPr>
                          <pic:cNvPr id="168" name="图片_91"/>
                          <pic:cNvPicPr/>
                        </pic:nvPicPr>
                        <pic:blipFill>
                          <a:blip r:embed="rId150"/>
                          <a:stretch>
                            <a:fillRect/>
                          </a:stretch>
                        </pic:blipFill>
                        <pic:spPr>
                          <a:xfrm>
                            <a:off x="0" y="0"/>
                            <a:ext cx="791210" cy="565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曲奇动物</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：ABS食品级环保塑料、100%安全无毒，颜色艳丽，耐光照不褪色，抗压耐磨，光滑不伤手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2、规格：产品包含1副底板，内有兔子、小马、小狗造型，可组成游乐场、马戏团、旋转木马等主题，</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3、规格件数：181件。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368300</wp:posOffset>
                  </wp:positionV>
                  <wp:extent cx="772795" cy="541020"/>
                  <wp:effectExtent l="0" t="0" r="8255" b="11430"/>
                  <wp:wrapNone/>
                  <wp:docPr id="169" name="图片_4_SpCnt_2"/>
                  <wp:cNvGraphicFramePr/>
                  <a:graphic xmlns:a="http://schemas.openxmlformats.org/drawingml/2006/main">
                    <a:graphicData uri="http://schemas.openxmlformats.org/drawingml/2006/picture">
                      <pic:pic xmlns:pic="http://schemas.openxmlformats.org/drawingml/2006/picture">
                        <pic:nvPicPr>
                          <pic:cNvPr id="169" name="图片_4_SpCnt_2"/>
                          <pic:cNvPicPr/>
                        </pic:nvPicPr>
                        <pic:blipFill>
                          <a:blip r:embed="rId151"/>
                          <a:stretch>
                            <a:fillRect/>
                          </a:stretch>
                        </pic:blipFill>
                        <pic:spPr>
                          <a:xfrm>
                            <a:off x="0" y="0"/>
                            <a:ext cx="772795" cy="541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水果交通乐园</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2.产品由红、兰、黄、绿、白、棕、黑、紫、橙、果绿、浅兰11种颜色组成，内有小狗、小女孩、菠萝、南瓜、葡萄、香蕉等造型。 规格：大颗粒32*15*24mm   32*32*24mm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45*30*24mm 64*32*24mm 。车身：120*37*62mm飞船孔：55*60*20mm。梅花形：60*20mm  南瓜：46*33mm 。香蕉34*45mm 葡萄28*62mm。菠萝77*29mm                                                                                    3.  件数：261件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664845</wp:posOffset>
                  </wp:positionV>
                  <wp:extent cx="818515" cy="957580"/>
                  <wp:effectExtent l="0" t="0" r="635" b="13970"/>
                  <wp:wrapNone/>
                  <wp:docPr id="170" name="图片_1226"/>
                  <wp:cNvGraphicFramePr/>
                  <a:graphic xmlns:a="http://schemas.openxmlformats.org/drawingml/2006/main">
                    <a:graphicData uri="http://schemas.openxmlformats.org/drawingml/2006/picture">
                      <pic:pic xmlns:pic="http://schemas.openxmlformats.org/drawingml/2006/picture">
                        <pic:nvPicPr>
                          <pic:cNvPr id="170" name="图片_1226"/>
                          <pic:cNvPicPr/>
                        </pic:nvPicPr>
                        <pic:blipFill>
                          <a:blip r:embed="rId152"/>
                          <a:stretch>
                            <a:fillRect/>
                          </a:stretch>
                        </pic:blipFill>
                        <pic:spPr>
                          <a:xfrm>
                            <a:off x="0" y="0"/>
                            <a:ext cx="818515" cy="957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4"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缤纷之家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：ABS食品级环保塑料、100%安全无毒，颜色艳丽，耐光照不褪色，抗压耐磨，光滑不伤手；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2、规格：产品包含滑梯、树、树叶、围栏、门、窗等造型，可组成不同主题，由红、兰、黄、绿、果绿、浅蓝、橙、紫、灰、黑白等颜色组成；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外形尺寸分：小颗粒底板约255*255mm；颗粒约：47*15*22mm  31*15*22  15*15*22mm；长滑梯约：95*55*75   短滑梯约：47*47*46；栏杆约：47*19*7mm；椰子树约：110*31*31mm；树叶约：110*79；阳台约：48*41*61；柱子约：17*17*62mm   底座约：59*39*22；塔顶约：48*31*61mm   楼梯约：55*32*68mm；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3、件数：479件；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1327785</wp:posOffset>
                  </wp:positionV>
                  <wp:extent cx="755650" cy="685800"/>
                  <wp:effectExtent l="0" t="0" r="6350" b="0"/>
                  <wp:wrapNone/>
                  <wp:docPr id="171" name="图片_3"/>
                  <wp:cNvGraphicFramePr/>
                  <a:graphic xmlns:a="http://schemas.openxmlformats.org/drawingml/2006/main">
                    <a:graphicData uri="http://schemas.openxmlformats.org/drawingml/2006/picture">
                      <pic:pic xmlns:pic="http://schemas.openxmlformats.org/drawingml/2006/picture">
                        <pic:nvPicPr>
                          <pic:cNvPr id="171" name="图片_3"/>
                          <pic:cNvPicPr/>
                        </pic:nvPicPr>
                        <pic:blipFill>
                          <a:blip r:embed="rId153"/>
                          <a:stretch>
                            <a:fillRect/>
                          </a:stretch>
                        </pic:blipFill>
                        <pic:spPr>
                          <a:xfrm>
                            <a:off x="0" y="0"/>
                            <a:ext cx="755650" cy="6858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425450</wp:posOffset>
                  </wp:positionV>
                  <wp:extent cx="761365" cy="3175"/>
                  <wp:effectExtent l="0" t="0" r="0" b="0"/>
                  <wp:wrapNone/>
                  <wp:docPr id="172" name="图片_3_SpCnt_1"/>
                  <wp:cNvGraphicFramePr/>
                  <a:graphic xmlns:a="http://schemas.openxmlformats.org/drawingml/2006/main">
                    <a:graphicData uri="http://schemas.openxmlformats.org/drawingml/2006/picture">
                      <pic:pic xmlns:pic="http://schemas.openxmlformats.org/drawingml/2006/picture">
                        <pic:nvPicPr>
                          <pic:cNvPr id="172" name="图片_3_SpCnt_1"/>
                          <pic:cNvPicPr/>
                        </pic:nvPicPr>
                        <pic:blipFill>
                          <a:blip r:embed="rId154"/>
                          <a:stretch>
                            <a:fillRect/>
                          </a:stretch>
                        </pic:blipFill>
                        <pic:spPr>
                          <a:xfrm>
                            <a:off x="0" y="0"/>
                            <a:ext cx="761365" cy="3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百变木匠工具小套</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规格：42件/套；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可以通过不同配件拼搭出小朋友自己想要的物体形态，更能激发想象力。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273685</wp:posOffset>
                  </wp:positionV>
                  <wp:extent cx="739775" cy="599440"/>
                  <wp:effectExtent l="0" t="0" r="3175" b="10160"/>
                  <wp:wrapNone/>
                  <wp:docPr id="173" name="图片_684"/>
                  <wp:cNvGraphicFramePr/>
                  <a:graphic xmlns:a="http://schemas.openxmlformats.org/drawingml/2006/main">
                    <a:graphicData uri="http://schemas.openxmlformats.org/drawingml/2006/picture">
                      <pic:pic xmlns:pic="http://schemas.openxmlformats.org/drawingml/2006/picture">
                        <pic:nvPicPr>
                          <pic:cNvPr id="173" name="图片_684"/>
                          <pic:cNvPicPr/>
                        </pic:nvPicPr>
                        <pic:blipFill>
                          <a:blip r:embed="rId155"/>
                          <a:stretch>
                            <a:fillRect/>
                          </a:stretch>
                        </pic:blipFill>
                        <pic:spPr>
                          <a:xfrm>
                            <a:off x="0" y="0"/>
                            <a:ext cx="739775" cy="599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乐高</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1、材质 ：ABS食品级环保塑料、100%安全无毒，颜色艳丽，耐光照不褪色，抗压耐磨，光滑不伤手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2、规格：产品包含飞机、火车头、小象、小猪、红旗、人偶、小狗、花朵，小车子等造型，可组成不同主题，由红、兰、黄、绿等颜色组成，外形尺寸分别为：大颗粒底板（长*宽）255mm*255mm；颗粒 （长*宽*高）64mm*32mm*24mm 、（长*宽*高）32mm*32mm*24mm、（长*宽*高）64mm*32mm*15mm、（长*宽*高）34mm*32mm*32mm、（长*宽*高）34mm*32mm*32mm； 小猪：（长*宽*高）81mm*59mm*49mm；小象：（长*宽*高）79mm*59mm*38mm；火车头：（长*宽*高）151mm*78m m*57mm；车子：（长*宽*高）121mm*63mm*24mm；飞机（长*宽*高）170mm*150mm*42mm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3、件数：220件/箱。</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1518285</wp:posOffset>
                  </wp:positionV>
                  <wp:extent cx="785495" cy="798830"/>
                  <wp:effectExtent l="0" t="0" r="14605" b="1270"/>
                  <wp:wrapNone/>
                  <wp:docPr id="174" name="图片_3_SpCnt_2"/>
                  <wp:cNvGraphicFramePr/>
                  <a:graphic xmlns:a="http://schemas.openxmlformats.org/drawingml/2006/main">
                    <a:graphicData uri="http://schemas.openxmlformats.org/drawingml/2006/picture">
                      <pic:pic xmlns:pic="http://schemas.openxmlformats.org/drawingml/2006/picture">
                        <pic:nvPicPr>
                          <pic:cNvPr id="174" name="图片_3_SpCnt_2"/>
                          <pic:cNvPicPr/>
                        </pic:nvPicPr>
                        <pic:blipFill>
                          <a:blip r:embed="rId156"/>
                          <a:stretch>
                            <a:fillRect/>
                          </a:stretch>
                        </pic:blipFill>
                        <pic:spPr>
                          <a:xfrm>
                            <a:off x="0" y="0"/>
                            <a:ext cx="785495" cy="7988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149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精灵玩具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规格：278件/套，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材质：优质ABS塑料，无毒无味，环保安全。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教育目标：锻炼幼儿手指精细动作，激发幼儿想象力和创造力。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266700</wp:posOffset>
                  </wp:positionV>
                  <wp:extent cx="810895" cy="716280"/>
                  <wp:effectExtent l="0" t="0" r="8255" b="7620"/>
                  <wp:wrapNone/>
                  <wp:docPr id="175" name="Picture_27"/>
                  <wp:cNvGraphicFramePr/>
                  <a:graphic xmlns:a="http://schemas.openxmlformats.org/drawingml/2006/main">
                    <a:graphicData uri="http://schemas.openxmlformats.org/drawingml/2006/picture">
                      <pic:pic xmlns:pic="http://schemas.openxmlformats.org/drawingml/2006/picture">
                        <pic:nvPicPr>
                          <pic:cNvPr id="175" name="Picture_27"/>
                          <pic:cNvPicPr/>
                        </pic:nvPicPr>
                        <pic:blipFill>
                          <a:blip r:embed="rId157"/>
                          <a:stretch>
                            <a:fillRect/>
                          </a:stretch>
                        </pic:blipFill>
                        <pic:spPr>
                          <a:xfrm>
                            <a:off x="0" y="0"/>
                            <a:ext cx="810895" cy="7162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16"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飊速冒险</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内附48页彩色说明书，可以建立10个不同的有趣飞机模型，所有模型都有独立和有趣的运动，增强了孩子对形状和颜色的识别能力，在刺激它们的大脑的同时提高他们的手眼协调能力。</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所有零件材质为塑膠(PE、HIPS)。</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497840</wp:posOffset>
                  </wp:positionV>
                  <wp:extent cx="805815" cy="772160"/>
                  <wp:effectExtent l="0" t="0" r="13335" b="8890"/>
                  <wp:wrapNone/>
                  <wp:docPr id="37" name="Picture_1"/>
                  <wp:cNvGraphicFramePr/>
                  <a:graphic xmlns:a="http://schemas.openxmlformats.org/drawingml/2006/main">
                    <a:graphicData uri="http://schemas.openxmlformats.org/drawingml/2006/picture">
                      <pic:pic xmlns:pic="http://schemas.openxmlformats.org/drawingml/2006/picture">
                        <pic:nvPicPr>
                          <pic:cNvPr id="37" name="Picture_1"/>
                          <pic:cNvPicPr/>
                        </pic:nvPicPr>
                        <pic:blipFill>
                          <a:blip r:embed="rId158"/>
                          <a:stretch>
                            <a:fillRect/>
                          </a:stretch>
                        </pic:blipFill>
                        <pic:spPr>
                          <a:xfrm>
                            <a:off x="0" y="0"/>
                            <a:ext cx="805815" cy="772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180340</wp:posOffset>
                  </wp:positionV>
                  <wp:extent cx="731520" cy="0"/>
                  <wp:effectExtent l="0" t="0" r="0" b="0"/>
                  <wp:wrapNone/>
                  <wp:docPr id="176" name="组合_4"/>
                  <wp:cNvGraphicFramePr/>
                  <a:graphic xmlns:a="http://schemas.openxmlformats.org/drawingml/2006/main">
                    <a:graphicData uri="http://schemas.openxmlformats.org/drawingml/2006/picture">
                      <pic:pic xmlns:pic="http://schemas.openxmlformats.org/drawingml/2006/picture">
                        <pic:nvPicPr>
                          <pic:cNvPr id="176" name="组合_4"/>
                          <pic:cNvPicPr/>
                        </pic:nvPicPr>
                        <pic:blipFill>
                          <a:blip r:embed="rId7"/>
                          <a:stretch>
                            <a:fillRect/>
                          </a:stretch>
                        </pic:blipFill>
                        <pic:spPr>
                          <a:xfrm>
                            <a:off x="0" y="0"/>
                            <a:ext cx="73152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极速先锋</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材质：ABS、POM。孩子将会搭建10 个不同的模型：一架直升飞机、一辆小汽车、一辆卡车、一架水上飞机、一辆经典车型、一架飞机、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一辆云梯消防车、一辆一级方程式赛车、一辆三轮车和一辆喷气式汽车。家长和孩子在共同组装的过程中能够享受到真正的乐趣。没有比这个更能激发整个家庭的创造力了。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619760</wp:posOffset>
                  </wp:positionV>
                  <wp:extent cx="792480" cy="658495"/>
                  <wp:effectExtent l="0" t="0" r="7620" b="8255"/>
                  <wp:wrapNone/>
                  <wp:docPr id="39" name="Picture_6"/>
                  <wp:cNvGraphicFramePr/>
                  <a:graphic xmlns:a="http://schemas.openxmlformats.org/drawingml/2006/main">
                    <a:graphicData uri="http://schemas.openxmlformats.org/drawingml/2006/picture">
                      <pic:pic xmlns:pic="http://schemas.openxmlformats.org/drawingml/2006/picture">
                        <pic:nvPicPr>
                          <pic:cNvPr id="39" name="Picture_6"/>
                          <pic:cNvPicPr/>
                        </pic:nvPicPr>
                        <pic:blipFill>
                          <a:blip r:embed="rId159"/>
                          <a:stretch>
                            <a:fillRect/>
                          </a:stretch>
                        </pic:blipFill>
                        <pic:spPr>
                          <a:xfrm>
                            <a:off x="0" y="0"/>
                            <a:ext cx="792480" cy="65849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636270</wp:posOffset>
                  </wp:positionV>
                  <wp:extent cx="779780" cy="4445"/>
                  <wp:effectExtent l="0" t="0" r="0" b="0"/>
                  <wp:wrapNone/>
                  <wp:docPr id="38" name="图片_673"/>
                  <wp:cNvGraphicFramePr/>
                  <a:graphic xmlns:a="http://schemas.openxmlformats.org/drawingml/2006/main">
                    <a:graphicData uri="http://schemas.openxmlformats.org/drawingml/2006/picture">
                      <pic:pic xmlns:pic="http://schemas.openxmlformats.org/drawingml/2006/picture">
                        <pic:nvPicPr>
                          <pic:cNvPr id="38" name="图片_673"/>
                          <pic:cNvPicPr/>
                        </pic:nvPicPr>
                        <pic:blipFill>
                          <a:blip r:embed="rId160"/>
                          <a:stretch>
                            <a:fillRect/>
                          </a:stretch>
                        </pic:blipFill>
                        <pic:spPr>
                          <a:xfrm>
                            <a:off x="0" y="0"/>
                            <a:ext cx="779780" cy="4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美术拼图</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：PP食品级环保塑料、100%安全无毒，颜色艳丽，耐光照不褪色，抗压耐磨，光滑不伤手。2、规格：盒子规格:243*243*58mm（网格：217*217*5mm）内附珠子490粒 三角体：7*12*13mm 长方体：10*10*12mm 3.件数：3盒/箱</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423545</wp:posOffset>
                  </wp:positionV>
                  <wp:extent cx="812800" cy="626745"/>
                  <wp:effectExtent l="0" t="0" r="6350" b="1905"/>
                  <wp:wrapNone/>
                  <wp:docPr id="40" name="图片_138"/>
                  <wp:cNvGraphicFramePr/>
                  <a:graphic xmlns:a="http://schemas.openxmlformats.org/drawingml/2006/main">
                    <a:graphicData uri="http://schemas.openxmlformats.org/drawingml/2006/picture">
                      <pic:pic xmlns:pic="http://schemas.openxmlformats.org/drawingml/2006/picture">
                        <pic:nvPicPr>
                          <pic:cNvPr id="40" name="图片_138"/>
                          <pic:cNvPicPr/>
                        </pic:nvPicPr>
                        <pic:blipFill>
                          <a:blip r:embed="rId161"/>
                          <a:stretch>
                            <a:fillRect/>
                          </a:stretch>
                        </pic:blipFill>
                        <pic:spPr>
                          <a:xfrm>
                            <a:off x="0" y="0"/>
                            <a:ext cx="812800" cy="626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磁汇轨道</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2、规格：138件。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278765</wp:posOffset>
                  </wp:positionV>
                  <wp:extent cx="850900" cy="673735"/>
                  <wp:effectExtent l="0" t="0" r="6350" b="12065"/>
                  <wp:wrapNone/>
                  <wp:docPr id="41" name="图片_2080"/>
                  <wp:cNvGraphicFramePr/>
                  <a:graphic xmlns:a="http://schemas.openxmlformats.org/drawingml/2006/main">
                    <a:graphicData uri="http://schemas.openxmlformats.org/drawingml/2006/picture">
                      <pic:pic xmlns:pic="http://schemas.openxmlformats.org/drawingml/2006/picture">
                        <pic:nvPicPr>
                          <pic:cNvPr id="41" name="图片_2080"/>
                          <pic:cNvPicPr/>
                        </pic:nvPicPr>
                        <pic:blipFill>
                          <a:blip r:embed="rId162"/>
                          <a:stretch>
                            <a:fillRect/>
                          </a:stretch>
                        </pic:blipFill>
                        <pic:spPr>
                          <a:xfrm>
                            <a:off x="0" y="0"/>
                            <a:ext cx="850900" cy="673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螺丝积木盒</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盒子：桦木边框+椴木或桦木隔档和3mm厚椴木夹板底；</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配件：车木件为槐木，其余为桦木；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盖子：≥1.8mm厚有机玻璃；</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部件：孔板：5孔、6孔的各2条，2孔、3孔、4孔的各4条；</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421005</wp:posOffset>
                  </wp:positionV>
                  <wp:extent cx="799465" cy="391160"/>
                  <wp:effectExtent l="0" t="0" r="635" b="8890"/>
                  <wp:wrapNone/>
                  <wp:docPr id="42" name="图片_310"/>
                  <wp:cNvGraphicFramePr/>
                  <a:graphic xmlns:a="http://schemas.openxmlformats.org/drawingml/2006/main">
                    <a:graphicData uri="http://schemas.openxmlformats.org/drawingml/2006/picture">
                      <pic:pic xmlns:pic="http://schemas.openxmlformats.org/drawingml/2006/picture">
                        <pic:nvPicPr>
                          <pic:cNvPr id="42" name="图片_310"/>
                          <pic:cNvPicPr/>
                        </pic:nvPicPr>
                        <pic:blipFill>
                          <a:blip r:embed="rId163"/>
                          <a:stretch>
                            <a:fillRect/>
                          </a:stretch>
                        </pic:blipFill>
                        <pic:spPr>
                          <a:xfrm>
                            <a:off x="0" y="0"/>
                            <a:ext cx="799465" cy="391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科学区（中班）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智慧天平</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（约）460×170×170mm，塑料制，盒装；</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18415</wp:posOffset>
                  </wp:positionV>
                  <wp:extent cx="701040" cy="1097280"/>
                  <wp:effectExtent l="0" t="0" r="3810" b="7620"/>
                  <wp:wrapNone/>
                  <wp:docPr id="43" name="Picture_38"/>
                  <wp:cNvGraphicFramePr/>
                  <a:graphic xmlns:a="http://schemas.openxmlformats.org/drawingml/2006/main">
                    <a:graphicData uri="http://schemas.openxmlformats.org/drawingml/2006/picture">
                      <pic:pic xmlns:pic="http://schemas.openxmlformats.org/drawingml/2006/picture">
                        <pic:nvPicPr>
                          <pic:cNvPr id="43" name="Picture_38"/>
                          <pic:cNvPicPr/>
                        </pic:nvPicPr>
                        <pic:blipFill>
                          <a:blip r:embed="rId164"/>
                          <a:stretch>
                            <a:fillRect/>
                          </a:stretch>
                        </pic:blipFill>
                        <pic:spPr>
                          <a:xfrm>
                            <a:off x="0" y="0"/>
                            <a:ext cx="701040" cy="10972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万花筒</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荷木制，幼儿专用安全，环保，无毒。</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276860</wp:posOffset>
                  </wp:positionV>
                  <wp:extent cx="786765" cy="720725"/>
                  <wp:effectExtent l="0" t="0" r="13335" b="3175"/>
                  <wp:wrapNone/>
                  <wp:docPr id="44" name="Picture_31"/>
                  <wp:cNvGraphicFramePr/>
                  <a:graphic xmlns:a="http://schemas.openxmlformats.org/drawingml/2006/main">
                    <a:graphicData uri="http://schemas.openxmlformats.org/drawingml/2006/picture">
                      <pic:pic xmlns:pic="http://schemas.openxmlformats.org/drawingml/2006/picture">
                        <pic:nvPicPr>
                          <pic:cNvPr id="44" name="Picture_31"/>
                          <pic:cNvPicPr/>
                        </pic:nvPicPr>
                        <pic:blipFill>
                          <a:blip r:embed="rId165"/>
                          <a:stretch>
                            <a:fillRect/>
                          </a:stretch>
                        </pic:blipFill>
                        <pic:spPr>
                          <a:xfrm>
                            <a:off x="0" y="0"/>
                            <a:ext cx="786765" cy="720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鳄鱼平衡</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规格约：20*3*11cm，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材质：荷木。多种颜色多种形状的鳄鱼平衡积木，外形非常可爱。</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玩耍中，宝宝可以知道形状，颜色及序列关系的概念。培养宝宝的观察能力和手眼协调能力。</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341630</wp:posOffset>
                  </wp:positionV>
                  <wp:extent cx="786130" cy="534035"/>
                  <wp:effectExtent l="0" t="0" r="13970" b="18415"/>
                  <wp:wrapNone/>
                  <wp:docPr id="45" name="Picture_3707"/>
                  <wp:cNvGraphicFramePr/>
                  <a:graphic xmlns:a="http://schemas.openxmlformats.org/drawingml/2006/main">
                    <a:graphicData uri="http://schemas.openxmlformats.org/drawingml/2006/picture">
                      <pic:pic xmlns:pic="http://schemas.openxmlformats.org/drawingml/2006/picture">
                        <pic:nvPicPr>
                          <pic:cNvPr id="45" name="Picture_3707"/>
                          <pic:cNvPicPr/>
                        </pic:nvPicPr>
                        <pic:blipFill>
                          <a:blip r:embed="rId166"/>
                          <a:stretch>
                            <a:fillRect/>
                          </a:stretch>
                        </pic:blipFill>
                        <pic:spPr>
                          <a:xfrm>
                            <a:off x="0" y="0"/>
                            <a:ext cx="78613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颜色魔镜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安全塑料。透过单色或双镜片、观察颜色的变化。也可自制颜色卡片，当戴上红色镜片观察哪些颜色不见了？换上绿色又变成出现哪些图案？换上双镜片又变成哪些图案？</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305435</wp:posOffset>
                  </wp:positionV>
                  <wp:extent cx="757555" cy="665480"/>
                  <wp:effectExtent l="0" t="0" r="4445" b="1270"/>
                  <wp:wrapNone/>
                  <wp:docPr id="46" name="图片_666_SpCnt_1"/>
                  <wp:cNvGraphicFramePr/>
                  <a:graphic xmlns:a="http://schemas.openxmlformats.org/drawingml/2006/main">
                    <a:graphicData uri="http://schemas.openxmlformats.org/drawingml/2006/picture">
                      <pic:pic xmlns:pic="http://schemas.openxmlformats.org/drawingml/2006/picture">
                        <pic:nvPicPr>
                          <pic:cNvPr id="46" name="图片_666_SpCnt_1"/>
                          <pic:cNvPicPr/>
                        </pic:nvPicPr>
                        <pic:blipFill>
                          <a:blip r:embed="rId167"/>
                          <a:stretch>
                            <a:fillRect/>
                          </a:stretch>
                        </pic:blipFill>
                        <pic:spPr>
                          <a:xfrm>
                            <a:off x="0" y="0"/>
                            <a:ext cx="757555" cy="665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磁铁</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材质：同性铁氧体磁铁；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表面处理：环保喷漆；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产品重量：≥320g；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含1个马蹄2个条形2个圆环；</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一份磁粉一份铁片一个木棍一份说明书；</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297180</wp:posOffset>
                  </wp:positionV>
                  <wp:extent cx="802005" cy="779780"/>
                  <wp:effectExtent l="0" t="0" r="17145" b="1270"/>
                  <wp:wrapNone/>
                  <wp:docPr id="47" name="Picture_243"/>
                  <wp:cNvGraphicFramePr/>
                  <a:graphic xmlns:a="http://schemas.openxmlformats.org/drawingml/2006/main">
                    <a:graphicData uri="http://schemas.openxmlformats.org/drawingml/2006/picture">
                      <pic:pic xmlns:pic="http://schemas.openxmlformats.org/drawingml/2006/picture">
                        <pic:nvPicPr>
                          <pic:cNvPr id="47" name="Picture_243"/>
                          <pic:cNvPicPr/>
                        </pic:nvPicPr>
                        <pic:blipFill>
                          <a:blip r:embed="rId168"/>
                          <a:stretch>
                            <a:fillRect/>
                          </a:stretch>
                        </pic:blipFill>
                        <pic:spPr>
                          <a:xfrm>
                            <a:off x="0" y="0"/>
                            <a:ext cx="802005" cy="7797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沉浮块</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沉浮块由三个沉浮块组成，其中一个沉浮块体积最小，两个沉浮块体积一样，其中一个大沉浮块谏可打开，用以改变质量。本产品环保无气味。</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139700</wp:posOffset>
                  </wp:positionV>
                  <wp:extent cx="824230" cy="953770"/>
                  <wp:effectExtent l="0" t="0" r="13970" b="17780"/>
                  <wp:wrapNone/>
                  <wp:docPr id="48" name="Picture_245"/>
                  <wp:cNvGraphicFramePr/>
                  <a:graphic xmlns:a="http://schemas.openxmlformats.org/drawingml/2006/main">
                    <a:graphicData uri="http://schemas.openxmlformats.org/drawingml/2006/picture">
                      <pic:pic xmlns:pic="http://schemas.openxmlformats.org/drawingml/2006/picture">
                        <pic:nvPicPr>
                          <pic:cNvPr id="48" name="Picture_245"/>
                          <pic:cNvPicPr/>
                        </pic:nvPicPr>
                        <pic:blipFill>
                          <a:blip r:embed="rId169"/>
                          <a:stretch>
                            <a:fillRect/>
                          </a:stretch>
                        </pic:blipFill>
                        <pic:spPr>
                          <a:xfrm>
                            <a:off x="0" y="0"/>
                            <a:ext cx="824230" cy="953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套塔</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 ：PP食品级环保塑料、100%安全无毒，颜色艳丽，耐光照不褪色，抗压耐磨，光滑不伤手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2.产品由红、黄、蓝、绿、橙5种颜色组成；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3、规格：正方形从小到大约：20*19mm， 31*20mm，47*20mm，63*20mm，79*20mm；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4、件数：150件；</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402590</wp:posOffset>
                  </wp:positionV>
                  <wp:extent cx="817880" cy="979805"/>
                  <wp:effectExtent l="0" t="0" r="1270" b="10795"/>
                  <wp:wrapNone/>
                  <wp:docPr id="49" name="图片_98"/>
                  <wp:cNvGraphicFramePr/>
                  <a:graphic xmlns:a="http://schemas.openxmlformats.org/drawingml/2006/main">
                    <a:graphicData uri="http://schemas.openxmlformats.org/drawingml/2006/picture">
                      <pic:pic xmlns:pic="http://schemas.openxmlformats.org/drawingml/2006/picture">
                        <pic:nvPicPr>
                          <pic:cNvPr id="49" name="图片_98"/>
                          <pic:cNvPicPr/>
                        </pic:nvPicPr>
                        <pic:blipFill>
                          <a:blip r:embed="rId170"/>
                          <a:stretch>
                            <a:fillRect/>
                          </a:stretch>
                        </pic:blipFill>
                        <pic:spPr>
                          <a:xfrm>
                            <a:off x="0" y="0"/>
                            <a:ext cx="817880" cy="979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丛林冒险迷宫</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材质：木质；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规格约：37*24.5*2.1cm；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玩法：通过倾斜迷宫背板或者使用笔牵引磁性小球，穿过曲折的林中秘径，还有急转弯和旋转卡扣等到达终点。</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349250</wp:posOffset>
                  </wp:positionV>
                  <wp:extent cx="788035" cy="622935"/>
                  <wp:effectExtent l="0" t="0" r="12065" b="5715"/>
                  <wp:wrapNone/>
                  <wp:docPr id="50" name="图片_2085"/>
                  <wp:cNvGraphicFramePr/>
                  <a:graphic xmlns:a="http://schemas.openxmlformats.org/drawingml/2006/main">
                    <a:graphicData uri="http://schemas.openxmlformats.org/drawingml/2006/picture">
                      <pic:pic xmlns:pic="http://schemas.openxmlformats.org/drawingml/2006/picture">
                        <pic:nvPicPr>
                          <pic:cNvPr id="50" name="图片_2085"/>
                          <pic:cNvPicPr/>
                        </pic:nvPicPr>
                        <pic:blipFill>
                          <a:blip r:embed="rId171"/>
                          <a:stretch>
                            <a:fillRect/>
                          </a:stretch>
                        </pic:blipFill>
                        <pic:spPr>
                          <a:xfrm>
                            <a:off x="0" y="0"/>
                            <a:ext cx="788035" cy="622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幼儿科研套装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规格约：23×18×20cm（包装尺寸）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材质：ABS、PET、PP、PMMA 等安全塑料，材料抗腐蚀、耐高温、耐酸。</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包括1 个塑料锥形三角瓶、1 个试管支架、1 个塑料大试管、2 个塑料小试管、1 个带支架亚克力镜片安全放大镜、1 副防护安全眼镜、1 个塑料250ML 烧杯、1 个镊子、1 个滴管、1 个漏斗且罗列了10 个科研活动卡片；</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474980</wp:posOffset>
                  </wp:positionV>
                  <wp:extent cx="815975" cy="943610"/>
                  <wp:effectExtent l="0" t="0" r="3175" b="8890"/>
                  <wp:wrapNone/>
                  <wp:docPr id="52" name="图片_314_SpCnt_1"/>
                  <wp:cNvGraphicFramePr/>
                  <a:graphic xmlns:a="http://schemas.openxmlformats.org/drawingml/2006/main">
                    <a:graphicData uri="http://schemas.openxmlformats.org/drawingml/2006/picture">
                      <pic:pic xmlns:pic="http://schemas.openxmlformats.org/drawingml/2006/picture">
                        <pic:nvPicPr>
                          <pic:cNvPr id="52" name="图片_314_SpCnt_1"/>
                          <pic:cNvPicPr/>
                        </pic:nvPicPr>
                        <pic:blipFill>
                          <a:blip r:embed="rId172"/>
                          <a:stretch>
                            <a:fillRect/>
                          </a:stretch>
                        </pic:blipFill>
                        <pic:spPr>
                          <a:xfrm>
                            <a:off x="0" y="0"/>
                            <a:ext cx="815975" cy="9436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464820</wp:posOffset>
                  </wp:positionV>
                  <wp:extent cx="891540" cy="1905"/>
                  <wp:effectExtent l="0" t="0" r="0" b="0"/>
                  <wp:wrapNone/>
                  <wp:docPr id="51" name="图片_314"/>
                  <wp:cNvGraphicFramePr/>
                  <a:graphic xmlns:a="http://schemas.openxmlformats.org/drawingml/2006/main">
                    <a:graphicData uri="http://schemas.openxmlformats.org/drawingml/2006/picture">
                      <pic:pic xmlns:pic="http://schemas.openxmlformats.org/drawingml/2006/picture">
                        <pic:nvPicPr>
                          <pic:cNvPr id="51" name="图片_314"/>
                          <pic:cNvPicPr/>
                        </pic:nvPicPr>
                        <pic:blipFill>
                          <a:blip r:embed="rId173"/>
                          <a:stretch>
                            <a:fillRect/>
                          </a:stretch>
                        </pic:blipFill>
                        <pic:spPr>
                          <a:xfrm>
                            <a:off x="0" y="0"/>
                            <a:ext cx="891540" cy="1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8"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综合磁性盒</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1、6根条形磁铁；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2、30个小磁球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3、5个钮扣磁铁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4、10个小磁环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5、100个回形针；</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6、100个透明金属片；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7、5支铅笔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8、1块长方形磁铁；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学习目标：</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1、磁铁可以是不同的尺寸和形状；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2、每个磁铁的磁性不一样；</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3、磁铁有两个极；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4、磁铁能够互相吸引、排斥；</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5、磁铁能吸引含铁的物体，不吸引不含铁的物体；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6、每块磁铁都被磁场包围7、磁场的强度会随着位置发生变化。</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1390650</wp:posOffset>
                  </wp:positionV>
                  <wp:extent cx="874395" cy="1020445"/>
                  <wp:effectExtent l="0" t="0" r="1905" b="8255"/>
                  <wp:wrapNone/>
                  <wp:docPr id="54" name="图片_29_SpCnt_1"/>
                  <wp:cNvGraphicFramePr/>
                  <a:graphic xmlns:a="http://schemas.openxmlformats.org/drawingml/2006/main">
                    <a:graphicData uri="http://schemas.openxmlformats.org/drawingml/2006/picture">
                      <pic:pic xmlns:pic="http://schemas.openxmlformats.org/drawingml/2006/picture">
                        <pic:nvPicPr>
                          <pic:cNvPr id="54" name="图片_29_SpCnt_1"/>
                          <pic:cNvPicPr/>
                        </pic:nvPicPr>
                        <pic:blipFill>
                          <a:blip r:embed="rId174"/>
                          <a:stretch>
                            <a:fillRect/>
                          </a:stretch>
                        </pic:blipFill>
                        <pic:spPr>
                          <a:xfrm>
                            <a:off x="0" y="0"/>
                            <a:ext cx="874395" cy="102044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228600</wp:posOffset>
                  </wp:positionV>
                  <wp:extent cx="849630" cy="3175"/>
                  <wp:effectExtent l="0" t="0" r="0" b="0"/>
                  <wp:wrapNone/>
                  <wp:docPr id="53" name="图片_29"/>
                  <wp:cNvGraphicFramePr/>
                  <a:graphic xmlns:a="http://schemas.openxmlformats.org/drawingml/2006/main">
                    <a:graphicData uri="http://schemas.openxmlformats.org/drawingml/2006/picture">
                      <pic:pic xmlns:pic="http://schemas.openxmlformats.org/drawingml/2006/picture">
                        <pic:nvPicPr>
                          <pic:cNvPr id="53" name="图片_29"/>
                          <pic:cNvPicPr/>
                        </pic:nvPicPr>
                        <pic:blipFill>
                          <a:blip r:embed="rId141"/>
                          <a:stretch>
                            <a:fillRect/>
                          </a:stretch>
                        </pic:blipFill>
                        <pic:spPr>
                          <a:xfrm>
                            <a:off x="0" y="0"/>
                            <a:ext cx="849630" cy="3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幼儿三棱镜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高18CM,塑料底座，不绣钢镜面，永不模糊，幼儿专用安全，环保，无毒。</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339090</wp:posOffset>
                  </wp:positionV>
                  <wp:extent cx="589280" cy="506095"/>
                  <wp:effectExtent l="0" t="0" r="1270" b="8255"/>
                  <wp:wrapNone/>
                  <wp:docPr id="55" name="Picture_30"/>
                  <wp:cNvGraphicFramePr/>
                  <a:graphic xmlns:a="http://schemas.openxmlformats.org/drawingml/2006/main">
                    <a:graphicData uri="http://schemas.openxmlformats.org/drawingml/2006/picture">
                      <pic:pic xmlns:pic="http://schemas.openxmlformats.org/drawingml/2006/picture">
                        <pic:nvPicPr>
                          <pic:cNvPr id="55" name="Picture_30"/>
                          <pic:cNvPicPr/>
                        </pic:nvPicPr>
                        <pic:blipFill>
                          <a:blip r:embed="rId175"/>
                          <a:stretch>
                            <a:fillRect/>
                          </a:stretch>
                        </pic:blipFill>
                        <pic:spPr>
                          <a:xfrm>
                            <a:off x="0" y="0"/>
                            <a:ext cx="589280" cy="506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地球仪</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规格：直径约28cm；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幼儿专用；材质：塑料含底座ABS环保塑料,100%安全无毒，颜色艳丽，耐光照不褪色，抗压耐磨。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188595</wp:posOffset>
                  </wp:positionV>
                  <wp:extent cx="619760" cy="760095"/>
                  <wp:effectExtent l="0" t="0" r="8890" b="1905"/>
                  <wp:wrapNone/>
                  <wp:docPr id="56" name="图片_50"/>
                  <wp:cNvGraphicFramePr/>
                  <a:graphic xmlns:a="http://schemas.openxmlformats.org/drawingml/2006/main">
                    <a:graphicData uri="http://schemas.openxmlformats.org/drawingml/2006/picture">
                      <pic:pic xmlns:pic="http://schemas.openxmlformats.org/drawingml/2006/picture">
                        <pic:nvPicPr>
                          <pic:cNvPr id="56" name="图片_50"/>
                          <pic:cNvPicPr/>
                        </pic:nvPicPr>
                        <pic:blipFill>
                          <a:blip r:embed="rId176"/>
                          <a:stretch>
                            <a:fillRect/>
                          </a:stretch>
                        </pic:blipFill>
                        <pic:spPr>
                          <a:xfrm>
                            <a:off x="0" y="0"/>
                            <a:ext cx="619760" cy="760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大号放大镜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塑料柄，幼儿适用，环保、无毒。</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314325</wp:posOffset>
                  </wp:positionV>
                  <wp:extent cx="789305" cy="662940"/>
                  <wp:effectExtent l="0" t="0" r="10795" b="3810"/>
                  <wp:wrapNone/>
                  <wp:docPr id="57" name="图片_44"/>
                  <wp:cNvGraphicFramePr/>
                  <a:graphic xmlns:a="http://schemas.openxmlformats.org/drawingml/2006/main">
                    <a:graphicData uri="http://schemas.openxmlformats.org/drawingml/2006/picture">
                      <pic:pic xmlns:pic="http://schemas.openxmlformats.org/drawingml/2006/picture">
                        <pic:nvPicPr>
                          <pic:cNvPr id="57" name="图片_44"/>
                          <pic:cNvPicPr/>
                        </pic:nvPicPr>
                        <pic:blipFill>
                          <a:blip r:embed="rId177"/>
                          <a:stretch>
                            <a:fillRect/>
                          </a:stretch>
                        </pic:blipFill>
                        <pic:spPr>
                          <a:xfrm>
                            <a:off x="0" y="0"/>
                            <a:ext cx="789305" cy="662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8"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美工室（功能室）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颜料架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进口桦木夹板，尺寸约314*192*120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330835</wp:posOffset>
                  </wp:positionV>
                  <wp:extent cx="636270" cy="575945"/>
                  <wp:effectExtent l="0" t="0" r="11430" b="14605"/>
                  <wp:wrapNone/>
                  <wp:docPr id="58" name="图片_66"/>
                  <wp:cNvGraphicFramePr/>
                  <a:graphic xmlns:a="http://schemas.openxmlformats.org/drawingml/2006/main">
                    <a:graphicData uri="http://schemas.openxmlformats.org/drawingml/2006/picture">
                      <pic:pic xmlns:pic="http://schemas.openxmlformats.org/drawingml/2006/picture">
                        <pic:nvPicPr>
                          <pic:cNvPr id="58" name="图片_66"/>
                          <pic:cNvPicPr/>
                        </pic:nvPicPr>
                        <pic:blipFill>
                          <a:blip r:embed="rId178"/>
                          <a:stretch>
                            <a:fillRect/>
                          </a:stretch>
                        </pic:blipFill>
                        <pic:spPr>
                          <a:xfrm>
                            <a:off x="0" y="0"/>
                            <a:ext cx="636270" cy="5759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笔架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进口桦木夹板，尺寸约200*200*80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304165</wp:posOffset>
                  </wp:positionV>
                  <wp:extent cx="613410" cy="445770"/>
                  <wp:effectExtent l="0" t="0" r="15240" b="11430"/>
                  <wp:wrapNone/>
                  <wp:docPr id="59" name="图片_67"/>
                  <wp:cNvGraphicFramePr/>
                  <a:graphic xmlns:a="http://schemas.openxmlformats.org/drawingml/2006/main">
                    <a:graphicData uri="http://schemas.openxmlformats.org/drawingml/2006/picture">
                      <pic:pic xmlns:pic="http://schemas.openxmlformats.org/drawingml/2006/picture">
                        <pic:nvPicPr>
                          <pic:cNvPr id="59" name="图片_67"/>
                          <pic:cNvPicPr/>
                        </pic:nvPicPr>
                        <pic:blipFill>
                          <a:blip r:embed="rId179"/>
                          <a:stretch>
                            <a:fillRect/>
                          </a:stretch>
                        </pic:blipFill>
                        <pic:spPr>
                          <a:xfrm>
                            <a:off x="0" y="0"/>
                            <a:ext cx="613410"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九宫盒</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约40*28*0.7外框由榉木制作而成，内框为卡槽夹板</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280035</wp:posOffset>
                  </wp:positionV>
                  <wp:extent cx="582930" cy="532130"/>
                  <wp:effectExtent l="0" t="0" r="7620" b="1270"/>
                  <wp:wrapNone/>
                  <wp:docPr id="60" name="图片_78"/>
                  <wp:cNvGraphicFramePr/>
                  <a:graphic xmlns:a="http://schemas.openxmlformats.org/drawingml/2006/main">
                    <a:graphicData uri="http://schemas.openxmlformats.org/drawingml/2006/picture">
                      <pic:pic xmlns:pic="http://schemas.openxmlformats.org/drawingml/2006/picture">
                        <pic:nvPicPr>
                          <pic:cNvPr id="60" name="图片_78"/>
                          <pic:cNvPicPr/>
                        </pic:nvPicPr>
                        <pic:blipFill>
                          <a:blip r:embed="rId180"/>
                          <a:stretch>
                            <a:fillRect/>
                          </a:stretch>
                        </pic:blipFill>
                        <pic:spPr>
                          <a:xfrm>
                            <a:off x="0" y="0"/>
                            <a:ext cx="58293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材料盒A</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产品尺寸约：33*22*5.5cm，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材料盒材质：进口桦木夹板，内含不同形状大小的材料</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盒</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353695</wp:posOffset>
                  </wp:positionV>
                  <wp:extent cx="582930" cy="542290"/>
                  <wp:effectExtent l="0" t="0" r="7620" b="10160"/>
                  <wp:wrapNone/>
                  <wp:docPr id="61" name="图片_41_SpCnt_1"/>
                  <wp:cNvGraphicFramePr/>
                  <a:graphic xmlns:a="http://schemas.openxmlformats.org/drawingml/2006/main">
                    <a:graphicData uri="http://schemas.openxmlformats.org/drawingml/2006/picture">
                      <pic:pic xmlns:pic="http://schemas.openxmlformats.org/drawingml/2006/picture">
                        <pic:nvPicPr>
                          <pic:cNvPr id="61" name="图片_41_SpCnt_1"/>
                          <pic:cNvPicPr/>
                        </pic:nvPicPr>
                        <pic:blipFill>
                          <a:blip r:embed="rId181"/>
                          <a:stretch>
                            <a:fillRect/>
                          </a:stretch>
                        </pic:blipFill>
                        <pic:spPr>
                          <a:xfrm>
                            <a:off x="0" y="0"/>
                            <a:ext cx="582930" cy="5422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材料盒B</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产品尺寸约：45*30*5.5cm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材料盒材质：进口桦木夹板，内含不同形状大小的材料</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盒</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266700</wp:posOffset>
                  </wp:positionV>
                  <wp:extent cx="582930" cy="542290"/>
                  <wp:effectExtent l="0" t="0" r="7620" b="10160"/>
                  <wp:wrapNone/>
                  <wp:docPr id="62" name="图片_42"/>
                  <wp:cNvGraphicFramePr/>
                  <a:graphic xmlns:a="http://schemas.openxmlformats.org/drawingml/2006/main">
                    <a:graphicData uri="http://schemas.openxmlformats.org/drawingml/2006/picture">
                      <pic:pic xmlns:pic="http://schemas.openxmlformats.org/drawingml/2006/picture">
                        <pic:nvPicPr>
                          <pic:cNvPr id="62" name="图片_42"/>
                          <pic:cNvPicPr/>
                        </pic:nvPicPr>
                        <pic:blipFill>
                          <a:blip r:embed="rId182"/>
                          <a:stretch>
                            <a:fillRect/>
                          </a:stretch>
                        </pic:blipFill>
                        <pic:spPr>
                          <a:xfrm>
                            <a:off x="0" y="0"/>
                            <a:ext cx="582930" cy="5422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陶泥转盘</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材质：铸铁；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颜色：灰色；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规格：直径15cm、17cm、19cm、22cm、26cm、30cm；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6个/套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254635</wp:posOffset>
                  </wp:positionV>
                  <wp:extent cx="599440" cy="797560"/>
                  <wp:effectExtent l="0" t="0" r="10160" b="2540"/>
                  <wp:wrapNone/>
                  <wp:docPr id="63" name="Picture_235"/>
                  <wp:cNvGraphicFramePr/>
                  <a:graphic xmlns:a="http://schemas.openxmlformats.org/drawingml/2006/main">
                    <a:graphicData uri="http://schemas.openxmlformats.org/drawingml/2006/picture">
                      <pic:pic xmlns:pic="http://schemas.openxmlformats.org/drawingml/2006/picture">
                        <pic:nvPicPr>
                          <pic:cNvPr id="63" name="Picture_235"/>
                          <pic:cNvPicPr/>
                        </pic:nvPicPr>
                        <pic:blipFill>
                          <a:blip r:embed="rId183"/>
                          <a:stretch>
                            <a:fillRect/>
                          </a:stretch>
                        </pic:blipFill>
                        <pic:spPr>
                          <a:xfrm>
                            <a:off x="0" y="0"/>
                            <a:ext cx="599440" cy="797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174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无级变速拉坯机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外形防抖动设计；机械轴承、持久耐用，方便清洗 ；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电压：220V；</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外形尺寸约52cm*41cm*37cm；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功率：≥350W；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转盘直径：约25cm；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69850</wp:posOffset>
                  </wp:positionH>
                  <wp:positionV relativeFrom="paragraph">
                    <wp:posOffset>360045</wp:posOffset>
                  </wp:positionV>
                  <wp:extent cx="726440" cy="591820"/>
                  <wp:effectExtent l="0" t="0" r="16510" b="17780"/>
                  <wp:wrapNone/>
                  <wp:docPr id="65" name="图片_1_SpCnt_5"/>
                  <wp:cNvGraphicFramePr/>
                  <a:graphic xmlns:a="http://schemas.openxmlformats.org/drawingml/2006/main">
                    <a:graphicData uri="http://schemas.openxmlformats.org/drawingml/2006/picture">
                      <pic:pic xmlns:pic="http://schemas.openxmlformats.org/drawingml/2006/picture">
                        <pic:nvPicPr>
                          <pic:cNvPr id="65" name="图片_1_SpCnt_5"/>
                          <pic:cNvPicPr/>
                        </pic:nvPicPr>
                        <pic:blipFill>
                          <a:blip r:embed="rId184"/>
                          <a:stretch>
                            <a:fillRect/>
                          </a:stretch>
                        </pic:blipFill>
                        <pic:spPr>
                          <a:xfrm>
                            <a:off x="0" y="0"/>
                            <a:ext cx="726440" cy="5918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230505</wp:posOffset>
                  </wp:positionV>
                  <wp:extent cx="726440" cy="2540"/>
                  <wp:effectExtent l="0" t="0" r="0" b="0"/>
                  <wp:wrapNone/>
                  <wp:docPr id="64" name="图片_1_SpCnt_4"/>
                  <wp:cNvGraphicFramePr/>
                  <a:graphic xmlns:a="http://schemas.openxmlformats.org/drawingml/2006/main">
                    <a:graphicData uri="http://schemas.openxmlformats.org/drawingml/2006/picture">
                      <pic:pic xmlns:pic="http://schemas.openxmlformats.org/drawingml/2006/picture">
                        <pic:nvPicPr>
                          <pic:cNvPr id="64" name="图片_1_SpCnt_4"/>
                          <pic:cNvPicPr/>
                        </pic:nvPicPr>
                        <pic:blipFill>
                          <a:blip r:embed="rId185"/>
                          <a:stretch>
                            <a:fillRect/>
                          </a:stretch>
                        </pic:blipFill>
                        <pic:spPr>
                          <a:xfrm>
                            <a:off x="0" y="0"/>
                            <a:ext cx="726440" cy="2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学生沙画台</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外观尺寸约：72cm*52cm*13cm；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作画尺寸约：50cm*40cm；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画台材质：航空箱；</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灯光：LED三段彩色加暖光；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电源：专业12V</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281305</wp:posOffset>
                  </wp:positionV>
                  <wp:extent cx="716915" cy="720090"/>
                  <wp:effectExtent l="0" t="0" r="6985" b="3810"/>
                  <wp:wrapNone/>
                  <wp:docPr id="66" name="Picture_238"/>
                  <wp:cNvGraphicFramePr/>
                  <a:graphic xmlns:a="http://schemas.openxmlformats.org/drawingml/2006/main">
                    <a:graphicData uri="http://schemas.openxmlformats.org/drawingml/2006/picture">
                      <pic:pic xmlns:pic="http://schemas.openxmlformats.org/drawingml/2006/picture">
                        <pic:nvPicPr>
                          <pic:cNvPr id="66" name="Picture_238"/>
                          <pic:cNvPicPr/>
                        </pic:nvPicPr>
                        <pic:blipFill>
                          <a:blip r:embed="rId186"/>
                          <a:stretch>
                            <a:fillRect/>
                          </a:stretch>
                        </pic:blipFill>
                        <pic:spPr>
                          <a:xfrm>
                            <a:off x="0" y="0"/>
                            <a:ext cx="716915" cy="720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陶泥</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主要成分：高岭土、长石、瓷矿石等烧成温度：1200-1380度；</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注意事项：1．表面色斑属于正常现象，揉匀即可消失。2．如有风干，可适量加水揉匀后再次使用。3根据烧制窑温的不同泥的成色略有差别属于正常现象。4本产品安全无毒，调勿香。规格：重约400G。</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包</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408940</wp:posOffset>
                  </wp:positionV>
                  <wp:extent cx="494030" cy="754380"/>
                  <wp:effectExtent l="0" t="0" r="1270" b="7620"/>
                  <wp:wrapNone/>
                  <wp:docPr id="68" name="图片_55_SpCnt_1"/>
                  <wp:cNvGraphicFramePr/>
                  <a:graphic xmlns:a="http://schemas.openxmlformats.org/drawingml/2006/main">
                    <a:graphicData uri="http://schemas.openxmlformats.org/drawingml/2006/picture">
                      <pic:pic xmlns:pic="http://schemas.openxmlformats.org/drawingml/2006/picture">
                        <pic:nvPicPr>
                          <pic:cNvPr id="68" name="图片_55_SpCnt_1"/>
                          <pic:cNvPicPr/>
                        </pic:nvPicPr>
                        <pic:blipFill>
                          <a:blip r:embed="rId187"/>
                          <a:stretch>
                            <a:fillRect/>
                          </a:stretch>
                        </pic:blipFill>
                        <pic:spPr>
                          <a:xfrm>
                            <a:off x="0" y="0"/>
                            <a:ext cx="494030" cy="7543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177165</wp:posOffset>
                  </wp:positionH>
                  <wp:positionV relativeFrom="paragraph">
                    <wp:posOffset>281940</wp:posOffset>
                  </wp:positionV>
                  <wp:extent cx="494030" cy="0"/>
                  <wp:effectExtent l="0" t="0" r="0" b="0"/>
                  <wp:wrapNone/>
                  <wp:docPr id="67" name="图片_1227"/>
                  <wp:cNvGraphicFramePr/>
                  <a:graphic xmlns:a="http://schemas.openxmlformats.org/drawingml/2006/main">
                    <a:graphicData uri="http://schemas.openxmlformats.org/drawingml/2006/picture">
                      <pic:pic xmlns:pic="http://schemas.openxmlformats.org/drawingml/2006/picture">
                        <pic:nvPicPr>
                          <pic:cNvPr id="67" name="图片_1227"/>
                          <pic:cNvPicPr/>
                        </pic:nvPicPr>
                        <pic:blipFill>
                          <a:blip r:embed="rId7"/>
                          <a:stretch>
                            <a:fillRect/>
                          </a:stretch>
                        </pic:blipFill>
                        <pic:spPr>
                          <a:xfrm>
                            <a:off x="0" y="0"/>
                            <a:ext cx="49403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滚轮套装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规格约：15*11cm，5种/套；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包括乡村滚轮套（5个）、农场滚轮套（5个）、城镇滚轮套（5个）、圣诞滚轮套（5个）、海洋滚轮套（5个）。</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267970</wp:posOffset>
                  </wp:positionV>
                  <wp:extent cx="795655" cy="749300"/>
                  <wp:effectExtent l="0" t="0" r="4445" b="12700"/>
                  <wp:wrapNone/>
                  <wp:docPr id="69" name="Picture_114"/>
                  <wp:cNvGraphicFramePr/>
                  <a:graphic xmlns:a="http://schemas.openxmlformats.org/drawingml/2006/main">
                    <a:graphicData uri="http://schemas.openxmlformats.org/drawingml/2006/picture">
                      <pic:pic xmlns:pic="http://schemas.openxmlformats.org/drawingml/2006/picture">
                        <pic:nvPicPr>
                          <pic:cNvPr id="69" name="Picture_114"/>
                          <pic:cNvPicPr/>
                        </pic:nvPicPr>
                        <pic:blipFill>
                          <a:blip r:embed="rId188"/>
                          <a:stretch>
                            <a:fillRect/>
                          </a:stretch>
                        </pic:blipFill>
                        <pic:spPr>
                          <a:xfrm>
                            <a:off x="0" y="0"/>
                            <a:ext cx="795655" cy="749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人物海绵滚轮</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规格：3个/袋；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材质：塑料，泡沫。</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袋</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312420</wp:posOffset>
                  </wp:positionV>
                  <wp:extent cx="633730" cy="645795"/>
                  <wp:effectExtent l="0" t="0" r="13970" b="1905"/>
                  <wp:wrapNone/>
                  <wp:docPr id="70" name="Picture_704"/>
                  <wp:cNvGraphicFramePr/>
                  <a:graphic xmlns:a="http://schemas.openxmlformats.org/drawingml/2006/main">
                    <a:graphicData uri="http://schemas.openxmlformats.org/drawingml/2006/picture">
                      <pic:pic xmlns:pic="http://schemas.openxmlformats.org/drawingml/2006/picture">
                        <pic:nvPicPr>
                          <pic:cNvPr id="70" name="Picture_704"/>
                          <pic:cNvPicPr/>
                        </pic:nvPicPr>
                        <pic:blipFill>
                          <a:blip r:embed="rId189"/>
                          <a:stretch>
                            <a:fillRect/>
                          </a:stretch>
                        </pic:blipFill>
                        <pic:spPr>
                          <a:xfrm>
                            <a:off x="0" y="0"/>
                            <a:ext cx="633730" cy="6457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毛根</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规格：长度约30cm,直径约6mm  手工分装 每捆数量约98-100根。颜色随机。 </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捆</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269240</wp:posOffset>
                  </wp:positionV>
                  <wp:extent cx="719455" cy="754380"/>
                  <wp:effectExtent l="0" t="0" r="4445" b="7620"/>
                  <wp:wrapNone/>
                  <wp:docPr id="71" name="Picture_392"/>
                  <wp:cNvGraphicFramePr/>
                  <a:graphic xmlns:a="http://schemas.openxmlformats.org/drawingml/2006/main">
                    <a:graphicData uri="http://schemas.openxmlformats.org/drawingml/2006/picture">
                      <pic:pic xmlns:pic="http://schemas.openxmlformats.org/drawingml/2006/picture">
                        <pic:nvPicPr>
                          <pic:cNvPr id="71" name="Picture_392"/>
                          <pic:cNvPicPr/>
                        </pic:nvPicPr>
                        <pic:blipFill>
                          <a:blip r:embed="rId190"/>
                          <a:stretch>
                            <a:fillRect/>
                          </a:stretch>
                        </pic:blipFill>
                        <pic:spPr>
                          <a:xfrm>
                            <a:off x="0" y="0"/>
                            <a:ext cx="719455" cy="754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盒混装打花器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规格约：38*38*5cm；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材质：塑料，五金；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多种款式的打花器是一种互动启发式的教学工具，是教师和孩子理想的手工工具。</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274955</wp:posOffset>
                  </wp:positionV>
                  <wp:extent cx="758825" cy="751840"/>
                  <wp:effectExtent l="0" t="0" r="3175" b="10160"/>
                  <wp:wrapNone/>
                  <wp:docPr id="72" name="Picture_9"/>
                  <wp:cNvGraphicFramePr/>
                  <a:graphic xmlns:a="http://schemas.openxmlformats.org/drawingml/2006/main">
                    <a:graphicData uri="http://schemas.openxmlformats.org/drawingml/2006/picture">
                      <pic:pic xmlns:pic="http://schemas.openxmlformats.org/drawingml/2006/picture">
                        <pic:nvPicPr>
                          <pic:cNvPr id="72" name="Picture_9"/>
                          <pic:cNvPicPr/>
                        </pic:nvPicPr>
                        <pic:blipFill>
                          <a:blip r:embed="rId191"/>
                          <a:stretch>
                            <a:fillRect/>
                          </a:stretch>
                        </pic:blipFill>
                        <pic:spPr>
                          <a:xfrm>
                            <a:off x="0" y="0"/>
                            <a:ext cx="758825" cy="751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防水围裙</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规格：小班S码35件，中班M码40件，大班L码40件。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图案、颜色随机，有黄绿蓝橙四色可选。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选用复合PVC材质，质地柔软，全防水设计，吊脖和背后采用树脂可调节扣设计，圆润光滑呵护宝宝柔嫩肌肤。</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360045</wp:posOffset>
                  </wp:positionV>
                  <wp:extent cx="542925" cy="610235"/>
                  <wp:effectExtent l="0" t="0" r="9525" b="18415"/>
                  <wp:wrapNone/>
                  <wp:docPr id="73" name="Picture_1432"/>
                  <wp:cNvGraphicFramePr/>
                  <a:graphic xmlns:a="http://schemas.openxmlformats.org/drawingml/2006/main">
                    <a:graphicData uri="http://schemas.openxmlformats.org/drawingml/2006/picture">
                      <pic:pic xmlns:pic="http://schemas.openxmlformats.org/drawingml/2006/picture">
                        <pic:nvPicPr>
                          <pic:cNvPr id="73" name="Picture_1432"/>
                          <pic:cNvPicPr/>
                        </pic:nvPicPr>
                        <pic:blipFill>
                          <a:blip r:embed="rId192"/>
                          <a:stretch>
                            <a:fillRect/>
                          </a:stretch>
                        </pic:blipFill>
                        <pic:spPr>
                          <a:xfrm>
                            <a:off x="0" y="0"/>
                            <a:ext cx="542925" cy="610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手指印章</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规格：2.5*1.5cm,橡胶制，每套24枚。</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365125</wp:posOffset>
                  </wp:positionV>
                  <wp:extent cx="789940" cy="518795"/>
                  <wp:effectExtent l="0" t="0" r="10160" b="14605"/>
                  <wp:wrapNone/>
                  <wp:docPr id="74" name="Picture_731"/>
                  <wp:cNvGraphicFramePr/>
                  <a:graphic xmlns:a="http://schemas.openxmlformats.org/drawingml/2006/main">
                    <a:graphicData uri="http://schemas.openxmlformats.org/drawingml/2006/picture">
                      <pic:pic xmlns:pic="http://schemas.openxmlformats.org/drawingml/2006/picture">
                        <pic:nvPicPr>
                          <pic:cNvPr id="74" name="Picture_731"/>
                          <pic:cNvPicPr/>
                        </pic:nvPicPr>
                        <pic:blipFill>
                          <a:blip r:embed="rId193"/>
                          <a:stretch>
                            <a:fillRect/>
                          </a:stretch>
                        </pic:blipFill>
                        <pic:spPr>
                          <a:xfrm>
                            <a:off x="0" y="0"/>
                            <a:ext cx="789940" cy="5187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移动美工柜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规格约：长100*宽30*高80；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柜子外表和内表，均不得有锐利的棱角，毛刺以及小五金部件露出来的锐利尖端。</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184785</wp:posOffset>
                  </wp:positionV>
                  <wp:extent cx="742315" cy="873125"/>
                  <wp:effectExtent l="0" t="0" r="635" b="3175"/>
                  <wp:wrapNone/>
                  <wp:docPr id="75" name="Picture_38_SpCnt_1"/>
                  <wp:cNvGraphicFramePr/>
                  <a:graphic xmlns:a="http://schemas.openxmlformats.org/drawingml/2006/main">
                    <a:graphicData uri="http://schemas.openxmlformats.org/drawingml/2006/picture">
                      <pic:pic xmlns:pic="http://schemas.openxmlformats.org/drawingml/2006/picture">
                        <pic:nvPicPr>
                          <pic:cNvPr id="75" name="Picture_38_SpCnt_1"/>
                          <pic:cNvPicPr/>
                        </pic:nvPicPr>
                        <pic:blipFill>
                          <a:blip r:embed="rId194"/>
                          <a:stretch>
                            <a:fillRect/>
                          </a:stretch>
                        </pic:blipFill>
                        <pic:spPr>
                          <a:xfrm>
                            <a:off x="0" y="0"/>
                            <a:ext cx="742315" cy="8731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美劳操作桌</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材料：全部材质均选用铁杉，桌板厚度为18mm，经过烘干处理；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规格约：220*120*51cm；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颜色：原木本色，经过防虫、防腐等化学处理；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刚性好、不变形，比重合理，每个产品经过几十道工序精细制作而成，边角经过圆角处理，防碰撞，安全性高。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288925</wp:posOffset>
                  </wp:positionV>
                  <wp:extent cx="640080" cy="950595"/>
                  <wp:effectExtent l="0" t="0" r="7620" b="1905"/>
                  <wp:wrapNone/>
                  <wp:docPr id="76" name="Picture_39"/>
                  <wp:cNvGraphicFramePr/>
                  <a:graphic xmlns:a="http://schemas.openxmlformats.org/drawingml/2006/main">
                    <a:graphicData uri="http://schemas.openxmlformats.org/drawingml/2006/picture">
                      <pic:pic xmlns:pic="http://schemas.openxmlformats.org/drawingml/2006/picture">
                        <pic:nvPicPr>
                          <pic:cNvPr id="76" name="Picture_39"/>
                          <pic:cNvPicPr/>
                        </pic:nvPicPr>
                        <pic:blipFill>
                          <a:blip r:embed="rId195"/>
                          <a:stretch>
                            <a:fillRect/>
                          </a:stretch>
                        </pic:blipFill>
                        <pic:spPr>
                          <a:xfrm>
                            <a:off x="0" y="0"/>
                            <a:ext cx="640080" cy="9505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玩具柜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规格约：长120*宽30*高80；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柜子外表和内表，均不得有锐利的棱角，毛刺以及小五金部件露出来的锐利尖端。</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120650</wp:posOffset>
                  </wp:positionV>
                  <wp:extent cx="625475" cy="910590"/>
                  <wp:effectExtent l="0" t="0" r="3175" b="3810"/>
                  <wp:wrapNone/>
                  <wp:docPr id="137" name="Picture_37"/>
                  <wp:cNvGraphicFramePr/>
                  <a:graphic xmlns:a="http://schemas.openxmlformats.org/drawingml/2006/main">
                    <a:graphicData uri="http://schemas.openxmlformats.org/drawingml/2006/picture">
                      <pic:pic xmlns:pic="http://schemas.openxmlformats.org/drawingml/2006/picture">
                        <pic:nvPicPr>
                          <pic:cNvPr id="137" name="Picture_37"/>
                          <pic:cNvPicPr/>
                        </pic:nvPicPr>
                        <pic:blipFill>
                          <a:blip r:embed="rId196"/>
                          <a:stretch>
                            <a:fillRect/>
                          </a:stretch>
                        </pic:blipFill>
                        <pic:spPr>
                          <a:xfrm>
                            <a:off x="0" y="0"/>
                            <a:ext cx="625475" cy="910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规格约：60*40*85cm；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材质：樟子松</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262890</wp:posOffset>
                  </wp:positionV>
                  <wp:extent cx="708025" cy="714375"/>
                  <wp:effectExtent l="0" t="0" r="15875" b="9525"/>
                  <wp:wrapNone/>
                  <wp:docPr id="138" name="图片_13_SpCnt_2"/>
                  <wp:cNvGraphicFramePr/>
                  <a:graphic xmlns:a="http://schemas.openxmlformats.org/drawingml/2006/main">
                    <a:graphicData uri="http://schemas.openxmlformats.org/drawingml/2006/picture">
                      <pic:pic xmlns:pic="http://schemas.openxmlformats.org/drawingml/2006/picture">
                        <pic:nvPicPr>
                          <pic:cNvPr id="138" name="图片_13_SpCnt_2"/>
                          <pic:cNvPicPr/>
                        </pic:nvPicPr>
                        <pic:blipFill>
                          <a:blip r:embed="rId197"/>
                          <a:stretch>
                            <a:fillRect/>
                          </a:stretch>
                        </pic:blipFill>
                        <pic:spPr>
                          <a:xfrm>
                            <a:off x="0" y="0"/>
                            <a:ext cx="708025" cy="714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八宫格</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规格约：35.8*18.6*8cm；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材质：实木；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309245</wp:posOffset>
                  </wp:positionV>
                  <wp:extent cx="729615" cy="429260"/>
                  <wp:effectExtent l="0" t="0" r="13335" b="8890"/>
                  <wp:wrapNone/>
                  <wp:docPr id="139" name="图片_11_SpCnt_1"/>
                  <wp:cNvGraphicFramePr/>
                  <a:graphic xmlns:a="http://schemas.openxmlformats.org/drawingml/2006/main">
                    <a:graphicData uri="http://schemas.openxmlformats.org/drawingml/2006/picture">
                      <pic:pic xmlns:pic="http://schemas.openxmlformats.org/drawingml/2006/picture">
                        <pic:nvPicPr>
                          <pic:cNvPr id="139" name="图片_11_SpCnt_1"/>
                          <pic:cNvPicPr/>
                        </pic:nvPicPr>
                        <pic:blipFill>
                          <a:blip r:embed="rId198"/>
                          <a:stretch>
                            <a:fillRect/>
                          </a:stretch>
                        </pic:blipFill>
                        <pic:spPr>
                          <a:xfrm>
                            <a:off x="0" y="0"/>
                            <a:ext cx="729615" cy="429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移动画纸架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规格约：50*50*105cm；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材质：樟子松</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302895</wp:posOffset>
                  </wp:positionV>
                  <wp:extent cx="615315" cy="723265"/>
                  <wp:effectExtent l="0" t="0" r="13335" b="635"/>
                  <wp:wrapNone/>
                  <wp:docPr id="140" name="图片_6_SpCnt_2"/>
                  <wp:cNvGraphicFramePr/>
                  <a:graphic xmlns:a="http://schemas.openxmlformats.org/drawingml/2006/main">
                    <a:graphicData uri="http://schemas.openxmlformats.org/drawingml/2006/picture">
                      <pic:pic xmlns:pic="http://schemas.openxmlformats.org/drawingml/2006/picture">
                        <pic:nvPicPr>
                          <pic:cNvPr id="140" name="图片_6_SpCnt_2"/>
                          <pic:cNvPicPr/>
                        </pic:nvPicPr>
                        <pic:blipFill>
                          <a:blip r:embed="rId199"/>
                          <a:stretch>
                            <a:fillRect/>
                          </a:stretch>
                        </pic:blipFill>
                        <pic:spPr>
                          <a:xfrm>
                            <a:off x="0" y="0"/>
                            <a:ext cx="615315" cy="7232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8"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宝贝厨房（功能室）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石磨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规格约：上盘20CM *下盘30CM 下盘厚5cm；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材质：花岗岩；表面光滑无瑕疵。</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271145</wp:posOffset>
                  </wp:positionV>
                  <wp:extent cx="621665" cy="678815"/>
                  <wp:effectExtent l="0" t="0" r="6985" b="6985"/>
                  <wp:wrapNone/>
                  <wp:docPr id="141" name="Picture_101"/>
                  <wp:cNvGraphicFramePr/>
                  <a:graphic xmlns:a="http://schemas.openxmlformats.org/drawingml/2006/main">
                    <a:graphicData uri="http://schemas.openxmlformats.org/drawingml/2006/picture">
                      <pic:pic xmlns:pic="http://schemas.openxmlformats.org/drawingml/2006/picture">
                        <pic:nvPicPr>
                          <pic:cNvPr id="141" name="Picture_101"/>
                          <pic:cNvPicPr/>
                        </pic:nvPicPr>
                        <pic:blipFill>
                          <a:blip r:embed="rId200"/>
                          <a:stretch>
                            <a:fillRect/>
                          </a:stretch>
                        </pic:blipFill>
                        <pic:spPr>
                          <a:xfrm>
                            <a:off x="0" y="0"/>
                            <a:ext cx="621665" cy="6788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石臼</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规格约：14.2（口）；10.6（底）；10.5（高）</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368935</wp:posOffset>
                  </wp:positionV>
                  <wp:extent cx="696595" cy="478155"/>
                  <wp:effectExtent l="0" t="0" r="8255" b="17145"/>
                  <wp:wrapNone/>
                  <wp:docPr id="142" name="图片_1_SpCnt_6"/>
                  <wp:cNvGraphicFramePr/>
                  <a:graphic xmlns:a="http://schemas.openxmlformats.org/drawingml/2006/main">
                    <a:graphicData uri="http://schemas.openxmlformats.org/drawingml/2006/picture">
                      <pic:pic xmlns:pic="http://schemas.openxmlformats.org/drawingml/2006/picture">
                        <pic:nvPicPr>
                          <pic:cNvPr id="142" name="图片_1_SpCnt_6"/>
                          <pic:cNvPicPr/>
                        </pic:nvPicPr>
                        <pic:blipFill>
                          <a:blip r:embed="rId201"/>
                          <a:stretch>
                            <a:fillRect/>
                          </a:stretch>
                        </pic:blipFill>
                        <pic:spPr>
                          <a:xfrm>
                            <a:off x="0" y="0"/>
                            <a:ext cx="696595" cy="478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6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煎烤机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规格约：335*162*302mm，180°展开26cm双面烤盘，不粘锅，耐刮耐磨。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颜色分类: 中国红；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功能: 烤 炒 烙 煎；</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电饼铛加热面: 双面加热；</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烙盘设计: 悬浮式；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功率: 1000W及以下；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饼铛类型: 煎烤机。</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381635</wp:posOffset>
                  </wp:positionV>
                  <wp:extent cx="707390" cy="730885"/>
                  <wp:effectExtent l="0" t="0" r="16510" b="12065"/>
                  <wp:wrapNone/>
                  <wp:docPr id="143" name="Picture_659"/>
                  <wp:cNvGraphicFramePr/>
                  <a:graphic xmlns:a="http://schemas.openxmlformats.org/drawingml/2006/main">
                    <a:graphicData uri="http://schemas.openxmlformats.org/drawingml/2006/picture">
                      <pic:pic xmlns:pic="http://schemas.openxmlformats.org/drawingml/2006/picture">
                        <pic:nvPicPr>
                          <pic:cNvPr id="143" name="Picture_659"/>
                          <pic:cNvPicPr/>
                        </pic:nvPicPr>
                        <pic:blipFill>
                          <a:blip r:embed="rId202"/>
                          <a:stretch>
                            <a:fillRect/>
                          </a:stretch>
                        </pic:blipFill>
                        <pic:spPr>
                          <a:xfrm>
                            <a:off x="0" y="0"/>
                            <a:ext cx="707390" cy="730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厨房烘焙套装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包含：硅胶刷 擀面杖 木质搅拌勺 打蛋器 6款模具 面团切刀。</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说明：为孩子特别订制的精致烘焙工具，材料与日常生活中真实的烘焙工具材料相同，尺寸更适合孩子使用；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44450</wp:posOffset>
                  </wp:positionV>
                  <wp:extent cx="768350" cy="1038225"/>
                  <wp:effectExtent l="0" t="0" r="12700" b="9525"/>
                  <wp:wrapNone/>
                  <wp:docPr id="144" name="Picture_340"/>
                  <wp:cNvGraphicFramePr/>
                  <a:graphic xmlns:a="http://schemas.openxmlformats.org/drawingml/2006/main">
                    <a:graphicData uri="http://schemas.openxmlformats.org/drawingml/2006/picture">
                      <pic:pic xmlns:pic="http://schemas.openxmlformats.org/drawingml/2006/picture">
                        <pic:nvPicPr>
                          <pic:cNvPr id="144" name="Picture_340"/>
                          <pic:cNvPicPr/>
                        </pic:nvPicPr>
                        <pic:blipFill>
                          <a:blip r:embed="rId203"/>
                          <a:stretch>
                            <a:fillRect/>
                          </a:stretch>
                        </pic:blipFill>
                        <pic:spPr>
                          <a:xfrm>
                            <a:off x="0" y="0"/>
                            <a:ext cx="768350" cy="1038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华夫饼制作机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规格约：327*140*240cm；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材质：食品级不粘烤盘，双面加热。</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智能恒温控制，悬浮加热技术。</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3-5分钟就可制作健康美味的甜品。</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346710</wp:posOffset>
                  </wp:positionV>
                  <wp:extent cx="628650" cy="616585"/>
                  <wp:effectExtent l="0" t="0" r="0" b="12065"/>
                  <wp:wrapNone/>
                  <wp:docPr id="145" name="Picture_708"/>
                  <wp:cNvGraphicFramePr/>
                  <a:graphic xmlns:a="http://schemas.openxmlformats.org/drawingml/2006/main">
                    <a:graphicData uri="http://schemas.openxmlformats.org/drawingml/2006/picture">
                      <pic:pic xmlns:pic="http://schemas.openxmlformats.org/drawingml/2006/picture">
                        <pic:nvPicPr>
                          <pic:cNvPr id="145" name="Picture_708"/>
                          <pic:cNvPicPr/>
                        </pic:nvPicPr>
                        <pic:blipFill>
                          <a:blip r:embed="rId204"/>
                          <a:stretch>
                            <a:fillRect/>
                          </a:stretch>
                        </pic:blipFill>
                        <pic:spPr>
                          <a:xfrm>
                            <a:off x="0" y="0"/>
                            <a:ext cx="628650" cy="6165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烤箱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功率: 700W；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容量:≥11L；温控方式: 上下管统一控温；</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款式: 卧式；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规格约：362*300*201mm；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优点：轻巧、便捷、易操作、安全性。</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339725</wp:posOffset>
                  </wp:positionV>
                  <wp:extent cx="849630" cy="509905"/>
                  <wp:effectExtent l="0" t="0" r="7620" b="4445"/>
                  <wp:wrapNone/>
                  <wp:docPr id="146" name="图片_7_SpCnt_2"/>
                  <wp:cNvGraphicFramePr/>
                  <a:graphic xmlns:a="http://schemas.openxmlformats.org/drawingml/2006/main">
                    <a:graphicData uri="http://schemas.openxmlformats.org/drawingml/2006/picture">
                      <pic:pic xmlns:pic="http://schemas.openxmlformats.org/drawingml/2006/picture">
                        <pic:nvPicPr>
                          <pic:cNvPr id="146" name="图片_7_SpCnt_2"/>
                          <pic:cNvPicPr/>
                        </pic:nvPicPr>
                        <pic:blipFill>
                          <a:blip r:embed="rId205"/>
                          <a:stretch>
                            <a:fillRect/>
                          </a:stretch>
                        </pic:blipFill>
                        <pic:spPr>
                          <a:xfrm>
                            <a:off x="0" y="0"/>
                            <a:ext cx="849630" cy="509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电磁炉</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规格约：275*310*78mm；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功率：≥2100W；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优点：安全防滑脚垫、易操作、易清洗。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307340</wp:posOffset>
                  </wp:positionV>
                  <wp:extent cx="771525" cy="544195"/>
                  <wp:effectExtent l="0" t="0" r="9525" b="8255"/>
                  <wp:wrapNone/>
                  <wp:docPr id="147" name="图片_8_SpCnt_1"/>
                  <wp:cNvGraphicFramePr/>
                  <a:graphic xmlns:a="http://schemas.openxmlformats.org/drawingml/2006/main">
                    <a:graphicData uri="http://schemas.openxmlformats.org/drawingml/2006/picture">
                      <pic:pic xmlns:pic="http://schemas.openxmlformats.org/drawingml/2006/picture">
                        <pic:nvPicPr>
                          <pic:cNvPr id="147" name="图片_8_SpCnt_1"/>
                          <pic:cNvPicPr/>
                        </pic:nvPicPr>
                        <pic:blipFill>
                          <a:blip r:embed="rId206"/>
                          <a:stretch>
                            <a:fillRect/>
                          </a:stretch>
                        </pic:blipFill>
                        <pic:spPr>
                          <a:xfrm>
                            <a:off x="0" y="0"/>
                            <a:ext cx="771525"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甜品机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规格约：250*130*100mm；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功率：≥650W；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烤盘尺寸约：120*130mm；含4套烤盘；</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优点：安全防滑脚垫、易操作、易清洗。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285115</wp:posOffset>
                  </wp:positionV>
                  <wp:extent cx="718820" cy="665480"/>
                  <wp:effectExtent l="0" t="0" r="5080" b="1270"/>
                  <wp:wrapNone/>
                  <wp:docPr id="148" name="图片_9"/>
                  <wp:cNvGraphicFramePr/>
                  <a:graphic xmlns:a="http://schemas.openxmlformats.org/drawingml/2006/main">
                    <a:graphicData uri="http://schemas.openxmlformats.org/drawingml/2006/picture">
                      <pic:pic xmlns:pic="http://schemas.openxmlformats.org/drawingml/2006/picture">
                        <pic:nvPicPr>
                          <pic:cNvPr id="148" name="图片_9"/>
                          <pic:cNvPicPr/>
                        </pic:nvPicPr>
                        <pic:blipFill>
                          <a:blip r:embed="rId207"/>
                          <a:stretch>
                            <a:fillRect/>
                          </a:stretch>
                        </pic:blipFill>
                        <pic:spPr>
                          <a:xfrm>
                            <a:off x="0" y="0"/>
                            <a:ext cx="718820" cy="6654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不粘锅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规格：140*300*80mm；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材质：火山岩；</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优点：健康卫生、无烟不粘、不易焦糊、火山岩材质有效隔离有害物质。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410845</wp:posOffset>
                  </wp:positionV>
                  <wp:extent cx="700405" cy="486410"/>
                  <wp:effectExtent l="0" t="0" r="4445" b="8890"/>
                  <wp:wrapNone/>
                  <wp:docPr id="149" name="图片_10_SpCnt_1"/>
                  <wp:cNvGraphicFramePr/>
                  <a:graphic xmlns:a="http://schemas.openxmlformats.org/drawingml/2006/main">
                    <a:graphicData uri="http://schemas.openxmlformats.org/drawingml/2006/picture">
                      <pic:pic xmlns:pic="http://schemas.openxmlformats.org/drawingml/2006/picture">
                        <pic:nvPicPr>
                          <pic:cNvPr id="149" name="图片_10_SpCnt_1"/>
                          <pic:cNvPicPr/>
                        </pic:nvPicPr>
                        <pic:blipFill>
                          <a:blip r:embed="rId208"/>
                          <a:stretch>
                            <a:fillRect/>
                          </a:stretch>
                        </pic:blipFill>
                        <pic:spPr>
                          <a:xfrm>
                            <a:off x="0" y="0"/>
                            <a:ext cx="700405" cy="486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材质：不锈钢锅底；</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规格约：33*9.7cm；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颜色：淡蓝色。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415925</wp:posOffset>
                  </wp:positionV>
                  <wp:extent cx="745490" cy="428625"/>
                  <wp:effectExtent l="0" t="0" r="16510" b="9525"/>
                  <wp:wrapNone/>
                  <wp:docPr id="150" name="图片_13_SpCnt_3"/>
                  <wp:cNvGraphicFramePr/>
                  <a:graphic xmlns:a="http://schemas.openxmlformats.org/drawingml/2006/main">
                    <a:graphicData uri="http://schemas.openxmlformats.org/drawingml/2006/picture">
                      <pic:pic xmlns:pic="http://schemas.openxmlformats.org/drawingml/2006/picture">
                        <pic:nvPicPr>
                          <pic:cNvPr id="150" name="图片_13_SpCnt_3"/>
                          <pic:cNvPicPr/>
                        </pic:nvPicPr>
                        <pic:blipFill>
                          <a:blip r:embed="rId209"/>
                          <a:stretch>
                            <a:fillRect/>
                          </a:stretch>
                        </pic:blipFill>
                        <pic:spPr>
                          <a:xfrm>
                            <a:off x="0" y="0"/>
                            <a:ext cx="745490" cy="428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破壁机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功率: ≥1500W；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容量: ≥175L；</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规格约：67.5*30.5*37.5cm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432435</wp:posOffset>
                  </wp:positionV>
                  <wp:extent cx="546735" cy="457200"/>
                  <wp:effectExtent l="0" t="0" r="5715" b="0"/>
                  <wp:wrapNone/>
                  <wp:docPr id="151" name="图片_7_SpCnt_3"/>
                  <wp:cNvGraphicFramePr/>
                  <a:graphic xmlns:a="http://schemas.openxmlformats.org/drawingml/2006/main">
                    <a:graphicData uri="http://schemas.openxmlformats.org/drawingml/2006/picture">
                      <pic:pic xmlns:pic="http://schemas.openxmlformats.org/drawingml/2006/picture">
                        <pic:nvPicPr>
                          <pic:cNvPr id="151" name="图片_7_SpCnt_3"/>
                          <pic:cNvPicPr/>
                        </pic:nvPicPr>
                        <pic:blipFill>
                          <a:blip r:embed="rId210"/>
                          <a:stretch>
                            <a:fillRect/>
                          </a:stretch>
                        </pic:blipFill>
                        <pic:spPr>
                          <a:xfrm>
                            <a:off x="0" y="0"/>
                            <a:ext cx="546735" cy="457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绞肉机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食物接触材质: 304不锈钢；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容量: ≥2L；</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规格约：17*17*25cm；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额定功率：≥250W。</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370205</wp:posOffset>
                  </wp:positionV>
                  <wp:extent cx="762000" cy="518160"/>
                  <wp:effectExtent l="0" t="0" r="0" b="15240"/>
                  <wp:wrapNone/>
                  <wp:docPr id="152" name="图片_8_SpCnt_2"/>
                  <wp:cNvGraphicFramePr/>
                  <a:graphic xmlns:a="http://schemas.openxmlformats.org/drawingml/2006/main">
                    <a:graphicData uri="http://schemas.openxmlformats.org/drawingml/2006/picture">
                      <pic:pic xmlns:pic="http://schemas.openxmlformats.org/drawingml/2006/picture">
                        <pic:nvPicPr>
                          <pic:cNvPr id="152" name="图片_8_SpCnt_2"/>
                          <pic:cNvPicPr/>
                        </pic:nvPicPr>
                        <pic:blipFill>
                          <a:blip r:embed="rId211"/>
                          <a:stretch>
                            <a:fillRect/>
                          </a:stretch>
                        </pic:blipFill>
                        <pic:spPr>
                          <a:xfrm>
                            <a:off x="0" y="0"/>
                            <a:ext cx="762000" cy="518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揉面机</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食物接触材质: 304不锈钢；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容量:≥ 6.2L；</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规格约：36.4*18.9*32.2cm；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额定功率：≥1500W。</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328295</wp:posOffset>
                  </wp:positionV>
                  <wp:extent cx="542290" cy="679450"/>
                  <wp:effectExtent l="0" t="0" r="10160" b="6350"/>
                  <wp:wrapNone/>
                  <wp:docPr id="153" name="图片_9_SpCnt_1"/>
                  <wp:cNvGraphicFramePr/>
                  <a:graphic xmlns:a="http://schemas.openxmlformats.org/drawingml/2006/main">
                    <a:graphicData uri="http://schemas.openxmlformats.org/drawingml/2006/picture">
                      <pic:pic xmlns:pic="http://schemas.openxmlformats.org/drawingml/2006/picture">
                        <pic:nvPicPr>
                          <pic:cNvPr id="153" name="图片_9_SpCnt_1"/>
                          <pic:cNvPicPr/>
                        </pic:nvPicPr>
                        <pic:blipFill>
                          <a:blip r:embed="rId212"/>
                          <a:stretch>
                            <a:fillRect/>
                          </a:stretch>
                        </pic:blipFill>
                        <pic:spPr>
                          <a:xfrm>
                            <a:off x="0" y="0"/>
                            <a:ext cx="542290" cy="679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打蛋器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打蛋棒规格约：4cm；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额定功率：≥125W；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含打蛋机一台，打蛋棒两把。</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373380</wp:posOffset>
                  </wp:positionV>
                  <wp:extent cx="622935" cy="457200"/>
                  <wp:effectExtent l="0" t="0" r="5715" b="0"/>
                  <wp:wrapNone/>
                  <wp:docPr id="154" name="图片_10_SpCnt_2"/>
                  <wp:cNvGraphicFramePr/>
                  <a:graphic xmlns:a="http://schemas.openxmlformats.org/drawingml/2006/main">
                    <a:graphicData uri="http://schemas.openxmlformats.org/drawingml/2006/picture">
                      <pic:pic xmlns:pic="http://schemas.openxmlformats.org/drawingml/2006/picture">
                        <pic:nvPicPr>
                          <pic:cNvPr id="154" name="图片_10_SpCnt_2"/>
                          <pic:cNvPicPr/>
                        </pic:nvPicPr>
                        <pic:blipFill>
                          <a:blip r:embed="rId213"/>
                          <a:stretch>
                            <a:fillRect/>
                          </a:stretch>
                        </pic:blipFill>
                        <pic:spPr>
                          <a:xfrm>
                            <a:off x="0" y="0"/>
                            <a:ext cx="622935" cy="457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电饭煲</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内胆材质:釜胆；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容量: ≥4L；</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加热方式: 底盘加热；</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规格约：33.8*26.7*25.2cm；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342900</wp:posOffset>
                  </wp:positionV>
                  <wp:extent cx="714375" cy="603885"/>
                  <wp:effectExtent l="0" t="0" r="9525" b="5715"/>
                  <wp:wrapNone/>
                  <wp:docPr id="155" name="图片_14"/>
                  <wp:cNvGraphicFramePr/>
                  <a:graphic xmlns:a="http://schemas.openxmlformats.org/drawingml/2006/main">
                    <a:graphicData uri="http://schemas.openxmlformats.org/drawingml/2006/picture">
                      <pic:pic xmlns:pic="http://schemas.openxmlformats.org/drawingml/2006/picture">
                        <pic:nvPicPr>
                          <pic:cNvPr id="155" name="图片_14"/>
                          <pic:cNvPicPr/>
                        </pic:nvPicPr>
                        <pic:blipFill>
                          <a:blip r:embed="rId214"/>
                          <a:stretch>
                            <a:fillRect/>
                          </a:stretch>
                        </pic:blipFill>
                        <pic:spPr>
                          <a:xfrm>
                            <a:off x="0" y="0"/>
                            <a:ext cx="714375" cy="603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烤箱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功率: ≥1800W；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内胆材质: 其他/other；</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容量: ≥38L；</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功率：≥1650W；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规格约：47.8*40.3*33.4cm。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339725</wp:posOffset>
                  </wp:positionV>
                  <wp:extent cx="673100" cy="542925"/>
                  <wp:effectExtent l="0" t="0" r="12700" b="9525"/>
                  <wp:wrapNone/>
                  <wp:docPr id="156" name="图片_15"/>
                  <wp:cNvGraphicFramePr/>
                  <a:graphic xmlns:a="http://schemas.openxmlformats.org/drawingml/2006/main">
                    <a:graphicData uri="http://schemas.openxmlformats.org/drawingml/2006/picture">
                      <pic:pic xmlns:pic="http://schemas.openxmlformats.org/drawingml/2006/picture">
                        <pic:nvPicPr>
                          <pic:cNvPr id="156" name="图片_15"/>
                          <pic:cNvPicPr/>
                        </pic:nvPicPr>
                        <pic:blipFill>
                          <a:blip r:embed="rId215"/>
                          <a:stretch>
                            <a:fillRect/>
                          </a:stretch>
                        </pic:blipFill>
                        <pic:spPr>
                          <a:xfrm>
                            <a:off x="0" y="0"/>
                            <a:ext cx="673100" cy="542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消毒柜</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壁挂消毒柜:规格约：40*40*100cm；含安装。</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358140</wp:posOffset>
                  </wp:positionV>
                  <wp:extent cx="626745" cy="495935"/>
                  <wp:effectExtent l="0" t="0" r="1905" b="18415"/>
                  <wp:wrapNone/>
                  <wp:docPr id="257" name="图片_5_SpCnt_1"/>
                  <wp:cNvGraphicFramePr/>
                  <a:graphic xmlns:a="http://schemas.openxmlformats.org/drawingml/2006/main">
                    <a:graphicData uri="http://schemas.openxmlformats.org/drawingml/2006/picture">
                      <pic:pic xmlns:pic="http://schemas.openxmlformats.org/drawingml/2006/picture">
                        <pic:nvPicPr>
                          <pic:cNvPr id="257" name="图片_5_SpCnt_1"/>
                          <pic:cNvPicPr/>
                        </pic:nvPicPr>
                        <pic:blipFill>
                          <a:blip r:embed="rId216"/>
                          <a:stretch>
                            <a:fillRect/>
                          </a:stretch>
                        </pic:blipFill>
                        <pic:spPr>
                          <a:xfrm>
                            <a:off x="0" y="0"/>
                            <a:ext cx="626745" cy="495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电冰箱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双开门；规格约：495*510*1620mm；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商品具有中国强制性产品认证（CCC）编号，符合国家CCC认证标准。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270510</wp:posOffset>
                  </wp:positionV>
                  <wp:extent cx="808990" cy="676275"/>
                  <wp:effectExtent l="0" t="0" r="10160" b="9525"/>
                  <wp:wrapNone/>
                  <wp:docPr id="258" name="图片_56_SpCnt_1"/>
                  <wp:cNvGraphicFramePr/>
                  <a:graphic xmlns:a="http://schemas.openxmlformats.org/drawingml/2006/main">
                    <a:graphicData uri="http://schemas.openxmlformats.org/drawingml/2006/picture">
                      <pic:pic xmlns:pic="http://schemas.openxmlformats.org/drawingml/2006/picture">
                        <pic:nvPicPr>
                          <pic:cNvPr id="258" name="图片_56_SpCnt_1"/>
                          <pic:cNvPicPr/>
                        </pic:nvPicPr>
                        <pic:blipFill>
                          <a:blip r:embed="rId217"/>
                          <a:stretch>
                            <a:fillRect/>
                          </a:stretch>
                        </pic:blipFill>
                        <pic:spPr>
                          <a:xfrm>
                            <a:off x="0" y="0"/>
                            <a:ext cx="808990" cy="67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8"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削皮刀</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尺寸约：12.5cm*7.8cm（总长*宽）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说明：此款削皮刀的刀片不会像金属刀片那样锋利，不会轻轻一碰就划伤，避免对孩子造成伤害最好的方式就是给予孩子正确的示范，并在成人监督下完成工作。我们在为孩子示范如何给黄瓜削皮的时候，我们左手食指中指与拇指相对的方式抓握住黄瓜顶端的左右两边，削皮的时候则是把上面没有用手握住的地方开始将皮削下来，顶端的皮没有削干净也没关系，我们可以引导孩子换一头抓握，继续削皮，这样就可以避免因为削皮刀的刀片太靠近手指而误伤。</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把</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1054100</wp:posOffset>
                  </wp:positionV>
                  <wp:extent cx="622935" cy="745490"/>
                  <wp:effectExtent l="0" t="0" r="5715" b="16510"/>
                  <wp:wrapNone/>
                  <wp:docPr id="260" name="Picture_128_SpCnt_1"/>
                  <wp:cNvGraphicFramePr/>
                  <a:graphic xmlns:a="http://schemas.openxmlformats.org/drawingml/2006/main">
                    <a:graphicData uri="http://schemas.openxmlformats.org/drawingml/2006/picture">
                      <pic:pic xmlns:pic="http://schemas.openxmlformats.org/drawingml/2006/picture">
                        <pic:nvPicPr>
                          <pic:cNvPr id="260" name="Picture_128_SpCnt_1"/>
                          <pic:cNvPicPr/>
                        </pic:nvPicPr>
                        <pic:blipFill>
                          <a:blip r:embed="rId218"/>
                          <a:stretch>
                            <a:fillRect/>
                          </a:stretch>
                        </pic:blipFill>
                        <pic:spPr>
                          <a:xfrm>
                            <a:off x="0" y="0"/>
                            <a:ext cx="622935" cy="74549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548640</wp:posOffset>
                  </wp:positionV>
                  <wp:extent cx="622935" cy="1270"/>
                  <wp:effectExtent l="0" t="0" r="0" b="0"/>
                  <wp:wrapNone/>
                  <wp:docPr id="259" name="Picture_128"/>
                  <wp:cNvGraphicFramePr/>
                  <a:graphic xmlns:a="http://schemas.openxmlformats.org/drawingml/2006/main">
                    <a:graphicData uri="http://schemas.openxmlformats.org/drawingml/2006/picture">
                      <pic:pic xmlns:pic="http://schemas.openxmlformats.org/drawingml/2006/picture">
                        <pic:nvPicPr>
                          <pic:cNvPr id="259" name="Picture_128"/>
                          <pic:cNvPicPr/>
                        </pic:nvPicPr>
                        <pic:blipFill>
                          <a:blip r:embed="rId219"/>
                          <a:stretch>
                            <a:fillRect/>
                          </a:stretch>
                        </pic:blipFill>
                        <pic:spPr>
                          <a:xfrm>
                            <a:off x="0" y="0"/>
                            <a:ext cx="622935" cy="1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迷你儿童食品夹</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规格约：约9cm（总长）；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材质：不锈钢。</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418465</wp:posOffset>
                  </wp:positionV>
                  <wp:extent cx="785495" cy="490220"/>
                  <wp:effectExtent l="0" t="0" r="14605" b="5080"/>
                  <wp:wrapNone/>
                  <wp:docPr id="261" name="Picture_14"/>
                  <wp:cNvGraphicFramePr/>
                  <a:graphic xmlns:a="http://schemas.openxmlformats.org/drawingml/2006/main">
                    <a:graphicData uri="http://schemas.openxmlformats.org/drawingml/2006/picture">
                      <pic:pic xmlns:pic="http://schemas.openxmlformats.org/drawingml/2006/picture">
                        <pic:nvPicPr>
                          <pic:cNvPr id="261" name="Picture_14"/>
                          <pic:cNvPicPr/>
                        </pic:nvPicPr>
                        <pic:blipFill>
                          <a:blip r:embed="rId220"/>
                          <a:stretch>
                            <a:fillRect/>
                          </a:stretch>
                        </pic:blipFill>
                        <pic:spPr>
                          <a:xfrm>
                            <a:off x="0" y="0"/>
                            <a:ext cx="785495" cy="4902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迷你打蛋器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规格约：16.5cm总长；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材质：不锈钢。</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421005</wp:posOffset>
                  </wp:positionV>
                  <wp:extent cx="653415" cy="455295"/>
                  <wp:effectExtent l="0" t="0" r="13335" b="1905"/>
                  <wp:wrapNone/>
                  <wp:docPr id="262" name="Picture_44"/>
                  <wp:cNvGraphicFramePr/>
                  <a:graphic xmlns:a="http://schemas.openxmlformats.org/drawingml/2006/main">
                    <a:graphicData uri="http://schemas.openxmlformats.org/drawingml/2006/picture">
                      <pic:pic xmlns:pic="http://schemas.openxmlformats.org/drawingml/2006/picture">
                        <pic:nvPicPr>
                          <pic:cNvPr id="262" name="Picture_44"/>
                          <pic:cNvPicPr/>
                        </pic:nvPicPr>
                        <pic:blipFill>
                          <a:blip r:embed="rId221"/>
                          <a:stretch>
                            <a:fillRect/>
                          </a:stretch>
                        </pic:blipFill>
                        <pic:spPr>
                          <a:xfrm>
                            <a:off x="0" y="0"/>
                            <a:ext cx="653415" cy="4552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小号面团切刀</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尺寸约：10.3cm*7.2cm；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材质：环保PP</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326390</wp:posOffset>
                  </wp:positionV>
                  <wp:extent cx="706120" cy="574040"/>
                  <wp:effectExtent l="0" t="0" r="17780" b="16510"/>
                  <wp:wrapNone/>
                  <wp:docPr id="263" name="Picture_339"/>
                  <wp:cNvGraphicFramePr/>
                  <a:graphic xmlns:a="http://schemas.openxmlformats.org/drawingml/2006/main">
                    <a:graphicData uri="http://schemas.openxmlformats.org/drawingml/2006/picture">
                      <pic:pic xmlns:pic="http://schemas.openxmlformats.org/drawingml/2006/picture">
                        <pic:nvPicPr>
                          <pic:cNvPr id="263" name="Picture_339"/>
                          <pic:cNvPicPr/>
                        </pic:nvPicPr>
                        <pic:blipFill>
                          <a:blip r:embed="rId222"/>
                          <a:stretch>
                            <a:fillRect/>
                          </a:stretch>
                        </pic:blipFill>
                        <pic:spPr>
                          <a:xfrm>
                            <a:off x="0" y="0"/>
                            <a:ext cx="706120" cy="574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长桌</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规格≥：1700*500cm；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材质：橡胶木面</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322580</wp:posOffset>
                  </wp:positionV>
                  <wp:extent cx="643255" cy="608965"/>
                  <wp:effectExtent l="0" t="0" r="4445" b="635"/>
                  <wp:wrapNone/>
                  <wp:docPr id="264" name="Picture_66119"/>
                  <wp:cNvGraphicFramePr/>
                  <a:graphic xmlns:a="http://schemas.openxmlformats.org/drawingml/2006/main">
                    <a:graphicData uri="http://schemas.openxmlformats.org/drawingml/2006/picture">
                      <pic:pic xmlns:pic="http://schemas.openxmlformats.org/drawingml/2006/picture">
                        <pic:nvPicPr>
                          <pic:cNvPr id="264" name="Picture_66119"/>
                          <pic:cNvPicPr/>
                        </pic:nvPicPr>
                        <pic:blipFill>
                          <a:blip r:embed="rId223"/>
                          <a:stretch>
                            <a:fillRect/>
                          </a:stretch>
                        </pic:blipFill>
                        <pic:spPr>
                          <a:xfrm>
                            <a:off x="0" y="0"/>
                            <a:ext cx="643255" cy="6089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操作桌</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桌子材质：桌面采用优质橡胶木，脚架和边框采用优质樟子松实木。规格：120*60*20（桌面边厚3.0cm），桌脚立柱5.5*5.5cm；椅子：规格：坐高28*靠背55cm，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336550</wp:posOffset>
                  </wp:positionV>
                  <wp:extent cx="809625" cy="532130"/>
                  <wp:effectExtent l="0" t="0" r="9525" b="1270"/>
                  <wp:wrapNone/>
                  <wp:docPr id="265" name="图片_42_SpCnt_1"/>
                  <wp:cNvGraphicFramePr/>
                  <a:graphic xmlns:a="http://schemas.openxmlformats.org/drawingml/2006/main">
                    <a:graphicData uri="http://schemas.openxmlformats.org/drawingml/2006/picture">
                      <pic:pic xmlns:pic="http://schemas.openxmlformats.org/drawingml/2006/picture">
                        <pic:nvPicPr>
                          <pic:cNvPr id="265" name="图片_42_SpCnt_1"/>
                          <pic:cNvPicPr/>
                        </pic:nvPicPr>
                        <pic:blipFill>
                          <a:blip r:embed="rId224"/>
                          <a:stretch>
                            <a:fillRect/>
                          </a:stretch>
                        </pic:blipFill>
                        <pic:spPr>
                          <a:xfrm>
                            <a:off x="0" y="0"/>
                            <a:ext cx="809625"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8" w:hRule="atLeast"/>
        </w:trPr>
        <w:tc>
          <w:tcPr>
            <w:tcW w:w="5000" w:type="pct"/>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户外玩具清单（蜚山）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双人脚踏车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材料：采用国际热镀锌管，进口LLDPE塑料注塑成型，安全、无毒。</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规格约：115*55*65cm。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辆</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335280</wp:posOffset>
                  </wp:positionV>
                  <wp:extent cx="704215" cy="546100"/>
                  <wp:effectExtent l="0" t="0" r="635" b="6350"/>
                  <wp:wrapNone/>
                  <wp:docPr id="266" name="Picture_2326"/>
                  <wp:cNvGraphicFramePr/>
                  <a:graphic xmlns:a="http://schemas.openxmlformats.org/drawingml/2006/main">
                    <a:graphicData uri="http://schemas.openxmlformats.org/drawingml/2006/picture">
                      <pic:pic xmlns:pic="http://schemas.openxmlformats.org/drawingml/2006/picture">
                        <pic:nvPicPr>
                          <pic:cNvPr id="266" name="Picture_2326"/>
                          <pic:cNvPicPr/>
                        </pic:nvPicPr>
                        <pic:blipFill>
                          <a:blip r:embed="rId225"/>
                          <a:stretch>
                            <a:fillRect/>
                          </a:stretch>
                        </pic:blipFill>
                        <pic:spPr>
                          <a:xfrm>
                            <a:off x="0" y="0"/>
                            <a:ext cx="704215" cy="546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整体拖车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材料：采用国际热镀锌管，进口LLDPE塑料注塑成型，安全、无毒。</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规格约：167.5*69*70cm。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辆</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346710</wp:posOffset>
                  </wp:positionV>
                  <wp:extent cx="679450" cy="572135"/>
                  <wp:effectExtent l="0" t="0" r="6350" b="18415"/>
                  <wp:wrapNone/>
                  <wp:docPr id="267" name="Picture_2327"/>
                  <wp:cNvGraphicFramePr/>
                  <a:graphic xmlns:a="http://schemas.openxmlformats.org/drawingml/2006/main">
                    <a:graphicData uri="http://schemas.openxmlformats.org/drawingml/2006/picture">
                      <pic:pic xmlns:pic="http://schemas.openxmlformats.org/drawingml/2006/picture">
                        <pic:nvPicPr>
                          <pic:cNvPr id="267" name="Picture_2327"/>
                          <pic:cNvPicPr/>
                        </pic:nvPicPr>
                        <pic:blipFill>
                          <a:blip r:embed="rId226"/>
                          <a:stretch>
                            <a:fillRect/>
                          </a:stretch>
                        </pic:blipFill>
                        <pic:spPr>
                          <a:xfrm>
                            <a:off x="0" y="0"/>
                            <a:ext cx="679450" cy="572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扁三轮车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材料：采用国际热镀锌管；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规格约：87*87*60cm，铁制烤漆。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辆</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327025</wp:posOffset>
                  </wp:positionV>
                  <wp:extent cx="622300" cy="520700"/>
                  <wp:effectExtent l="0" t="0" r="6350" b="12700"/>
                  <wp:wrapNone/>
                  <wp:docPr id="268" name="Picture_3"/>
                  <wp:cNvGraphicFramePr/>
                  <a:graphic xmlns:a="http://schemas.openxmlformats.org/drawingml/2006/main">
                    <a:graphicData uri="http://schemas.openxmlformats.org/drawingml/2006/picture">
                      <pic:pic xmlns:pic="http://schemas.openxmlformats.org/drawingml/2006/picture">
                        <pic:nvPicPr>
                          <pic:cNvPr id="268" name="Picture_3"/>
                          <pic:cNvPicPr/>
                        </pic:nvPicPr>
                        <pic:blipFill>
                          <a:blip r:embed="rId227"/>
                          <a:stretch>
                            <a:fillRect/>
                          </a:stretch>
                        </pic:blipFill>
                        <pic:spPr>
                          <a:xfrm>
                            <a:off x="0" y="0"/>
                            <a:ext cx="622300" cy="520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幼儿兜风车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材料：采用国际热镀锌管；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规格约：108*50*65cm，铁制烤漆。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辆</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wp:posOffset>
                  </wp:positionH>
                  <wp:positionV relativeFrom="paragraph">
                    <wp:posOffset>332740</wp:posOffset>
                  </wp:positionV>
                  <wp:extent cx="784860" cy="555625"/>
                  <wp:effectExtent l="0" t="0" r="15240" b="15875"/>
                  <wp:wrapNone/>
                  <wp:docPr id="269" name="Picture_5_SpCnt_1"/>
                  <wp:cNvGraphicFramePr/>
                  <a:graphic xmlns:a="http://schemas.openxmlformats.org/drawingml/2006/main">
                    <a:graphicData uri="http://schemas.openxmlformats.org/drawingml/2006/picture">
                      <pic:pic xmlns:pic="http://schemas.openxmlformats.org/drawingml/2006/picture">
                        <pic:nvPicPr>
                          <pic:cNvPr id="269" name="Picture_5_SpCnt_1"/>
                          <pic:cNvPicPr/>
                        </pic:nvPicPr>
                        <pic:blipFill>
                          <a:blip r:embed="rId228"/>
                          <a:stretch>
                            <a:fillRect/>
                          </a:stretch>
                        </pic:blipFill>
                        <pic:spPr>
                          <a:xfrm>
                            <a:off x="0" y="0"/>
                            <a:ext cx="784860" cy="555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独轮推车</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规格约：90*34*40cm；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颜色：红色或蓝色；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358775</wp:posOffset>
                  </wp:positionV>
                  <wp:extent cx="803910" cy="669925"/>
                  <wp:effectExtent l="0" t="0" r="15240" b="15875"/>
                  <wp:wrapNone/>
                  <wp:docPr id="270" name="Picture_72493"/>
                  <wp:cNvGraphicFramePr/>
                  <a:graphic xmlns:a="http://schemas.openxmlformats.org/drawingml/2006/main">
                    <a:graphicData uri="http://schemas.openxmlformats.org/drawingml/2006/picture">
                      <pic:pic xmlns:pic="http://schemas.openxmlformats.org/drawingml/2006/picture">
                        <pic:nvPicPr>
                          <pic:cNvPr id="270" name="Picture_72493"/>
                          <pic:cNvPicPr/>
                        </pic:nvPicPr>
                        <pic:blipFill>
                          <a:blip r:embed="rId229"/>
                          <a:stretch>
                            <a:fillRect/>
                          </a:stretch>
                        </pic:blipFill>
                        <pic:spPr>
                          <a:xfrm>
                            <a:off x="0" y="0"/>
                            <a:ext cx="803910" cy="669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箱子1</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材质：实木生态板；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规格约：600×600mm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箱</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277495</wp:posOffset>
                  </wp:positionV>
                  <wp:extent cx="807720" cy="752475"/>
                  <wp:effectExtent l="0" t="0" r="11430" b="9525"/>
                  <wp:wrapNone/>
                  <wp:docPr id="271" name="图片_64"/>
                  <wp:cNvGraphicFramePr/>
                  <a:graphic xmlns:a="http://schemas.openxmlformats.org/drawingml/2006/main">
                    <a:graphicData uri="http://schemas.openxmlformats.org/drawingml/2006/picture">
                      <pic:pic xmlns:pic="http://schemas.openxmlformats.org/drawingml/2006/picture">
                        <pic:nvPicPr>
                          <pic:cNvPr id="271" name="图片_64"/>
                          <pic:cNvPicPr/>
                        </pic:nvPicPr>
                        <pic:blipFill>
                          <a:blip r:embed="rId230"/>
                          <a:stretch>
                            <a:fillRect/>
                          </a:stretch>
                        </pic:blipFill>
                        <pic:spPr>
                          <a:xfrm>
                            <a:off x="0" y="0"/>
                            <a:ext cx="807720" cy="752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箱子2</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材质：实木生态板；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规格约：800×800mm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箱</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208915</wp:posOffset>
                  </wp:positionV>
                  <wp:extent cx="807720" cy="773430"/>
                  <wp:effectExtent l="0" t="0" r="11430" b="7620"/>
                  <wp:wrapNone/>
                  <wp:docPr id="272" name="图片_63_SpCnt_1"/>
                  <wp:cNvGraphicFramePr/>
                  <a:graphic xmlns:a="http://schemas.openxmlformats.org/drawingml/2006/main">
                    <a:graphicData uri="http://schemas.openxmlformats.org/drawingml/2006/picture">
                      <pic:pic xmlns:pic="http://schemas.openxmlformats.org/drawingml/2006/picture">
                        <pic:nvPicPr>
                          <pic:cNvPr id="272" name="图片_63_SpCnt_1"/>
                          <pic:cNvPicPr/>
                        </pic:nvPicPr>
                        <pic:blipFill>
                          <a:blip r:embed="rId231"/>
                          <a:stretch>
                            <a:fillRect/>
                          </a:stretch>
                        </pic:blipFill>
                        <pic:spPr>
                          <a:xfrm>
                            <a:off x="0" y="0"/>
                            <a:ext cx="807720" cy="7734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箱子3</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材质：实木生态板；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规格约：1000×1000mm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箱</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278765</wp:posOffset>
                  </wp:positionV>
                  <wp:extent cx="857250" cy="696595"/>
                  <wp:effectExtent l="0" t="0" r="0" b="8255"/>
                  <wp:wrapNone/>
                  <wp:docPr id="273" name="图片_65_SpCnt_2"/>
                  <wp:cNvGraphicFramePr/>
                  <a:graphic xmlns:a="http://schemas.openxmlformats.org/drawingml/2006/main">
                    <a:graphicData uri="http://schemas.openxmlformats.org/drawingml/2006/picture">
                      <pic:pic xmlns:pic="http://schemas.openxmlformats.org/drawingml/2006/picture">
                        <pic:nvPicPr>
                          <pic:cNvPr id="273" name="图片_65_SpCnt_2"/>
                          <pic:cNvPicPr/>
                        </pic:nvPicPr>
                        <pic:blipFill>
                          <a:blip r:embed="rId232"/>
                          <a:stretch>
                            <a:fillRect/>
                          </a:stretch>
                        </pic:blipFill>
                        <pic:spPr>
                          <a:xfrm>
                            <a:off x="0" y="0"/>
                            <a:ext cx="857250" cy="6965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直板A</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规格约：边长：1000*230mm    厚度约：25mm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364490</wp:posOffset>
                  </wp:positionV>
                  <wp:extent cx="709930" cy="342900"/>
                  <wp:effectExtent l="0" t="0" r="13970" b="0"/>
                  <wp:wrapNone/>
                  <wp:docPr id="274" name="image7.png"/>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233"/>
                          <a:stretch>
                            <a:fillRect/>
                          </a:stretch>
                        </pic:blipFill>
                        <pic:spPr>
                          <a:xfrm>
                            <a:off x="0" y="0"/>
                            <a:ext cx="709930"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222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直板B</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规格约：边长：1200*230mm    厚度约：25mm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392430</wp:posOffset>
                  </wp:positionV>
                  <wp:extent cx="732790" cy="342900"/>
                  <wp:effectExtent l="0" t="0" r="10160" b="0"/>
                  <wp:wrapNone/>
                  <wp:docPr id="275" name="image7.png_SpCnt_1"/>
                  <wp:cNvGraphicFramePr/>
                  <a:graphic xmlns:a="http://schemas.openxmlformats.org/drawingml/2006/main">
                    <a:graphicData uri="http://schemas.openxmlformats.org/drawingml/2006/picture">
                      <pic:pic xmlns:pic="http://schemas.openxmlformats.org/drawingml/2006/picture">
                        <pic:nvPicPr>
                          <pic:cNvPr id="275" name="image7.png_SpCnt_1"/>
                          <pic:cNvPicPr/>
                        </pic:nvPicPr>
                        <pic:blipFill>
                          <a:blip r:embed="rId234"/>
                          <a:stretch>
                            <a:fillRect/>
                          </a:stretch>
                        </pic:blipFill>
                        <pic:spPr>
                          <a:xfrm>
                            <a:off x="0" y="0"/>
                            <a:ext cx="732790"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直板C</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规格约：边长：1400*230mm    厚度约：25mm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461010</wp:posOffset>
                  </wp:positionV>
                  <wp:extent cx="817245" cy="342900"/>
                  <wp:effectExtent l="0" t="0" r="1905" b="0"/>
                  <wp:wrapNone/>
                  <wp:docPr id="276" name="image7.png_SpCnt_2"/>
                  <wp:cNvGraphicFramePr/>
                  <a:graphic xmlns:a="http://schemas.openxmlformats.org/drawingml/2006/main">
                    <a:graphicData uri="http://schemas.openxmlformats.org/drawingml/2006/picture">
                      <pic:pic xmlns:pic="http://schemas.openxmlformats.org/drawingml/2006/picture">
                        <pic:nvPicPr>
                          <pic:cNvPr id="276" name="image7.png_SpCnt_2"/>
                          <pic:cNvPicPr/>
                        </pic:nvPicPr>
                        <pic:blipFill>
                          <a:blip r:embed="rId235"/>
                          <a:stretch>
                            <a:fillRect/>
                          </a:stretch>
                        </pic:blipFill>
                        <pic:spPr>
                          <a:xfrm>
                            <a:off x="0" y="0"/>
                            <a:ext cx="81724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直板D</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规格约：边长：1980*230mm    厚度约：25mm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396875</wp:posOffset>
                  </wp:positionV>
                  <wp:extent cx="679450" cy="342900"/>
                  <wp:effectExtent l="0" t="0" r="6350" b="0"/>
                  <wp:wrapNone/>
                  <wp:docPr id="117" name="image7.png_SpCnt_3"/>
                  <wp:cNvGraphicFramePr/>
                  <a:graphic xmlns:a="http://schemas.openxmlformats.org/drawingml/2006/main">
                    <a:graphicData uri="http://schemas.openxmlformats.org/drawingml/2006/picture">
                      <pic:pic xmlns:pic="http://schemas.openxmlformats.org/drawingml/2006/picture">
                        <pic:nvPicPr>
                          <pic:cNvPr id="117" name="image7.png_SpCnt_3"/>
                          <pic:cNvPicPr/>
                        </pic:nvPicPr>
                        <pic:blipFill>
                          <a:blip r:embed="rId236"/>
                          <a:stretch>
                            <a:fillRect/>
                          </a:stretch>
                        </pic:blipFill>
                        <pic:spPr>
                          <a:xfrm>
                            <a:off x="0" y="0"/>
                            <a:ext cx="679450"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规格约：直径500×长600mm    壁厚约：12mm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425450</wp:posOffset>
                  </wp:positionV>
                  <wp:extent cx="558165" cy="243840"/>
                  <wp:effectExtent l="0" t="0" r="13335" b="3810"/>
                  <wp:wrapNone/>
                  <wp:docPr id="118" name="图片_1249"/>
                  <wp:cNvGraphicFramePr/>
                  <a:graphic xmlns:a="http://schemas.openxmlformats.org/drawingml/2006/main">
                    <a:graphicData uri="http://schemas.openxmlformats.org/drawingml/2006/picture">
                      <pic:pic xmlns:pic="http://schemas.openxmlformats.org/drawingml/2006/picture">
                        <pic:nvPicPr>
                          <pic:cNvPr id="118" name="图片_1249"/>
                          <pic:cNvPicPr/>
                        </pic:nvPicPr>
                        <pic:blipFill>
                          <a:blip r:embed="rId237"/>
                          <a:stretch>
                            <a:fillRect/>
                          </a:stretch>
                        </pic:blipFill>
                        <pic:spPr>
                          <a:xfrm>
                            <a:off x="0" y="0"/>
                            <a:ext cx="558165" cy="243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226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规格约：直径500×长900mm      壁厚约12mm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399415</wp:posOffset>
                  </wp:positionV>
                  <wp:extent cx="697865" cy="274320"/>
                  <wp:effectExtent l="0" t="0" r="6985" b="11430"/>
                  <wp:wrapNone/>
                  <wp:docPr id="119" name="图片_569"/>
                  <wp:cNvGraphicFramePr/>
                  <a:graphic xmlns:a="http://schemas.openxmlformats.org/drawingml/2006/main">
                    <a:graphicData uri="http://schemas.openxmlformats.org/drawingml/2006/picture">
                      <pic:pic xmlns:pic="http://schemas.openxmlformats.org/drawingml/2006/picture">
                        <pic:nvPicPr>
                          <pic:cNvPr id="119" name="图片_569"/>
                          <pic:cNvPicPr/>
                        </pic:nvPicPr>
                        <pic:blipFill>
                          <a:blip r:embed="rId238"/>
                          <a:stretch>
                            <a:fillRect/>
                          </a:stretch>
                        </pic:blipFill>
                        <pic:spPr>
                          <a:xfrm>
                            <a:off x="0" y="0"/>
                            <a:ext cx="697865" cy="274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滚桶Ⅱ</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材质：塑料；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规格约：直径560×长600mm      壁厚约14mm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412750</wp:posOffset>
                  </wp:positionV>
                  <wp:extent cx="528320" cy="408940"/>
                  <wp:effectExtent l="0" t="0" r="5080" b="10160"/>
                  <wp:wrapNone/>
                  <wp:docPr id="120" name="图片_71"/>
                  <wp:cNvGraphicFramePr/>
                  <a:graphic xmlns:a="http://schemas.openxmlformats.org/drawingml/2006/main">
                    <a:graphicData uri="http://schemas.openxmlformats.org/drawingml/2006/picture">
                      <pic:pic xmlns:pic="http://schemas.openxmlformats.org/drawingml/2006/picture">
                        <pic:nvPicPr>
                          <pic:cNvPr id="120" name="图片_71"/>
                          <pic:cNvPicPr/>
                        </pic:nvPicPr>
                        <pic:blipFill>
                          <a:blip r:embed="rId239"/>
                          <a:stretch>
                            <a:fillRect/>
                          </a:stretch>
                        </pic:blipFill>
                        <pic:spPr>
                          <a:xfrm>
                            <a:off x="0" y="0"/>
                            <a:ext cx="528320" cy="408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滚桶Ⅲ</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规格约：直径560×长900mm      壁厚约14mm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391160</wp:posOffset>
                  </wp:positionV>
                  <wp:extent cx="697865" cy="398145"/>
                  <wp:effectExtent l="0" t="0" r="6985" b="1905"/>
                  <wp:wrapNone/>
                  <wp:docPr id="121" name="图片_573"/>
                  <wp:cNvGraphicFramePr/>
                  <a:graphic xmlns:a="http://schemas.openxmlformats.org/drawingml/2006/main">
                    <a:graphicData uri="http://schemas.openxmlformats.org/drawingml/2006/picture">
                      <pic:pic xmlns:pic="http://schemas.openxmlformats.org/drawingml/2006/picture">
                        <pic:nvPicPr>
                          <pic:cNvPr id="121" name="图片_573"/>
                          <pic:cNvPicPr/>
                        </pic:nvPicPr>
                        <pic:blipFill>
                          <a:blip r:embed="rId240"/>
                          <a:stretch>
                            <a:fillRect/>
                          </a:stretch>
                        </pic:blipFill>
                        <pic:spPr>
                          <a:xfrm>
                            <a:off x="0" y="0"/>
                            <a:ext cx="697865" cy="398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滚桶Ⅴ</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规格约：直径630×长600mm      壁厚约14mm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413385</wp:posOffset>
                  </wp:positionV>
                  <wp:extent cx="616585" cy="430530"/>
                  <wp:effectExtent l="0" t="0" r="12065" b="7620"/>
                  <wp:wrapNone/>
                  <wp:docPr id="122" name="图片_570"/>
                  <wp:cNvGraphicFramePr/>
                  <a:graphic xmlns:a="http://schemas.openxmlformats.org/drawingml/2006/main">
                    <a:graphicData uri="http://schemas.openxmlformats.org/drawingml/2006/picture">
                      <pic:pic xmlns:pic="http://schemas.openxmlformats.org/drawingml/2006/picture">
                        <pic:nvPicPr>
                          <pic:cNvPr id="122" name="图片_570"/>
                          <pic:cNvPicPr/>
                        </pic:nvPicPr>
                        <pic:blipFill>
                          <a:blip r:embed="rId241"/>
                          <a:stretch>
                            <a:fillRect/>
                          </a:stretch>
                        </pic:blipFill>
                        <pic:spPr>
                          <a:xfrm>
                            <a:off x="0" y="0"/>
                            <a:ext cx="616585" cy="430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滚桶Ⅵ</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规格约：直径630×长900mm      壁厚约14mm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478155</wp:posOffset>
                  </wp:positionV>
                  <wp:extent cx="782955" cy="427990"/>
                  <wp:effectExtent l="0" t="0" r="17145" b="10160"/>
                  <wp:wrapNone/>
                  <wp:docPr id="123" name="图片_571"/>
                  <wp:cNvGraphicFramePr/>
                  <a:graphic xmlns:a="http://schemas.openxmlformats.org/drawingml/2006/main">
                    <a:graphicData uri="http://schemas.openxmlformats.org/drawingml/2006/picture">
                      <pic:pic xmlns:pic="http://schemas.openxmlformats.org/drawingml/2006/picture">
                        <pic:nvPicPr>
                          <pic:cNvPr id="123" name="图片_571"/>
                          <pic:cNvPicPr/>
                        </pic:nvPicPr>
                        <pic:blipFill>
                          <a:blip r:embed="rId242"/>
                          <a:stretch>
                            <a:fillRect/>
                          </a:stretch>
                        </pic:blipFill>
                        <pic:spPr>
                          <a:xfrm>
                            <a:off x="0" y="0"/>
                            <a:ext cx="782955" cy="427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水车2</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长930mm;宽430mm;高380mm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425450</wp:posOffset>
                  </wp:positionV>
                  <wp:extent cx="821055" cy="521335"/>
                  <wp:effectExtent l="0" t="0" r="17145" b="12065"/>
                  <wp:wrapNone/>
                  <wp:docPr id="124" name="图片_588"/>
                  <wp:cNvGraphicFramePr/>
                  <a:graphic xmlns:a="http://schemas.openxmlformats.org/drawingml/2006/main">
                    <a:graphicData uri="http://schemas.openxmlformats.org/drawingml/2006/picture">
                      <pic:pic xmlns:pic="http://schemas.openxmlformats.org/drawingml/2006/picture">
                        <pic:nvPicPr>
                          <pic:cNvPr id="124" name="图片_588"/>
                          <pic:cNvPicPr/>
                        </pic:nvPicPr>
                        <pic:blipFill>
                          <a:blip r:embed="rId243"/>
                          <a:stretch>
                            <a:fillRect/>
                          </a:stretch>
                        </pic:blipFill>
                        <pic:spPr>
                          <a:xfrm>
                            <a:off x="0" y="0"/>
                            <a:ext cx="821055" cy="521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水车3</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长630mm;宽430mm;高320mm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403225</wp:posOffset>
                  </wp:positionV>
                  <wp:extent cx="814070" cy="528955"/>
                  <wp:effectExtent l="0" t="0" r="5080" b="4445"/>
                  <wp:wrapNone/>
                  <wp:docPr id="125" name="图片_589"/>
                  <wp:cNvGraphicFramePr/>
                  <a:graphic xmlns:a="http://schemas.openxmlformats.org/drawingml/2006/main">
                    <a:graphicData uri="http://schemas.openxmlformats.org/drawingml/2006/picture">
                      <pic:pic xmlns:pic="http://schemas.openxmlformats.org/drawingml/2006/picture">
                        <pic:nvPicPr>
                          <pic:cNvPr id="125" name="图片_589"/>
                          <pic:cNvPicPr/>
                        </pic:nvPicPr>
                        <pic:blipFill>
                          <a:blip r:embed="rId244"/>
                          <a:stretch>
                            <a:fillRect/>
                          </a:stretch>
                        </pic:blipFill>
                        <pic:spPr>
                          <a:xfrm>
                            <a:off x="0" y="0"/>
                            <a:ext cx="814070" cy="528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立板1</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厚：15 宽1：200 宽2：280 高：366</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213360</wp:posOffset>
                  </wp:positionV>
                  <wp:extent cx="685800" cy="782955"/>
                  <wp:effectExtent l="0" t="0" r="0" b="0"/>
                  <wp:wrapNone/>
                  <wp:docPr id="126" name="图片_580"/>
                  <wp:cNvGraphicFramePr/>
                  <a:graphic xmlns:a="http://schemas.openxmlformats.org/drawingml/2006/main">
                    <a:graphicData uri="http://schemas.openxmlformats.org/drawingml/2006/picture">
                      <pic:pic xmlns:pic="http://schemas.openxmlformats.org/drawingml/2006/picture">
                        <pic:nvPicPr>
                          <pic:cNvPr id="126" name="图片_580"/>
                          <pic:cNvPicPr/>
                        </pic:nvPicPr>
                        <pic:blipFill>
                          <a:blip r:embed="rId245"/>
                          <a:stretch>
                            <a:fillRect/>
                          </a:stretch>
                        </pic:blipFill>
                        <pic:spPr>
                          <a:xfrm>
                            <a:off x="0" y="0"/>
                            <a:ext cx="685800" cy="782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立板2</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厚：15  宽1：200 宽2：280  高：528</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285115</wp:posOffset>
                  </wp:positionV>
                  <wp:extent cx="607695" cy="635635"/>
                  <wp:effectExtent l="0" t="0" r="0" b="0"/>
                  <wp:wrapNone/>
                  <wp:docPr id="127" name="图片_581_SpCnt_1"/>
                  <wp:cNvGraphicFramePr/>
                  <a:graphic xmlns:a="http://schemas.openxmlformats.org/drawingml/2006/main">
                    <a:graphicData uri="http://schemas.openxmlformats.org/drawingml/2006/picture">
                      <pic:pic xmlns:pic="http://schemas.openxmlformats.org/drawingml/2006/picture">
                        <pic:nvPicPr>
                          <pic:cNvPr id="127" name="图片_581_SpCnt_1"/>
                          <pic:cNvPicPr/>
                        </pic:nvPicPr>
                        <pic:blipFill>
                          <a:blip r:embed="rId246"/>
                          <a:stretch>
                            <a:fillRect/>
                          </a:stretch>
                        </pic:blipFill>
                        <pic:spPr>
                          <a:xfrm>
                            <a:off x="0" y="0"/>
                            <a:ext cx="607695" cy="635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立板3</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厚：15   宽1：200 宽2：280  高：680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269240</wp:posOffset>
                  </wp:positionV>
                  <wp:extent cx="596900" cy="598805"/>
                  <wp:effectExtent l="0" t="0" r="0" b="11430"/>
                  <wp:wrapNone/>
                  <wp:docPr id="128" name="图片_582"/>
                  <wp:cNvGraphicFramePr/>
                  <a:graphic xmlns:a="http://schemas.openxmlformats.org/drawingml/2006/main">
                    <a:graphicData uri="http://schemas.openxmlformats.org/drawingml/2006/picture">
                      <pic:pic xmlns:pic="http://schemas.openxmlformats.org/drawingml/2006/picture">
                        <pic:nvPicPr>
                          <pic:cNvPr id="128" name="图片_582"/>
                          <pic:cNvPicPr/>
                        </pic:nvPicPr>
                        <pic:blipFill>
                          <a:blip r:embed="rId247"/>
                          <a:stretch>
                            <a:fillRect/>
                          </a:stretch>
                        </pic:blipFill>
                        <pic:spPr>
                          <a:xfrm>
                            <a:off x="0" y="0"/>
                            <a:ext cx="596900" cy="598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立板4</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厚：15   宽1：200 宽2：280  高：831</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208280</wp:posOffset>
                  </wp:positionV>
                  <wp:extent cx="668020" cy="723900"/>
                  <wp:effectExtent l="0" t="0" r="0" b="0"/>
                  <wp:wrapNone/>
                  <wp:docPr id="129" name="图片_583"/>
                  <wp:cNvGraphicFramePr/>
                  <a:graphic xmlns:a="http://schemas.openxmlformats.org/drawingml/2006/main">
                    <a:graphicData uri="http://schemas.openxmlformats.org/drawingml/2006/picture">
                      <pic:pic xmlns:pic="http://schemas.openxmlformats.org/drawingml/2006/picture">
                        <pic:nvPicPr>
                          <pic:cNvPr id="129" name="图片_583"/>
                          <pic:cNvPicPr/>
                        </pic:nvPicPr>
                        <pic:blipFill>
                          <a:blip r:embed="rId248"/>
                          <a:stretch>
                            <a:fillRect/>
                          </a:stretch>
                        </pic:blipFill>
                        <pic:spPr>
                          <a:xfrm>
                            <a:off x="0" y="0"/>
                            <a:ext cx="668020"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鱼板</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厚：15  长：394  高：150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180340</wp:posOffset>
                  </wp:positionV>
                  <wp:extent cx="702310" cy="833755"/>
                  <wp:effectExtent l="0" t="0" r="0" b="0"/>
                  <wp:wrapNone/>
                  <wp:docPr id="130" name="图片_585"/>
                  <wp:cNvGraphicFramePr/>
                  <a:graphic xmlns:a="http://schemas.openxmlformats.org/drawingml/2006/main">
                    <a:graphicData uri="http://schemas.openxmlformats.org/drawingml/2006/picture">
                      <pic:pic xmlns:pic="http://schemas.openxmlformats.org/drawingml/2006/picture">
                        <pic:nvPicPr>
                          <pic:cNvPr id="130" name="图片_585"/>
                          <pic:cNvPicPr/>
                        </pic:nvPicPr>
                        <pic:blipFill>
                          <a:blip r:embed="rId249"/>
                          <a:stretch>
                            <a:fillRect/>
                          </a:stretch>
                        </pic:blipFill>
                        <pic:spPr>
                          <a:xfrm>
                            <a:off x="0" y="0"/>
                            <a:ext cx="702310" cy="8337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挡水板</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厚：15  长：500  宽：405</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247650</wp:posOffset>
                  </wp:positionV>
                  <wp:extent cx="688340" cy="786765"/>
                  <wp:effectExtent l="0" t="0" r="0" b="0"/>
                  <wp:wrapNone/>
                  <wp:docPr id="131" name="图片_584"/>
                  <wp:cNvGraphicFramePr/>
                  <a:graphic xmlns:a="http://schemas.openxmlformats.org/drawingml/2006/main">
                    <a:graphicData uri="http://schemas.openxmlformats.org/drawingml/2006/picture">
                      <pic:pic xmlns:pic="http://schemas.openxmlformats.org/drawingml/2006/picture">
                        <pic:nvPicPr>
                          <pic:cNvPr id="131" name="图片_584"/>
                          <pic:cNvPicPr/>
                        </pic:nvPicPr>
                        <pic:blipFill>
                          <a:blip r:embed="rId250"/>
                          <a:stretch>
                            <a:fillRect/>
                          </a:stretch>
                        </pic:blipFill>
                        <pic:spPr>
                          <a:xfrm>
                            <a:off x="0" y="0"/>
                            <a:ext cx="688340" cy="786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水泵1</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dn48</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416560</wp:posOffset>
                  </wp:positionV>
                  <wp:extent cx="532130" cy="508635"/>
                  <wp:effectExtent l="0" t="0" r="1270" b="5715"/>
                  <wp:wrapNone/>
                  <wp:docPr id="132" name="图片_586"/>
                  <wp:cNvGraphicFramePr/>
                  <a:graphic xmlns:a="http://schemas.openxmlformats.org/drawingml/2006/main">
                    <a:graphicData uri="http://schemas.openxmlformats.org/drawingml/2006/picture">
                      <pic:pic xmlns:pic="http://schemas.openxmlformats.org/drawingml/2006/picture">
                        <pic:nvPicPr>
                          <pic:cNvPr id="132" name="图片_586"/>
                          <pic:cNvPicPr/>
                        </pic:nvPicPr>
                        <pic:blipFill>
                          <a:blip r:embed="rId251"/>
                          <a:stretch>
                            <a:fillRect/>
                          </a:stretch>
                        </pic:blipFill>
                        <pic:spPr>
                          <a:xfrm>
                            <a:off x="0" y="0"/>
                            <a:ext cx="532130" cy="508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剖面管1</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长：1000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466725</wp:posOffset>
                  </wp:positionV>
                  <wp:extent cx="779780" cy="248285"/>
                  <wp:effectExtent l="0" t="0" r="1270" b="18415"/>
                  <wp:wrapNone/>
                  <wp:docPr id="133" name="图片_595"/>
                  <wp:cNvGraphicFramePr/>
                  <a:graphic xmlns:a="http://schemas.openxmlformats.org/drawingml/2006/main">
                    <a:graphicData uri="http://schemas.openxmlformats.org/drawingml/2006/picture">
                      <pic:pic xmlns:pic="http://schemas.openxmlformats.org/drawingml/2006/picture">
                        <pic:nvPicPr>
                          <pic:cNvPr id="133" name="图片_595"/>
                          <pic:cNvPicPr/>
                        </pic:nvPicPr>
                        <pic:blipFill>
                          <a:blip r:embed="rId252"/>
                          <a:stretch>
                            <a:fillRect/>
                          </a:stretch>
                        </pic:blipFill>
                        <pic:spPr>
                          <a:xfrm>
                            <a:off x="0" y="0"/>
                            <a:ext cx="779780" cy="248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剖面管2</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长：1500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497205</wp:posOffset>
                  </wp:positionV>
                  <wp:extent cx="838835" cy="245110"/>
                  <wp:effectExtent l="0" t="0" r="18415" b="2540"/>
                  <wp:wrapNone/>
                  <wp:docPr id="134" name="图片_596"/>
                  <wp:cNvGraphicFramePr/>
                  <a:graphic xmlns:a="http://schemas.openxmlformats.org/drawingml/2006/main">
                    <a:graphicData uri="http://schemas.openxmlformats.org/drawingml/2006/picture">
                      <pic:pic xmlns:pic="http://schemas.openxmlformats.org/drawingml/2006/picture">
                        <pic:nvPicPr>
                          <pic:cNvPr id="134" name="图片_596"/>
                          <pic:cNvPicPr/>
                        </pic:nvPicPr>
                        <pic:blipFill>
                          <a:blip r:embed="rId253"/>
                          <a:stretch>
                            <a:fillRect/>
                          </a:stretch>
                        </pic:blipFill>
                        <pic:spPr>
                          <a:xfrm>
                            <a:off x="0" y="0"/>
                            <a:ext cx="838835" cy="245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剖面管3</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长：2000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579120</wp:posOffset>
                  </wp:positionV>
                  <wp:extent cx="850265" cy="266700"/>
                  <wp:effectExtent l="0" t="0" r="6985" b="0"/>
                  <wp:wrapNone/>
                  <wp:docPr id="135" name="图片_597"/>
                  <wp:cNvGraphicFramePr/>
                  <a:graphic xmlns:a="http://schemas.openxmlformats.org/drawingml/2006/main">
                    <a:graphicData uri="http://schemas.openxmlformats.org/drawingml/2006/picture">
                      <pic:pic xmlns:pic="http://schemas.openxmlformats.org/drawingml/2006/picture">
                        <pic:nvPicPr>
                          <pic:cNvPr id="135" name="图片_597"/>
                          <pic:cNvPicPr/>
                        </pic:nvPicPr>
                        <pic:blipFill>
                          <a:blip r:embed="rId254"/>
                          <a:stretch>
                            <a:fillRect/>
                          </a:stretch>
                        </pic:blipFill>
                        <pic:spPr>
                          <a:xfrm>
                            <a:off x="0" y="0"/>
                            <a:ext cx="850265" cy="266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管道1</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长：1000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534035</wp:posOffset>
                  </wp:positionV>
                  <wp:extent cx="846455" cy="200660"/>
                  <wp:effectExtent l="0" t="0" r="10795" b="8890"/>
                  <wp:wrapNone/>
                  <wp:docPr id="136" name="图片_598"/>
                  <wp:cNvGraphicFramePr/>
                  <a:graphic xmlns:a="http://schemas.openxmlformats.org/drawingml/2006/main">
                    <a:graphicData uri="http://schemas.openxmlformats.org/drawingml/2006/picture">
                      <pic:pic xmlns:pic="http://schemas.openxmlformats.org/drawingml/2006/picture">
                        <pic:nvPicPr>
                          <pic:cNvPr id="136" name="图片_598"/>
                          <pic:cNvPicPr/>
                        </pic:nvPicPr>
                        <pic:blipFill>
                          <a:blip r:embed="rId255"/>
                          <a:stretch>
                            <a:fillRect/>
                          </a:stretch>
                        </pic:blipFill>
                        <pic:spPr>
                          <a:xfrm>
                            <a:off x="0" y="0"/>
                            <a:ext cx="846455" cy="200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管道2</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长：1500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552450</wp:posOffset>
                  </wp:positionV>
                  <wp:extent cx="799465" cy="219710"/>
                  <wp:effectExtent l="0" t="0" r="635" b="8890"/>
                  <wp:wrapNone/>
                  <wp:docPr id="277" name="图片_601"/>
                  <wp:cNvGraphicFramePr/>
                  <a:graphic xmlns:a="http://schemas.openxmlformats.org/drawingml/2006/main">
                    <a:graphicData uri="http://schemas.openxmlformats.org/drawingml/2006/picture">
                      <pic:pic xmlns:pic="http://schemas.openxmlformats.org/drawingml/2006/picture">
                        <pic:nvPicPr>
                          <pic:cNvPr id="277" name="图片_601"/>
                          <pic:cNvPicPr/>
                        </pic:nvPicPr>
                        <pic:blipFill>
                          <a:blip r:embed="rId256"/>
                          <a:stretch>
                            <a:fillRect/>
                          </a:stretch>
                        </pic:blipFill>
                        <pic:spPr>
                          <a:xfrm>
                            <a:off x="0" y="0"/>
                            <a:ext cx="799465" cy="2197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水龙头连接器</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4分</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357505</wp:posOffset>
                  </wp:positionV>
                  <wp:extent cx="455295" cy="457200"/>
                  <wp:effectExtent l="0" t="0" r="1905" b="0"/>
                  <wp:wrapNone/>
                  <wp:docPr id="278" name="图片_590"/>
                  <wp:cNvGraphicFramePr/>
                  <a:graphic xmlns:a="http://schemas.openxmlformats.org/drawingml/2006/main">
                    <a:graphicData uri="http://schemas.openxmlformats.org/drawingml/2006/picture">
                      <pic:pic xmlns:pic="http://schemas.openxmlformats.org/drawingml/2006/picture">
                        <pic:nvPicPr>
                          <pic:cNvPr id="278" name="图片_590"/>
                          <pic:cNvPicPr/>
                        </pic:nvPicPr>
                        <pic:blipFill>
                          <a:blip r:embed="rId257"/>
                          <a:stretch>
                            <a:fillRect/>
                          </a:stretch>
                        </pic:blipFill>
                        <pic:spPr>
                          <a:xfrm>
                            <a:off x="0" y="0"/>
                            <a:ext cx="455295" cy="457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软管</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 250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443230</wp:posOffset>
                  </wp:positionV>
                  <wp:extent cx="817245" cy="382905"/>
                  <wp:effectExtent l="0" t="0" r="1905" b="17145"/>
                  <wp:wrapNone/>
                  <wp:docPr id="279" name="图片_592"/>
                  <wp:cNvGraphicFramePr/>
                  <a:graphic xmlns:a="http://schemas.openxmlformats.org/drawingml/2006/main">
                    <a:graphicData uri="http://schemas.openxmlformats.org/drawingml/2006/picture">
                      <pic:pic xmlns:pic="http://schemas.openxmlformats.org/drawingml/2006/picture">
                        <pic:nvPicPr>
                          <pic:cNvPr id="279" name="图片_592"/>
                          <pic:cNvPicPr/>
                        </pic:nvPicPr>
                        <pic:blipFill>
                          <a:blip r:embed="rId258"/>
                          <a:stretch>
                            <a:fillRect/>
                          </a:stretch>
                        </pic:blipFill>
                        <pic:spPr>
                          <a:xfrm>
                            <a:off x="0" y="0"/>
                            <a:ext cx="817245" cy="382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硅胶管</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4分/35000，4</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409575</wp:posOffset>
                  </wp:positionV>
                  <wp:extent cx="606425" cy="450850"/>
                  <wp:effectExtent l="0" t="0" r="3175" b="6350"/>
                  <wp:wrapNone/>
                  <wp:docPr id="280" name="图片_591"/>
                  <wp:cNvGraphicFramePr/>
                  <a:graphic xmlns:a="http://schemas.openxmlformats.org/drawingml/2006/main">
                    <a:graphicData uri="http://schemas.openxmlformats.org/drawingml/2006/picture">
                      <pic:pic xmlns:pic="http://schemas.openxmlformats.org/drawingml/2006/picture">
                        <pic:nvPicPr>
                          <pic:cNvPr id="280" name="图片_591"/>
                          <pic:cNvPicPr/>
                        </pic:nvPicPr>
                        <pic:blipFill>
                          <a:blip r:embed="rId259"/>
                          <a:stretch>
                            <a:fillRect/>
                          </a:stretch>
                        </pic:blipFill>
                        <pic:spPr>
                          <a:xfrm>
                            <a:off x="0" y="0"/>
                            <a:ext cx="606425" cy="450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双通</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100*170*170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342265</wp:posOffset>
                  </wp:positionV>
                  <wp:extent cx="659130" cy="457200"/>
                  <wp:effectExtent l="0" t="0" r="7620" b="0"/>
                  <wp:wrapNone/>
                  <wp:docPr id="281" name="图片_593"/>
                  <wp:cNvGraphicFramePr/>
                  <a:graphic xmlns:a="http://schemas.openxmlformats.org/drawingml/2006/main">
                    <a:graphicData uri="http://schemas.openxmlformats.org/drawingml/2006/picture">
                      <pic:pic xmlns:pic="http://schemas.openxmlformats.org/drawingml/2006/picture">
                        <pic:nvPicPr>
                          <pic:cNvPr id="281" name="图片_593"/>
                          <pic:cNvPicPr/>
                        </pic:nvPicPr>
                        <pic:blipFill>
                          <a:blip r:embed="rId260"/>
                          <a:stretch>
                            <a:fillRect/>
                          </a:stretch>
                        </pic:blipFill>
                        <pic:spPr>
                          <a:xfrm>
                            <a:off x="0" y="0"/>
                            <a:ext cx="659130" cy="457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三通</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100*150*200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419100</wp:posOffset>
                  </wp:positionV>
                  <wp:extent cx="857885" cy="469265"/>
                  <wp:effectExtent l="0" t="0" r="0" b="6985"/>
                  <wp:wrapNone/>
                  <wp:docPr id="282" name="图片_594"/>
                  <wp:cNvGraphicFramePr/>
                  <a:graphic xmlns:a="http://schemas.openxmlformats.org/drawingml/2006/main">
                    <a:graphicData uri="http://schemas.openxmlformats.org/drawingml/2006/picture">
                      <pic:pic xmlns:pic="http://schemas.openxmlformats.org/drawingml/2006/picture">
                        <pic:nvPicPr>
                          <pic:cNvPr id="282" name="图片_594"/>
                          <pic:cNvPicPr/>
                        </pic:nvPicPr>
                        <pic:blipFill>
                          <a:blip r:embed="rId261"/>
                          <a:stretch>
                            <a:fillRect/>
                          </a:stretch>
                        </pic:blipFill>
                        <pic:spPr>
                          <a:xfrm>
                            <a:off x="0" y="0"/>
                            <a:ext cx="857885" cy="4692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塞子</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100*100*80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379095</wp:posOffset>
                  </wp:positionV>
                  <wp:extent cx="697865" cy="464185"/>
                  <wp:effectExtent l="0" t="0" r="6985" b="12065"/>
                  <wp:wrapNone/>
                  <wp:docPr id="283" name="图片_604"/>
                  <wp:cNvGraphicFramePr/>
                  <a:graphic xmlns:a="http://schemas.openxmlformats.org/drawingml/2006/main">
                    <a:graphicData uri="http://schemas.openxmlformats.org/drawingml/2006/picture">
                      <pic:pic xmlns:pic="http://schemas.openxmlformats.org/drawingml/2006/picture">
                        <pic:nvPicPr>
                          <pic:cNvPr id="283" name="图片_604"/>
                          <pic:cNvPicPr/>
                        </pic:nvPicPr>
                        <pic:blipFill>
                          <a:blip r:embed="rId262"/>
                          <a:stretch>
                            <a:fillRect/>
                          </a:stretch>
                        </pic:blipFill>
                        <pic:spPr>
                          <a:xfrm>
                            <a:off x="0" y="0"/>
                            <a:ext cx="697865"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管帽</w:t>
            </w:r>
          </w:p>
        </w:tc>
        <w:tc>
          <w:tcPr>
            <w:tcW w:w="2262" w:type="pct"/>
            <w:shd w:val="clear" w:color="auto" w:fill="auto"/>
            <w:vAlign w:val="center"/>
          </w:tcPr>
          <w:p>
            <w:pPr>
              <w:rPr>
                <w:rFonts w:hint="eastAsia" w:ascii="宋体" w:hAnsi="宋体" w:eastAsia="宋体" w:cs="宋体"/>
                <w:i w:val="0"/>
                <w:iCs w:val="0"/>
                <w:color w:val="000000"/>
                <w:sz w:val="24"/>
                <w:szCs w:val="24"/>
                <w:highlight w:val="none"/>
                <w:u w:val="none"/>
              </w:rPr>
            </w:pP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450850</wp:posOffset>
                  </wp:positionV>
                  <wp:extent cx="821055" cy="464820"/>
                  <wp:effectExtent l="0" t="0" r="17145" b="11430"/>
                  <wp:wrapNone/>
                  <wp:docPr id="284" name="图片_605"/>
                  <wp:cNvGraphicFramePr/>
                  <a:graphic xmlns:a="http://schemas.openxmlformats.org/drawingml/2006/main">
                    <a:graphicData uri="http://schemas.openxmlformats.org/drawingml/2006/picture">
                      <pic:pic xmlns:pic="http://schemas.openxmlformats.org/drawingml/2006/picture">
                        <pic:nvPicPr>
                          <pic:cNvPr id="284" name="图片_605"/>
                          <pic:cNvPicPr/>
                        </pic:nvPicPr>
                        <pic:blipFill>
                          <a:blip r:embed="rId263"/>
                          <a:stretch>
                            <a:fillRect/>
                          </a:stretch>
                        </pic:blipFill>
                        <pic:spPr>
                          <a:xfrm>
                            <a:off x="0" y="0"/>
                            <a:ext cx="821055" cy="4648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铲子（小）</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360*88</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316230</wp:posOffset>
                  </wp:positionV>
                  <wp:extent cx="615950" cy="431800"/>
                  <wp:effectExtent l="0" t="0" r="12700" b="0"/>
                  <wp:wrapNone/>
                  <wp:docPr id="285" name="图片_574"/>
                  <wp:cNvGraphicFramePr/>
                  <a:graphic xmlns:a="http://schemas.openxmlformats.org/drawingml/2006/main">
                    <a:graphicData uri="http://schemas.openxmlformats.org/drawingml/2006/picture">
                      <pic:pic xmlns:pic="http://schemas.openxmlformats.org/drawingml/2006/picture">
                        <pic:nvPicPr>
                          <pic:cNvPr id="285" name="图片_574"/>
                          <pic:cNvPicPr/>
                        </pic:nvPicPr>
                        <pic:blipFill>
                          <a:blip r:embed="rId264"/>
                          <a:stretch>
                            <a:fillRect/>
                          </a:stretch>
                        </pic:blipFill>
                        <pic:spPr>
                          <a:xfrm>
                            <a:off x="0" y="0"/>
                            <a:ext cx="615950" cy="431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铲子（大）</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650*140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313055</wp:posOffset>
                  </wp:positionH>
                  <wp:positionV relativeFrom="paragraph">
                    <wp:posOffset>278765</wp:posOffset>
                  </wp:positionV>
                  <wp:extent cx="341630" cy="422275"/>
                  <wp:effectExtent l="0" t="0" r="1270" b="0"/>
                  <wp:wrapNone/>
                  <wp:docPr id="286" name="图片_575"/>
                  <wp:cNvGraphicFramePr/>
                  <a:graphic xmlns:a="http://schemas.openxmlformats.org/drawingml/2006/main">
                    <a:graphicData uri="http://schemas.openxmlformats.org/drawingml/2006/picture">
                      <pic:pic xmlns:pic="http://schemas.openxmlformats.org/drawingml/2006/picture">
                        <pic:nvPicPr>
                          <pic:cNvPr id="286" name="图片_575"/>
                          <pic:cNvPicPr/>
                        </pic:nvPicPr>
                        <pic:blipFill>
                          <a:blip r:embed="rId265"/>
                          <a:stretch>
                            <a:fillRect/>
                          </a:stretch>
                        </pic:blipFill>
                        <pic:spPr>
                          <a:xfrm>
                            <a:off x="0" y="0"/>
                            <a:ext cx="341630" cy="422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筛网（小）</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直径150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379095</wp:posOffset>
                  </wp:positionV>
                  <wp:extent cx="546100" cy="435610"/>
                  <wp:effectExtent l="0" t="0" r="0" b="0"/>
                  <wp:wrapNone/>
                  <wp:docPr id="287" name="图片_576_SpCnt_1"/>
                  <wp:cNvGraphicFramePr/>
                  <a:graphic xmlns:a="http://schemas.openxmlformats.org/drawingml/2006/main">
                    <a:graphicData uri="http://schemas.openxmlformats.org/drawingml/2006/picture">
                      <pic:pic xmlns:pic="http://schemas.openxmlformats.org/drawingml/2006/picture">
                        <pic:nvPicPr>
                          <pic:cNvPr id="287" name="图片_576_SpCnt_1"/>
                          <pic:cNvPicPr/>
                        </pic:nvPicPr>
                        <pic:blipFill>
                          <a:blip r:embed="rId266"/>
                          <a:stretch>
                            <a:fillRect/>
                          </a:stretch>
                        </pic:blipFill>
                        <pic:spPr>
                          <a:xfrm>
                            <a:off x="0" y="0"/>
                            <a:ext cx="546100" cy="435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筛网（中）</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直径200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426720</wp:posOffset>
                  </wp:positionV>
                  <wp:extent cx="427990" cy="405765"/>
                  <wp:effectExtent l="0" t="0" r="10160" b="0"/>
                  <wp:wrapNone/>
                  <wp:docPr id="288" name="图片_577_SpCnt_1"/>
                  <wp:cNvGraphicFramePr/>
                  <a:graphic xmlns:a="http://schemas.openxmlformats.org/drawingml/2006/main">
                    <a:graphicData uri="http://schemas.openxmlformats.org/drawingml/2006/picture">
                      <pic:pic xmlns:pic="http://schemas.openxmlformats.org/drawingml/2006/picture">
                        <pic:nvPicPr>
                          <pic:cNvPr id="288" name="图片_577_SpCnt_1"/>
                          <pic:cNvPicPr/>
                        </pic:nvPicPr>
                        <pic:blipFill>
                          <a:blip r:embed="rId267"/>
                          <a:stretch>
                            <a:fillRect/>
                          </a:stretch>
                        </pic:blipFill>
                        <pic:spPr>
                          <a:xfrm>
                            <a:off x="0" y="0"/>
                            <a:ext cx="427990" cy="405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筛网（大）</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直径280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216535</wp:posOffset>
                  </wp:positionH>
                  <wp:positionV relativeFrom="paragraph">
                    <wp:posOffset>442595</wp:posOffset>
                  </wp:positionV>
                  <wp:extent cx="372110" cy="410210"/>
                  <wp:effectExtent l="0" t="0" r="8890" b="0"/>
                  <wp:wrapNone/>
                  <wp:docPr id="289" name="图片_578_SpCnt_1"/>
                  <wp:cNvGraphicFramePr/>
                  <a:graphic xmlns:a="http://schemas.openxmlformats.org/drawingml/2006/main">
                    <a:graphicData uri="http://schemas.openxmlformats.org/drawingml/2006/picture">
                      <pic:pic xmlns:pic="http://schemas.openxmlformats.org/drawingml/2006/picture">
                        <pic:nvPicPr>
                          <pic:cNvPr id="289" name="图片_578_SpCnt_1"/>
                          <pic:cNvPicPr/>
                        </pic:nvPicPr>
                        <pic:blipFill>
                          <a:blip r:embed="rId268"/>
                          <a:stretch>
                            <a:fillRect/>
                          </a:stretch>
                        </pic:blipFill>
                        <pic:spPr>
                          <a:xfrm>
                            <a:off x="0" y="0"/>
                            <a:ext cx="372110" cy="4102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沙桶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直径250</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501015</wp:posOffset>
                  </wp:positionV>
                  <wp:extent cx="288925" cy="351155"/>
                  <wp:effectExtent l="0" t="0" r="0" b="0"/>
                  <wp:wrapNone/>
                  <wp:docPr id="290" name="图片_579_SpCnt_1"/>
                  <wp:cNvGraphicFramePr/>
                  <a:graphic xmlns:a="http://schemas.openxmlformats.org/drawingml/2006/main">
                    <a:graphicData uri="http://schemas.openxmlformats.org/drawingml/2006/picture">
                      <pic:pic xmlns:pic="http://schemas.openxmlformats.org/drawingml/2006/picture">
                        <pic:nvPicPr>
                          <pic:cNvPr id="290" name="图片_579_SpCnt_1"/>
                          <pic:cNvPicPr/>
                        </pic:nvPicPr>
                        <pic:blipFill>
                          <a:blip r:embed="rId269"/>
                          <a:stretch>
                            <a:fillRect/>
                          </a:stretch>
                        </pic:blipFill>
                        <pic:spPr>
                          <a:xfrm>
                            <a:off x="0" y="0"/>
                            <a:ext cx="288925" cy="3511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水车袋</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塑料透明袋</w:t>
            </w:r>
          </w:p>
        </w:tc>
        <w:tc>
          <w:tcPr>
            <w:tcW w:w="521" w:type="pct"/>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259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筛沙斗</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材质：实木+不锈钢网；</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规格约：35*73*11.7cm；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筛沙槽内部规格约：33.5*33.5*10.5cm；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颜色：原木色。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347345</wp:posOffset>
                  </wp:positionV>
                  <wp:extent cx="770890" cy="559435"/>
                  <wp:effectExtent l="0" t="0" r="10160" b="12065"/>
                  <wp:wrapNone/>
                  <wp:docPr id="291" name="图片_2_SpCnt_1"/>
                  <wp:cNvGraphicFramePr/>
                  <a:graphic xmlns:a="http://schemas.openxmlformats.org/drawingml/2006/main">
                    <a:graphicData uri="http://schemas.openxmlformats.org/drawingml/2006/picture">
                      <pic:pic xmlns:pic="http://schemas.openxmlformats.org/drawingml/2006/picture">
                        <pic:nvPicPr>
                          <pic:cNvPr id="291" name="图片_2_SpCnt_1"/>
                          <pic:cNvPicPr/>
                        </pic:nvPicPr>
                        <pic:blipFill>
                          <a:blip r:embed="rId270"/>
                          <a:stretch>
                            <a:fillRect/>
                          </a:stretch>
                        </pic:blipFill>
                        <pic:spPr>
                          <a:xfrm>
                            <a:off x="0" y="0"/>
                            <a:ext cx="770890" cy="5594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多层筛沙架</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规格约：40.3*45*79.5cm，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筛盘规格约：31.8*32*4.3cm；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颜色：原木色。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产品特点：安全是幼儿玩具选择的必要条件，也是基础条件。产品制做工艺精细，坚韧抗压不易变形，无毒无味环保安全，性能牢固耐用。</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521335</wp:posOffset>
                  </wp:positionV>
                  <wp:extent cx="638810" cy="569595"/>
                  <wp:effectExtent l="0" t="0" r="8890" b="1905"/>
                  <wp:wrapNone/>
                  <wp:docPr id="293" name="图片_8_SpCnt_4"/>
                  <wp:cNvGraphicFramePr/>
                  <a:graphic xmlns:a="http://schemas.openxmlformats.org/drawingml/2006/main">
                    <a:graphicData uri="http://schemas.openxmlformats.org/drawingml/2006/picture">
                      <pic:pic xmlns:pic="http://schemas.openxmlformats.org/drawingml/2006/picture">
                        <pic:nvPicPr>
                          <pic:cNvPr id="293" name="图片_8_SpCnt_4"/>
                          <pic:cNvPicPr/>
                        </pic:nvPicPr>
                        <pic:blipFill>
                          <a:blip r:embed="rId271"/>
                          <a:stretch>
                            <a:fillRect/>
                          </a:stretch>
                        </pic:blipFill>
                        <pic:spPr>
                          <a:xfrm>
                            <a:off x="0" y="0"/>
                            <a:ext cx="638810" cy="56959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191135</wp:posOffset>
                  </wp:positionV>
                  <wp:extent cx="638810" cy="1905"/>
                  <wp:effectExtent l="0" t="0" r="0" b="0"/>
                  <wp:wrapNone/>
                  <wp:docPr id="292" name="图片_8_SpCnt_3"/>
                  <wp:cNvGraphicFramePr/>
                  <a:graphic xmlns:a="http://schemas.openxmlformats.org/drawingml/2006/main">
                    <a:graphicData uri="http://schemas.openxmlformats.org/drawingml/2006/picture">
                      <pic:pic xmlns:pic="http://schemas.openxmlformats.org/drawingml/2006/picture">
                        <pic:nvPicPr>
                          <pic:cNvPr id="292" name="图片_8_SpCnt_3"/>
                          <pic:cNvPicPr/>
                        </pic:nvPicPr>
                        <pic:blipFill>
                          <a:blip r:embed="rId272"/>
                          <a:stretch>
                            <a:fillRect/>
                          </a:stretch>
                        </pic:blipFill>
                        <pic:spPr>
                          <a:xfrm>
                            <a:off x="0" y="0"/>
                            <a:ext cx="638810" cy="1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261</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城堡模具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规格：13件/套。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含：手耙、三角形平铲、长方形平铲、铲子和模具等。</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套 </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391795</wp:posOffset>
                  </wp:positionV>
                  <wp:extent cx="755650" cy="660400"/>
                  <wp:effectExtent l="0" t="0" r="6350" b="6350"/>
                  <wp:wrapNone/>
                  <wp:docPr id="294" name="图片_12_SpCnt_1"/>
                  <wp:cNvGraphicFramePr/>
                  <a:graphic xmlns:a="http://schemas.openxmlformats.org/drawingml/2006/main">
                    <a:graphicData uri="http://schemas.openxmlformats.org/drawingml/2006/picture">
                      <pic:pic xmlns:pic="http://schemas.openxmlformats.org/drawingml/2006/picture">
                        <pic:nvPicPr>
                          <pic:cNvPr id="294" name="图片_12_SpCnt_1"/>
                          <pic:cNvPicPr/>
                        </pic:nvPicPr>
                        <pic:blipFill>
                          <a:blip r:embed="rId273"/>
                          <a:stretch>
                            <a:fillRect/>
                          </a:stretch>
                        </pic:blipFill>
                        <pic:spPr>
                          <a:xfrm>
                            <a:off x="0" y="0"/>
                            <a:ext cx="755650" cy="660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262</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建筑套装</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规格：3件/套。</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套 </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346710</wp:posOffset>
                  </wp:positionV>
                  <wp:extent cx="779145" cy="568325"/>
                  <wp:effectExtent l="0" t="0" r="1905" b="3175"/>
                  <wp:wrapNone/>
                  <wp:docPr id="295" name="图片_13_SpCnt_4"/>
                  <wp:cNvGraphicFramePr/>
                  <a:graphic xmlns:a="http://schemas.openxmlformats.org/drawingml/2006/main">
                    <a:graphicData uri="http://schemas.openxmlformats.org/drawingml/2006/picture">
                      <pic:pic xmlns:pic="http://schemas.openxmlformats.org/drawingml/2006/picture">
                        <pic:nvPicPr>
                          <pic:cNvPr id="295" name="图片_13_SpCnt_4"/>
                          <pic:cNvPicPr/>
                        </pic:nvPicPr>
                        <pic:blipFill>
                          <a:blip r:embed="rId274"/>
                          <a:stretch>
                            <a:fillRect/>
                          </a:stretch>
                        </pic:blipFill>
                        <pic:spPr>
                          <a:xfrm>
                            <a:off x="0" y="0"/>
                            <a:ext cx="779145" cy="568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263</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防水围裙</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规格：小班S码35件，中班M码40件，大班L码40件。图案、颜色随机，有黄绿蓝橙四色可选。选用复合PVC材质，质地柔软，全防水设计，吊脖和背后采用树脂可调节扣设计，圆润光滑呵护宝宝柔嫩肌肤。</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431165</wp:posOffset>
                  </wp:positionV>
                  <wp:extent cx="792480" cy="596900"/>
                  <wp:effectExtent l="0" t="0" r="7620" b="12700"/>
                  <wp:wrapNone/>
                  <wp:docPr id="296" name="Picture_1432_SpCnt_1"/>
                  <wp:cNvGraphicFramePr/>
                  <a:graphic xmlns:a="http://schemas.openxmlformats.org/drawingml/2006/main">
                    <a:graphicData uri="http://schemas.openxmlformats.org/drawingml/2006/picture">
                      <pic:pic xmlns:pic="http://schemas.openxmlformats.org/drawingml/2006/picture">
                        <pic:nvPicPr>
                          <pic:cNvPr id="296" name="Picture_1432_SpCnt_1"/>
                          <pic:cNvPicPr/>
                        </pic:nvPicPr>
                        <pic:blipFill>
                          <a:blip r:embed="rId275"/>
                          <a:stretch>
                            <a:fillRect/>
                          </a:stretch>
                        </pic:blipFill>
                        <pic:spPr>
                          <a:xfrm>
                            <a:off x="0" y="0"/>
                            <a:ext cx="792480" cy="596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264</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沙模小桶五件套</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规格：5件/套；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产品尺寸约：20.5*19*25cm；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含铲子2把、桶1个、模型套筒2个。</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280670</wp:posOffset>
                  </wp:positionV>
                  <wp:extent cx="833755" cy="685165"/>
                  <wp:effectExtent l="0" t="0" r="4445" b="635"/>
                  <wp:wrapNone/>
                  <wp:docPr id="297" name="图片_611"/>
                  <wp:cNvGraphicFramePr/>
                  <a:graphic xmlns:a="http://schemas.openxmlformats.org/drawingml/2006/main">
                    <a:graphicData uri="http://schemas.openxmlformats.org/drawingml/2006/picture">
                      <pic:pic xmlns:pic="http://schemas.openxmlformats.org/drawingml/2006/picture">
                        <pic:nvPicPr>
                          <pic:cNvPr id="297" name="图片_611"/>
                          <pic:cNvPicPr/>
                        </pic:nvPicPr>
                        <pic:blipFill>
                          <a:blip r:embed="rId276"/>
                          <a:stretch>
                            <a:fillRect/>
                          </a:stretch>
                        </pic:blipFill>
                        <pic:spPr>
                          <a:xfrm>
                            <a:off x="0" y="0"/>
                            <a:ext cx="833755" cy="6851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265</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灵巧抓沙斗</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产品尺寸约：12*30.8*8.8cm；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颜色：蓝色。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把</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394335</wp:posOffset>
                  </wp:positionV>
                  <wp:extent cx="722630" cy="434340"/>
                  <wp:effectExtent l="0" t="0" r="1270" b="3810"/>
                  <wp:wrapNone/>
                  <wp:docPr id="298" name="图片_612"/>
                  <wp:cNvGraphicFramePr/>
                  <a:graphic xmlns:a="http://schemas.openxmlformats.org/drawingml/2006/main">
                    <a:graphicData uri="http://schemas.openxmlformats.org/drawingml/2006/picture">
                      <pic:pic xmlns:pic="http://schemas.openxmlformats.org/drawingml/2006/picture">
                        <pic:nvPicPr>
                          <pic:cNvPr id="298" name="图片_612"/>
                          <pic:cNvPicPr/>
                        </pic:nvPicPr>
                        <pic:blipFill>
                          <a:blip r:embed="rId277"/>
                          <a:stretch>
                            <a:fillRect/>
                          </a:stretch>
                        </pic:blipFill>
                        <pic:spPr>
                          <a:xfrm>
                            <a:off x="0" y="0"/>
                            <a:ext cx="722630" cy="4343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266</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探奇沙钻</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产品尺寸约：13*43*6.5cm；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颜色：蓝色。</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把</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461645</wp:posOffset>
                  </wp:positionV>
                  <wp:extent cx="808990" cy="370840"/>
                  <wp:effectExtent l="0" t="0" r="10160" b="10160"/>
                  <wp:wrapNone/>
                  <wp:docPr id="299" name="图片_613"/>
                  <wp:cNvGraphicFramePr/>
                  <a:graphic xmlns:a="http://schemas.openxmlformats.org/drawingml/2006/main">
                    <a:graphicData uri="http://schemas.openxmlformats.org/drawingml/2006/picture">
                      <pic:pic xmlns:pic="http://schemas.openxmlformats.org/drawingml/2006/picture">
                        <pic:nvPicPr>
                          <pic:cNvPr id="299" name="图片_613"/>
                          <pic:cNvPicPr/>
                        </pic:nvPicPr>
                        <pic:blipFill>
                          <a:blip r:embed="rId278"/>
                          <a:stretch>
                            <a:fillRect/>
                          </a:stretch>
                        </pic:blipFill>
                        <pic:spPr>
                          <a:xfrm>
                            <a:off x="0" y="0"/>
                            <a:ext cx="808990" cy="370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267</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卫城（玩沙模具）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规格：产品尺寸约15.7*13*9cm, 重量约：120克</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408940</wp:posOffset>
                  </wp:positionV>
                  <wp:extent cx="802640" cy="492125"/>
                  <wp:effectExtent l="0" t="0" r="16510" b="3175"/>
                  <wp:wrapNone/>
                  <wp:docPr id="301" name="Picture_38_SpCnt_3"/>
                  <wp:cNvGraphicFramePr/>
                  <a:graphic xmlns:a="http://schemas.openxmlformats.org/drawingml/2006/main">
                    <a:graphicData uri="http://schemas.openxmlformats.org/drawingml/2006/picture">
                      <pic:pic xmlns:pic="http://schemas.openxmlformats.org/drawingml/2006/picture">
                        <pic:nvPicPr>
                          <pic:cNvPr id="301" name="Picture_38_SpCnt_3"/>
                          <pic:cNvPicPr/>
                        </pic:nvPicPr>
                        <pic:blipFill>
                          <a:blip r:embed="rId279"/>
                          <a:stretch>
                            <a:fillRect/>
                          </a:stretch>
                        </pic:blipFill>
                        <pic:spPr>
                          <a:xfrm>
                            <a:off x="0" y="0"/>
                            <a:ext cx="802640" cy="4921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203200</wp:posOffset>
                  </wp:positionV>
                  <wp:extent cx="9525" cy="5080"/>
                  <wp:effectExtent l="0" t="0" r="0" b="0"/>
                  <wp:wrapNone/>
                  <wp:docPr id="300" name="Picture_38_SpCnt_2"/>
                  <wp:cNvGraphicFramePr/>
                  <a:graphic xmlns:a="http://schemas.openxmlformats.org/drawingml/2006/main">
                    <a:graphicData uri="http://schemas.openxmlformats.org/drawingml/2006/picture">
                      <pic:pic xmlns:pic="http://schemas.openxmlformats.org/drawingml/2006/picture">
                        <pic:nvPicPr>
                          <pic:cNvPr id="300" name="Picture_38_SpCnt_2"/>
                          <pic:cNvPicPr/>
                        </pic:nvPicPr>
                        <pic:blipFill>
                          <a:blip r:embed="rId280"/>
                          <a:stretch>
                            <a:fillRect/>
                          </a:stretch>
                        </pic:blipFill>
                        <pic:spPr>
                          <a:xfrm>
                            <a:off x="0" y="0"/>
                            <a:ext cx="9525" cy="50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268</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泰姬陵（玩沙模具）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规格：产品尺寸17*17*13cm,重量120克</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319405</wp:posOffset>
                  </wp:positionV>
                  <wp:extent cx="834390" cy="574040"/>
                  <wp:effectExtent l="0" t="0" r="3810" b="16510"/>
                  <wp:wrapNone/>
                  <wp:docPr id="302" name="图片_616"/>
                  <wp:cNvGraphicFramePr/>
                  <a:graphic xmlns:a="http://schemas.openxmlformats.org/drawingml/2006/main">
                    <a:graphicData uri="http://schemas.openxmlformats.org/drawingml/2006/picture">
                      <pic:pic xmlns:pic="http://schemas.openxmlformats.org/drawingml/2006/picture">
                        <pic:nvPicPr>
                          <pic:cNvPr id="302" name="图片_616"/>
                          <pic:cNvPicPr/>
                        </pic:nvPicPr>
                        <pic:blipFill>
                          <a:blip r:embed="rId281"/>
                          <a:stretch>
                            <a:fillRect/>
                          </a:stretch>
                        </pic:blipFill>
                        <pic:spPr>
                          <a:xfrm>
                            <a:off x="0" y="0"/>
                            <a:ext cx="834390" cy="574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269</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玛雅金字塔（玩沙模具）</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规格：产品尺寸18*18*8cm,重量120克</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374650</wp:posOffset>
                  </wp:positionV>
                  <wp:extent cx="811530" cy="603250"/>
                  <wp:effectExtent l="0" t="0" r="7620" b="6350"/>
                  <wp:wrapNone/>
                  <wp:docPr id="303" name="图片_617"/>
                  <wp:cNvGraphicFramePr/>
                  <a:graphic xmlns:a="http://schemas.openxmlformats.org/drawingml/2006/main">
                    <a:graphicData uri="http://schemas.openxmlformats.org/drawingml/2006/picture">
                      <pic:pic xmlns:pic="http://schemas.openxmlformats.org/drawingml/2006/picture">
                        <pic:nvPicPr>
                          <pic:cNvPr id="303" name="图片_617"/>
                          <pic:cNvPicPr/>
                        </pic:nvPicPr>
                        <pic:blipFill>
                          <a:blip r:embed="rId282"/>
                          <a:stretch>
                            <a:fillRect/>
                          </a:stretch>
                        </pic:blipFill>
                        <pic:spPr>
                          <a:xfrm>
                            <a:off x="0" y="0"/>
                            <a:ext cx="811530" cy="603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22"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270</w:t>
            </w:r>
          </w:p>
        </w:tc>
        <w:tc>
          <w:tcPr>
            <w:tcW w:w="79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沙滩双轮沙漏</w:t>
            </w:r>
          </w:p>
        </w:tc>
        <w:tc>
          <w:tcPr>
            <w:tcW w:w="2262"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材质：塑料；规格；高29cm。</w:t>
            </w:r>
          </w:p>
        </w:tc>
        <w:tc>
          <w:tcPr>
            <w:tcW w:w="5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71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213995</wp:posOffset>
                  </wp:positionV>
                  <wp:extent cx="565150" cy="786765"/>
                  <wp:effectExtent l="0" t="0" r="6350" b="13335"/>
                  <wp:wrapNone/>
                  <wp:docPr id="304" name="图片_614"/>
                  <wp:cNvGraphicFramePr/>
                  <a:graphic xmlns:a="http://schemas.openxmlformats.org/drawingml/2006/main">
                    <a:graphicData uri="http://schemas.openxmlformats.org/drawingml/2006/picture">
                      <pic:pic xmlns:pic="http://schemas.openxmlformats.org/drawingml/2006/picture">
                        <pic:nvPicPr>
                          <pic:cNvPr id="304" name="图片_614"/>
                          <pic:cNvPicPr/>
                        </pic:nvPicPr>
                        <pic:blipFill>
                          <a:blip r:embed="rId283"/>
                          <a:stretch>
                            <a:fillRect/>
                          </a:stretch>
                        </pic:blipFill>
                        <pic:spPr>
                          <a:xfrm>
                            <a:off x="0" y="0"/>
                            <a:ext cx="565150" cy="786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378" w:type="pct"/>
            <w:gridSpan w:val="3"/>
            <w:shd w:val="clear" w:color="auto" w:fill="auto"/>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合同包1最高限价：</w:t>
            </w:r>
          </w:p>
        </w:tc>
        <w:tc>
          <w:tcPr>
            <w:tcW w:w="1621" w:type="pct"/>
            <w:gridSpan w:val="3"/>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480000元</w:t>
            </w:r>
          </w:p>
        </w:tc>
      </w:tr>
    </w:tbl>
    <w:p>
      <w:pPr>
        <w:rPr>
          <w:rStyle w:val="9"/>
          <w:rFonts w:hint="eastAsia" w:ascii="宋体" w:hAnsi="宋体" w:eastAsia="宋体" w:cs="宋体"/>
          <w:sz w:val="21"/>
          <w:szCs w:val="21"/>
          <w:highlight w:val="none"/>
        </w:rPr>
      </w:pPr>
    </w:p>
    <w:p>
      <w:pPr>
        <w:pStyle w:val="2"/>
        <w:rPr>
          <w:sz w:val="21"/>
          <w:szCs w:val="21"/>
          <w:highlight w:val="none"/>
        </w:rPr>
      </w:pPr>
    </w:p>
    <w:p>
      <w:pPr>
        <w:rPr>
          <w:sz w:val="21"/>
          <w:szCs w:val="21"/>
          <w:highlight w:val="none"/>
        </w:rPr>
      </w:pPr>
    </w:p>
    <w:tbl>
      <w:tblPr>
        <w:tblStyle w:val="7"/>
        <w:tblW w:w="524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4"/>
        <w:gridCol w:w="866"/>
        <w:gridCol w:w="4492"/>
        <w:gridCol w:w="931"/>
        <w:gridCol w:w="577"/>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Fonts w:hint="eastAsia" w:ascii="宋体" w:hAnsi="宋体" w:eastAsia="宋体" w:cs="宋体"/>
                <w:b/>
                <w:bCs/>
                <w:i w:val="0"/>
                <w:iCs w:val="0"/>
                <w:color w:val="000000"/>
                <w:kern w:val="0"/>
                <w:sz w:val="28"/>
                <w:szCs w:val="28"/>
                <w:highlight w:val="none"/>
                <w:u w:val="none"/>
                <w:lang w:val="en-US" w:eastAsia="zh-CN" w:bidi="ar"/>
              </w:rPr>
              <w:t>合同包2：学生课桌椅床铺及办公家具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详细技术参数</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单人床</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规格：135*65*50；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床脚立柱约：5.2*5.3cm。</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120</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38100</wp:posOffset>
                  </wp:positionV>
                  <wp:extent cx="933450" cy="605155"/>
                  <wp:effectExtent l="0" t="0" r="0" b="4445"/>
                  <wp:wrapNone/>
                  <wp:docPr id="328" name="Picture_5"/>
                  <wp:cNvGraphicFramePr/>
                  <a:graphic xmlns:a="http://schemas.openxmlformats.org/drawingml/2006/main">
                    <a:graphicData uri="http://schemas.openxmlformats.org/drawingml/2006/picture">
                      <pic:pic xmlns:pic="http://schemas.openxmlformats.org/drawingml/2006/picture">
                        <pic:nvPicPr>
                          <pic:cNvPr id="328" name="Picture_5"/>
                          <pic:cNvPicPr/>
                        </pic:nvPicPr>
                        <pic:blipFill>
                          <a:blip r:embed="rId284"/>
                          <a:stretch>
                            <a:fillRect/>
                          </a:stretch>
                        </pic:blipFill>
                        <pic:spPr>
                          <a:xfrm>
                            <a:off x="0" y="0"/>
                            <a:ext cx="933450" cy="6051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双人床</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规格：135*65*155cm；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床脚立柱约：5.2*5.3cm；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床头层柜规格约：55*25*25cm（2个/张)；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特点：A.表面砂光后喷环保聚酯清漆，健康环保，不含板式家具的甲醛等有害物质；B.床体外表和内表，均不得有锐利的棱角，毛刺以及小五金部件露出来的锐利尖端。带层架。</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439420</wp:posOffset>
                  </wp:positionV>
                  <wp:extent cx="924560" cy="848995"/>
                  <wp:effectExtent l="0" t="0" r="8890" b="8255"/>
                  <wp:wrapNone/>
                  <wp:docPr id="327" name="图片_1"/>
                  <wp:cNvGraphicFramePr/>
                  <a:graphic xmlns:a="http://schemas.openxmlformats.org/drawingml/2006/main">
                    <a:graphicData uri="http://schemas.openxmlformats.org/drawingml/2006/picture">
                      <pic:pic xmlns:pic="http://schemas.openxmlformats.org/drawingml/2006/picture">
                        <pic:nvPicPr>
                          <pic:cNvPr id="327" name="图片_1"/>
                          <pic:cNvPicPr/>
                        </pic:nvPicPr>
                        <pic:blipFill>
                          <a:blip r:embed="rId285"/>
                          <a:stretch>
                            <a:fillRect/>
                          </a:stretch>
                        </pic:blipFill>
                        <pic:spPr>
                          <a:xfrm>
                            <a:off x="0" y="0"/>
                            <a:ext cx="924560" cy="84899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335280</wp:posOffset>
                  </wp:positionV>
                  <wp:extent cx="472440" cy="0"/>
                  <wp:effectExtent l="0" t="0" r="0" b="0"/>
                  <wp:wrapNone/>
                  <wp:docPr id="330" name="图片_1_SpCnt_1"/>
                  <wp:cNvGraphicFramePr/>
                  <a:graphic xmlns:a="http://schemas.openxmlformats.org/drawingml/2006/main">
                    <a:graphicData uri="http://schemas.openxmlformats.org/drawingml/2006/picture">
                      <pic:pic xmlns:pic="http://schemas.openxmlformats.org/drawingml/2006/picture">
                        <pic:nvPicPr>
                          <pic:cNvPr id="330" name="图片_1_SpCnt_1"/>
                          <pic:cNvPicPr/>
                        </pic:nvPicPr>
                        <pic:blipFill>
                          <a:blip r:embed="rId286"/>
                          <a:stretch>
                            <a:fillRect/>
                          </a:stretch>
                        </pic:blipFill>
                        <pic:spPr>
                          <a:xfrm>
                            <a:off x="0" y="0"/>
                            <a:ext cx="47244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幼儿课桌（六人）</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1、材质：桌面采用优质橡胶木，脚架和边框采用优质樟子松实木。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规格约：120*60*55（桌面边厚3.0cm），桌脚立柱约：5.5*5.5cm；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特点：A.表面砂光后喷环保聚酯清漆，健康环保，不含板式家具的甲醛等有害物质；B.桌子外表和内表，均不得有锐利的棱角，毛刺以及小五金部件露出来的锐利尖端，四角均装脚垫。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544830</wp:posOffset>
                  </wp:positionV>
                  <wp:extent cx="922655" cy="702310"/>
                  <wp:effectExtent l="0" t="0" r="10795" b="2540"/>
                  <wp:wrapNone/>
                  <wp:docPr id="332" name="Picture_13"/>
                  <wp:cNvGraphicFramePr/>
                  <a:graphic xmlns:a="http://schemas.openxmlformats.org/drawingml/2006/main">
                    <a:graphicData uri="http://schemas.openxmlformats.org/drawingml/2006/picture">
                      <pic:pic xmlns:pic="http://schemas.openxmlformats.org/drawingml/2006/picture">
                        <pic:nvPicPr>
                          <pic:cNvPr id="332" name="Picture_13"/>
                          <pic:cNvPicPr/>
                        </pic:nvPicPr>
                        <pic:blipFill>
                          <a:blip r:embed="rId287"/>
                          <a:stretch>
                            <a:fillRect/>
                          </a:stretch>
                        </pic:blipFill>
                        <pic:spPr>
                          <a:xfrm>
                            <a:off x="0" y="0"/>
                            <a:ext cx="922655" cy="702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358140</wp:posOffset>
                  </wp:positionV>
                  <wp:extent cx="487680" cy="0"/>
                  <wp:effectExtent l="0" t="0" r="0" b="0"/>
                  <wp:wrapNone/>
                  <wp:docPr id="331" name="Picture_13_SpCnt_1"/>
                  <wp:cNvGraphicFramePr/>
                  <a:graphic xmlns:a="http://schemas.openxmlformats.org/drawingml/2006/main">
                    <a:graphicData uri="http://schemas.openxmlformats.org/drawingml/2006/picture">
                      <pic:pic xmlns:pic="http://schemas.openxmlformats.org/drawingml/2006/picture">
                        <pic:nvPicPr>
                          <pic:cNvPr id="331" name="Picture_13_SpCnt_1"/>
                          <pic:cNvPicPr/>
                        </pic:nvPicPr>
                        <pic:blipFill>
                          <a:blip r:embed="rId7"/>
                          <a:stretch>
                            <a:fillRect/>
                          </a:stretch>
                        </pic:blipFill>
                        <pic:spPr>
                          <a:xfrm>
                            <a:off x="0" y="0"/>
                            <a:ext cx="48768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半圆桌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材质：橡胶木板；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规格约：120*80*50cm；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颜色：原木色。桌子外表和内表，均不得有锐利的棱角，毛刺以及小五金部件露出来的锐利尖端。</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151765</wp:posOffset>
                  </wp:positionV>
                  <wp:extent cx="741045" cy="641985"/>
                  <wp:effectExtent l="0" t="0" r="1905" b="5715"/>
                  <wp:wrapNone/>
                  <wp:docPr id="333" name="图片_8"/>
                  <wp:cNvGraphicFramePr/>
                  <a:graphic xmlns:a="http://schemas.openxmlformats.org/drawingml/2006/main">
                    <a:graphicData uri="http://schemas.openxmlformats.org/drawingml/2006/picture">
                      <pic:pic xmlns:pic="http://schemas.openxmlformats.org/drawingml/2006/picture">
                        <pic:nvPicPr>
                          <pic:cNvPr id="333" name="图片_8"/>
                          <pic:cNvPicPr/>
                        </pic:nvPicPr>
                        <pic:blipFill>
                          <a:blip r:embed="rId288"/>
                          <a:stretch>
                            <a:fillRect/>
                          </a:stretch>
                        </pic:blipFill>
                        <pic:spPr>
                          <a:xfrm>
                            <a:off x="0" y="0"/>
                            <a:ext cx="741045" cy="641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幼儿课椅</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椅面采用优质橡胶木，脚架采用优质樟子松实木；规格约：坐高28*靠背55cm，椅脚立柱宽约：47*厚27mm；表面采用环保耐划伤漆。特点：A.表面砂光后喷环保聚酯清漆，健康环保，不含板式家具的甲醛等有害物质；B.椅子外表和内表，均不得有锐利的棱角，毛刺以及小五金部件露出来的锐利尖端，四角均装脚垫。</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把</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180</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427990</wp:posOffset>
                  </wp:positionV>
                  <wp:extent cx="619125" cy="772160"/>
                  <wp:effectExtent l="0" t="0" r="9525" b="8890"/>
                  <wp:wrapNone/>
                  <wp:docPr id="334" name="Picture_3945"/>
                  <wp:cNvGraphicFramePr/>
                  <a:graphic xmlns:a="http://schemas.openxmlformats.org/drawingml/2006/main">
                    <a:graphicData uri="http://schemas.openxmlformats.org/drawingml/2006/picture">
                      <pic:pic xmlns:pic="http://schemas.openxmlformats.org/drawingml/2006/picture">
                        <pic:nvPicPr>
                          <pic:cNvPr id="334" name="Picture_3945"/>
                          <pic:cNvPicPr/>
                        </pic:nvPicPr>
                        <pic:blipFill>
                          <a:blip r:embed="rId289"/>
                          <a:stretch>
                            <a:fillRect/>
                          </a:stretch>
                        </pic:blipFill>
                        <pic:spPr>
                          <a:xfrm>
                            <a:off x="0" y="0"/>
                            <a:ext cx="619125" cy="772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259080</wp:posOffset>
                  </wp:positionV>
                  <wp:extent cx="350520" cy="0"/>
                  <wp:effectExtent l="0" t="0" r="0" b="0"/>
                  <wp:wrapNone/>
                  <wp:docPr id="335" name="Picture_3945_SpCnt_1"/>
                  <wp:cNvGraphicFramePr/>
                  <a:graphic xmlns:a="http://schemas.openxmlformats.org/drawingml/2006/main">
                    <a:graphicData uri="http://schemas.openxmlformats.org/drawingml/2006/picture">
                      <pic:pic xmlns:pic="http://schemas.openxmlformats.org/drawingml/2006/picture">
                        <pic:nvPicPr>
                          <pic:cNvPr id="335" name="Picture_3945_SpCnt_1"/>
                          <pic:cNvPicPr/>
                        </pic:nvPicPr>
                        <pic:blipFill>
                          <a:blip r:embed="rId290"/>
                          <a:stretch>
                            <a:fillRect/>
                          </a:stretch>
                        </pic:blipFill>
                        <pic:spPr>
                          <a:xfrm>
                            <a:off x="0" y="0"/>
                            <a:ext cx="35052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分区柜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材质：樟子松；规格约：长120*宽30*高70；柜子外表和内表，均不得有锐利的棱角，毛刺以及小五金部件露出来的锐利尖端。</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52705</wp:posOffset>
                  </wp:positionV>
                  <wp:extent cx="714375" cy="674370"/>
                  <wp:effectExtent l="0" t="0" r="9525" b="11430"/>
                  <wp:wrapNone/>
                  <wp:docPr id="336" name="图片_14"/>
                  <wp:cNvGraphicFramePr/>
                  <a:graphic xmlns:a="http://schemas.openxmlformats.org/drawingml/2006/main">
                    <a:graphicData uri="http://schemas.openxmlformats.org/drawingml/2006/picture">
                      <pic:pic xmlns:pic="http://schemas.openxmlformats.org/drawingml/2006/picture">
                        <pic:nvPicPr>
                          <pic:cNvPr id="336" name="图片_14"/>
                          <pic:cNvPicPr/>
                        </pic:nvPicPr>
                        <pic:blipFill>
                          <a:blip r:embed="rId291"/>
                          <a:stretch>
                            <a:fillRect/>
                          </a:stretch>
                        </pic:blipFill>
                        <pic:spPr>
                          <a:xfrm>
                            <a:off x="0" y="0"/>
                            <a:ext cx="714375" cy="674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组合柜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三组可活动分搭，材质：樟子松；单个约：33*30*32cm；33*30*57cm；33*30*80cm；颜色：原木色。柜子外表和内表，均不得有锐利的棱角，毛刺以及小五金部件露出来的锐利尖端。</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105410</wp:posOffset>
                  </wp:positionV>
                  <wp:extent cx="595630" cy="611505"/>
                  <wp:effectExtent l="0" t="0" r="13970" b="17145"/>
                  <wp:wrapNone/>
                  <wp:docPr id="337" name="Picture_66128"/>
                  <wp:cNvGraphicFramePr/>
                  <a:graphic xmlns:a="http://schemas.openxmlformats.org/drawingml/2006/main">
                    <a:graphicData uri="http://schemas.openxmlformats.org/drawingml/2006/picture">
                      <pic:pic xmlns:pic="http://schemas.openxmlformats.org/drawingml/2006/picture">
                        <pic:nvPicPr>
                          <pic:cNvPr id="337" name="Picture_66128"/>
                          <pic:cNvPicPr/>
                        </pic:nvPicPr>
                        <pic:blipFill>
                          <a:blip r:embed="rId292"/>
                          <a:stretch>
                            <a:fillRect/>
                          </a:stretch>
                        </pic:blipFill>
                        <pic:spPr>
                          <a:xfrm>
                            <a:off x="0" y="0"/>
                            <a:ext cx="595630" cy="6115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8128635</wp:posOffset>
                  </wp:positionH>
                  <wp:positionV relativeFrom="paragraph">
                    <wp:posOffset>0</wp:posOffset>
                  </wp:positionV>
                  <wp:extent cx="449580" cy="0"/>
                  <wp:effectExtent l="0" t="0" r="0" b="0"/>
                  <wp:wrapNone/>
                  <wp:docPr id="329" name="图片_1_SpCnt_2"/>
                  <wp:cNvGraphicFramePr/>
                  <a:graphic xmlns:a="http://schemas.openxmlformats.org/drawingml/2006/main">
                    <a:graphicData uri="http://schemas.openxmlformats.org/drawingml/2006/picture">
                      <pic:pic xmlns:pic="http://schemas.openxmlformats.org/drawingml/2006/picture">
                        <pic:nvPicPr>
                          <pic:cNvPr id="329" name="图片_1_SpCnt_2"/>
                          <pic:cNvPicPr/>
                        </pic:nvPicPr>
                        <pic:blipFill>
                          <a:blip r:embed="rId293"/>
                          <a:stretch>
                            <a:fillRect/>
                          </a:stretch>
                        </pic:blipFill>
                        <pic:spPr>
                          <a:xfrm>
                            <a:off x="0" y="0"/>
                            <a:ext cx="449580" cy="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lang w:val="en-US" w:eastAsia="zh-CN" w:bidi="ar"/>
              </w:rPr>
              <w:t>办公家具（鲤中幼儿园）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办公室会议桌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颜色：柚木色；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板材：EI级环保板材，加厚，带储物柜；</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规格5.0*1.5米配18张椅子；</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48260</wp:posOffset>
                  </wp:positionV>
                  <wp:extent cx="887095" cy="595630"/>
                  <wp:effectExtent l="0" t="0" r="8255" b="13970"/>
                  <wp:wrapNone/>
                  <wp:docPr id="306" name="图片_1_SpCnt_4"/>
                  <wp:cNvGraphicFramePr/>
                  <a:graphic xmlns:a="http://schemas.openxmlformats.org/drawingml/2006/main">
                    <a:graphicData uri="http://schemas.openxmlformats.org/drawingml/2006/picture">
                      <pic:pic xmlns:pic="http://schemas.openxmlformats.org/drawingml/2006/picture">
                        <pic:nvPicPr>
                          <pic:cNvPr id="306" name="图片_1_SpCnt_4"/>
                          <pic:cNvPicPr/>
                        </pic:nvPicPr>
                        <pic:blipFill>
                          <a:blip r:embed="rId294"/>
                          <a:stretch>
                            <a:fillRect/>
                          </a:stretch>
                        </pic:blipFill>
                        <pic:spPr>
                          <a:xfrm>
                            <a:off x="0" y="0"/>
                            <a:ext cx="887095" cy="5956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198120</wp:posOffset>
                  </wp:positionV>
                  <wp:extent cx="533400" cy="0"/>
                  <wp:effectExtent l="0" t="0" r="0" b="0"/>
                  <wp:wrapNone/>
                  <wp:docPr id="305" name="图片_1_SpCnt_3"/>
                  <wp:cNvGraphicFramePr/>
                  <a:graphic xmlns:a="http://schemas.openxmlformats.org/drawingml/2006/main">
                    <a:graphicData uri="http://schemas.openxmlformats.org/drawingml/2006/picture">
                      <pic:pic xmlns:pic="http://schemas.openxmlformats.org/drawingml/2006/picture">
                        <pic:nvPicPr>
                          <pic:cNvPr id="305" name="图片_1_SpCnt_3"/>
                          <pic:cNvPicPr/>
                        </pic:nvPicPr>
                        <pic:blipFill>
                          <a:blip r:embed="rId295"/>
                          <a:stretch>
                            <a:fillRect/>
                          </a:stretch>
                        </pic:blipFill>
                        <pic:spPr>
                          <a:xfrm>
                            <a:off x="0" y="0"/>
                            <a:ext cx="533400" cy="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教师办公电脑桌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颜色：白灰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板材：EI级环保板材，25MM加厚桌面，三层储物抽屉；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规格约：1420MM*1500MM*1100MM  带椅子</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36195</wp:posOffset>
                  </wp:positionV>
                  <wp:extent cx="916305" cy="646430"/>
                  <wp:effectExtent l="0" t="0" r="17145" b="1270"/>
                  <wp:wrapNone/>
                  <wp:docPr id="307" name="图片_2"/>
                  <wp:cNvGraphicFramePr/>
                  <a:graphic xmlns:a="http://schemas.openxmlformats.org/drawingml/2006/main">
                    <a:graphicData uri="http://schemas.openxmlformats.org/drawingml/2006/picture">
                      <pic:pic xmlns:pic="http://schemas.openxmlformats.org/drawingml/2006/picture">
                        <pic:nvPicPr>
                          <pic:cNvPr id="307" name="图片_2"/>
                          <pic:cNvPicPr/>
                        </pic:nvPicPr>
                        <pic:blipFill>
                          <a:blip r:embed="rId296"/>
                          <a:stretch>
                            <a:fillRect/>
                          </a:stretch>
                        </pic:blipFill>
                        <pic:spPr>
                          <a:xfrm>
                            <a:off x="0" y="0"/>
                            <a:ext cx="916305" cy="646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实木办公会议条桌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松木，环保木器漆实木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规格约：140*50*75</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73025</wp:posOffset>
                  </wp:positionV>
                  <wp:extent cx="785495" cy="651510"/>
                  <wp:effectExtent l="0" t="0" r="14605" b="15240"/>
                  <wp:wrapNone/>
                  <wp:docPr id="308" name="图片_3"/>
                  <wp:cNvGraphicFramePr/>
                  <a:graphic xmlns:a="http://schemas.openxmlformats.org/drawingml/2006/main">
                    <a:graphicData uri="http://schemas.openxmlformats.org/drawingml/2006/picture">
                      <pic:pic xmlns:pic="http://schemas.openxmlformats.org/drawingml/2006/picture">
                        <pic:nvPicPr>
                          <pic:cNvPr id="308" name="图片_3"/>
                          <pic:cNvPicPr/>
                        </pic:nvPicPr>
                        <pic:blipFill>
                          <a:blip r:embed="rId297"/>
                          <a:stretch>
                            <a:fillRect/>
                          </a:stretch>
                        </pic:blipFill>
                        <pic:spPr>
                          <a:xfrm>
                            <a:off x="0" y="0"/>
                            <a:ext cx="785495" cy="6515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办公椅</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PP尼龙扶手，S型靠背，曲线护腰。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载重钢制五星脚；</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约：47MM*49*43；</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74295</wp:posOffset>
                  </wp:positionV>
                  <wp:extent cx="731520" cy="593725"/>
                  <wp:effectExtent l="0" t="0" r="11430" b="15875"/>
                  <wp:wrapNone/>
                  <wp:docPr id="309" name="图片_4"/>
                  <wp:cNvGraphicFramePr/>
                  <a:graphic xmlns:a="http://schemas.openxmlformats.org/drawingml/2006/main">
                    <a:graphicData uri="http://schemas.openxmlformats.org/drawingml/2006/picture">
                      <pic:pic xmlns:pic="http://schemas.openxmlformats.org/drawingml/2006/picture">
                        <pic:nvPicPr>
                          <pic:cNvPr id="309" name="图片_4"/>
                          <pic:cNvPicPr/>
                        </pic:nvPicPr>
                        <pic:blipFill>
                          <a:blip r:embed="rId298"/>
                          <a:stretch>
                            <a:fillRect/>
                          </a:stretch>
                        </pic:blipFill>
                        <pic:spPr>
                          <a:xfrm>
                            <a:off x="0" y="0"/>
                            <a:ext cx="731520" cy="593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办公柜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白色EI级三聚氰胺防火板材，三高门规格约：1200MM*300MM*800MM</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27305</wp:posOffset>
                  </wp:positionV>
                  <wp:extent cx="645795" cy="667385"/>
                  <wp:effectExtent l="0" t="0" r="1905" b="18415"/>
                  <wp:wrapNone/>
                  <wp:docPr id="310" name="图片_5"/>
                  <wp:cNvGraphicFramePr/>
                  <a:graphic xmlns:a="http://schemas.openxmlformats.org/drawingml/2006/main">
                    <a:graphicData uri="http://schemas.openxmlformats.org/drawingml/2006/picture">
                      <pic:pic xmlns:pic="http://schemas.openxmlformats.org/drawingml/2006/picture">
                        <pic:nvPicPr>
                          <pic:cNvPr id="310" name="图片_5"/>
                          <pic:cNvPicPr/>
                        </pic:nvPicPr>
                        <pic:blipFill>
                          <a:blip r:embed="rId299"/>
                          <a:stretch>
                            <a:fillRect/>
                          </a:stretch>
                        </pic:blipFill>
                        <pic:spPr>
                          <a:xfrm>
                            <a:off x="0" y="0"/>
                            <a:ext cx="645795" cy="667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四人位组合办公桌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颜色：白灰；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板材：EI级环保板材，25MM加厚桌面，三层储物抽屉；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规格约：2700*2840 带4张椅子；</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97790</wp:posOffset>
                  </wp:positionV>
                  <wp:extent cx="728980" cy="618490"/>
                  <wp:effectExtent l="0" t="0" r="13970" b="10160"/>
                  <wp:wrapNone/>
                  <wp:docPr id="311" name="图片_6"/>
                  <wp:cNvGraphicFramePr/>
                  <a:graphic xmlns:a="http://schemas.openxmlformats.org/drawingml/2006/main">
                    <a:graphicData uri="http://schemas.openxmlformats.org/drawingml/2006/picture">
                      <pic:pic xmlns:pic="http://schemas.openxmlformats.org/drawingml/2006/picture">
                        <pic:nvPicPr>
                          <pic:cNvPr id="311" name="图片_6"/>
                          <pic:cNvPicPr/>
                        </pic:nvPicPr>
                        <pic:blipFill>
                          <a:blip r:embed="rId300"/>
                          <a:stretch>
                            <a:fillRect/>
                          </a:stretch>
                        </pic:blipFill>
                        <pic:spPr>
                          <a:xfrm>
                            <a:off x="0" y="0"/>
                            <a:ext cx="728980" cy="618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六人位组合办公桌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颜色：白灰；</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板材：EI级环保板材，25MM加厚桌面，三层储物抽屉；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规格约：2700MM*4260MM*  带6椅子</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43815</wp:posOffset>
                  </wp:positionV>
                  <wp:extent cx="677545" cy="650240"/>
                  <wp:effectExtent l="0" t="0" r="8255" b="16510"/>
                  <wp:wrapNone/>
                  <wp:docPr id="312" name="图片_7"/>
                  <wp:cNvGraphicFramePr/>
                  <a:graphic xmlns:a="http://schemas.openxmlformats.org/drawingml/2006/main">
                    <a:graphicData uri="http://schemas.openxmlformats.org/drawingml/2006/picture">
                      <pic:pic xmlns:pic="http://schemas.openxmlformats.org/drawingml/2006/picture">
                        <pic:nvPicPr>
                          <pic:cNvPr id="312" name="图片_7"/>
                          <pic:cNvPicPr/>
                        </pic:nvPicPr>
                        <pic:blipFill>
                          <a:blip r:embed="rId301"/>
                          <a:stretch>
                            <a:fillRect/>
                          </a:stretch>
                        </pic:blipFill>
                        <pic:spPr>
                          <a:xfrm>
                            <a:off x="0" y="0"/>
                            <a:ext cx="677545" cy="650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班级家具（蜚山幼儿园）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详细技术参数</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单人床</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规格约：135*65*50；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床脚立柱约：5.2*5.3cm。</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120</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26670</wp:posOffset>
                  </wp:positionV>
                  <wp:extent cx="930910" cy="608965"/>
                  <wp:effectExtent l="0" t="0" r="2540" b="635"/>
                  <wp:wrapNone/>
                  <wp:docPr id="313" name="Picture_5_SpCnt_1"/>
                  <wp:cNvGraphicFramePr/>
                  <a:graphic xmlns:a="http://schemas.openxmlformats.org/drawingml/2006/main">
                    <a:graphicData uri="http://schemas.openxmlformats.org/drawingml/2006/picture">
                      <pic:pic xmlns:pic="http://schemas.openxmlformats.org/drawingml/2006/picture">
                        <pic:nvPicPr>
                          <pic:cNvPr id="313" name="Picture_5_SpCnt_1"/>
                          <pic:cNvPicPr/>
                        </pic:nvPicPr>
                        <pic:blipFill>
                          <a:blip r:embed="rId302"/>
                          <a:stretch>
                            <a:fillRect/>
                          </a:stretch>
                        </pic:blipFill>
                        <pic:spPr>
                          <a:xfrm>
                            <a:off x="0" y="0"/>
                            <a:ext cx="930910" cy="608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16</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幼儿课桌（六人）</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材质：桌面采用优质橡胶木，脚架和边框采用优质樟子松实木。规格约：120*60*20（桌面边厚3.0cm），桌脚立柱约：5.5*5.5cm；特点：A.表面砂光后喷环保聚酯清漆，健康环保，不含板式家具的甲醛等有害物质；B.桌子外表和内表，均不得有锐利的棱角，毛刺以及小五金部件露出来的锐利尖端，四角均装脚垫。                  </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164465</wp:posOffset>
                  </wp:positionV>
                  <wp:extent cx="918210" cy="746760"/>
                  <wp:effectExtent l="0" t="0" r="15240" b="15240"/>
                  <wp:wrapNone/>
                  <wp:docPr id="314" name="Picture_13_SpCnt_2"/>
                  <wp:cNvGraphicFramePr/>
                  <a:graphic xmlns:a="http://schemas.openxmlformats.org/drawingml/2006/main">
                    <a:graphicData uri="http://schemas.openxmlformats.org/drawingml/2006/picture">
                      <pic:pic xmlns:pic="http://schemas.openxmlformats.org/drawingml/2006/picture">
                        <pic:nvPicPr>
                          <pic:cNvPr id="314" name="Picture_13_SpCnt_2"/>
                          <pic:cNvPicPr/>
                        </pic:nvPicPr>
                        <pic:blipFill>
                          <a:blip r:embed="rId303"/>
                          <a:stretch>
                            <a:fillRect/>
                          </a:stretch>
                        </pic:blipFill>
                        <pic:spPr>
                          <a:xfrm>
                            <a:off x="0" y="0"/>
                            <a:ext cx="918210" cy="746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17</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幼儿课椅</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材质：椅面采用优质橡胶木，脚架采用优质樟子松实木，规格约：坐高28*靠背55cm，椅脚立柱约：宽47*厚27mm；表面采用环保耐划伤漆。特点：A.表面砂光后喷环保聚酯清漆，健康环保，不含板式家具的甲醛等有害物质；B.椅子外表和内表，均不得有锐利的棱角，毛刺以及小五金部件露出来的锐利尖端，四角均装脚垫。</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把</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120</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313690</wp:posOffset>
                  </wp:positionV>
                  <wp:extent cx="575945" cy="833755"/>
                  <wp:effectExtent l="0" t="0" r="14605" b="4445"/>
                  <wp:wrapNone/>
                  <wp:docPr id="315" name="Picture_3945_SpCnt_2"/>
                  <wp:cNvGraphicFramePr/>
                  <a:graphic xmlns:a="http://schemas.openxmlformats.org/drawingml/2006/main">
                    <a:graphicData uri="http://schemas.openxmlformats.org/drawingml/2006/picture">
                      <pic:pic xmlns:pic="http://schemas.openxmlformats.org/drawingml/2006/picture">
                        <pic:nvPicPr>
                          <pic:cNvPr id="315" name="Picture_3945_SpCnt_2"/>
                          <pic:cNvPicPr/>
                        </pic:nvPicPr>
                        <pic:blipFill>
                          <a:blip r:embed="rId304"/>
                          <a:stretch>
                            <a:fillRect/>
                          </a:stretch>
                        </pic:blipFill>
                        <pic:spPr>
                          <a:xfrm>
                            <a:off x="0" y="0"/>
                            <a:ext cx="575945" cy="833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18</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分区柜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材质：樟子松；规格约：长120*宽30*高70；柜子外表和内表，均不得有锐利的棱角，毛刺以及小五金部件露出来的锐利尖端。</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69850</wp:posOffset>
                  </wp:positionV>
                  <wp:extent cx="829945" cy="614680"/>
                  <wp:effectExtent l="0" t="0" r="8255" b="13970"/>
                  <wp:wrapNone/>
                  <wp:docPr id="316" name="Picture_7"/>
                  <wp:cNvGraphicFramePr/>
                  <a:graphic xmlns:a="http://schemas.openxmlformats.org/drawingml/2006/main">
                    <a:graphicData uri="http://schemas.openxmlformats.org/drawingml/2006/picture">
                      <pic:pic xmlns:pic="http://schemas.openxmlformats.org/drawingml/2006/picture">
                        <pic:nvPicPr>
                          <pic:cNvPr id="316" name="Picture_7"/>
                          <pic:cNvPicPr/>
                        </pic:nvPicPr>
                        <pic:blipFill>
                          <a:blip r:embed="rId305"/>
                          <a:stretch>
                            <a:fillRect/>
                          </a:stretch>
                        </pic:blipFill>
                        <pic:spPr>
                          <a:xfrm>
                            <a:off x="0" y="0"/>
                            <a:ext cx="829945" cy="614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19</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组合柜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规格：4个/套，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单个规格约：33*30*32cm、33*30*57cm、33*30*80cm、30*30*30cm。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颜色：原木色.</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146685</wp:posOffset>
                  </wp:positionV>
                  <wp:extent cx="809625" cy="763270"/>
                  <wp:effectExtent l="0" t="0" r="9525" b="17780"/>
                  <wp:wrapNone/>
                  <wp:docPr id="317" name="Picture_66128_SpCnt_1"/>
                  <wp:cNvGraphicFramePr/>
                  <a:graphic xmlns:a="http://schemas.openxmlformats.org/drawingml/2006/main">
                    <a:graphicData uri="http://schemas.openxmlformats.org/drawingml/2006/picture">
                      <pic:pic xmlns:pic="http://schemas.openxmlformats.org/drawingml/2006/picture">
                        <pic:nvPicPr>
                          <pic:cNvPr id="317" name="Picture_66128_SpCnt_1"/>
                          <pic:cNvPicPr/>
                        </pic:nvPicPr>
                        <pic:blipFill>
                          <a:blip r:embed="rId306"/>
                          <a:stretch>
                            <a:fillRect/>
                          </a:stretch>
                        </pic:blipFill>
                        <pic:spPr>
                          <a:xfrm>
                            <a:off x="0" y="0"/>
                            <a:ext cx="809625" cy="763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20</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书柜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料：全部材质均选用实木，材质：樟子松，规格约：宽100cm*高90cm*深30cm；颜色：原木本色，经过防虫、防腐等化学处理；刚性好、不变形，比重合理，每个产品经过几十道工序精细制作而成，边角经过圆角处理，防碰撞，安全性高。</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346710</wp:posOffset>
                  </wp:positionV>
                  <wp:extent cx="575310" cy="591185"/>
                  <wp:effectExtent l="0" t="0" r="15240" b="18415"/>
                  <wp:wrapNone/>
                  <wp:docPr id="318" name="Picture_114"/>
                  <wp:cNvGraphicFramePr/>
                  <a:graphic xmlns:a="http://schemas.openxmlformats.org/drawingml/2006/main">
                    <a:graphicData uri="http://schemas.openxmlformats.org/drawingml/2006/picture">
                      <pic:pic xmlns:pic="http://schemas.openxmlformats.org/drawingml/2006/picture">
                        <pic:nvPicPr>
                          <pic:cNvPr id="318" name="Picture_114"/>
                          <pic:cNvPicPr/>
                        </pic:nvPicPr>
                        <pic:blipFill>
                          <a:blip r:embed="rId307"/>
                          <a:stretch>
                            <a:fillRect/>
                          </a:stretch>
                        </pic:blipFill>
                        <pic:spPr>
                          <a:xfrm>
                            <a:off x="0" y="0"/>
                            <a:ext cx="575310" cy="591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21</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鞋柜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材质：樟子松；</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规格：12格120*23*35cm。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颜色：原木本色。</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96520</wp:posOffset>
                  </wp:positionV>
                  <wp:extent cx="902970" cy="560070"/>
                  <wp:effectExtent l="0" t="0" r="11430" b="11430"/>
                  <wp:wrapNone/>
                  <wp:docPr id="319" name="图片_52"/>
                  <wp:cNvGraphicFramePr/>
                  <a:graphic xmlns:a="http://schemas.openxmlformats.org/drawingml/2006/main">
                    <a:graphicData uri="http://schemas.openxmlformats.org/drawingml/2006/picture">
                      <pic:pic xmlns:pic="http://schemas.openxmlformats.org/drawingml/2006/picture">
                        <pic:nvPicPr>
                          <pic:cNvPr id="319" name="图片_52"/>
                          <pic:cNvPicPr/>
                        </pic:nvPicPr>
                        <pic:blipFill>
                          <a:blip r:embed="rId308"/>
                          <a:stretch>
                            <a:fillRect/>
                          </a:stretch>
                        </pic:blipFill>
                        <pic:spPr>
                          <a:xfrm>
                            <a:off x="0" y="0"/>
                            <a:ext cx="902970" cy="560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22</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几何组合柜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20件套，采用优质橡胶木，可自行组合造摆放。</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153035</wp:posOffset>
                  </wp:positionV>
                  <wp:extent cx="898525" cy="490855"/>
                  <wp:effectExtent l="0" t="0" r="15875" b="4445"/>
                  <wp:wrapNone/>
                  <wp:docPr id="320" name="图片_49"/>
                  <wp:cNvGraphicFramePr/>
                  <a:graphic xmlns:a="http://schemas.openxmlformats.org/drawingml/2006/main">
                    <a:graphicData uri="http://schemas.openxmlformats.org/drawingml/2006/picture">
                      <pic:pic xmlns:pic="http://schemas.openxmlformats.org/drawingml/2006/picture">
                        <pic:nvPicPr>
                          <pic:cNvPr id="320" name="图片_49"/>
                          <pic:cNvPicPr/>
                        </pic:nvPicPr>
                        <pic:blipFill>
                          <a:blip r:embed="rId309"/>
                          <a:stretch>
                            <a:fillRect/>
                          </a:stretch>
                        </pic:blipFill>
                        <pic:spPr>
                          <a:xfrm>
                            <a:off x="0" y="0"/>
                            <a:ext cx="898525" cy="4908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000" w:type="pct"/>
            <w:gridSpan w:val="6"/>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办公家具（蜚山幼儿园）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23</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教师办公桌</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Style w:val="11"/>
                <w:highlight w:val="none"/>
                <w:lang w:val="en-US" w:eastAsia="zh-CN" w:bidi="ar"/>
              </w:rPr>
              <w:t>规格约：2</w:t>
            </w:r>
            <w:r>
              <w:rPr>
                <w:rStyle w:val="11"/>
                <w:rFonts w:hint="eastAsia"/>
                <w:highlight w:val="none"/>
                <w:lang w:val="en-US" w:eastAsia="zh-CN" w:bidi="ar"/>
              </w:rPr>
              <w:t>8</w:t>
            </w:r>
            <w:r>
              <w:rPr>
                <w:rStyle w:val="11"/>
                <w:highlight w:val="none"/>
                <w:lang w:val="en-US" w:eastAsia="zh-CN" w:bidi="ar"/>
              </w:rPr>
              <w:t>00W*1200D*750H,板材：环保三聚氢胺板饰面，抗硬度性能良好，具防火、防污、防损等特点，内部基材为高密度板，板材台面板厚度：</w:t>
            </w:r>
            <w:r>
              <w:rPr>
                <w:rStyle w:val="12"/>
                <w:rFonts w:eastAsia="宋体"/>
                <w:highlight w:val="none"/>
                <w:lang w:val="en-US" w:eastAsia="zh-CN" w:bidi="ar"/>
              </w:rPr>
              <w:t>≥</w:t>
            </w:r>
            <w:r>
              <w:rPr>
                <w:rStyle w:val="11"/>
                <w:highlight w:val="none"/>
                <w:lang w:val="en-US" w:eastAsia="zh-CN" w:bidi="ar"/>
              </w:rPr>
              <w:t>25mm，PVC胶边封边。台脚架：采用冷轧钢,工艺流程：先进内外酸洗磷化除油，高温处理以及静电镀铬，底层绝对防锈。所有基材均达到国家环保（国家检测E级标准）要求。含</w:t>
            </w:r>
            <w:r>
              <w:rPr>
                <w:rStyle w:val="11"/>
                <w:rFonts w:hint="eastAsia"/>
                <w:highlight w:val="none"/>
                <w:lang w:val="en-US" w:eastAsia="zh-CN" w:bidi="ar"/>
              </w:rPr>
              <w:t>8</w:t>
            </w:r>
            <w:r>
              <w:rPr>
                <w:rStyle w:val="11"/>
                <w:highlight w:val="none"/>
                <w:lang w:val="en-US" w:eastAsia="zh-CN" w:bidi="ar"/>
              </w:rPr>
              <w:t>张椅子。</w:t>
            </w: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814705" cy="667385"/>
                  <wp:effectExtent l="0" t="0" r="8255" b="3175"/>
                  <wp:docPr id="322" name="图片 322" descr="a9aff4b05a8b79b3f13b20bf4cb4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a9aff4b05a8b79b3f13b20bf4cb44df"/>
                          <pic:cNvPicPr>
                            <a:picLocks noChangeAspect="1"/>
                          </pic:cNvPicPr>
                        </pic:nvPicPr>
                        <pic:blipFill>
                          <a:blip r:embed="rId310"/>
                          <a:stretch>
                            <a:fillRect/>
                          </a:stretch>
                        </pic:blipFill>
                        <pic:spPr>
                          <a:xfrm>
                            <a:off x="0" y="0"/>
                            <a:ext cx="814705" cy="667385"/>
                          </a:xfrm>
                          <a:prstGeom prst="rect">
                            <a:avLst/>
                          </a:prstGeom>
                        </pic:spPr>
                      </pic:pic>
                    </a:graphicData>
                  </a:graphic>
                </wp:inline>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293370</wp:posOffset>
                  </wp:positionV>
                  <wp:extent cx="584200" cy="635"/>
                  <wp:effectExtent l="0" t="0" r="0" b="0"/>
                  <wp:wrapNone/>
                  <wp:docPr id="321" name="Picture_66143"/>
                  <wp:cNvGraphicFramePr/>
                  <a:graphic xmlns:a="http://schemas.openxmlformats.org/drawingml/2006/main">
                    <a:graphicData uri="http://schemas.openxmlformats.org/drawingml/2006/picture">
                      <pic:pic xmlns:pic="http://schemas.openxmlformats.org/drawingml/2006/picture">
                        <pic:nvPicPr>
                          <pic:cNvPr id="321" name="Picture_66143"/>
                          <pic:cNvPicPr/>
                        </pic:nvPicPr>
                        <pic:blipFill>
                          <a:blip r:embed="rId311"/>
                          <a:stretch>
                            <a:fillRect/>
                          </a:stretch>
                        </pic:blipFill>
                        <pic:spPr>
                          <a:xfrm>
                            <a:off x="0" y="0"/>
                            <a:ext cx="584200" cy="6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24</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文件柜</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材质：≥17mm厚白色生态板；规格约：高2200*长800*深300mm；高柜下部分内隔并为带密封柜门，上部分内隔叁层为实木框内嵌玻璃。铰链为全改缓冲式铰链。含五金配件及安装。</w:t>
            </w: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155575</wp:posOffset>
                  </wp:positionV>
                  <wp:extent cx="398145" cy="612140"/>
                  <wp:effectExtent l="0" t="0" r="1905" b="16510"/>
                  <wp:wrapNone/>
                  <wp:docPr id="323" name="图片_54"/>
                  <wp:cNvGraphicFramePr/>
                  <a:graphic xmlns:a="http://schemas.openxmlformats.org/drawingml/2006/main">
                    <a:graphicData uri="http://schemas.openxmlformats.org/drawingml/2006/picture">
                      <pic:pic xmlns:pic="http://schemas.openxmlformats.org/drawingml/2006/picture">
                        <pic:nvPicPr>
                          <pic:cNvPr id="323" name="图片_54"/>
                          <pic:cNvPicPr/>
                        </pic:nvPicPr>
                        <pic:blipFill>
                          <a:blip r:embed="rId312"/>
                          <a:stretch>
                            <a:fillRect/>
                          </a:stretch>
                        </pic:blipFill>
                        <pic:spPr>
                          <a:xfrm>
                            <a:off x="0" y="0"/>
                            <a:ext cx="398145" cy="612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蜚山第二小学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6" w:hRule="atLeast"/>
        </w:trPr>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w:t>
            </w:r>
          </w:p>
        </w:tc>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学生课桌椅</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1、桌面尺寸及要求：600mm×400mm×20mm桌面采用E1级实木板厚度20mm，PP塑料注塑封边一次成型，桌面颜色为白橡色，具有缓解视觉疲劳的作用。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桌侧板:主体上宽370mm下宽190mm总高度350mm厚度1.2mm的优质冷轧板一次冲压而成，书斗长49cm*宽37cm，开口处高度为20cm，内空高度为225mm，（带有倾斜度，防止书包滑出）升降片必须具有两列调节升降圆形孔，共7至9个孔竖向排列调节，六档调节，每档调节3cm可升降范围57cm~78cm。两列调节孔背面冲压成半弧形反抱住立柱（起到保护不被刮伤作用）,周围及边缘有加强筋，书斗开口处做卷边处理（拿或放书防止学生手刮伤，），两侧带有挂钩。（如图所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3、桌腿:桌底底腿采用25×50×1.2mm厚的优质扁圆管，底腿立柱采用25×50×1.2mm厚的优质扁圆管，两侧双立柱间用一根25×50×1.2mm的优质扁圆管连接颜色为驼灰色。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4、椅背、椅面采用实木面板厚度20mm。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5、脚套：整体采用合成橡胶，脚套顶部设有加强筋处理，耐磨、耐老化，脚套底部采用螺丝固定或冲压成凸型，防止脚套不易脱落。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6、凳脚：凳脚采用1.2mm厚50×20mm椭圆管,两侧均为双竖管，配耐磨塑料脚套，侧板采用≥1.0mm厚冷轧钢板。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7、钢制部分采用二氧化碳保护焊接，表面粉末静电喷塑，光洁度90%以上，硬度达0.4，冲击力&gt;4N/M。表面平整，色泽鲜明，面板具有耐磨、耐划痕、耐酸碱、耐烫、耐污染优点。全部采用止退螺丝帽加固。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8、要求：材料、工艺、漆膜理化功能、力学功能、安全卫生要求都必须符合相关国家标准。</w:t>
            </w:r>
          </w:p>
        </w:tc>
        <w:tc>
          <w:tcPr>
            <w:tcW w:w="5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250</w:t>
            </w:r>
          </w:p>
        </w:tc>
        <w:tc>
          <w:tcPr>
            <w:tcW w:w="8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2708910</wp:posOffset>
                  </wp:positionV>
                  <wp:extent cx="937260" cy="1015365"/>
                  <wp:effectExtent l="0" t="0" r="15240" b="13335"/>
                  <wp:wrapNone/>
                  <wp:docPr id="324" name="图片_1_SpCnt_5"/>
                  <wp:cNvGraphicFramePr/>
                  <a:graphic xmlns:a="http://schemas.openxmlformats.org/drawingml/2006/main">
                    <a:graphicData uri="http://schemas.openxmlformats.org/drawingml/2006/picture">
                      <pic:pic xmlns:pic="http://schemas.openxmlformats.org/drawingml/2006/picture">
                        <pic:nvPicPr>
                          <pic:cNvPr id="324" name="图片_1_SpCnt_5"/>
                          <pic:cNvPicPr/>
                        </pic:nvPicPr>
                        <pic:blipFill>
                          <a:blip r:embed="rId313"/>
                          <a:stretch>
                            <a:fillRect/>
                          </a:stretch>
                        </pic:blipFill>
                        <pic:spPr>
                          <a:xfrm>
                            <a:off x="0" y="0"/>
                            <a:ext cx="937260" cy="1015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1、椅背、椅面采用实木面板厚度20mm。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2、脚套：整体采用合成橡胶，脚套顶部设有加强筋处理，耐磨、耐老化，脚套底部采用螺丝固定或冲压成凸型，防止脚套不易脱落。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3、凳脚：凳脚采用1.2mm厚50×20mm椭圆管,两侧均为双竖管，配耐磨塑料脚套，侧板采用≥1.0mm厚冷轧钢板。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4、钢制部分采用二氧化碳保护焊接，表面粉末静电喷塑，光洁度90%以上，硬度达0.4，冲击力&gt;4N/M。表面平整，色泽鲜明，面板具有耐磨、耐划痕、耐酸碱、耐烫、耐污染优点。全部采用止退螺丝帽加固。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5、要求：材料、工艺、漆膜理化功能、力学功能、安全卫生要求都必须符合相关国家标准。</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trPr>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办公桌椅</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1、桌子尺寸：1600*800*760（mm），配椅子；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2、贴面材料：采用胡桃木木皮饰面；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3、封边用材：与贴面相同的木材；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4、基材：采用高密度板,绿色环保,甲醛含量≤1.0mg/L密度≥760kg/m3,静曲张度≥ 51.2Mpa,吸水膨胀率≤8.1%.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5、油漆：水性环保油漆，符合环保要求；</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6、五金配件：锁具，路轨，连接件；</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826135</wp:posOffset>
                  </wp:positionV>
                  <wp:extent cx="832485" cy="1140460"/>
                  <wp:effectExtent l="0" t="0" r="5715" b="2540"/>
                  <wp:wrapNone/>
                  <wp:docPr id="326" name="图片_6_SpCnt_1"/>
                  <wp:cNvGraphicFramePr/>
                  <a:graphic xmlns:a="http://schemas.openxmlformats.org/drawingml/2006/main">
                    <a:graphicData uri="http://schemas.openxmlformats.org/drawingml/2006/picture">
                      <pic:pic xmlns:pic="http://schemas.openxmlformats.org/drawingml/2006/picture">
                        <pic:nvPicPr>
                          <pic:cNvPr id="326" name="图片_6_SpCnt_1"/>
                          <pic:cNvPicPr/>
                        </pic:nvPicPr>
                        <pic:blipFill>
                          <a:blip r:embed="rId314"/>
                          <a:stretch>
                            <a:fillRect/>
                          </a:stretch>
                        </pic:blipFill>
                        <pic:spPr>
                          <a:xfrm>
                            <a:off x="0" y="0"/>
                            <a:ext cx="832485" cy="11404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77470</wp:posOffset>
                  </wp:positionV>
                  <wp:extent cx="922020" cy="619125"/>
                  <wp:effectExtent l="0" t="0" r="11430" b="9525"/>
                  <wp:wrapNone/>
                  <wp:docPr id="325" name="图片_4_SpCnt_1"/>
                  <wp:cNvGraphicFramePr/>
                  <a:graphic xmlns:a="http://schemas.openxmlformats.org/drawingml/2006/main">
                    <a:graphicData uri="http://schemas.openxmlformats.org/drawingml/2006/picture">
                      <pic:pic xmlns:pic="http://schemas.openxmlformats.org/drawingml/2006/picture">
                        <pic:nvPicPr>
                          <pic:cNvPr id="325" name="图片_4_SpCnt_1"/>
                          <pic:cNvPicPr/>
                        </pic:nvPicPr>
                        <pic:blipFill>
                          <a:blip r:embed="rId315"/>
                          <a:stretch>
                            <a:fillRect/>
                          </a:stretch>
                        </pic:blipFill>
                        <pic:spPr>
                          <a:xfrm>
                            <a:off x="0" y="0"/>
                            <a:ext cx="922020" cy="619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331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合同包2最高限价：</w:t>
            </w:r>
          </w:p>
        </w:tc>
        <w:tc>
          <w:tcPr>
            <w:tcW w:w="16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342500元</w:t>
            </w:r>
          </w:p>
        </w:tc>
      </w:tr>
    </w:tbl>
    <w:p>
      <w:pPr>
        <w:pStyle w:val="2"/>
        <w:rPr>
          <w:highlight w:val="none"/>
        </w:rPr>
      </w:pPr>
    </w:p>
    <w:tbl>
      <w:tblPr>
        <w:tblStyle w:val="7"/>
        <w:tblW w:w="52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6"/>
        <w:gridCol w:w="1047"/>
        <w:gridCol w:w="5772"/>
        <w:gridCol w:w="697"/>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000" w:type="pct"/>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合同包3：教学仪器器材及电器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货物名称</w:t>
            </w:r>
          </w:p>
        </w:tc>
        <w:tc>
          <w:tcPr>
            <w:tcW w:w="323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详细技术参数</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接力棒</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优质原木制成。直径30mm，长度为300mm。长度的一半为红色，另一半为白色。经无毒无害处理。质量为</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跳高架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移动式，可升降。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最大高度2000mm  最低高度500mm   最小刻度值5mm。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玻璃钢横杆1根，长4m。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底座重量</w:t>
            </w:r>
            <w:r>
              <w:rPr>
                <w:rStyle w:val="13"/>
                <w:rFonts w:hint="eastAsia" w:ascii="宋体" w:hAnsi="宋体" w:eastAsia="宋体" w:cs="宋体"/>
                <w:color w:val="auto"/>
                <w:sz w:val="24"/>
                <w:szCs w:val="24"/>
                <w:highlight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15KG，底部设有微调结构，带滚轮移动方便。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各种金属件均需采用户外环保材料喷涂，具有耐酸碱、耐湿热、耐腐蚀、耐磨、抗老化、牢固，外形美观等相关要求。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应符合国家标准：GB/T19851.17-2007</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跨栏架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练习型，最低高度550mm  高度可调节，四档升降，550、600、650、700mm，弹簧升降，底座附有可调加重器，栏板倾翻力10N～15N。栏板长度1000-1200mm，ABS材料。宽度50-70mm；栏架底座长650mm。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起跑器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长66.5cm,宽23cm塑胶跑道用，铝合金底座，脚蹬位置及距离可调节. 脚蹬附有防滑皮垫。</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实心球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圆周长400mm,质量1000g,采用优质橡胶制成，球体表面进行防滑处理,不应有颗粒脱落、裂缝等缺陷,经过从10m高处自由落体试验后，应无破裂。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铅球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质量3.0kg，，直径94mm，采用铁制金属材料制成，球体重心距球体中心距离不大于6mm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铅球 </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质量4.0kg，，直径102mm，采用铁制金属材料制成，球体重心距球体中心距离不大于6mm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起跳板</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实木制，长1.2米，宽0.2米，厚度0.05米。</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小学生用篮球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胶质  优等正品5号,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周长:645mm～670mm；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重量：420g～480g；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橡胶内胆，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绕线：大化纤，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橡胶外层：天然橡胶，丁苯橡胶，碳酸钙，硬脂酸锌等</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小学生用排球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胶质  优等正品5号；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周长:600mm～620mm；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重量：200g～240g；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橡胶内胆；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绕线：大化纤；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橡胶外层：天然橡胶，丁苯橡胶，碳酸钙，硬脂酸锌等；</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软式排球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3号软式排球；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周长560mm～580mmmm；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重量170-220g；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变形恢复度≤5%；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反弹高度≥350mm；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免充气。</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气排球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圆周长为610mm～630mm；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质量150g～170g；</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儿童足球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3号PU，</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圆周长535mm～560mm；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质量270g～320g</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球口外径65mm～68mm；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球头直径25mm～27mm；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球头高度24mm～26mm；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毛片插长63mm～64mm；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质量4.50g～5.80g；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毛片数量16片；</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羽毛球拍</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2拍，符合国标，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球拍总长度：≤680mm,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球拍宽度：≤230mm，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球拍拍弦面长度：≤280mm,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球拍拍弦面宽度：≤220mm,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拍体表面平整光洁、无伤痕，镀涂薄膜有充分的防水防锈的效果，漆层无流漆、起泡及剥落现象。</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羽毛球网柱</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移动式羽毛球网柱，静电喷涂优质管材，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立杆高度：1.55米，底座为水滴型，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配重重量：</w:t>
            </w:r>
            <w:r>
              <w:rPr>
                <w:rStyle w:val="13"/>
                <w:rFonts w:hint="eastAsia" w:ascii="宋体" w:hAnsi="宋体" w:eastAsia="宋体" w:cs="宋体"/>
                <w:color w:val="auto"/>
                <w:sz w:val="24"/>
                <w:szCs w:val="24"/>
                <w:highlight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70KG,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紧线器：电镀防锈金属，并送标准球网钢丝绳。</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羽毛球网长度：≥6100mm，宽度：500mm±25mm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跳绳</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短跳绳，绳长度2600mm～2800mm，直径6mm～7mm，质量60g～80g；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柄(2个)：长度140mm～170mm，直径26mm～33mm，质量70g～90g；</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拔河绳</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长30m,φ40mm,麻绳制，绳中置有一条高强度的钢丝， 防止拔河绳突然断裂，有效保护比赛人员安全；</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塑料圈(呼啦圈)</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外径800mm，呼拉圈内层用直径15mm,厚度1mm的优质钢管扭弯成形，接头用35mm铁件套管连接，外层为EVA材料，手感良好。产品质量可靠，使用寿命大大提高，杜绝呼拉圈容易折断、变形、接口开裂的毛病。</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小沙包</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300g，防水防潮双层高级牛津帆布。</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5000" w:type="pct"/>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 HYPERLINK "http://www.spsp.gov.cn/page/FO/1986/KS G5737-1986.shtml"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Style w:val="10"/>
                <w:rFonts w:hint="eastAsia" w:ascii="宋体" w:hAnsi="宋体" w:eastAsia="宋体" w:cs="宋体"/>
                <w:i w:val="0"/>
                <w:iCs w:val="0"/>
                <w:color w:val="auto"/>
                <w:sz w:val="24"/>
                <w:szCs w:val="24"/>
                <w:highlight w:val="none"/>
                <w:u w:val="none"/>
              </w:rPr>
              <w:t>小学美术器材设备</w:t>
            </w:r>
            <w:r>
              <w:rPr>
                <w:rFonts w:hint="eastAsia" w:ascii="宋体" w:hAnsi="宋体" w:eastAsia="宋体" w:cs="宋体"/>
                <w:i w:val="0"/>
                <w:iCs w:val="0"/>
                <w:color w:val="auto"/>
                <w:kern w:val="0"/>
                <w:sz w:val="24"/>
                <w:szCs w:val="24"/>
                <w:highlight w:val="none"/>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货物名称</w:t>
            </w:r>
          </w:p>
        </w:tc>
        <w:tc>
          <w:tcPr>
            <w:tcW w:w="323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主要技术参数要求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画架 </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梯形画架，采用优质杉木制作、高1450mm，三根主杆采用25mm×45mm优质杉木制作。倾斜度可调。</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个 </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5000" w:type="pct"/>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小学科学仪器（</w:t>
            </w:r>
            <w:r>
              <w:rPr>
                <w:rFonts w:hint="eastAsia" w:ascii="宋体" w:hAnsi="宋体" w:eastAsia="宋体" w:cs="宋体"/>
                <w:b/>
                <w:bCs/>
                <w:i w:val="0"/>
                <w:iCs w:val="0"/>
                <w:color w:val="000000"/>
                <w:kern w:val="0"/>
                <w:sz w:val="24"/>
                <w:szCs w:val="24"/>
                <w:highlight w:val="none"/>
                <w:u w:val="none"/>
                <w:lang w:val="en-US" w:eastAsia="zh-CN" w:bidi="ar"/>
              </w:rPr>
              <w:t>蜚山第二小学</w:t>
            </w:r>
            <w:r>
              <w:rPr>
                <w:rFonts w:hint="eastAsia" w:ascii="宋体" w:hAnsi="宋体" w:eastAsia="宋体" w:cs="宋体"/>
                <w:b/>
                <w:bCs/>
                <w:i w:val="0"/>
                <w:iCs w:val="0"/>
                <w:color w:val="auto"/>
                <w:kern w:val="0"/>
                <w:sz w:val="24"/>
                <w:szCs w:val="24"/>
                <w:highlight w:val="none"/>
                <w:u w:val="none"/>
                <w:lang w:val="en-US" w:eastAsia="zh-CN" w:bidi="ar"/>
              </w:rPr>
              <w:t>+溪口小学）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生物显微镜</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由镜座、镜臂、镜筒、准焦螺旋、物镜转换器、载物台、反光镜、目镜、物镜等组成。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放大率：640×。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消色差物镜：10×、40×。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惠更斯目镜：5×、10×、16×。</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物镜转换器三孔同心，定位准确。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 反光镜一面为平面，一面为凹面。</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学生显微镜</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由目镜、物镜、镜架、调焦左轮、镜身、载物台、反光镜及底座组成；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机械筒长：135mm。放大率：200×。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消色差物镜：10×、16×。</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惠更斯目镜：12.5×、10×。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调焦范围：＞16mm,装有限位装置，能防止物镜碰击试样切片。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载物台面积：90mm*90mm。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反射镜直径：42mm,镜身主动式观察。</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放大镜</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1、手持，塑料手柄，镜面直径50mm；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2、放大倍数：5X</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酒精喷灯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1．结构合理，制作精细，使用方便；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2．仪器由灯壶、预热盘壶嘴预热管喷火管火力调节棒喷嘴等部分组成；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3．火力调节棒能自如地调节空气进量从而调节火焰的大小；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4．仪器密封无渗漏。</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水槽</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 水槽不因温度和盛水时重力的影响而发生形变（水温40℃），水槽能在高度1M处自由下落于水泥地面时不碎裂。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三脚架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产品由三根支脚及架圈组成；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架圈：a.内径：90±1mm  b.宽：20mm  c.架高141mm；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支脚：脚端有一定的斜度，放置平稳，三脚夹角120°±5°</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产品由顶板、底板、插杆组成11孔、8插。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顶板、底板均由优质塑料制成。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顶板为230×42×3（mm）的塑料板，孔径大小分布排列，平面度误差1.2 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底板为230×73×6（mm）的塑料，底板11孔与顶板11孔同心，孔深2 mm，平面度误差1.2 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插杆为长65 mm，与底板孔对应 成排。</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教学电源</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交流：2V～12V/5A，每2V一档；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直流：1.5V～12V/2A，分为1.5V、3V、4.5V、6V、9V、12V共6档</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电池盒</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组成：产品由塑料盒底、正负极弹簧片、插接件组成；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尺寸：a.盒体壁厚：1.8mm   b.接触金属片用0.20mm磷铜片制成   c.弹簧由0.84mm钢丝镀铬制成。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盒底由塑料制成。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接线柱采用红、黑二种颜色的接线柱；</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直尺</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1、外形尺寸500×30×3mm。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2、用有机塑料材料制造，裂纹存在，无明显变形。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3、尺面，平整清洁，符合ZBY51001－88第6.5条要求。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4、全长允差3mm。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5、尺面刻度线清晰垂直于测量面，无断线，数字清晰端正。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6、每5厘米和10厘米处有长的刻度显示；</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软尺</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1、材料为软塑料，用于中小学测量非直线长度。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2、长度为1500mm，基本测量单位为厘米，1－10厘米范围内最小刻度单位为mm。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3、软尺两端用防锈处理后的金属片封边。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4、软尺表面印制的刻度线能长久保持，测量精度准确，不断线。</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托盘天平</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最大称量500g，分度值0.5g,标尺称量0-10g。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秤量允许误差为0.5d(分度值)。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砝码组合的总质量（包括标尺计量值）为天平的最大秤量。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冲压件及铸件表面光洁平整，没有毛刺、锋棱、裂纹和显见砂眼。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电镀件的镀层色泽均匀，没有露底和显见的麻点、水迹、擦伤等缺陷。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 油漆件表面平整光滑，色泽均匀，没有露底、起泡、挂漆、擦伤等缺陷。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 符合JY0001－2003《教学仪器一般质量要求》的有关规定。</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金属钩码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1、材料：采用纯度99.6％，颗粒≥90的钢材。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2、质量：50±0.5g5个，60±0.5g5个.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3、密度：6.0 Q。（勾除外）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4、硬度：HB70。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5、钩码经2000次冲击后无裂痕和明显变形。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6、上、下钩的连线通过钩码主体的轴线。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钩码表面有防腐镀层。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电子停表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1、数码显示，具有显示月、日、星期时间和响铃时间显示功能。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2、秒表计时应带有简易计时、分段计时、两段时间显示，且必须带暂停按钮。</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温度计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红液。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全长：290mm；外径：2.6mm；头：10mm。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测量范围：0－100℃；最小分度值：1℃；允许误差±1℃。</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温度计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感温物质：水银。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测量范围：0－200℃；最小分度值：1℃；允许误差±1℃。</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体温计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棒式，测量部位为口腔，测量范围35－42℃。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体温计按国际实用温标刻度，稳度最小分度值为0.1℃，分度均匀，两相邻分度中心的距离0.55mm。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寒暑表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指针式。2． 测量温度范围：  －30～50℃，精度：±1℃。3． 尺寸：200×45（mm）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最高温度表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测量范围：-16℃~+81℃，测量误差±1℃。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最小分度值：1℃。</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最低温度表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测量范围：-52℃~+41℃，测量误差±1℃。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最小分度值：1℃。</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由方形弹簧盒（带刻板）、弹簧、提环、挂钩、指针等组成。零点可调。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条形盒测力规格：5N。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分度值为量程的1／50，零点平均示差1／4分度，任一点的平均示差1／2分度，任一点的重复称量的最大示差1／4分度。</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由方形弹簧盒（带刻板）、弹簧、提环、挂钩、指针等组成。零点可调。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条形盒测力规格：2.5N。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分度值为量程的1／50，零点平均示差1／4分度，任一点的平均示差1／2分度，任一点的重复称量的最大示差1／4分度。</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1、由方形弹簧盒（带刻板）、弹簧、提环、挂钩、指针等组成。零点可调。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2、条形盒测力量程为：0～1N。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3、分度值为量程的1/50，零点平均示差1/4分度，任一点的平均示差1/2分度，任一点的重复称量的最大示差1/4分度。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4、应符合JY0127-91《教学测力计》的要求；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多用电表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不低于2.5级；</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湿度计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测量湿度范围：  0～100%，分度值：1℃。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测量误差小于±5%相对湿度。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温度示值允许误差±1℃。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二支温度计对称，对比误差不超过0.5℃。</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指南针</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1、为圆形指南针，直径40mm。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2、上盖为优质透明塑料，下盖内表面上标示有北、南、东、西的方位标志刻线和字母等。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3、N极涂红色，S极涂白色。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4、磁针自行停止后，准确指向北极，指向偏差符合有关要求。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5、磁针转动灵活。</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雨量器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1、雨量筒由桶体、承水器、专用量杯构成，接水的漏斗口、储水瓶和外套筒、专用量杯的三角构成。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2、雨量杯塑料制成，口径为10.5厘米，杯上的刻度从100到1000毫升，每一小格代表50毫升，每一大格为100毫升。</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风杯式风速表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1、有直读装置、风速传感器、主机，主机带有显示屏及功能按钮，显示屏尺寸46×28mm，显示的数字字节尺寸18mm。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2、能测量瞬时风速，平均风速，瞬时风级、平均风级，对应浪高及具有数据锁存功能。</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斜面</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1、本仪器与29010小车配套使用，相关技术指标匹配。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2、产品由300*100*15mm木板一块、500*100*15mm木板一块，横杆一根组成。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压簧</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1、极限弹度4.5N。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2、能满足小学科学有关章节教学要求。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拉簧</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1、极限弹度4.5N。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2、能满足小学科学有关章节教学要求。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沉浮块</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由三个沉浮快组成，一个沉浮快体积为30*30*30mm，另两个大沉浮快体积为39*39*39mm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杠杆尺及支架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1、本仪器由塑料制成。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2、由杠杆尺、支架杆、支架台组成。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3、能满足小学科学有关章节教学要求；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4、科学原理正确，实验效果明显。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个  </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滑轮组及支架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1、由滑轮、滑轮架、横梁销轴螺杆蝶形螺帽支架及底座组成。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2、能满足小学科学有关章节教学要求。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3、科学原理正确，实验效果明显。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轮轴及支架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1、轮、轴及支架底座组成。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2、能满足小学科学有关章节教学要求。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3、科学原理正确，实验效果明显。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齿轮组及支架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1、由底座、立杆、大中小齿轮、手摇抦组成。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2、底座长125mm，宽75mm、大轮轴直径65mm，中轮轴直径52mm,小轮轴直径38mm。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3、能满足小学科学有关章节教学要求4、科学原理正确，实验效果明显。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弹簧片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配合新课标</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小车</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1、本仪器与29001斜面配套使用，相关技术指标匹配。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2、能满足小学科学有关章节教学要求。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3、其它符合JY39－84的有关要求。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三球仪</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由太阳、地球、月球、连杆、齿轮及齿轮架、节气盘、月相盘、底座组成。太阳、地球、月球和底座采用塑料件，其余主件采用金属件。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太阳两半球结合部分无缝隙，内置表示太阳平行光的聚光灯泡。地球表面图纸粘贴平整，无皱纹气泡，拼接部分无重叠现象。</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太阳高度测量器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产品由立杆、角度板及底盘（包括方向盘及指南针）组成。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性能：可用于进行太阳和影子、测量太阳的高度（角）实验。</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风的形成实验材料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材料主要由底座透明圆桶铝制风叶等组成。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组装风车材料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由方形纸片一张，风叶轮轴一个，转轴杆一根，手持杆一根，塑料两通连接一个。</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组装水轮材料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由水槽轮毂叶片漏斗及支架等组成。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组装土电话材料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由土电话筒二只、话筒压盖二只、薄膜二块、塑料圆片二片、细线5米组成。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热传导实验材料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本产品由木棍，铁棒，塑料棍，玻璃棒，陶瓷，棉花，石棉组成。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物体热涨冷缩实验材料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由带手柄的铜球塑料球及带手柄的圆环组成。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灯座及灯泡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小灯座由底板、接线柱，灯座组成。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小灯座为、螺旋式灯座与E10／13、E10／14、1c9／14小电珠配用。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小灯座最高工作电压为36V，最大工作电流为2.5A。</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开关</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开关的最高工作电压36V，额定工作电流6A。2． 开关闸刀与接线柱及垫片均为铜质，闸刀的宽度7mm，闸刀厚度0.7mm。接线柱直径为φ4mm，有效行程4mm。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物体导电性实验材料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1、附件为铜、铁、铝、塑料、碳棒五种测试片；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2、先在产品底部电池盒内装上2节5号电池，再将待测试片用实验夹住，就可以观察到指示灯是否发光。如指示亮 ，就说明该测试片发生了导电作用，使电源的电流形成了回路。如果指示灯不亮，说明该测试片是绝缘体。</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3、对于液体的导电性实验，将溶液盒盖打开倒入待测适量液体（以测试棒能接触到为好，然后用上述同样方法实验）这样就完成了该物质导电性实验。</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条形磁铁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1、产品属D-CG-LT-180型，并经磁化。每对两条。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2、北极（N极）涂红色，南极（S极）涂白色。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3、长度：160mm。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4、横截面积：200平方毫米。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5、磁感应强度（表面）：0.060T。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6、产品符合JY0057－94《教学用磁钢》的要求。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条形磁铁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1、分组实验用，永磁条形磁铁，磁性保持长久。</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2、用颜色和字母标明N、S极。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3、能满足小学科学有关章节教学要求；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蹄形磁铁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1、产品属D-CG-LU-80型，磁化而成。并配有软铁制成的衔铁。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2、北极（N极）涂红色，南极（S极）白色。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3、尺寸：L＝80mm,磁极间距（内径）40mm。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4、极截面：10mm×20mm。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5、表面磁感应强度：0.055T。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6、产品符合JY0057－94《教学用磁钢》的要求。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蹄形磁铁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1、分组实验用，永磁蹄形磁铁，磁性保持长久。2、用颜色和字母标明N、S极。3、能满足小学科学有关章节教学要求。4、实验效果明显。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磁针</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每组包含菱形小磁针10支，磁针体尺寸28×8mm；支座底径25mm，总高25mm。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磁针体的中间铆接铜轴承套，内嵌玻璃轴承。</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环形磁铁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1、分组实验用，永磁环形磁铁，磁性保持长久。</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2、用颜色和字母标明N、S极。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3、能满足小学科学有关章节教学要求。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电磁铁组装材料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1、分组实验用，由线圈骨架两个，铁芯两个，导线一米和两米长各一根，小垫片30个组成。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电磁铁</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由二块4mm厚铁板组成，试验器的衔铁，还有两个用直径0。35高强漆包线排线密饶，线圈匝数为600圈，两条铁芯，三部分组成。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激光笔</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1、本仪器为小学科学中光学演示和分组实验的光源。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2、使用5号电池做电源，发红色激光，单色性好。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3、光束集中不发散，射程不少于10米。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小孔成像装置</w:t>
            </w:r>
          </w:p>
        </w:tc>
        <w:tc>
          <w:tcPr>
            <w:tcW w:w="323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产品由支架</w:t>
            </w:r>
            <w:r>
              <w:rPr>
                <w:rStyle w:val="14"/>
                <w:rFonts w:hint="eastAsia" w:ascii="宋体" w:hAnsi="宋体" w:eastAsia="宋体" w:cs="宋体"/>
                <w:color w:val="auto"/>
                <w:sz w:val="24"/>
                <w:szCs w:val="24"/>
                <w:highlight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只，小孔板</w:t>
            </w:r>
            <w:r>
              <w:rPr>
                <w:rStyle w:val="14"/>
                <w:rFonts w:hint="eastAsia" w:ascii="宋体" w:hAnsi="宋体" w:eastAsia="宋体" w:cs="宋体"/>
                <w:color w:val="auto"/>
                <w:sz w:val="24"/>
                <w:szCs w:val="24"/>
                <w:highlight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片，白屏</w:t>
            </w:r>
            <w:r>
              <w:rPr>
                <w:rStyle w:val="14"/>
                <w:rFonts w:hint="eastAsia" w:ascii="宋体" w:hAnsi="宋体" w:eastAsia="宋体" w:cs="宋体"/>
                <w:color w:val="auto"/>
                <w:sz w:val="24"/>
                <w:szCs w:val="24"/>
                <w:highlight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片等组成。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平面镜及支架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产品由</w:t>
            </w:r>
            <w:r>
              <w:rPr>
                <w:rStyle w:val="14"/>
                <w:rFonts w:hint="eastAsia" w:ascii="宋体" w:hAnsi="宋体" w:eastAsia="宋体" w:cs="宋体"/>
                <w:color w:val="auto"/>
                <w:sz w:val="24"/>
                <w:szCs w:val="24"/>
                <w:highlight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个支座，</w:t>
            </w:r>
            <w:r>
              <w:rPr>
                <w:rStyle w:val="14"/>
                <w:rFonts w:hint="eastAsia" w:ascii="宋体" w:hAnsi="宋体" w:eastAsia="宋体" w:cs="宋体"/>
                <w:color w:val="auto"/>
                <w:sz w:val="24"/>
                <w:szCs w:val="24"/>
                <w:highlight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个小平面镜等组成。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透镜、棱镜及支架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1、由凸透镜、棱镜支架、底座、套圈等组成。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2、凸透镜镜面直径Ø50mm，支座尺寸应50×49×48mm。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3、透镜由光学玻璃制成。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4、实验效果明显。</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成像屏及支架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产品由支架</w:t>
            </w:r>
            <w:r>
              <w:rPr>
                <w:rStyle w:val="14"/>
                <w:rFonts w:hint="eastAsia" w:ascii="宋体" w:hAnsi="宋体" w:eastAsia="宋体" w:cs="宋体"/>
                <w:color w:val="auto"/>
                <w:sz w:val="24"/>
                <w:szCs w:val="24"/>
                <w:highlight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个，带砂玻璃片</w:t>
            </w:r>
            <w:r>
              <w:rPr>
                <w:rStyle w:val="14"/>
                <w:rFonts w:hint="eastAsia" w:ascii="宋体" w:hAnsi="宋体" w:eastAsia="宋体" w:cs="宋体"/>
                <w:color w:val="auto"/>
                <w:sz w:val="24"/>
                <w:szCs w:val="24"/>
                <w:highlight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片，白屏</w:t>
            </w:r>
            <w:r>
              <w:rPr>
                <w:rStyle w:val="14"/>
                <w:rFonts w:hint="eastAsia" w:ascii="宋体" w:hAnsi="宋体" w:eastAsia="宋体" w:cs="宋体"/>
                <w:color w:val="auto"/>
                <w:sz w:val="24"/>
                <w:szCs w:val="24"/>
                <w:highlight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片组成。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昆虫观察盒</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1．盒体用透明塑料制成。用于比较观察物的大小。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2．盒盖采用双凸透镜，镜片直径30mm，放大倍数3倍，盒盖可拆卸。</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动物饲养笼</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铁制</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塑料注射器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规格：30ml。塑料制成。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密封性好，滑动灵活。</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讲台</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科学实验室专用操作讲台</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科学仪器柜1</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86*40*180,中二抽，0.8厚度，采用上海宝钢优质ST12冷轧板制作，静电喷塑：钢质部件采用乳化剂和碱性助剂，磷酸除锈、锌系薄膜磷化、钝化，亚光热固性环氧聚酯粉末，高温固化。</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科学仪器柜2</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86*40*180,0.8厚度，采用上海宝钢优质ST12冷轧板制作，静电喷塑：钢质部件采用乳化剂和碱性助剂，磷酸除锈、锌系薄膜磷化、钝化，亚光热固性环氧聚酯粉末，高温固化。</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叶片气孔装片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动物表皮细胞装片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蛙卵细胞切片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骨细胞切片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口腔粘膜细胞装片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人血细胞装片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标称容量：500ml，量入式允差2.5ml，量出式允差5.0ml。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最小分度：5ml。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最高标线到内底最小距离：220mm。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最高标线到筒顶最小距离：50mm。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全高：350mm。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 壁厚：1.2mm。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标称容量：250ml，最大允差3.0ml。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最小分度：25ml。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最高标线到内底最小距离：110mm。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全高：200mm。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壁厚：1.2mm。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甘油注射器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  30ml,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2.最小分度值:  1ml；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3.甘油注射器的刻度表符合规定:刻度与计量数字清晰完整、耐久、分度线平直，分格均匀。</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规格：试管外径Φ15mm；试管高150mm；壁厚1mm。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管口切平、烘光，没有刺手现象，底部圆正，试管壁厚薄均匀。</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规格：试管外径Φ25mm；试管高200mm；壁厚1mm。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管口应切平、烘光，没有刺手现象，底部圆正，试管壁厚薄均匀。</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规格：50ml。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尺寸：杯身外径：46；杯身长：56；壁厚：1mm。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规格：100ml。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尺寸：杯身外径：52；杯身长：70；壁厚：1mm。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规格：250ml。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尺寸：杯身外径：70；杯身长：95；壁厚：1.2mm。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规格：500ml。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尺寸：杯身外径：88.5；杯身长：117；壁厚：1.4mm。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规格：平底，150ml。</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锥形瓶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规格：锥形，100ml。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尺寸：瓶底直径：60；瓶全高：103；瓶身高79；小底径：42；瓶颈内径：22；颈高：24；</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规格：150ml。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由灯座、灯塞、灯盖、灯芯组成。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灯身高80mm；盖高：60mm。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直径：灯肩82mm；灯底50mm；灯盖22mm。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厚度：1.5mm。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漏斗口径：60mm；厚度：约2mm。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漏斗：50mm；斗柄外径：Φ9mm－10mm；斗柄长60mm；漏斗角度：60º。4． 口边光滑平整，无毛边、快口及崩缺，角度正确，口边无呈椭圆形及部规则多边形，斗柄垂直，下口磨成45º角，并将斜口边倒角不呈缺口。</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Y形管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弯管长：50mm；支管长：50mm；管厚：1；管径：Φ7mm－8mm；全高：100mm。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弯管角度：60º。</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规格：150mm；管身Φ7mm－8mm；管全长：150mm；喇叭口Φ10mm。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球距上管口长：50mm。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集气瓶</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由磨口瓶和玻片组成。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规格：125ml。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磨砂密合性：盖板与瓶口充分湿润密合后，倒提瓶体，盖板附瓶口上保持30秒不掉。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瓶身光洁圆整，没有扁瘪现象，瓶底平稳，没有旋转缩径和磨光的小缺口。</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镊子</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镊子用不锈钢板材制成。镊子的宽度9㎜，镊子的长度为125。</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试管夹</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产品为木制件。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所用木材脱脂干燥处理，无裂纹，光滑，锯端面无毛刺，无刺手感。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长度200mm，宽度20mm，厚度20mm。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石棉网</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产品由金属网和附在网上的石棉组成。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金属网由Φ0.1㎜左右的钢丝编织而成，密度均匀，织网密度间距2㎜，金属网为边长125㎜的正方形，边缘作卷边处理。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金属网上所附石棉圈为双面附着的正圆形，直径Φ100㎜，厚度为3㎜左右。</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燃烧匙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产品由半圆面和金属丝结合制成。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半圆面为铜材制造，直径为25㎜左右。光滑无毛剌、圆润。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金属丝用Φ3㎜的钢丝制造，长度为250㎜。</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药匙</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药匙采用塑料制成。药匙的宽度为12㎜，长度为125。</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玻璃棒</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外径：Φ5mm－Φ6mm；玻管壁厚&gt;0.8mm。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理化性能：耐水等级：4级；耐碱等级：1－3级；耐酸等级：2－3级。</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试管刷</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产品由金属丝和绞合在其上的猪鬃毛制成。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金属丝用Φ3㎜左右的镀锌铁丝2根绞合，总长度250㎜。</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烧瓶刷</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产品由金属丝和绞合在其上的猪鬃毛制成。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金属丝用Φ3㎜左右的镀锌铁丝2根绞合，总长度250㎜。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制成的烧瓶刷呈鼓形，最大直径Φ60㎜，长度100㎜，不散、脱毛。</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培养皿</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由器盖、器底组成。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规格：100mm。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底外径：Φ100-0.5mm；底高：22mm。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盖外径：Φ108+0.5mm；盖高：20mm；底盖厚：1－0.2mm。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产品厚薄均匀，底部平整，口部平磨细密光滑，口应磨平。</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蒸发皿</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瓷，60mm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塑料量杯</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pH广范围试纸</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载玻片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1.规格：76mm x 26mm x 1.0mm。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2.厚度：1.2-0.2 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3.应力：扩散状兰色。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盖玻片</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1.规格：20mm x 20mm。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2.厚度：0.2 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3.应力：呈紫色。</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测电笔</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产品由电阻与指示灯泡构成</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一字螺丝刀</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中号，橡胶手柄。</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十字螺丝刀</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中号，橡胶手柄。</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尖嘴钳</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1．规格：长160mm。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2、铁制</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剪刀</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铁制品</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小刀</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配合新课标</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5000" w:type="pct"/>
            <w:gridSpan w:val="5"/>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小学卫生室器材（</w:t>
            </w:r>
            <w:r>
              <w:rPr>
                <w:rFonts w:hint="eastAsia" w:ascii="宋体" w:hAnsi="宋体" w:eastAsia="宋体" w:cs="宋体"/>
                <w:b/>
                <w:bCs/>
                <w:i w:val="0"/>
                <w:iCs w:val="0"/>
                <w:color w:val="000000"/>
                <w:kern w:val="0"/>
                <w:sz w:val="21"/>
                <w:szCs w:val="21"/>
                <w:highlight w:val="none"/>
                <w:u w:val="none"/>
                <w:lang w:val="en-US" w:eastAsia="zh-CN" w:bidi="ar"/>
              </w:rPr>
              <w:t>蜚山第二小学</w:t>
            </w:r>
            <w:r>
              <w:rPr>
                <w:rFonts w:hint="eastAsia" w:ascii="宋体" w:hAnsi="宋体" w:eastAsia="宋体" w:cs="宋体"/>
                <w:b/>
                <w:bCs/>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货物名称</w:t>
            </w:r>
          </w:p>
        </w:tc>
        <w:tc>
          <w:tcPr>
            <w:tcW w:w="323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主要技术参数要求</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体重计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700×280×930mm，RGZ-120，最大称量120千克，最小分度值0.5千克，量度范围70-190cm，最小分度值0.5cm误差±0.5cm</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血压计</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台式</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听诊器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单用听诊器</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2"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近视力表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采用《标准对数视力表》</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2"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辨色图谱</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中小学卫生辨色图谱</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6" w:hRule="atLeast"/>
        </w:trPr>
        <w:tc>
          <w:tcPr>
            <w:tcW w:w="3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59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急救包</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急救用品</w:t>
            </w:r>
          </w:p>
        </w:tc>
        <w:tc>
          <w:tcPr>
            <w:tcW w:w="39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47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5000" w:type="pct"/>
            <w:gridSpan w:val="5"/>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生活电器（蜚山4+鲤中6）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59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洗衣机</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顶开门全自动电脑式 波轮洗衣机全自动 健康免清洗 一键脱水 品质电机 内置免清洗系统，每次洗完衣物系统自动清洗内桶，防止二次污染，省时省力更保护家人健康。强劲水流上下冲刷，模拟高压水*清除桶内残留污垢。深层除螨可清除藏匿在衣物纤维中的螨虫，穿得舒适更安心，保护你娇嫩的肌肤。冲刷分离螨虫，漩涡水流杀死螨虫，漂洗带走螨虫。产品型号MB100-3210；</w:t>
            </w:r>
          </w:p>
        </w:tc>
        <w:tc>
          <w:tcPr>
            <w:tcW w:w="39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47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59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热水器</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1.配有加热指示灯以及水温表，工作状态一目了然；</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2.5Y20-*X2内置防电墙技术，双重防漏电保护。</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3.带调温旋钮，加热与保温自动控制，出水温度可在30℃-75℃任意设定。</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4.采用优质钢板加搪瓷制作，并配有内胆保护装置，防腐耐压，经久耐用。</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5.具有防漏电、干烧、超温和水压过高等多重安全保护功能。</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6.保温层采用加厚的聚氨酯整体发泡，保温效果好。节能省电。</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7.设有独立的排污口，可随时清洁内胆，呵护您和您家人的健康。</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8.适用水压范围广，容量大，可同时供多个用水点用水配有加热。 </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9.功率：2000w； 额定电压：220V,外型尺寸390*620。  </w:t>
            </w:r>
          </w:p>
        </w:tc>
        <w:tc>
          <w:tcPr>
            <w:tcW w:w="39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47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0" w:hRule="atLeast"/>
        </w:trPr>
        <w:tc>
          <w:tcPr>
            <w:tcW w:w="30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59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消毒柜</w:t>
            </w:r>
          </w:p>
        </w:tc>
        <w:tc>
          <w:tcPr>
            <w:tcW w:w="3235"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1.左室采用高温消毒，可达二星级消毒标准120度以上持续15分钟以上； </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2.右室采用臭氧+远红外线烘干，特设开门即停防臭氧泄漏开关；  </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3.采用远红外线高温消毒并设有防过热保护装置，使用安全可靠；  </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4.左右室单独控制，对餐具食具进行分类消毒及杀菌；  </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5.安装便捷，可放置于台面，也可挂墙式安装——节约空间合理利用空间，使用时更安全；  </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 型号：68-3，产品尺寸：797*385*423；功率：450W；电压：220V；容积：左室33L右室35L ；</w:t>
            </w:r>
          </w:p>
        </w:tc>
        <w:tc>
          <w:tcPr>
            <w:tcW w:w="39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47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133" w:type="pct"/>
            <w:gridSpan w:val="3"/>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合同包3最高限价：</w:t>
            </w:r>
          </w:p>
        </w:tc>
        <w:tc>
          <w:tcPr>
            <w:tcW w:w="866" w:type="pct"/>
            <w:gridSpan w:val="2"/>
            <w:shd w:val="clear" w:color="auto" w:fill="auto"/>
            <w:noWrap/>
            <w:vAlign w:val="center"/>
          </w:tcPr>
          <w:p>
            <w:pPr>
              <w:jc w:val="left"/>
              <w:rPr>
                <w:rFonts w:hint="default"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125000元</w:t>
            </w:r>
          </w:p>
        </w:tc>
      </w:tr>
    </w:tbl>
    <w:p>
      <w:pPr>
        <w:pStyle w:val="6"/>
        <w:keepNext w:val="0"/>
        <w:keepLines w:val="0"/>
        <w:widowControl/>
        <w:suppressLineNumbers w:val="0"/>
        <w:rPr>
          <w:sz w:val="24"/>
          <w:szCs w:val="24"/>
          <w:highlight w:val="none"/>
        </w:rPr>
      </w:pPr>
      <w:r>
        <w:rPr>
          <w:rFonts w:hint="eastAsia" w:ascii="宋体" w:hAnsi="宋体" w:eastAsia="宋体" w:cs="宋体"/>
          <w:b/>
          <w:bCs/>
          <w:sz w:val="24"/>
          <w:szCs w:val="24"/>
          <w:highlight w:val="none"/>
        </w:rPr>
        <w:t>三、商务条件</w:t>
      </w:r>
      <w:r>
        <w:rPr>
          <w:rStyle w:val="9"/>
          <w:rFonts w:hint="eastAsia" w:ascii="宋体" w:hAnsi="宋体" w:eastAsia="宋体" w:cs="宋体"/>
          <w:sz w:val="24"/>
          <w:szCs w:val="24"/>
          <w:highlight w:val="none"/>
        </w:rPr>
        <w:t>（以下内容不允许负偏离）</w:t>
      </w:r>
    </w:p>
    <w:tbl>
      <w:tblPr>
        <w:tblStyle w:val="7"/>
        <w:tblpPr w:leftFromText="180" w:rightFromText="180" w:vertAnchor="text" w:horzAnchor="page" w:tblpX="1841" w:tblpY="1981"/>
        <w:tblOverlap w:val="never"/>
        <w:tblW w:w="5000" w:type="pct"/>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04"/>
        <w:gridCol w:w="7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blCellSpacing w:w="0" w:type="dxa"/>
        </w:trPr>
        <w:tc>
          <w:tcPr>
            <w:tcW w:w="783"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验收期次</w:t>
            </w:r>
          </w:p>
        </w:tc>
        <w:tc>
          <w:tcPr>
            <w:tcW w:w="4216"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验收期次说明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83"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1</w:t>
            </w:r>
          </w:p>
        </w:tc>
        <w:tc>
          <w:tcPr>
            <w:tcW w:w="4216"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按照询价文件要求及国家行业标准验收合格。</w:t>
            </w:r>
          </w:p>
        </w:tc>
      </w:tr>
    </w:tbl>
    <w:p>
      <w:pPr>
        <w:pStyle w:val="6"/>
        <w:keepNext w:val="0"/>
        <w:keepLines w:val="0"/>
        <w:widowControl/>
        <w:suppressLineNumbers w:val="0"/>
        <w:rPr>
          <w:highlight w:val="none"/>
        </w:rPr>
      </w:pPr>
      <w:r>
        <w:rPr>
          <w:rStyle w:val="9"/>
          <w:rFonts w:hint="eastAsia" w:ascii="宋体" w:hAnsi="宋体" w:eastAsia="宋体" w:cs="宋体"/>
          <w:sz w:val="19"/>
          <w:szCs w:val="19"/>
          <w:highlight w:val="none"/>
        </w:rPr>
        <w:t>包：1</w:t>
      </w:r>
      <w:r>
        <w:rPr>
          <w:rStyle w:val="9"/>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1、交付地点：福建省莆田市仙游县</w:t>
      </w:r>
      <w:r>
        <w:rPr>
          <w:rStyle w:val="9"/>
          <w:rFonts w:hint="eastAsia" w:ascii="宋体" w:hAnsi="宋体" w:eastAsia="宋体" w:cs="宋体"/>
          <w:sz w:val="19"/>
          <w:szCs w:val="19"/>
          <w:highlight w:val="none"/>
          <w:lang w:eastAsia="zh-CN"/>
        </w:rPr>
        <w:t>采购人指定地点</w:t>
      </w:r>
      <w:r>
        <w:rPr>
          <w:rStyle w:val="9"/>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2、交付时间：2022年</w:t>
      </w:r>
      <w:r>
        <w:rPr>
          <w:rStyle w:val="9"/>
          <w:rFonts w:hint="eastAsia" w:ascii="宋体" w:hAnsi="宋体" w:eastAsia="宋体" w:cs="宋体"/>
          <w:sz w:val="19"/>
          <w:szCs w:val="19"/>
          <w:highlight w:val="none"/>
          <w:lang w:val="en-US" w:eastAsia="zh-CN"/>
        </w:rPr>
        <w:t>9</w:t>
      </w:r>
      <w:r>
        <w:rPr>
          <w:rStyle w:val="9"/>
          <w:rFonts w:hint="eastAsia" w:ascii="宋体" w:hAnsi="宋体" w:eastAsia="宋体" w:cs="宋体"/>
          <w:sz w:val="19"/>
          <w:szCs w:val="19"/>
          <w:highlight w:val="none"/>
        </w:rPr>
        <w:t>月</w:t>
      </w:r>
      <w:r>
        <w:rPr>
          <w:rStyle w:val="9"/>
          <w:rFonts w:hint="eastAsia" w:ascii="宋体" w:hAnsi="宋体" w:eastAsia="宋体" w:cs="宋体"/>
          <w:sz w:val="19"/>
          <w:szCs w:val="19"/>
          <w:highlight w:val="none"/>
          <w:lang w:val="en-US" w:eastAsia="zh-CN"/>
        </w:rPr>
        <w:t>25</w:t>
      </w:r>
      <w:r>
        <w:rPr>
          <w:rStyle w:val="9"/>
          <w:rFonts w:hint="eastAsia" w:ascii="宋体" w:hAnsi="宋体" w:eastAsia="宋体" w:cs="宋体"/>
          <w:sz w:val="19"/>
          <w:szCs w:val="19"/>
          <w:highlight w:val="none"/>
        </w:rPr>
        <w:t>日前完成项目并交付采购人使用。</w:t>
      </w:r>
      <w:r>
        <w:rPr>
          <w:rStyle w:val="9"/>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3、交付条件：全部安装完成满足</w:t>
      </w:r>
      <w:r>
        <w:rPr>
          <w:rStyle w:val="9"/>
          <w:rFonts w:hint="eastAsia" w:ascii="宋体" w:hAnsi="宋体" w:eastAsia="宋体" w:cs="宋体"/>
          <w:sz w:val="19"/>
          <w:szCs w:val="19"/>
          <w:highlight w:val="none"/>
          <w:lang w:eastAsia="zh-CN"/>
        </w:rPr>
        <w:t>询价</w:t>
      </w:r>
      <w:r>
        <w:rPr>
          <w:rStyle w:val="9"/>
          <w:rFonts w:hint="eastAsia" w:ascii="宋体" w:hAnsi="宋体" w:eastAsia="宋体" w:cs="宋体"/>
          <w:sz w:val="19"/>
          <w:szCs w:val="19"/>
          <w:highlight w:val="none"/>
        </w:rPr>
        <w:t>文件要求</w:t>
      </w:r>
      <w:r>
        <w:rPr>
          <w:rStyle w:val="9"/>
          <w:rFonts w:hint="eastAsia" w:ascii="宋体" w:hAnsi="宋体" w:eastAsia="宋体" w:cs="宋体"/>
          <w:sz w:val="19"/>
          <w:szCs w:val="19"/>
          <w:highlight w:val="none"/>
          <w:lang w:eastAsia="zh-CN"/>
        </w:rPr>
        <w:t>和响应文件承诺</w:t>
      </w:r>
      <w:r>
        <w:rPr>
          <w:rStyle w:val="9"/>
          <w:rFonts w:hint="eastAsia" w:ascii="宋体" w:hAnsi="宋体" w:eastAsia="宋体" w:cs="宋体"/>
          <w:sz w:val="19"/>
          <w:szCs w:val="19"/>
          <w:highlight w:val="none"/>
        </w:rPr>
        <w:t>且通过验收合格</w:t>
      </w:r>
      <w:r>
        <w:rPr>
          <w:rStyle w:val="9"/>
          <w:rFonts w:hint="eastAsia" w:ascii="宋体" w:hAnsi="宋体" w:eastAsia="宋体" w:cs="宋体"/>
          <w:sz w:val="19"/>
          <w:szCs w:val="19"/>
          <w:highlight w:val="none"/>
          <w:lang w:eastAsia="zh-CN"/>
        </w:rPr>
        <w:t>。</w:t>
      </w:r>
      <w:r>
        <w:rPr>
          <w:rStyle w:val="9"/>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4、是否收取履约保证金：否</w:t>
      </w:r>
      <w:r>
        <w:rPr>
          <w:rStyle w:val="9"/>
          <w:rFonts w:hint="eastAsia" w:ascii="宋体" w:hAnsi="宋体" w:eastAsia="宋体" w:cs="宋体"/>
          <w:sz w:val="19"/>
          <w:szCs w:val="19"/>
          <w:highlight w:val="none"/>
          <w:lang w:eastAsia="zh-CN"/>
        </w:rPr>
        <w:t>。</w:t>
      </w:r>
      <w:r>
        <w:rPr>
          <w:rStyle w:val="9"/>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5、是否邀请投标人参与验收：否</w:t>
      </w:r>
      <w:r>
        <w:rPr>
          <w:rStyle w:val="9"/>
          <w:rFonts w:hint="eastAsia" w:ascii="宋体" w:hAnsi="宋体" w:eastAsia="宋体" w:cs="宋体"/>
          <w:sz w:val="19"/>
          <w:szCs w:val="19"/>
          <w:highlight w:val="none"/>
          <w:lang w:eastAsia="zh-CN"/>
        </w:rPr>
        <w:t>。</w:t>
      </w:r>
      <w:r>
        <w:rPr>
          <w:rStyle w:val="9"/>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6、验收方式数据表格</w:t>
      </w:r>
    </w:p>
    <w:p>
      <w:pPr>
        <w:keepNext w:val="0"/>
        <w:keepLines w:val="0"/>
        <w:widowControl/>
        <w:suppressLineNumbers w:val="0"/>
        <w:jc w:val="left"/>
        <w:rPr>
          <w:sz w:val="21"/>
          <w:szCs w:val="21"/>
          <w:highlight w:val="none"/>
        </w:rPr>
      </w:pPr>
      <w:r>
        <w:rPr>
          <w:rStyle w:val="9"/>
          <w:rFonts w:ascii="宋体" w:hAnsi="宋体" w:eastAsia="宋体" w:cs="宋体"/>
          <w:kern w:val="0"/>
          <w:sz w:val="21"/>
          <w:szCs w:val="21"/>
          <w:highlight w:val="none"/>
          <w:lang w:val="en-US" w:eastAsia="zh-CN" w:bidi="ar"/>
        </w:rPr>
        <w:t>7、支付方式数据表格</w:t>
      </w:r>
    </w:p>
    <w:tbl>
      <w:tblPr>
        <w:tblStyle w:val="7"/>
        <w:tblW w:w="5000" w:type="pct"/>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16"/>
        <w:gridCol w:w="1318"/>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blCellSpacing w:w="0" w:type="dxa"/>
        </w:trPr>
        <w:tc>
          <w:tcPr>
            <w:tcW w:w="790"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支付期次</w:t>
            </w:r>
          </w:p>
        </w:tc>
        <w:tc>
          <w:tcPr>
            <w:tcW w:w="791"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支付比例(%)</w:t>
            </w:r>
          </w:p>
        </w:tc>
        <w:tc>
          <w:tcPr>
            <w:tcW w:w="3417"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支付期次说明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90"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1</w:t>
            </w:r>
          </w:p>
        </w:tc>
        <w:tc>
          <w:tcPr>
            <w:tcW w:w="791"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95</w:t>
            </w:r>
          </w:p>
        </w:tc>
        <w:tc>
          <w:tcPr>
            <w:tcW w:w="3417"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全部货物经安装调试</w:t>
            </w:r>
            <w:r>
              <w:rPr>
                <w:rFonts w:hint="eastAsia" w:ascii="宋体" w:hAnsi="宋体" w:eastAsia="宋体" w:cs="宋体"/>
                <w:kern w:val="0"/>
                <w:sz w:val="20"/>
                <w:szCs w:val="20"/>
                <w:highlight w:val="none"/>
                <w:lang w:val="en-US" w:eastAsia="zh-CN" w:bidi="ar"/>
              </w:rPr>
              <w:t>经采购人</w:t>
            </w:r>
            <w:r>
              <w:rPr>
                <w:rFonts w:ascii="宋体" w:hAnsi="宋体" w:eastAsia="宋体" w:cs="宋体"/>
                <w:kern w:val="0"/>
                <w:sz w:val="20"/>
                <w:szCs w:val="20"/>
                <w:highlight w:val="none"/>
                <w:lang w:val="en-US" w:eastAsia="zh-CN" w:bidi="ar"/>
              </w:rPr>
              <w:t>验收合格并收到等额发票后支付合同</w:t>
            </w:r>
            <w:r>
              <w:rPr>
                <w:rFonts w:hint="eastAsia" w:ascii="宋体" w:hAnsi="宋体" w:eastAsia="宋体" w:cs="宋体"/>
                <w:kern w:val="0"/>
                <w:sz w:val="20"/>
                <w:szCs w:val="20"/>
                <w:highlight w:val="none"/>
                <w:lang w:val="en-US" w:eastAsia="zh-CN" w:bidi="ar"/>
              </w:rPr>
              <w:t>总</w:t>
            </w:r>
            <w:r>
              <w:rPr>
                <w:rFonts w:ascii="宋体" w:hAnsi="宋体" w:eastAsia="宋体" w:cs="宋体"/>
                <w:kern w:val="0"/>
                <w:sz w:val="20"/>
                <w:szCs w:val="20"/>
                <w:highlight w:val="none"/>
                <w:lang w:val="en-US" w:eastAsia="zh-CN" w:bidi="ar"/>
              </w:rPr>
              <w:t>金额的95%货款</w:t>
            </w:r>
            <w:r>
              <w:rPr>
                <w:rFonts w:hint="eastAsia" w:ascii="宋体" w:hAnsi="宋体" w:eastAsia="宋体" w:cs="宋体"/>
                <w:kern w:val="0"/>
                <w:sz w:val="20"/>
                <w:szCs w:val="20"/>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790"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2</w:t>
            </w:r>
          </w:p>
        </w:tc>
        <w:tc>
          <w:tcPr>
            <w:tcW w:w="791" w:type="pct"/>
            <w:shd w:val="clear" w:color="auto" w:fill="auto"/>
            <w:vAlign w:val="center"/>
          </w:tcPr>
          <w:p>
            <w:pPr>
              <w:keepNext w:val="0"/>
              <w:keepLines w:val="0"/>
              <w:widowControl/>
              <w:suppressLineNumbers w:val="0"/>
              <w:jc w:val="center"/>
              <w:rPr>
                <w:sz w:val="20"/>
                <w:szCs w:val="20"/>
                <w:highlight w:val="none"/>
              </w:rPr>
            </w:pPr>
            <w:r>
              <w:rPr>
                <w:rFonts w:ascii="宋体" w:hAnsi="宋体" w:eastAsia="宋体" w:cs="宋体"/>
                <w:kern w:val="0"/>
                <w:sz w:val="20"/>
                <w:szCs w:val="20"/>
                <w:highlight w:val="none"/>
                <w:lang w:val="en-US" w:eastAsia="zh-CN" w:bidi="ar"/>
              </w:rPr>
              <w:t>5</w:t>
            </w:r>
          </w:p>
        </w:tc>
        <w:tc>
          <w:tcPr>
            <w:tcW w:w="3417" w:type="pct"/>
            <w:shd w:val="clear" w:color="auto" w:fill="auto"/>
            <w:vAlign w:val="center"/>
          </w:tcPr>
          <w:p>
            <w:pPr>
              <w:keepNext w:val="0"/>
              <w:keepLines w:val="0"/>
              <w:widowControl/>
              <w:suppressLineNumbers w:val="0"/>
              <w:jc w:val="left"/>
              <w:rPr>
                <w:sz w:val="20"/>
                <w:szCs w:val="20"/>
                <w:highlight w:val="none"/>
              </w:rPr>
            </w:pPr>
            <w:r>
              <w:rPr>
                <w:rFonts w:ascii="宋体" w:hAnsi="宋体" w:eastAsia="宋体" w:cs="宋体"/>
                <w:kern w:val="0"/>
                <w:sz w:val="20"/>
                <w:szCs w:val="20"/>
                <w:highlight w:val="none"/>
                <w:lang w:val="en-US" w:eastAsia="zh-CN" w:bidi="ar"/>
              </w:rPr>
              <w:t>验收合格</w:t>
            </w:r>
            <w:r>
              <w:rPr>
                <w:rFonts w:hint="eastAsia" w:ascii="宋体" w:hAnsi="宋体" w:eastAsia="宋体" w:cs="宋体"/>
                <w:kern w:val="0"/>
                <w:sz w:val="20"/>
                <w:szCs w:val="20"/>
                <w:highlight w:val="none"/>
                <w:lang w:val="en-US" w:eastAsia="zh-CN" w:bidi="ar"/>
              </w:rPr>
              <w:t>之日起质保期满且无未了事宜</w:t>
            </w:r>
            <w:r>
              <w:rPr>
                <w:rFonts w:ascii="宋体" w:hAnsi="宋体" w:eastAsia="宋体" w:cs="宋体"/>
                <w:kern w:val="0"/>
                <w:sz w:val="20"/>
                <w:szCs w:val="20"/>
                <w:highlight w:val="none"/>
                <w:lang w:val="en-US" w:eastAsia="zh-CN" w:bidi="ar"/>
              </w:rPr>
              <w:t>并收到等额发票后支付合同</w:t>
            </w:r>
            <w:r>
              <w:rPr>
                <w:rFonts w:hint="eastAsia" w:ascii="宋体" w:hAnsi="宋体" w:eastAsia="宋体" w:cs="宋体"/>
                <w:kern w:val="0"/>
                <w:sz w:val="20"/>
                <w:szCs w:val="20"/>
                <w:highlight w:val="none"/>
                <w:lang w:val="en-US" w:eastAsia="zh-CN" w:bidi="ar"/>
              </w:rPr>
              <w:t>总</w:t>
            </w:r>
            <w:r>
              <w:rPr>
                <w:rFonts w:ascii="宋体" w:hAnsi="宋体" w:eastAsia="宋体" w:cs="宋体"/>
                <w:kern w:val="0"/>
                <w:sz w:val="20"/>
                <w:szCs w:val="20"/>
                <w:highlight w:val="none"/>
                <w:lang w:val="en-US" w:eastAsia="zh-CN" w:bidi="ar"/>
              </w:rPr>
              <w:t>金额的5%</w:t>
            </w:r>
            <w:r>
              <w:rPr>
                <w:rFonts w:hint="eastAsia" w:ascii="宋体" w:hAnsi="宋体" w:eastAsia="宋体" w:cs="宋体"/>
                <w:kern w:val="0"/>
                <w:sz w:val="20"/>
                <w:szCs w:val="20"/>
                <w:highlight w:val="none"/>
                <w:lang w:val="en-US" w:eastAsia="zh-CN" w:bidi="ar"/>
              </w:rPr>
              <w:t>余</w:t>
            </w:r>
            <w:r>
              <w:rPr>
                <w:rFonts w:ascii="宋体" w:hAnsi="宋体" w:eastAsia="宋体" w:cs="宋体"/>
                <w:kern w:val="0"/>
                <w:sz w:val="20"/>
                <w:szCs w:val="20"/>
                <w:highlight w:val="none"/>
                <w:lang w:val="en-US" w:eastAsia="zh-CN" w:bidi="ar"/>
              </w:rPr>
              <w:t>款</w:t>
            </w:r>
            <w:r>
              <w:rPr>
                <w:rFonts w:hint="eastAsia" w:ascii="宋体" w:hAnsi="宋体" w:eastAsia="宋体" w:cs="宋体"/>
                <w:kern w:val="0"/>
                <w:sz w:val="20"/>
                <w:szCs w:val="20"/>
                <w:highlight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80" w:lineRule="exact"/>
        <w:textAlignment w:val="auto"/>
      </w:pPr>
      <w:r>
        <w:rPr>
          <w:rFonts w:hint="eastAsia"/>
        </w:rPr>
        <w:t>8、质量要求及售后服务</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8.1本次采购货物均为生产厂家全新合格产品，投标人不得以次充好；产品来源渠道必须合法，同时应根据国家有关规定、厂家服务承诺及采购人的要求做好售后服务工作。      </w:t>
      </w:r>
    </w:p>
    <w:p>
      <w:pPr>
        <w:keepNext w:val="0"/>
        <w:keepLines w:val="0"/>
        <w:pageBreakBefore w:val="0"/>
        <w:widowControl w:val="0"/>
        <w:kinsoku/>
        <w:wordWrap/>
        <w:overflowPunct/>
        <w:topLinePunct w:val="0"/>
        <w:autoSpaceDE/>
        <w:autoSpaceDN/>
        <w:bidi w:val="0"/>
        <w:adjustRightInd/>
        <w:snapToGrid/>
        <w:spacing w:line="380" w:lineRule="exact"/>
        <w:textAlignment w:val="auto"/>
      </w:pPr>
      <w:r>
        <w:rPr>
          <w:rFonts w:hint="eastAsia"/>
        </w:rPr>
        <w:t>投标人提供的货物制造标准、安装标准及技术规范等，必须符合最新国家、国际和相关行业最新标准的要求。各项技术标准应当符合国家强制性标准。</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8.2保修期及售后服务</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①本次采购的货物最终验收合格后免费质量保修期为</w:t>
      </w:r>
      <w:r>
        <w:rPr>
          <w:rFonts w:hint="eastAsia"/>
          <w:lang w:val="en-US" w:eastAsia="zh-CN"/>
        </w:rPr>
        <w:t>12</w:t>
      </w:r>
      <w:r>
        <w:rPr>
          <w:rFonts w:hint="eastAsia"/>
        </w:rPr>
        <w:t>个月或以上（国家、厂家或</w:t>
      </w:r>
      <w:r>
        <w:rPr>
          <w:rFonts w:hint="eastAsia"/>
          <w:lang w:eastAsia="zh-CN"/>
        </w:rPr>
        <w:t>询价</w:t>
      </w:r>
      <w:r>
        <w:rPr>
          <w:rFonts w:hint="eastAsia"/>
        </w:rPr>
        <w:t>文件对货物或配件另有约定更长免费保修期限的从其约定）,在质保期内出现故障，</w:t>
      </w:r>
      <w:r>
        <w:rPr>
          <w:rFonts w:hint="eastAsia"/>
          <w:lang w:eastAsia="zh-CN"/>
        </w:rPr>
        <w:t>中</w:t>
      </w:r>
      <w:r>
        <w:rPr>
          <w:rFonts w:hint="eastAsia"/>
        </w:rPr>
        <w:t>标人应免费提供咨询、免费上门更换损坏的零件和维修服务。终身维护。免费质量保修期的费用应包含在本次报价中。免费质量保修期结束后，投标人仍需提供优质服务，进行定期维护和修理，并仅能收取成本费（包括零配件）。货物的安装及售后服务要由货物生产厂商提供。无法提供不作为中标推荐单位。</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②货物在保修期内要求提供24小时远程保障服务（网络或电话）、定期回访、维护，有问题做到及时处理。接到采购人的维修维护请求后，中标人应及时做出维修反应，远程解决不了的问题则8小时内到达采购人现场；如果产品故障在检修12小时后仍无法排除，中标人应在24小时内提供不低于故障产品规格型号档次的备用产品供采购人使用，直至故障产品修复。</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③中标人如有违反上述保修服务条款或自身承诺，采购人有权没收其质量保证金，造成损失的同时应承担赔偿责任。</w:t>
      </w:r>
    </w:p>
    <w:p>
      <w:pPr>
        <w:keepNext w:val="0"/>
        <w:keepLines w:val="0"/>
        <w:pageBreakBefore w:val="0"/>
        <w:widowControl w:val="0"/>
        <w:kinsoku/>
        <w:wordWrap/>
        <w:overflowPunct/>
        <w:topLinePunct w:val="0"/>
        <w:autoSpaceDE/>
        <w:autoSpaceDN/>
        <w:bidi w:val="0"/>
        <w:adjustRightInd/>
        <w:snapToGrid/>
        <w:spacing w:line="380" w:lineRule="exact"/>
        <w:textAlignment w:val="auto"/>
      </w:pPr>
      <w:r>
        <w:rPr>
          <w:rFonts w:hint="eastAsia"/>
        </w:rPr>
        <w:t>投标人应响应本次采购售后服务要求并在投标文件中提供详细具体的售后服务条件及保证。也可视自身能力在谈判响应文件中提供更优、更合理的售后服务承诺。</w:t>
      </w:r>
    </w:p>
    <w:p>
      <w:pPr>
        <w:keepNext w:val="0"/>
        <w:keepLines w:val="0"/>
        <w:pageBreakBefore w:val="0"/>
        <w:widowControl w:val="0"/>
        <w:kinsoku/>
        <w:wordWrap/>
        <w:overflowPunct/>
        <w:topLinePunct w:val="0"/>
        <w:autoSpaceDE/>
        <w:autoSpaceDN/>
        <w:bidi w:val="0"/>
        <w:adjustRightInd/>
        <w:snapToGrid/>
        <w:spacing w:line="380" w:lineRule="exact"/>
        <w:textAlignment w:val="auto"/>
        <w:rPr>
          <w:b/>
          <w:bCs/>
        </w:rPr>
      </w:pPr>
      <w:r>
        <w:rPr>
          <w:rFonts w:hint="eastAsia"/>
          <w:b/>
          <w:bCs/>
        </w:rPr>
        <w:t>9、供货、运输、保险及保管</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9.1中标人必须能按照本项目《采购标的一览表》合同的规定，准时提供设备、配件、材料及工具，并负责所供设备、软件、配件、材料及工具的包装和运输。</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9.2 中标人负责产品到安装施工地点的全部运输，包括装卸及现场搬运等。</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9.3 中标人负责产品在安装施工地点的保管，直至项目验收合格。</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9.4 中标人负责其派出的工作人员的人身意外保险。</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9.5  全部货物的外包装，必须采用防漏、防潮、防震、防锈、防盗和考虑到可能会发生的野蛮装卸等长途内陆运输及多次装卸之需要。</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9.6中标人供给采购人的设备、材料及中标人自己的施工用具，进入采购人工地现场后的保管，由中标人负责；中标人在工地现场安装、调试人员的安全、保险、食宿，由中标人负责。</w:t>
      </w:r>
    </w:p>
    <w:p>
      <w:pPr>
        <w:keepNext w:val="0"/>
        <w:keepLines w:val="0"/>
        <w:pageBreakBefore w:val="0"/>
        <w:widowControl w:val="0"/>
        <w:kinsoku/>
        <w:wordWrap/>
        <w:overflowPunct/>
        <w:topLinePunct w:val="0"/>
        <w:autoSpaceDE/>
        <w:autoSpaceDN/>
        <w:bidi w:val="0"/>
        <w:adjustRightInd/>
        <w:snapToGrid/>
        <w:spacing w:line="380" w:lineRule="exact"/>
        <w:textAlignment w:val="auto"/>
      </w:pPr>
      <w:r>
        <w:rPr>
          <w:rFonts w:hint="eastAsia"/>
          <w:b/>
          <w:bCs/>
        </w:rPr>
        <w:t>10、货物安装</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10.1中标人按招标文件和签订合同的具体要求负责货物订货采购、运输、装卸、安装等工作，安装时必须派专业人员前往采购人所在地进行，在安装过程中如有货物损坏，中标人应负责免费更换。货物的拆箱、安装等各项工作由中标人负责，但必须在采购人指定人员的参与下进行。货物经最终验收合格后，交付采购人使用。</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10.2中标人在安装前应提供项目安装实施过程的工作内容和方法，并在征得采购人的认可和同意后开始严格执行。应包括到货日期、现场安装、验收、技术培训等。自项目安装工作开始，采购人有权指 定本单位技术人员参与中标人的安装及解决遇到的问题等各项工作。</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10.3中标人将所投货物送至采购人指定地点并安装验收后，采购人有权要求对货物进行抽检，所产生费用由中标人承担。</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10.4投标人提供的货物制造标准、安装标准及技术规范等，必须符合国家现行有效标准要求执行。</w:t>
      </w:r>
    </w:p>
    <w:p>
      <w:pPr>
        <w:keepNext w:val="0"/>
        <w:keepLines w:val="0"/>
        <w:pageBreakBefore w:val="0"/>
        <w:widowControl w:val="0"/>
        <w:kinsoku/>
        <w:wordWrap/>
        <w:overflowPunct/>
        <w:topLinePunct w:val="0"/>
        <w:autoSpaceDE/>
        <w:autoSpaceDN/>
        <w:bidi w:val="0"/>
        <w:adjustRightInd/>
        <w:snapToGrid/>
        <w:spacing w:line="380" w:lineRule="exact"/>
        <w:textAlignment w:val="auto"/>
        <w:rPr>
          <w:b/>
          <w:bCs/>
        </w:rPr>
      </w:pPr>
      <w:r>
        <w:rPr>
          <w:rFonts w:hint="eastAsia"/>
          <w:b/>
          <w:bCs/>
        </w:rPr>
        <w:t>11、验收标准和验收方法</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11.1验收标准：生产厂家的产品说明书、合格证书及技术资料等；国家及行业现行规范标准；当地监督管理部门要求的安全规范；招标文件的规定；投标文件的响应；在验收过程中采购人及验收专家有权对货物进行破坏性抽样检验，所产生的一切费用由中标人承担。</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11.2验收方法：</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① 验收程序：货物验收分投标人出厂检验、货到初步验收及安装调试验收三个阶段。</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a.出厂检验：投标人在货物出厂前,应按产品技术标准规定的检验项目和试验方法进行全面检验,投标人应随同货物提供产品质量合格证。</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b.货到初步验收：货物到达交货地点后,由采购人会同有关部门进行基本质量和数量的验收(但不作为最终合格的保证)。该验收应达到合同约定的要求。</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c.安装调试验收：全部安装结束后，双方按规定的标准要求，进行联合验收及办理相关手续。验收的一切费用均由中标人承担。</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d.采购人对中标人所供货物技术指标有疑问，中标人须提供测试设备到采购人指 定现场对该技术指标进行测试，测试费用由中标人负责。如双方对测试结果有分歧，采购人有权选择具有相关测试资格的第三方检测机构对货物进行检测，检测合格，检测费用由采购人负责；检测不合格，检测费用由中标人负责。</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② 安装或验收后的检验检测，必须达到国家权威机构检验检测相关标准，方可付款。</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11.3在采购人安装现场进行最终检验、验收等所发生的一切费用由中标人承担。</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11.4若验收不能符合要求，采购人将按合同条款的有关规定执行。</w:t>
      </w:r>
    </w:p>
    <w:p>
      <w:pPr>
        <w:keepNext w:val="0"/>
        <w:keepLines w:val="0"/>
        <w:pageBreakBefore w:val="0"/>
        <w:widowControl w:val="0"/>
        <w:kinsoku/>
        <w:wordWrap/>
        <w:overflowPunct/>
        <w:topLinePunct w:val="0"/>
        <w:autoSpaceDE/>
        <w:autoSpaceDN/>
        <w:bidi w:val="0"/>
        <w:adjustRightInd/>
        <w:snapToGrid/>
        <w:spacing w:line="380" w:lineRule="exact"/>
        <w:textAlignment w:val="auto"/>
        <w:rPr>
          <w:b/>
          <w:bCs/>
        </w:rPr>
      </w:pPr>
      <w:r>
        <w:rPr>
          <w:rFonts w:hint="eastAsia"/>
          <w:b/>
          <w:bCs/>
        </w:rPr>
        <w:t>12、质量保证</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12.1中标人提供的产品应是原装正品，符合国家质量检测标准，具有出厂合格证或国家鉴定合格证。</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12.2本项目中标人所供设备、材料及安装的质量保证期（简称：质保期）为</w:t>
      </w:r>
      <w:r>
        <w:rPr>
          <w:rFonts w:hint="eastAsia"/>
          <w:lang w:val="en-US" w:eastAsia="zh-CN"/>
        </w:rPr>
        <w:t>12个月</w:t>
      </w:r>
      <w:r>
        <w:rPr>
          <w:rFonts w:hint="eastAsia"/>
        </w:rPr>
        <w:t>（从验收合格</w:t>
      </w:r>
      <w:r>
        <w:rPr>
          <w:rFonts w:hint="eastAsia"/>
          <w:lang w:eastAsia="zh-CN"/>
        </w:rPr>
        <w:t>之日起</w:t>
      </w:r>
      <w:r>
        <w:rPr>
          <w:rFonts w:hint="eastAsia"/>
        </w:rPr>
        <w:t>开始计算），质保期内中标人对所供货物实行包修、包换、包退、包维护保养，期满后可同时提供终身维修保养服务，费用自行协商。投标人也可以提供更优的服务承诺，中标人在投标时承诺延长质保期的，则质保期相应增加。</w:t>
      </w:r>
    </w:p>
    <w:p>
      <w:pPr>
        <w:keepNext w:val="0"/>
        <w:keepLines w:val="0"/>
        <w:pageBreakBefore w:val="0"/>
        <w:widowControl w:val="0"/>
        <w:kinsoku/>
        <w:wordWrap/>
        <w:overflowPunct/>
        <w:topLinePunct w:val="0"/>
        <w:autoSpaceDE/>
        <w:autoSpaceDN/>
        <w:bidi w:val="0"/>
        <w:adjustRightInd/>
        <w:snapToGrid/>
        <w:spacing w:line="380" w:lineRule="exact"/>
        <w:textAlignment w:val="auto"/>
        <w:rPr>
          <w:b/>
          <w:bCs/>
        </w:rPr>
      </w:pPr>
      <w:r>
        <w:rPr>
          <w:rFonts w:hint="eastAsia"/>
          <w:b/>
          <w:bCs/>
        </w:rPr>
        <w:t>13、报价要求</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13.1投标报价是指投标人根据本部分要求需要提供的货物和服务总价格，包括货物价格、运输费、安装、调试、售后服务、产品检测费、保险费、代理服务费、税费以及本招标文件中约定的所有费用。</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13.2货物总价和安装、调试、备品配件、专用工具及其它附带伴随服务的费用需在报价明细表中详细标明。</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13.3投标人可在分项报价表中详细列出各项明细报价，如果所列分项报价不含以上内容，则视为已含在</w:t>
      </w:r>
      <w:r>
        <w:rPr>
          <w:rFonts w:hint="eastAsia"/>
          <w:lang w:eastAsia="zh-CN"/>
        </w:rPr>
        <w:t>投标报价</w:t>
      </w:r>
      <w:r>
        <w:rPr>
          <w:rFonts w:hint="eastAsia"/>
        </w:rPr>
        <w:t>总价中。</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lang w:eastAsia="zh-CN"/>
        </w:rPr>
      </w:pPr>
      <w:r>
        <w:rPr>
          <w:rFonts w:hint="eastAsia"/>
        </w:rPr>
        <w:t>13.4投标人对每种货物只允许有一个报价，招标人不接受有任何选择的报价</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13.5投标人应承诺当所购置货物种类、数量发生变化时，保证所提供的技术服务等方面的各种优惠条件不变。</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pPr>
      <w:r>
        <w:rPr>
          <w:rFonts w:hint="eastAsia"/>
        </w:rPr>
        <w:t>13.6投标人按上述条款要求填写报价是因为供招标人评标方便的缘故，但不限制用户以其它方式签订合同的权力。</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rPr>
      </w:pPr>
      <w:r>
        <w:rPr>
          <w:rFonts w:hint="eastAsia"/>
        </w:rPr>
        <w:t>13.7各投标人报价时应综合考虑日后属政策性调整、各种材料市场价格的浮动等因素造成的货物价格变动，上述价格变动不予调整。</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b/>
          <w:bCs/>
        </w:rPr>
      </w:pPr>
      <w:r>
        <w:rPr>
          <w:rFonts w:hint="eastAsia"/>
          <w:b/>
          <w:bCs/>
          <w:lang w:val="en-US" w:eastAsia="zh-CN"/>
        </w:rPr>
        <w:t>14、</w:t>
      </w:r>
      <w:r>
        <w:rPr>
          <w:rFonts w:hint="eastAsia"/>
          <w:b/>
          <w:bCs/>
        </w:rPr>
        <w:t>违约责任</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rPr>
      </w:pPr>
      <w:r>
        <w:rPr>
          <w:rFonts w:hint="eastAsia"/>
          <w:lang w:val="en-US" w:eastAsia="zh-CN"/>
        </w:rPr>
        <w:t>14.1</w:t>
      </w:r>
      <w:r>
        <w:rPr>
          <w:rFonts w:hint="eastAsia"/>
        </w:rPr>
        <w:t>中标方未能按期</w:t>
      </w:r>
      <w:r>
        <w:rPr>
          <w:rFonts w:hint="eastAsia"/>
          <w:lang w:val="en-US" w:eastAsia="zh-CN"/>
        </w:rPr>
        <w:t>(2022年09月25日之前）</w:t>
      </w:r>
      <w:r>
        <w:rPr>
          <w:rFonts w:hint="eastAsia"/>
        </w:rPr>
        <w:t>交货的，每逾期一天，按合同</w:t>
      </w:r>
      <w:r>
        <w:rPr>
          <w:rFonts w:hint="eastAsia"/>
          <w:lang w:eastAsia="zh-CN"/>
        </w:rPr>
        <w:t>总</w:t>
      </w:r>
      <w:r>
        <w:rPr>
          <w:rFonts w:hint="eastAsia"/>
        </w:rPr>
        <w:t>价的1‰向招标人支付违约金。若中标方逾期完工超过10个日历日，招标人有权解除合同，中标方应向招标人支付合同总价30%的违约金。由于不可抗力的因素、招标人变更合同要求造成延误的，按照实际误工情况而相应延长完工期，不作为违约。</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rPr>
      </w:pPr>
      <w:r>
        <w:rPr>
          <w:rFonts w:hint="eastAsia"/>
          <w:lang w:val="en-US" w:eastAsia="zh-CN"/>
        </w:rPr>
        <w:t>14.2</w:t>
      </w:r>
      <w:r>
        <w:rPr>
          <w:rFonts w:hint="eastAsia"/>
        </w:rPr>
        <w:t>中标方逾期提交验收申请和完整的验收材料，每逾期一天，中标方按合同价款的1‰向招标人支付违约金。逾期超过30个日历日，招标人有权解除合同，中标方应向招标人支付合同总价30%的违约金。中标方提交验收申请和完整的验收材料（经招标人确认）之日起，招标人在30个日历日内未组织进行验收或验收后15个日历日内未出具验收结论，则自动认为验收申请报告已被确认。</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rPr>
      </w:pPr>
      <w:r>
        <w:rPr>
          <w:rFonts w:hint="eastAsia"/>
          <w:lang w:val="en-US" w:eastAsia="zh-CN"/>
        </w:rPr>
        <w:t>14.3</w:t>
      </w:r>
      <w:r>
        <w:rPr>
          <w:rFonts w:hint="eastAsia"/>
        </w:rPr>
        <w:t>项目完工后，若验收不符合招标文件或合同规定的，中标方应在接到招标人书面整改通知书后10个日历日内积极补救整改并再次提交验收申请。再次验收仍不合格的或在10个日历日内无法整改完毕并再次提交验收申请的，招标人有权解除合同，中标方应向招标人支付合同总价款30%的违约金。</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rPr>
      </w:pPr>
      <w:r>
        <w:rPr>
          <w:rFonts w:hint="eastAsia"/>
          <w:lang w:val="en-US" w:eastAsia="zh-CN"/>
        </w:rPr>
        <w:t>14.4</w:t>
      </w:r>
      <w:r>
        <w:rPr>
          <w:rFonts w:hint="eastAsia"/>
        </w:rPr>
        <w:t>在明确违约责任后，中标人应在接到书面通知书起七天内支付违约金、赔偿金等。</w:t>
      </w:r>
    </w:p>
    <w:p>
      <w:pPr>
        <w:pStyle w:val="6"/>
        <w:keepNext w:val="0"/>
        <w:keepLines w:val="0"/>
        <w:widowControl/>
        <w:suppressLineNumbers w:val="0"/>
        <w:rPr>
          <w:b/>
          <w:bCs/>
          <w:sz w:val="24"/>
          <w:szCs w:val="24"/>
          <w:highlight w:val="none"/>
        </w:rPr>
      </w:pPr>
      <w:r>
        <w:rPr>
          <w:rFonts w:hint="eastAsia" w:ascii="宋体" w:hAnsi="宋体" w:eastAsia="宋体" w:cs="宋体"/>
          <w:b/>
          <w:bCs/>
          <w:sz w:val="24"/>
          <w:szCs w:val="24"/>
          <w:highlight w:val="none"/>
        </w:rPr>
        <w:t>四、其他事项</w:t>
      </w:r>
    </w:p>
    <w:p>
      <w:pPr>
        <w:pStyle w:val="6"/>
        <w:keepNext w:val="0"/>
        <w:keepLines w:val="0"/>
        <w:widowControl/>
        <w:suppressLineNumbers w:val="0"/>
        <w:rPr>
          <w:rFonts w:hint="eastAsia" w:eastAsia="宋体"/>
          <w:highlight w:val="none"/>
          <w:lang w:eastAsia="zh-CN"/>
        </w:rPr>
      </w:pPr>
      <w:r>
        <w:rPr>
          <w:rFonts w:hint="eastAsia" w:ascii="宋体" w:hAnsi="宋体" w:eastAsia="宋体" w:cs="宋体"/>
          <w:sz w:val="19"/>
          <w:szCs w:val="19"/>
          <w:highlight w:val="none"/>
        </w:rPr>
        <w:t> </w:t>
      </w:r>
      <w:r>
        <w:rPr>
          <w:rFonts w:hint="eastAsia" w:ascii="宋体" w:hAnsi="宋体" w:eastAsia="宋体" w:cs="宋体"/>
          <w:sz w:val="19"/>
          <w:szCs w:val="19"/>
          <w:highlight w:val="none"/>
          <w:lang w:eastAsia="zh-CN"/>
        </w:rPr>
        <w:t>无。</w:t>
      </w:r>
    </w:p>
    <w:p>
      <w:pPr>
        <w:pStyle w:val="6"/>
        <w:keepNext w:val="0"/>
        <w:keepLines w:val="0"/>
        <w:widowControl/>
        <w:suppressLineNumbers w:val="0"/>
        <w:ind w:left="0" w:firstLine="0"/>
        <w:rPr>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jc w:val="center"/>
        <w:rPr>
          <w:sz w:val="28"/>
          <w:szCs w:val="28"/>
          <w:highlight w:val="none"/>
        </w:rPr>
      </w:pPr>
      <w:r>
        <w:rPr>
          <w:rStyle w:val="9"/>
          <w:rFonts w:hint="eastAsia" w:ascii="宋体" w:hAnsi="宋体" w:eastAsia="宋体" w:cs="宋体"/>
          <w:sz w:val="28"/>
          <w:szCs w:val="28"/>
          <w:highlight w:val="none"/>
        </w:rPr>
        <w:t>第五章 政府采购合同</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编制说明</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1、签订合同应遵守《中华人民共和国政府采购法》、《中华人民共和国民法典》。</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2、签订合同时，采购人与中标人应结合招标文件第五章规定填列相应内容。招标文件第五章已有规定的，双方均不得对规定进行变更或调整；招标文件第五章未作规定的，双方可通过友好协商进行约定。</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甲方：</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乙方：</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 </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根据项目编号为</w:t>
      </w:r>
      <w:r>
        <w:rPr>
          <w:rFonts w:hint="eastAsia" w:ascii="宋体" w:hAnsi="宋体" w:eastAsia="宋体" w:cs="宋体"/>
          <w:spacing w:val="0"/>
          <w:sz w:val="19"/>
          <w:szCs w:val="19"/>
          <w:highlight w:val="none"/>
          <w:u w:val="single"/>
          <w:lang w:val="en-US" w:eastAsia="zh-CN"/>
        </w:rPr>
        <w:t xml:space="preserve">        </w:t>
      </w:r>
      <w:r>
        <w:rPr>
          <w:rFonts w:hint="eastAsia" w:ascii="宋体" w:hAnsi="宋体" w:eastAsia="宋体" w:cs="宋体"/>
          <w:spacing w:val="0"/>
          <w:sz w:val="19"/>
          <w:szCs w:val="19"/>
          <w:highlight w:val="none"/>
        </w:rPr>
        <w:t>的</w:t>
      </w:r>
      <w:r>
        <w:rPr>
          <w:rFonts w:hint="eastAsia" w:ascii="宋体" w:hAnsi="宋体" w:eastAsia="宋体" w:cs="宋体"/>
          <w:spacing w:val="0"/>
          <w:sz w:val="19"/>
          <w:szCs w:val="19"/>
          <w:highlight w:val="none"/>
          <w:u w:val="single"/>
          <w:lang w:val="en-US" w:eastAsia="zh-CN"/>
        </w:rPr>
        <w:t xml:space="preserve">        </w:t>
      </w:r>
      <w:r>
        <w:rPr>
          <w:rFonts w:hint="eastAsia" w:ascii="宋体" w:hAnsi="宋体" w:eastAsia="宋体" w:cs="宋体"/>
          <w:spacing w:val="0"/>
          <w:sz w:val="19"/>
          <w:szCs w:val="19"/>
          <w:highlight w:val="none"/>
        </w:rPr>
        <w:t>项目（以下简称：“本项目”）的招标结果，乙方为中标人。现经甲乙双方友好协商，就以下事项达成一致并签订本合同：</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1、下列合同文件是构成本合同不可分割的部分：</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1.1合同条款；</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1.2招标文件、乙方的投标文件；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1.3其他文件或材料：□无。□</w:t>
      </w:r>
      <w:r>
        <w:rPr>
          <w:rFonts w:hint="eastAsia" w:ascii="宋体" w:hAnsi="宋体" w:eastAsia="宋体" w:cs="宋体"/>
          <w:color w:val="393939"/>
          <w:spacing w:val="0"/>
          <w:highlight w:val="none"/>
        </w:rPr>
        <w:t>（若有联合协议或分包意向协议）</w:t>
      </w:r>
      <w:r>
        <w:rPr>
          <w:rFonts w:hint="eastAsia" w:ascii="宋体" w:hAnsi="宋体" w:eastAsia="宋体" w:cs="宋体"/>
          <w:spacing w:val="0"/>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2、合同标的</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（按照实际情况编制填写，可以是表格或文字描述）</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3、合同总金额</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3.1合同总金额为人民币大写：元（￥）。</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4、合同标的交付时间、地点和条件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4.1交付时间：；</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4.2交付地点：；</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4.3交付条件：。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5、合同标的应符合招标文件、乙方投标文件的规定或约定，具体如下：</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（按照实际情况编制填写，可以是表格或文字描述）</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6、验收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6.1验收应按照招标文件、乙方投标文件的规定或约定进行，具体如下：</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（按照实际情况编制填写，可以是表格或文字描述）</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6.2本项目是否邀请其他投标人参与验收：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□不邀请。□邀请，具体如下：</w:t>
      </w:r>
      <w:r>
        <w:rPr>
          <w:rFonts w:hint="eastAsia" w:ascii="宋体" w:hAnsi="宋体" w:eastAsia="宋体" w:cs="宋体"/>
          <w:spacing w:val="0"/>
          <w:sz w:val="19"/>
          <w:szCs w:val="19"/>
          <w:highlight w:val="none"/>
          <w:u w:val="single"/>
        </w:rPr>
        <w:t>（按照招标文件规定填写）</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7、合同款项的支付应按照招标文件的规定进行，具体如下：</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（按照实际情况编制填写，可以是表格或文字描述，包括一次性支付或分期支付等）</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8、履约保证金</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□无。□有，具体如下：</w:t>
      </w:r>
      <w:r>
        <w:rPr>
          <w:rFonts w:hint="eastAsia" w:ascii="宋体" w:hAnsi="宋体" w:eastAsia="宋体" w:cs="宋体"/>
          <w:spacing w:val="0"/>
          <w:sz w:val="19"/>
          <w:szCs w:val="19"/>
          <w:highlight w:val="none"/>
          <w:u w:val="single"/>
        </w:rPr>
        <w:t>（按照招标文件规定填写）</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9、合同有效期</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（按照实际情况编制填写，可以是表格或文字描述）</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10、违约责任</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（按照实际情况编制填写，可以是表格或文字描述）</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11、知识产权</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11.1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19"/>
          <w:szCs w:val="19"/>
          <w:highlight w:val="none"/>
          <w:u w:val="single"/>
        </w:rPr>
        <w:t>（按照实际情况编制填写）</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12、解决争议的方法</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12.1甲、乙双方协商解决。</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12.2若协商解决不成，则通过下列途径之一解决：</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□提交仲裁委员会仲裁，具体如下：</w:t>
      </w:r>
      <w:r>
        <w:rPr>
          <w:rFonts w:hint="eastAsia" w:ascii="宋体" w:hAnsi="宋体" w:eastAsia="宋体" w:cs="宋体"/>
          <w:spacing w:val="0"/>
          <w:sz w:val="19"/>
          <w:szCs w:val="19"/>
          <w:highlight w:val="none"/>
          <w:u w:val="single"/>
        </w:rPr>
        <w:t>（按照实际情况编制填写）</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□向人民法院提起诉讼，具体如下：</w:t>
      </w:r>
      <w:r>
        <w:rPr>
          <w:rFonts w:hint="eastAsia" w:ascii="宋体" w:hAnsi="宋体" w:eastAsia="宋体" w:cs="宋体"/>
          <w:spacing w:val="0"/>
          <w:sz w:val="19"/>
          <w:szCs w:val="19"/>
          <w:highlight w:val="none"/>
          <w:u w:val="single"/>
        </w:rPr>
        <w:t>（按照实际情况编制填写）</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13、不可抗力</w:t>
      </w:r>
      <w:bookmarkStart w:id="0" w:name="_GoBack"/>
      <w:bookmarkEnd w:id="0"/>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13.1因不可抗力造成违约的，遭受不可抗力一方应及时向对方通报不能履行或不能完全履行的理由，并在随后取得有关主管机关证明后的</w:t>
      </w:r>
      <w:r>
        <w:rPr>
          <w:rFonts w:hint="default" w:ascii="Calibri" w:hAnsi="Calibri" w:cs="Calibri"/>
          <w:spacing w:val="0"/>
          <w:sz w:val="19"/>
          <w:szCs w:val="19"/>
          <w:highlight w:val="none"/>
        </w:rPr>
        <w:t>15</w:t>
      </w:r>
      <w:r>
        <w:rPr>
          <w:rFonts w:hint="eastAsia" w:ascii="宋体" w:hAnsi="宋体" w:eastAsia="宋体" w:cs="宋体"/>
          <w:spacing w:val="0"/>
          <w:sz w:val="19"/>
          <w:szCs w:val="19"/>
          <w:highlight w:val="none"/>
        </w:rPr>
        <w:t>日内向另一方提供不可抗力发生及持续期间的充分证据。基于以上行为，允许遭受不可抗力一方延期履行、部分履行或不履行合同，并根据情况可部分或全部免于承担违约责任。</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14、合同条款</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u w:val="single"/>
        </w:rPr>
        <w:t>（根据实际情况填写。招标文件第五章已有规定的，双方均不得对规定进行变更或调整；招标文件第五章未作规定的，双方可通过友好协商进行约定）</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15、其他约定</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15.1合同文件与本合同具有同等法律效力。</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15.2本合同未尽事宜，双方可另行补充。</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15.3本合同自签订之日起生效。</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15.4本合同一式</w:t>
      </w:r>
      <w:r>
        <w:rPr>
          <w:rFonts w:hint="eastAsia" w:ascii="宋体" w:hAnsi="宋体" w:eastAsia="宋体" w:cs="宋体"/>
          <w:spacing w:val="0"/>
          <w:sz w:val="19"/>
          <w:szCs w:val="19"/>
          <w:highlight w:val="none"/>
          <w:u w:val="single"/>
        </w:rPr>
        <w:t>（填写具体份数）</w:t>
      </w:r>
      <w:r>
        <w:rPr>
          <w:rFonts w:hint="eastAsia" w:ascii="宋体" w:hAnsi="宋体" w:eastAsia="宋体" w:cs="宋体"/>
          <w:spacing w:val="0"/>
          <w:sz w:val="19"/>
          <w:szCs w:val="19"/>
          <w:highlight w:val="none"/>
        </w:rPr>
        <w:t>份，经双方授权代表签字并盖章后生效。甲方、乙方各执</w:t>
      </w:r>
      <w:r>
        <w:rPr>
          <w:rFonts w:hint="eastAsia" w:ascii="宋体" w:hAnsi="宋体" w:eastAsia="宋体" w:cs="宋体"/>
          <w:spacing w:val="0"/>
          <w:sz w:val="19"/>
          <w:szCs w:val="19"/>
          <w:highlight w:val="none"/>
          <w:u w:val="single"/>
        </w:rPr>
        <w:t>（填写具体份数）</w:t>
      </w:r>
      <w:r>
        <w:rPr>
          <w:rFonts w:hint="eastAsia" w:ascii="宋体" w:hAnsi="宋体" w:eastAsia="宋体" w:cs="宋体"/>
          <w:spacing w:val="0"/>
          <w:sz w:val="19"/>
          <w:szCs w:val="19"/>
          <w:highlight w:val="none"/>
        </w:rPr>
        <w:t>份，送</w:t>
      </w:r>
      <w:r>
        <w:rPr>
          <w:rFonts w:hint="eastAsia" w:ascii="宋体" w:hAnsi="宋体" w:eastAsia="宋体" w:cs="宋体"/>
          <w:spacing w:val="0"/>
          <w:sz w:val="19"/>
          <w:szCs w:val="19"/>
          <w:highlight w:val="none"/>
          <w:u w:val="single"/>
        </w:rPr>
        <w:t>（填写需要备案的监管部门的全称）</w:t>
      </w:r>
      <w:r>
        <w:rPr>
          <w:rFonts w:hint="eastAsia" w:ascii="宋体" w:hAnsi="宋体" w:eastAsia="宋体" w:cs="宋体"/>
          <w:spacing w:val="0"/>
          <w:sz w:val="19"/>
          <w:szCs w:val="19"/>
          <w:highlight w:val="none"/>
        </w:rPr>
        <w:t>备案</w:t>
      </w:r>
      <w:r>
        <w:rPr>
          <w:rFonts w:hint="eastAsia" w:ascii="宋体" w:hAnsi="宋体" w:eastAsia="宋体" w:cs="宋体"/>
          <w:spacing w:val="0"/>
          <w:sz w:val="19"/>
          <w:szCs w:val="19"/>
          <w:highlight w:val="none"/>
          <w:u w:val="single"/>
        </w:rPr>
        <w:t>（填写具体份数）</w:t>
      </w:r>
      <w:r>
        <w:rPr>
          <w:rFonts w:hint="eastAsia" w:ascii="宋体" w:hAnsi="宋体" w:eastAsia="宋体" w:cs="宋体"/>
          <w:spacing w:val="0"/>
          <w:sz w:val="19"/>
          <w:szCs w:val="19"/>
          <w:highlight w:val="none"/>
        </w:rPr>
        <w:t>份，具有同等效力。</w:t>
      </w:r>
    </w:p>
    <w:p>
      <w:pPr>
        <w:pStyle w:val="6"/>
        <w:keepNext w:val="0"/>
        <w:keepLines w:val="0"/>
        <w:widowControl/>
        <w:suppressLineNumbers w:val="0"/>
        <w:spacing w:before="60" w:beforeAutospacing="0" w:after="60" w:afterAutospacing="0"/>
        <w:ind w:left="0" w:right="0" w:firstLine="384"/>
        <w:rPr>
          <w:highlight w:val="none"/>
        </w:rPr>
      </w:pPr>
      <w:r>
        <w:rPr>
          <w:rFonts w:hint="eastAsia" w:ascii="宋体" w:hAnsi="宋体" w:eastAsia="宋体" w:cs="宋体"/>
          <w:spacing w:val="0"/>
          <w:sz w:val="19"/>
          <w:szCs w:val="19"/>
          <w:highlight w:val="none"/>
        </w:rPr>
        <w:t>15.5其他：□无。□</w:t>
      </w:r>
      <w:r>
        <w:rPr>
          <w:rFonts w:hint="eastAsia" w:ascii="宋体" w:hAnsi="宋体" w:eastAsia="宋体" w:cs="宋体"/>
          <w:spacing w:val="0"/>
          <w:sz w:val="19"/>
          <w:szCs w:val="19"/>
          <w:highlight w:val="none"/>
          <w:u w:val="single"/>
        </w:rPr>
        <w:t>（按照实际情况编制填写需要增加的内容）</w:t>
      </w:r>
      <w:r>
        <w:rPr>
          <w:rFonts w:hint="eastAsia" w:ascii="宋体" w:hAnsi="宋体" w:eastAsia="宋体" w:cs="宋体"/>
          <w:spacing w:val="0"/>
          <w:sz w:val="19"/>
          <w:szCs w:val="19"/>
          <w:highlight w:val="none"/>
        </w:rPr>
        <w:t>。</w:t>
      </w:r>
    </w:p>
    <w:p>
      <w:pPr>
        <w:pStyle w:val="6"/>
        <w:keepNext w:val="0"/>
        <w:keepLines w:val="0"/>
        <w:widowControl/>
        <w:suppressLineNumbers w:val="0"/>
        <w:spacing w:before="60" w:beforeAutospacing="0" w:after="60" w:afterAutospacing="0"/>
        <w:ind w:left="0" w:right="0" w:firstLine="0"/>
        <w:jc w:val="center"/>
        <w:rPr>
          <w:highlight w:val="none"/>
        </w:rPr>
      </w:pPr>
      <w:r>
        <w:rPr>
          <w:rFonts w:hint="eastAsia" w:ascii="宋体" w:hAnsi="宋体" w:eastAsia="宋体" w:cs="宋体"/>
          <w:spacing w:val="0"/>
          <w:sz w:val="19"/>
          <w:szCs w:val="19"/>
          <w:highlight w:val="none"/>
        </w:rPr>
        <w:t>（以下无正文）</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 </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 </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甲方：</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乙方：</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住所：</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住所：</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单位负责人：</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单位负责人：</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委托代理人：</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委托代理人：</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联系方法：</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联系方法：</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开户银行：</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开户银行：</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账号：</w:t>
      </w:r>
      <w:r>
        <w:rPr>
          <w:rFonts w:hint="eastAsia" w:ascii="宋体" w:hAnsi="宋体" w:eastAsia="宋体" w:cs="宋体"/>
          <w:spacing w:val="0"/>
          <w:sz w:val="19"/>
          <w:szCs w:val="19"/>
          <w:highlight w:val="none"/>
          <w:lang w:val="en-US" w:eastAsia="zh-CN"/>
        </w:rPr>
        <w:t xml:space="preserve">                                </w:t>
      </w:r>
      <w:r>
        <w:rPr>
          <w:rFonts w:hint="eastAsia" w:ascii="宋体" w:hAnsi="宋体" w:eastAsia="宋体" w:cs="宋体"/>
          <w:spacing w:val="0"/>
          <w:sz w:val="19"/>
          <w:szCs w:val="19"/>
          <w:highlight w:val="none"/>
        </w:rPr>
        <w:t>账号：</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 </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 </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签订地点：</w:t>
      </w:r>
    </w:p>
    <w:p>
      <w:pPr>
        <w:pStyle w:val="6"/>
        <w:keepNext w:val="0"/>
        <w:keepLines w:val="0"/>
        <w:widowControl/>
        <w:suppressLineNumbers w:val="0"/>
        <w:spacing w:before="60" w:beforeAutospacing="0" w:after="60" w:afterAutospacing="0"/>
        <w:ind w:left="0" w:right="0" w:firstLine="0"/>
        <w:rPr>
          <w:highlight w:val="none"/>
        </w:rPr>
      </w:pPr>
      <w:r>
        <w:rPr>
          <w:rFonts w:hint="eastAsia" w:ascii="宋体" w:hAnsi="宋体" w:eastAsia="宋体" w:cs="宋体"/>
          <w:spacing w:val="0"/>
          <w:sz w:val="19"/>
          <w:szCs w:val="19"/>
          <w:highlight w:val="none"/>
        </w:rPr>
        <w:t>签订日期：</w:t>
      </w:r>
      <w:r>
        <w:rPr>
          <w:rFonts w:hint="eastAsia" w:ascii="宋体" w:hAnsi="宋体" w:eastAsia="宋体" w:cs="宋体"/>
          <w:spacing w:val="0"/>
          <w:sz w:val="19"/>
          <w:szCs w:val="19"/>
          <w:highlight w:val="none"/>
          <w:u w:val="single"/>
        </w:rPr>
        <w:t>    </w:t>
      </w:r>
      <w:r>
        <w:rPr>
          <w:rFonts w:hint="eastAsia" w:ascii="宋体" w:hAnsi="宋体" w:eastAsia="宋体" w:cs="宋体"/>
          <w:spacing w:val="0"/>
          <w:sz w:val="19"/>
          <w:szCs w:val="19"/>
          <w:highlight w:val="none"/>
        </w:rPr>
        <w:t>年</w:t>
      </w:r>
      <w:r>
        <w:rPr>
          <w:rFonts w:hint="eastAsia" w:ascii="宋体" w:hAnsi="宋体" w:eastAsia="宋体" w:cs="宋体"/>
          <w:spacing w:val="0"/>
          <w:sz w:val="19"/>
          <w:szCs w:val="19"/>
          <w:highlight w:val="none"/>
          <w:u w:val="single"/>
        </w:rPr>
        <w:t>   </w:t>
      </w:r>
      <w:r>
        <w:rPr>
          <w:rFonts w:hint="eastAsia" w:ascii="宋体" w:hAnsi="宋体" w:eastAsia="宋体" w:cs="宋体"/>
          <w:spacing w:val="0"/>
          <w:sz w:val="19"/>
          <w:szCs w:val="19"/>
          <w:highlight w:val="none"/>
        </w:rPr>
        <w:t>月</w:t>
      </w:r>
      <w:r>
        <w:rPr>
          <w:rFonts w:hint="eastAsia" w:ascii="宋体" w:hAnsi="宋体" w:eastAsia="宋体" w:cs="宋体"/>
          <w:spacing w:val="0"/>
          <w:sz w:val="19"/>
          <w:szCs w:val="19"/>
          <w:highlight w:val="none"/>
          <w:u w:val="single"/>
        </w:rPr>
        <w:t>   </w:t>
      </w:r>
      <w:r>
        <w:rPr>
          <w:rFonts w:hint="eastAsia" w:ascii="宋体" w:hAnsi="宋体" w:eastAsia="宋体" w:cs="宋体"/>
          <w:spacing w:val="0"/>
          <w:sz w:val="19"/>
          <w:szCs w:val="19"/>
          <w:highlight w:val="none"/>
        </w:rPr>
        <w:t>日</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192" w:afterAutospacing="0"/>
        <w:jc w:val="center"/>
        <w:rPr>
          <w:rFonts w:hint="eastAsia" w:ascii="宋体" w:hAnsi="宋体" w:eastAsia="宋体" w:cs="宋体"/>
          <w:sz w:val="19"/>
          <w:szCs w:val="19"/>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192" w:afterAutospacing="0"/>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192" w:afterAutospacing="0"/>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192" w:afterAutospacing="0"/>
        <w:jc w:val="center"/>
        <w:rPr>
          <w:rFonts w:hint="eastAsia" w:ascii="宋体" w:hAnsi="宋体" w:eastAsia="宋体" w:cs="宋体"/>
          <w:sz w:val="19"/>
          <w:szCs w:val="19"/>
          <w:highlight w:val="none"/>
        </w:rPr>
      </w:pP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25"/>
          <w:szCs w:val="25"/>
          <w:highlight w:val="none"/>
        </w:rPr>
        <w:t>第六章</w:t>
      </w:r>
      <w:r>
        <w:rPr>
          <w:rStyle w:val="9"/>
          <w:rFonts w:hint="eastAsia" w:ascii="宋体" w:hAnsi="宋体" w:eastAsia="宋体" w:cs="宋体"/>
          <w:sz w:val="19"/>
          <w:szCs w:val="19"/>
          <w:highlight w:val="none"/>
        </w:rPr>
        <w:t>   </w:t>
      </w:r>
      <w:r>
        <w:rPr>
          <w:rStyle w:val="9"/>
          <w:rFonts w:hint="eastAsia" w:ascii="宋体" w:hAnsi="宋体" w:eastAsia="宋体" w:cs="宋体"/>
          <w:sz w:val="25"/>
          <w:szCs w:val="25"/>
          <w:highlight w:val="none"/>
        </w:rPr>
        <w:t>响应文件格式</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6"/>
          <w:szCs w:val="16"/>
          <w:highlight w:val="none"/>
        </w:rPr>
        <w:t>封面：</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ascii="黑体" w:hAnsi="宋体" w:eastAsia="黑体" w:cs="黑体"/>
          <w:sz w:val="42"/>
          <w:szCs w:val="42"/>
          <w:highlight w:val="none"/>
        </w:rPr>
        <w:t>政府采购货物项目</w:t>
      </w:r>
    </w:p>
    <w:p>
      <w:pPr>
        <w:pStyle w:val="6"/>
        <w:keepNext w:val="0"/>
        <w:keepLines w:val="0"/>
        <w:widowControl/>
        <w:suppressLineNumbers w:val="0"/>
        <w:spacing w:before="0" w:beforeAutospacing="1" w:after="0" w:afterAutospacing="1"/>
        <w:jc w:val="center"/>
        <w:rPr>
          <w:highlight w:val="none"/>
        </w:rPr>
      </w:pPr>
      <w:r>
        <w:rPr>
          <w:rStyle w:val="9"/>
          <w:rFonts w:hint="eastAsia" w:ascii="黑体" w:hAnsi="宋体" w:eastAsia="黑体" w:cs="黑体"/>
          <w:sz w:val="42"/>
          <w:szCs w:val="42"/>
          <w:highlight w:val="none"/>
        </w:rPr>
        <w:t>响应文件</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1668"/>
        <w:rPr>
          <w:highlight w:val="none"/>
        </w:rPr>
      </w:pPr>
      <w:r>
        <w:rPr>
          <w:rStyle w:val="9"/>
          <w:rFonts w:hint="eastAsia" w:ascii="黑体" w:hAnsi="宋体" w:eastAsia="黑体" w:cs="黑体"/>
          <w:sz w:val="25"/>
          <w:szCs w:val="25"/>
          <w:highlight w:val="none"/>
        </w:rPr>
        <w:t>项目名称：</w:t>
      </w:r>
      <w:r>
        <w:rPr>
          <w:rStyle w:val="9"/>
          <w:rFonts w:hint="eastAsia" w:ascii="宋体" w:hAnsi="宋体" w:eastAsia="宋体" w:cs="宋体"/>
          <w:sz w:val="25"/>
          <w:szCs w:val="25"/>
          <w:highlight w:val="none"/>
          <w:u w:val="single"/>
        </w:rPr>
        <w:t>            </w:t>
      </w:r>
    </w:p>
    <w:p>
      <w:pPr>
        <w:pStyle w:val="6"/>
        <w:keepNext w:val="0"/>
        <w:keepLines w:val="0"/>
        <w:widowControl/>
        <w:suppressLineNumbers w:val="0"/>
        <w:spacing w:before="0" w:beforeAutospacing="1" w:after="0" w:afterAutospacing="1"/>
        <w:ind w:left="0" w:firstLine="1668"/>
        <w:rPr>
          <w:highlight w:val="none"/>
        </w:rPr>
      </w:pPr>
      <w:r>
        <w:rPr>
          <w:rStyle w:val="9"/>
          <w:rFonts w:hint="eastAsia" w:ascii="黑体" w:hAnsi="宋体" w:eastAsia="黑体" w:cs="黑体"/>
          <w:sz w:val="25"/>
          <w:szCs w:val="25"/>
          <w:highlight w:val="none"/>
        </w:rPr>
        <w:t>项目编号：</w:t>
      </w:r>
      <w:r>
        <w:rPr>
          <w:rStyle w:val="9"/>
          <w:rFonts w:hint="eastAsia" w:ascii="宋体" w:hAnsi="宋体" w:eastAsia="宋体" w:cs="宋体"/>
          <w:sz w:val="25"/>
          <w:szCs w:val="25"/>
          <w:highlight w:val="none"/>
          <w:u w:val="single"/>
        </w:rPr>
        <w:t>            </w:t>
      </w:r>
    </w:p>
    <w:p>
      <w:pPr>
        <w:pStyle w:val="6"/>
        <w:keepNext w:val="0"/>
        <w:keepLines w:val="0"/>
        <w:widowControl/>
        <w:suppressLineNumbers w:val="0"/>
        <w:spacing w:before="0" w:beforeAutospacing="1" w:after="0" w:afterAutospacing="1"/>
        <w:ind w:left="0" w:firstLine="1788"/>
        <w:rPr>
          <w:highlight w:val="none"/>
        </w:rPr>
      </w:pPr>
      <w:r>
        <w:rPr>
          <w:rStyle w:val="9"/>
          <w:rFonts w:hint="eastAsia" w:ascii="黑体" w:hAnsi="宋体" w:eastAsia="黑体" w:cs="黑体"/>
          <w:sz w:val="25"/>
          <w:szCs w:val="25"/>
          <w:highlight w:val="none"/>
        </w:rPr>
        <w:t>合同包：</w:t>
      </w:r>
      <w:r>
        <w:rPr>
          <w:rStyle w:val="9"/>
          <w:rFonts w:hint="eastAsia" w:ascii="宋体" w:hAnsi="宋体" w:eastAsia="宋体" w:cs="宋体"/>
          <w:sz w:val="25"/>
          <w:szCs w:val="25"/>
          <w:highlight w:val="none"/>
          <w:u w:val="singl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1788"/>
        <w:rPr>
          <w:sz w:val="24"/>
          <w:szCs w:val="24"/>
          <w:highlight w:val="none"/>
        </w:rPr>
      </w:pPr>
      <w:r>
        <w:rPr>
          <w:rStyle w:val="9"/>
          <w:rFonts w:hint="eastAsia" w:ascii="黑体" w:hAnsi="宋体" w:eastAsia="黑体" w:cs="黑体"/>
          <w:sz w:val="24"/>
          <w:szCs w:val="24"/>
          <w:highlight w:val="none"/>
        </w:rPr>
        <w:t>供应商名称：</w:t>
      </w:r>
    </w:p>
    <w:p>
      <w:pPr>
        <w:pStyle w:val="6"/>
        <w:keepNext w:val="0"/>
        <w:keepLines w:val="0"/>
        <w:widowControl/>
        <w:suppressLineNumbers w:val="0"/>
        <w:spacing w:before="0" w:beforeAutospacing="1" w:after="0" w:afterAutospacing="1"/>
        <w:ind w:left="0" w:firstLine="1788"/>
        <w:rPr>
          <w:rFonts w:hint="eastAsia" w:eastAsia="黑体"/>
          <w:sz w:val="24"/>
          <w:szCs w:val="24"/>
          <w:highlight w:val="none"/>
          <w:lang w:eastAsia="zh-CN"/>
        </w:rPr>
      </w:pPr>
      <w:r>
        <w:rPr>
          <w:rStyle w:val="9"/>
          <w:rFonts w:hint="eastAsia" w:ascii="黑体" w:hAnsi="宋体" w:eastAsia="黑体" w:cs="黑体"/>
          <w:sz w:val="24"/>
          <w:szCs w:val="24"/>
          <w:highlight w:val="none"/>
        </w:rPr>
        <w:t>日</w:t>
      </w:r>
      <w:r>
        <w:rPr>
          <w:rStyle w:val="9"/>
          <w:rFonts w:hint="eastAsia" w:ascii="宋体" w:hAnsi="宋体" w:eastAsia="宋体" w:cs="宋体"/>
          <w:sz w:val="24"/>
          <w:szCs w:val="24"/>
          <w:highlight w:val="none"/>
        </w:rPr>
        <w:t>   </w:t>
      </w:r>
      <w:r>
        <w:rPr>
          <w:rStyle w:val="9"/>
          <w:rFonts w:hint="eastAsia" w:ascii="黑体" w:hAnsi="宋体" w:eastAsia="黑体" w:cs="黑体"/>
          <w:sz w:val="24"/>
          <w:szCs w:val="24"/>
          <w:highlight w:val="none"/>
        </w:rPr>
        <w:t>期</w:t>
      </w:r>
      <w:r>
        <w:rPr>
          <w:rStyle w:val="9"/>
          <w:rFonts w:hint="eastAsia" w:ascii="黑体" w:hAnsi="宋体" w:eastAsia="黑体" w:cs="黑体"/>
          <w:sz w:val="24"/>
          <w:szCs w:val="24"/>
          <w:highlight w:val="none"/>
          <w:lang w:eastAsia="zh-CN"/>
        </w:rPr>
        <w:t>：</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目录</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1</w:t>
      </w:r>
      <w:r>
        <w:rPr>
          <w:rStyle w:val="9"/>
          <w:rFonts w:hint="eastAsia" w:ascii="宋体" w:hAnsi="宋体" w:eastAsia="宋体" w:cs="宋体"/>
          <w:sz w:val="19"/>
          <w:szCs w:val="19"/>
          <w:highlight w:val="none"/>
        </w:rPr>
        <w:t>、询价响应声明</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2</w:t>
      </w:r>
      <w:r>
        <w:rPr>
          <w:rStyle w:val="9"/>
          <w:rFonts w:hint="eastAsia" w:ascii="宋体" w:hAnsi="宋体" w:eastAsia="宋体" w:cs="宋体"/>
          <w:sz w:val="19"/>
          <w:szCs w:val="19"/>
          <w:highlight w:val="none"/>
        </w:rPr>
        <w:t>、报价一览表</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3</w:t>
      </w:r>
      <w:r>
        <w:rPr>
          <w:rStyle w:val="9"/>
          <w:rFonts w:hint="eastAsia" w:ascii="宋体" w:hAnsi="宋体" w:eastAsia="宋体" w:cs="宋体"/>
          <w:sz w:val="19"/>
          <w:szCs w:val="19"/>
          <w:highlight w:val="none"/>
        </w:rPr>
        <w:t>、分项报价表</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4</w:t>
      </w:r>
      <w:r>
        <w:rPr>
          <w:rStyle w:val="9"/>
          <w:rFonts w:hint="eastAsia" w:ascii="宋体" w:hAnsi="宋体" w:eastAsia="宋体" w:cs="宋体"/>
          <w:sz w:val="19"/>
          <w:szCs w:val="19"/>
          <w:highlight w:val="none"/>
        </w:rPr>
        <w:t>、资格证明文件</w:t>
      </w:r>
    </w:p>
    <w:p>
      <w:pPr>
        <w:pStyle w:val="6"/>
        <w:keepNext w:val="0"/>
        <w:keepLines w:val="0"/>
        <w:widowControl/>
        <w:suppressLineNumbers w:val="0"/>
        <w:rPr>
          <w:highlight w:val="none"/>
        </w:rPr>
      </w:pPr>
      <w:r>
        <w:rPr>
          <w:rFonts w:hint="eastAsia" w:ascii="宋体" w:hAnsi="宋体" w:eastAsia="宋体" w:cs="宋体"/>
          <w:sz w:val="19"/>
          <w:szCs w:val="19"/>
          <w:highlight w:val="none"/>
        </w:rPr>
        <w:t>4-1单位负责人授权书</w:t>
      </w:r>
    </w:p>
    <w:p>
      <w:pPr>
        <w:pStyle w:val="6"/>
        <w:keepNext w:val="0"/>
        <w:keepLines w:val="0"/>
        <w:widowControl/>
        <w:suppressLineNumbers w:val="0"/>
        <w:rPr>
          <w:highlight w:val="none"/>
        </w:rPr>
      </w:pPr>
      <w:r>
        <w:rPr>
          <w:rFonts w:hint="eastAsia" w:ascii="宋体" w:hAnsi="宋体" w:eastAsia="宋体" w:cs="宋体"/>
          <w:sz w:val="19"/>
          <w:szCs w:val="19"/>
          <w:highlight w:val="none"/>
        </w:rPr>
        <w:t>4-2营业执照等证明文件</w:t>
      </w:r>
    </w:p>
    <w:p>
      <w:pPr>
        <w:pStyle w:val="6"/>
        <w:keepNext w:val="0"/>
        <w:keepLines w:val="0"/>
        <w:widowControl/>
        <w:suppressLineNumbers w:val="0"/>
        <w:rPr>
          <w:highlight w:val="none"/>
        </w:rPr>
      </w:pPr>
      <w:r>
        <w:rPr>
          <w:rFonts w:hint="eastAsia" w:ascii="宋体" w:hAnsi="宋体" w:eastAsia="宋体" w:cs="宋体"/>
          <w:sz w:val="19"/>
          <w:szCs w:val="19"/>
          <w:highlight w:val="none"/>
        </w:rPr>
        <w:t>4-3财务状况报告</w:t>
      </w:r>
    </w:p>
    <w:p>
      <w:pPr>
        <w:pStyle w:val="6"/>
        <w:keepNext w:val="0"/>
        <w:keepLines w:val="0"/>
        <w:widowControl/>
        <w:suppressLineNumbers w:val="0"/>
        <w:rPr>
          <w:highlight w:val="none"/>
        </w:rPr>
      </w:pPr>
      <w:r>
        <w:rPr>
          <w:rFonts w:hint="eastAsia" w:ascii="宋体" w:hAnsi="宋体" w:eastAsia="宋体" w:cs="宋体"/>
          <w:sz w:val="19"/>
          <w:szCs w:val="19"/>
          <w:highlight w:val="none"/>
        </w:rPr>
        <w:t>4-4依法缴纳税收证明材料</w:t>
      </w:r>
    </w:p>
    <w:p>
      <w:pPr>
        <w:pStyle w:val="6"/>
        <w:keepNext w:val="0"/>
        <w:keepLines w:val="0"/>
        <w:widowControl/>
        <w:suppressLineNumbers w:val="0"/>
        <w:rPr>
          <w:highlight w:val="none"/>
        </w:rPr>
      </w:pPr>
      <w:r>
        <w:rPr>
          <w:rFonts w:hint="eastAsia" w:ascii="宋体" w:hAnsi="宋体" w:eastAsia="宋体" w:cs="宋体"/>
          <w:sz w:val="19"/>
          <w:szCs w:val="19"/>
          <w:highlight w:val="none"/>
        </w:rPr>
        <w:t>4-5依法缴纳社会保障资金证明材料</w:t>
      </w:r>
    </w:p>
    <w:p>
      <w:pPr>
        <w:pStyle w:val="6"/>
        <w:keepNext w:val="0"/>
        <w:keepLines w:val="0"/>
        <w:widowControl/>
        <w:suppressLineNumbers w:val="0"/>
        <w:rPr>
          <w:highlight w:val="none"/>
        </w:rPr>
      </w:pPr>
      <w:r>
        <w:rPr>
          <w:rFonts w:hint="eastAsia" w:ascii="宋体" w:hAnsi="宋体" w:eastAsia="宋体" w:cs="宋体"/>
          <w:sz w:val="19"/>
          <w:szCs w:val="19"/>
          <w:highlight w:val="none"/>
        </w:rPr>
        <w:t>4-6具备履行合同所必需设备和专业技术能力证明材料</w:t>
      </w:r>
    </w:p>
    <w:p>
      <w:pPr>
        <w:pStyle w:val="6"/>
        <w:keepNext w:val="0"/>
        <w:keepLines w:val="0"/>
        <w:widowControl/>
        <w:suppressLineNumbers w:val="0"/>
        <w:rPr>
          <w:highlight w:val="none"/>
        </w:rPr>
      </w:pPr>
      <w:r>
        <w:rPr>
          <w:rFonts w:hint="eastAsia" w:ascii="宋体" w:hAnsi="宋体" w:eastAsia="宋体" w:cs="宋体"/>
          <w:sz w:val="19"/>
          <w:szCs w:val="19"/>
          <w:highlight w:val="none"/>
        </w:rPr>
        <w:t>4-7参加采购活动前三年内在经营活动中没有重大违法记录书面声明</w:t>
      </w:r>
    </w:p>
    <w:p>
      <w:pPr>
        <w:pStyle w:val="6"/>
        <w:keepNext w:val="0"/>
        <w:keepLines w:val="0"/>
        <w:widowControl/>
        <w:suppressLineNumbers w:val="0"/>
        <w:rPr>
          <w:highlight w:val="none"/>
        </w:rPr>
      </w:pPr>
      <w:r>
        <w:rPr>
          <w:rFonts w:hint="eastAsia" w:ascii="宋体" w:hAnsi="宋体" w:eastAsia="宋体" w:cs="宋体"/>
          <w:sz w:val="19"/>
          <w:szCs w:val="19"/>
          <w:highlight w:val="none"/>
        </w:rPr>
        <w:t>4-8信用记录查询结果</w:t>
      </w:r>
    </w:p>
    <w:p>
      <w:pPr>
        <w:pStyle w:val="6"/>
        <w:keepNext w:val="0"/>
        <w:keepLines w:val="0"/>
        <w:widowControl/>
        <w:suppressLineNumbers w:val="0"/>
        <w:rPr>
          <w:highlight w:val="none"/>
        </w:rPr>
      </w:pPr>
      <w:r>
        <w:rPr>
          <w:rFonts w:hint="eastAsia" w:ascii="宋体" w:hAnsi="宋体" w:eastAsia="宋体" w:cs="宋体"/>
          <w:sz w:val="19"/>
          <w:szCs w:val="19"/>
          <w:highlight w:val="none"/>
        </w:rPr>
        <w:t>4-9检察机关行贿犯罪档案查询结果告知函</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5</w:t>
      </w:r>
      <w:r>
        <w:rPr>
          <w:rStyle w:val="9"/>
          <w:rFonts w:hint="eastAsia" w:ascii="宋体" w:hAnsi="宋体" w:eastAsia="宋体" w:cs="宋体"/>
          <w:sz w:val="19"/>
          <w:szCs w:val="19"/>
          <w:highlight w:val="none"/>
        </w:rPr>
        <w:t>、技术要求响应表</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6</w:t>
      </w:r>
      <w:r>
        <w:rPr>
          <w:rStyle w:val="9"/>
          <w:rFonts w:hint="eastAsia" w:ascii="宋体" w:hAnsi="宋体" w:eastAsia="宋体" w:cs="宋体"/>
          <w:sz w:val="19"/>
          <w:szCs w:val="19"/>
          <w:highlight w:val="none"/>
        </w:rPr>
        <w:t>、商务条件响应表</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7</w:t>
      </w:r>
      <w:r>
        <w:rPr>
          <w:rStyle w:val="9"/>
          <w:rFonts w:hint="eastAsia" w:ascii="宋体" w:hAnsi="宋体" w:eastAsia="宋体" w:cs="宋体"/>
          <w:sz w:val="19"/>
          <w:szCs w:val="19"/>
          <w:highlight w:val="none"/>
        </w:rPr>
        <w:t>、提供政府采购政策产品等证明材料</w:t>
      </w:r>
    </w:p>
    <w:p>
      <w:pPr>
        <w:pStyle w:val="6"/>
        <w:keepNext w:val="0"/>
        <w:keepLines w:val="0"/>
        <w:widowControl/>
        <w:suppressLineNumbers w:val="0"/>
        <w:rPr>
          <w:highlight w:val="none"/>
        </w:rPr>
      </w:pPr>
      <w:r>
        <w:rPr>
          <w:rFonts w:hint="eastAsia" w:ascii="宋体" w:hAnsi="宋体" w:eastAsia="宋体" w:cs="宋体"/>
          <w:sz w:val="19"/>
          <w:szCs w:val="19"/>
          <w:highlight w:val="none"/>
        </w:rPr>
        <w:t>7-1优先类节能产品、环境标志产品统计表</w:t>
      </w:r>
    </w:p>
    <w:p>
      <w:pPr>
        <w:pStyle w:val="6"/>
        <w:keepNext w:val="0"/>
        <w:keepLines w:val="0"/>
        <w:widowControl/>
        <w:suppressLineNumbers w:val="0"/>
        <w:rPr>
          <w:highlight w:val="none"/>
        </w:rPr>
      </w:pPr>
      <w:r>
        <w:rPr>
          <w:rFonts w:hint="eastAsia" w:ascii="宋体" w:hAnsi="宋体" w:eastAsia="宋体" w:cs="宋体"/>
          <w:sz w:val="19"/>
          <w:szCs w:val="19"/>
          <w:highlight w:val="none"/>
        </w:rPr>
        <w:t>7-2中小企业声明函</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8</w:t>
      </w:r>
      <w:r>
        <w:rPr>
          <w:rStyle w:val="9"/>
          <w:rFonts w:hint="eastAsia" w:ascii="宋体" w:hAnsi="宋体" w:eastAsia="宋体" w:cs="宋体"/>
          <w:sz w:val="19"/>
          <w:szCs w:val="19"/>
          <w:highlight w:val="none"/>
        </w:rPr>
        <w:t>、联合体协议（若有）</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9</w:t>
      </w:r>
      <w:r>
        <w:rPr>
          <w:rStyle w:val="9"/>
          <w:rFonts w:hint="eastAsia" w:ascii="宋体" w:hAnsi="宋体" w:eastAsia="宋体" w:cs="宋体"/>
          <w:sz w:val="19"/>
          <w:szCs w:val="19"/>
          <w:highlight w:val="none"/>
        </w:rPr>
        <w:t>、询价保证金凭证</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10</w:t>
      </w:r>
      <w:r>
        <w:rPr>
          <w:rStyle w:val="9"/>
          <w:rFonts w:hint="eastAsia" w:ascii="宋体" w:hAnsi="宋体" w:eastAsia="宋体" w:cs="宋体"/>
          <w:sz w:val="19"/>
          <w:szCs w:val="19"/>
          <w:highlight w:val="none"/>
        </w:rPr>
        <w:t>、要求作为响应文件组成部分的其他材料（若有）</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9"/>
          <w:szCs w:val="19"/>
          <w:highlight w:val="none"/>
        </w:rPr>
        <w:t>1、询价响应声明</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采购人或采购代理机构）：</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根据贵方为</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（项目名称）（项目编号：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）的询价通知书，本人</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（全名、职务）代表供应商</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（供应商名称、地址）提交响应文件正本</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份和副本一式</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份。</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一、我方同意在本项目询价通知书中规定的递交响应文件截止时间起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u w:val="single"/>
          <w:lang w:val="en-US" w:eastAsia="zh-CN"/>
        </w:rPr>
        <w:t xml:space="preserve">  </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天内 （响应文件有效期）遵守本响应文件中的承诺，且在此期限期满之前均具有约束力。</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二、我方已详细审核全部询价通知书，包括询价通知书修改文件（如有的话）、参考资料及有关附件，确认无误。我方承诺接受询价通知书中的全部条款且无任何异议。</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三、我方承诺我方满足询价通知书中要求的供应商的资格要求的法定条件和特定条件。</w:t>
      </w:r>
    </w:p>
    <w:tbl>
      <w:tblPr>
        <w:tblStyle w:val="7"/>
        <w:tblW w:w="4998"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675"/>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Style w:val="9"/>
                <w:rFonts w:hint="eastAsia" w:ascii="宋体" w:hAnsi="宋体" w:eastAsia="宋体" w:cs="宋体"/>
                <w:sz w:val="19"/>
                <w:szCs w:val="19"/>
                <w:highlight w:val="none"/>
              </w:rPr>
              <w:t>供应商的资格要求的法定条件明细</w:t>
            </w:r>
          </w:p>
        </w:tc>
        <w:tc>
          <w:tcPr>
            <w:tcW w:w="1070"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Style w:val="9"/>
                <w:rFonts w:hint="eastAsia" w:ascii="宋体" w:hAnsi="宋体" w:eastAsia="宋体" w:cs="宋体"/>
                <w:sz w:val="19"/>
                <w:szCs w:val="19"/>
                <w:highlight w:val="none"/>
              </w:rPr>
              <w:t>是否响应应答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单位负责人授权书（若有）</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营业执照等证明文件</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财务状况报告</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依法缴纳税收证明材料</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依法缴纳社会保障资金证明材料</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具备履行合同所必需设备和专业技术能力证明材料</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参加采购活动前三年内在经营活动中没有重大违法记录书面声明</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信用记录查询结果</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检察机关行贿犯罪档案查询结果告知函</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联合体协议（若有）</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供应商的资格要求的特定条件明细</w:t>
            </w:r>
          </w:p>
        </w:tc>
        <w:tc>
          <w:tcPr>
            <w:tcW w:w="1070"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87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询价通知书第一章规定的特定条件</w:t>
            </w:r>
          </w:p>
        </w:tc>
        <w:tc>
          <w:tcPr>
            <w:tcW w:w="1070"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r>
    </w:tbl>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四、我方保证响应文件提供的数据和材料是真实、合法的。我方愿意向贵方提供任何与本项目采购有关的数据、情况和技术资料。若贵方需要，我方愿意提供我方作出的一切承诺的证明材料。</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五、我方承诺遵守《政府采购法》的有关规定，按照询价通知书确定的事项签订政府采购合同，并承担合同规定的责任和义务。</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供应商名称（盖公章）：</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法定代表人或授权代表（签字或盖章）：</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 </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firstLine="336"/>
        <w:rPr>
          <w:highlight w:val="none"/>
        </w:rPr>
      </w:pPr>
      <w:r>
        <w:rPr>
          <w:rFonts w:ascii="Arial" w:hAnsi="Arial" w:cs="Arial"/>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9"/>
          <w:szCs w:val="19"/>
          <w:highlight w:val="none"/>
        </w:rPr>
        <w:t>2、报价一览表</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项目编号：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right"/>
        <w:rPr>
          <w:highlight w:val="none"/>
        </w:rPr>
      </w:pPr>
      <w:r>
        <w:rPr>
          <w:rFonts w:hint="eastAsia" w:ascii="宋体" w:hAnsi="宋体" w:eastAsia="宋体" w:cs="宋体"/>
          <w:sz w:val="19"/>
          <w:szCs w:val="19"/>
          <w:highlight w:val="none"/>
        </w:rPr>
        <w:t>货币单位：人民币元</w:t>
      </w:r>
    </w:p>
    <w:tbl>
      <w:tblPr>
        <w:tblStyle w:val="7"/>
        <w:tblW w:w="4998"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64"/>
        <w:gridCol w:w="1426"/>
        <w:gridCol w:w="1063"/>
        <w:gridCol w:w="1946"/>
        <w:gridCol w:w="1079"/>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490"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合同包</w:t>
            </w: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品目号</w:t>
            </w:r>
          </w:p>
        </w:tc>
        <w:tc>
          <w:tcPr>
            <w:tcW w:w="618"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采购标的</w:t>
            </w:r>
          </w:p>
        </w:tc>
        <w:tc>
          <w:tcPr>
            <w:tcW w:w="1146" w:type="pct"/>
            <w:shd w:val="clear" w:color="auto" w:fill="auto"/>
            <w:tcMar>
              <w:top w:w="12" w:type="dxa"/>
              <w:left w:w="12" w:type="dxa"/>
              <w:bottom w:w="12" w:type="dxa"/>
              <w:right w:w="12" w:type="dxa"/>
            </w:tcMar>
            <w:vAlign w:val="center"/>
          </w:tcPr>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单价（现场）</w:t>
            </w:r>
          </w:p>
        </w:tc>
        <w:tc>
          <w:tcPr>
            <w:tcW w:w="627"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数量</w:t>
            </w:r>
          </w:p>
        </w:tc>
        <w:tc>
          <w:tcPr>
            <w:tcW w:w="1157"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总价（现场）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restar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1</w:t>
            </w: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1-1</w:t>
            </w:r>
          </w:p>
        </w:tc>
        <w:tc>
          <w:tcPr>
            <w:tcW w:w="618"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1146"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62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15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continue"/>
            <w:shd w:val="clear" w:color="auto" w:fill="auto"/>
            <w:tcMar>
              <w:top w:w="12" w:type="dxa"/>
              <w:left w:w="12" w:type="dxa"/>
              <w:bottom w:w="12" w:type="dxa"/>
              <w:right w:w="12" w:type="dxa"/>
            </w:tcMar>
            <w:vAlign w:val="center"/>
          </w:tcPr>
          <w:p>
            <w:pPr>
              <w:jc w:val="center"/>
              <w:rPr>
                <w:rFonts w:hint="eastAsia" w:ascii="宋体"/>
                <w:sz w:val="24"/>
                <w:szCs w:val="24"/>
                <w:highlight w:val="none"/>
              </w:rPr>
            </w:pP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1-*</w:t>
            </w:r>
          </w:p>
        </w:tc>
        <w:tc>
          <w:tcPr>
            <w:tcW w:w="618"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1146"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62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15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continue"/>
            <w:shd w:val="clear" w:color="auto" w:fill="auto"/>
            <w:tcMar>
              <w:top w:w="12" w:type="dxa"/>
              <w:left w:w="12" w:type="dxa"/>
              <w:bottom w:w="12" w:type="dxa"/>
              <w:right w:w="12" w:type="dxa"/>
            </w:tcMar>
            <w:vAlign w:val="center"/>
          </w:tcPr>
          <w:p>
            <w:pPr>
              <w:jc w:val="center"/>
              <w:rPr>
                <w:rFonts w:hint="eastAsia" w:ascii="宋体"/>
                <w:sz w:val="24"/>
                <w:szCs w:val="24"/>
                <w:highlight w:val="none"/>
              </w:rPr>
            </w:pP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618"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1146"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62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15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continue"/>
            <w:shd w:val="clear" w:color="auto" w:fill="auto"/>
            <w:tcMar>
              <w:top w:w="12" w:type="dxa"/>
              <w:left w:w="12" w:type="dxa"/>
              <w:bottom w:w="12" w:type="dxa"/>
              <w:right w:w="12" w:type="dxa"/>
            </w:tcMar>
            <w:vAlign w:val="center"/>
          </w:tcPr>
          <w:p>
            <w:pPr>
              <w:jc w:val="center"/>
              <w:rPr>
                <w:rFonts w:hint="eastAsia" w:ascii="宋体"/>
                <w:sz w:val="24"/>
                <w:szCs w:val="24"/>
                <w:highlight w:val="none"/>
              </w:rPr>
            </w:pPr>
          </w:p>
        </w:tc>
        <w:tc>
          <w:tcPr>
            <w:tcW w:w="4455" w:type="pct"/>
            <w:gridSpan w:val="5"/>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报价总价（大写金额）：</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restar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*-1</w:t>
            </w:r>
          </w:p>
        </w:tc>
        <w:tc>
          <w:tcPr>
            <w:tcW w:w="618"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1146"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62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15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continue"/>
            <w:shd w:val="clear" w:color="auto" w:fill="auto"/>
            <w:tcMar>
              <w:top w:w="12" w:type="dxa"/>
              <w:left w:w="12" w:type="dxa"/>
              <w:bottom w:w="12" w:type="dxa"/>
              <w:right w:w="12" w:type="dxa"/>
            </w:tcMar>
            <w:vAlign w:val="center"/>
          </w:tcPr>
          <w:p>
            <w:pPr>
              <w:rPr>
                <w:rFonts w:hint="eastAsia" w:ascii="宋体"/>
                <w:sz w:val="24"/>
                <w:szCs w:val="24"/>
                <w:highlight w:val="none"/>
              </w:rPr>
            </w:pP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618"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1146"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62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15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continue"/>
            <w:shd w:val="clear" w:color="auto" w:fill="auto"/>
            <w:tcMar>
              <w:top w:w="12" w:type="dxa"/>
              <w:left w:w="12" w:type="dxa"/>
              <w:bottom w:w="12" w:type="dxa"/>
              <w:right w:w="12" w:type="dxa"/>
            </w:tcMar>
            <w:vAlign w:val="center"/>
          </w:tcPr>
          <w:p>
            <w:pPr>
              <w:rPr>
                <w:rFonts w:hint="eastAsia" w:ascii="宋体"/>
                <w:sz w:val="24"/>
                <w:szCs w:val="24"/>
                <w:highlight w:val="none"/>
              </w:rPr>
            </w:pPr>
          </w:p>
        </w:tc>
        <w:tc>
          <w:tcPr>
            <w:tcW w:w="835" w:type="pct"/>
            <w:shd w:val="clear" w:color="auto" w:fill="auto"/>
            <w:tcMar>
              <w:top w:w="12" w:type="dxa"/>
              <w:left w:w="12" w:type="dxa"/>
              <w:bottom w:w="12" w:type="dxa"/>
              <w:right w:w="12"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618"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1146" w:type="pct"/>
            <w:shd w:val="clear" w:color="auto" w:fill="auto"/>
            <w:tcMar>
              <w:top w:w="12" w:type="dxa"/>
              <w:left w:w="12" w:type="dxa"/>
              <w:bottom w:w="12" w:type="dxa"/>
              <w:right w:w="12" w:type="dxa"/>
            </w:tcMar>
            <w:vAlign w:val="center"/>
          </w:tcPr>
          <w:p>
            <w:pPr>
              <w:keepNext w:val="0"/>
              <w:keepLines w:val="0"/>
              <w:widowControl/>
              <w:suppressLineNumbers w:val="0"/>
              <w:jc w:val="left"/>
              <w:rPr>
                <w:highlight w:val="none"/>
              </w:rPr>
            </w:pPr>
          </w:p>
        </w:tc>
        <w:tc>
          <w:tcPr>
            <w:tcW w:w="62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15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0" w:type="pct"/>
            <w:vMerge w:val="continue"/>
            <w:shd w:val="clear" w:color="auto" w:fill="auto"/>
            <w:tcMar>
              <w:top w:w="12" w:type="dxa"/>
              <w:left w:w="12" w:type="dxa"/>
              <w:bottom w:w="12" w:type="dxa"/>
              <w:right w:w="12" w:type="dxa"/>
            </w:tcMar>
            <w:vAlign w:val="center"/>
          </w:tcPr>
          <w:p>
            <w:pPr>
              <w:rPr>
                <w:rFonts w:hint="eastAsia" w:ascii="宋体"/>
                <w:sz w:val="24"/>
                <w:szCs w:val="24"/>
                <w:highlight w:val="none"/>
              </w:rPr>
            </w:pPr>
          </w:p>
        </w:tc>
        <w:tc>
          <w:tcPr>
            <w:tcW w:w="4455" w:type="pct"/>
            <w:gridSpan w:val="5"/>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报价总价（大写金额）：</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整。</w:t>
            </w:r>
          </w:p>
        </w:tc>
      </w:tr>
    </w:tbl>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1、请供应商按照此格式填写，若询价通知书有多个合同包，须按照所报合同包的顺序依次填写，反之则删除相应内容。</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6"/>
          <w:szCs w:val="16"/>
          <w:highlight w:val="none"/>
        </w:rPr>
        <w:t>2、报价一览表列示的合同包必须与分项报价表列示的合同包一致（即若报价一览表列示为合同包1，则分项报价表也必须列示为合同包1，以此类推）。</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3、“大写金额”指报价总价用“壹、贰、叁、肆、伍、陆、柒、捌、玖、拾、佰、仟、万、亿、元、角、分、零”等字样进行填写。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br w:type="textWrapping"/>
      </w:r>
      <w:r>
        <w:rPr>
          <w:rStyle w:val="9"/>
          <w:rFonts w:hint="eastAsia" w:ascii="宋体" w:hAnsi="宋体" w:eastAsia="宋体" w:cs="宋体"/>
          <w:sz w:val="19"/>
          <w:szCs w:val="19"/>
          <w:highlight w:val="none"/>
        </w:rPr>
        <w:t>3、分项报价表</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项目编号：</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672"/>
        <w:jc w:val="right"/>
        <w:rPr>
          <w:highlight w:val="none"/>
        </w:rPr>
      </w:pPr>
      <w:r>
        <w:rPr>
          <w:rFonts w:hint="eastAsia" w:ascii="宋体" w:hAnsi="宋体" w:eastAsia="宋体" w:cs="宋体"/>
          <w:sz w:val="19"/>
          <w:szCs w:val="19"/>
          <w:highlight w:val="none"/>
        </w:rPr>
        <w:t>货币单位：人民币元</w:t>
      </w:r>
    </w:p>
    <w:tbl>
      <w:tblPr>
        <w:tblStyle w:val="7"/>
        <w:tblW w:w="4997"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909"/>
        <w:gridCol w:w="891"/>
        <w:gridCol w:w="1105"/>
        <w:gridCol w:w="1028"/>
        <w:gridCol w:w="770"/>
        <w:gridCol w:w="1136"/>
        <w:gridCol w:w="770"/>
        <w:gridCol w:w="1136"/>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505"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合同包</w:t>
            </w:r>
          </w:p>
        </w:tc>
        <w:tc>
          <w:tcPr>
            <w:tcW w:w="503"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品目号</w:t>
            </w:r>
          </w:p>
        </w:tc>
        <w:tc>
          <w:tcPr>
            <w:tcW w:w="628"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采购标的</w:t>
            </w:r>
          </w:p>
        </w:tc>
        <w:tc>
          <w:tcPr>
            <w:tcW w:w="583"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品牌及具体型号</w:t>
            </w:r>
          </w:p>
        </w:tc>
        <w:tc>
          <w:tcPr>
            <w:tcW w:w="432"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生产</w:t>
            </w:r>
          </w:p>
          <w:p>
            <w:pPr>
              <w:pStyle w:val="6"/>
              <w:keepNext w:val="0"/>
              <w:keepLines w:val="0"/>
              <w:widowControl/>
              <w:suppressLineNumbers w:val="0"/>
              <w:rPr>
                <w:highlight w:val="none"/>
              </w:rPr>
            </w:pPr>
            <w:r>
              <w:rPr>
                <w:rFonts w:hint="eastAsia" w:ascii="宋体" w:hAnsi="宋体" w:eastAsia="宋体" w:cs="宋体"/>
                <w:sz w:val="19"/>
                <w:szCs w:val="19"/>
                <w:highlight w:val="none"/>
              </w:rPr>
              <w:t>产地</w:t>
            </w:r>
          </w:p>
        </w:tc>
        <w:tc>
          <w:tcPr>
            <w:tcW w:w="64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单价</w:t>
            </w:r>
          </w:p>
          <w:p>
            <w:pPr>
              <w:pStyle w:val="6"/>
              <w:keepNext w:val="0"/>
              <w:keepLines w:val="0"/>
              <w:widowControl/>
              <w:suppressLineNumbers w:val="0"/>
              <w:rPr>
                <w:highlight w:val="none"/>
              </w:rPr>
            </w:pPr>
            <w:r>
              <w:rPr>
                <w:rFonts w:hint="eastAsia" w:ascii="宋体" w:hAnsi="宋体" w:eastAsia="宋体" w:cs="宋体"/>
                <w:sz w:val="19"/>
                <w:szCs w:val="19"/>
                <w:highlight w:val="none"/>
              </w:rPr>
              <w:t>（现场）</w:t>
            </w:r>
          </w:p>
        </w:tc>
        <w:tc>
          <w:tcPr>
            <w:tcW w:w="432"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数量</w:t>
            </w:r>
          </w:p>
        </w:tc>
        <w:tc>
          <w:tcPr>
            <w:tcW w:w="646"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总价</w:t>
            </w:r>
          </w:p>
          <w:p>
            <w:pPr>
              <w:pStyle w:val="6"/>
              <w:keepNext w:val="0"/>
              <w:keepLines w:val="0"/>
              <w:widowControl/>
              <w:suppressLineNumbers w:val="0"/>
              <w:rPr>
                <w:highlight w:val="none"/>
              </w:rPr>
            </w:pPr>
            <w:r>
              <w:rPr>
                <w:rFonts w:hint="eastAsia" w:ascii="宋体" w:hAnsi="宋体" w:eastAsia="宋体" w:cs="宋体"/>
                <w:sz w:val="19"/>
                <w:szCs w:val="19"/>
                <w:highlight w:val="none"/>
              </w:rPr>
              <w:t>（现场）</w:t>
            </w:r>
          </w:p>
        </w:tc>
        <w:tc>
          <w:tcPr>
            <w:tcW w:w="443"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505" w:type="pct"/>
            <w:vMerge w:val="restar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503"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*-1</w:t>
            </w:r>
          </w:p>
        </w:tc>
        <w:tc>
          <w:tcPr>
            <w:tcW w:w="62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583"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432"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64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432"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64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443"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505" w:type="pct"/>
            <w:vMerge w:val="continue"/>
            <w:shd w:val="clear" w:color="auto" w:fill="auto"/>
            <w:tcMar>
              <w:top w:w="0" w:type="dxa"/>
              <w:left w:w="84" w:type="dxa"/>
              <w:bottom w:w="0" w:type="dxa"/>
              <w:right w:w="84" w:type="dxa"/>
            </w:tcMar>
            <w:vAlign w:val="center"/>
          </w:tcPr>
          <w:p>
            <w:pPr>
              <w:rPr>
                <w:rFonts w:hint="eastAsia" w:ascii="宋体"/>
                <w:sz w:val="24"/>
                <w:szCs w:val="24"/>
                <w:highlight w:val="none"/>
              </w:rPr>
            </w:pPr>
          </w:p>
        </w:tc>
        <w:tc>
          <w:tcPr>
            <w:tcW w:w="503"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62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583"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432"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64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432"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64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443"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505"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503"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62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583"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432"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64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432"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64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443"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bl>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1、供应商若未按照此格式填写详细分项报价；此外，若货物为节能清单产品，则本表所填品牌应与节能清单所列品牌名称一致。</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2、若询价通知书要求供应商对“备品备件价格、专用工具价格、技术服务费、安装调试费、检验培训费、运输费、保险费、税收”等进行报价的，请在本表的“备注”栏中填写。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6"/>
          <w:szCs w:val="16"/>
          <w:highlight w:val="none"/>
        </w:rPr>
      </w:pPr>
      <w:r>
        <w:rPr>
          <w:rFonts w:hint="eastAsia" w:ascii="宋体" w:hAnsi="宋体" w:eastAsia="宋体" w:cs="宋体"/>
          <w:sz w:val="16"/>
          <w:szCs w:val="16"/>
          <w:highlight w:val="none"/>
        </w:rPr>
        <w:t> </w:t>
      </w:r>
    </w:p>
    <w:p>
      <w:pPr>
        <w:rPr>
          <w:rFonts w:hint="eastAsia" w:ascii="宋体" w:hAnsi="宋体" w:eastAsia="宋体" w:cs="宋体"/>
          <w:sz w:val="16"/>
          <w:szCs w:val="16"/>
          <w:highlight w:val="none"/>
        </w:rPr>
      </w:pPr>
    </w:p>
    <w:p>
      <w:pPr>
        <w:pStyle w:val="2"/>
        <w:rPr>
          <w:rFonts w:hint="eastAsia" w:ascii="宋体" w:hAnsi="宋体" w:eastAsia="宋体" w:cs="宋体"/>
          <w:sz w:val="16"/>
          <w:szCs w:val="16"/>
          <w:highlight w:val="none"/>
        </w:rPr>
      </w:pPr>
    </w:p>
    <w:p>
      <w:pPr>
        <w:rPr>
          <w:rFonts w:hint="eastAsia" w:ascii="宋体" w:hAnsi="宋体" w:eastAsia="宋体" w:cs="宋体"/>
          <w:sz w:val="16"/>
          <w:szCs w:val="16"/>
          <w:highlight w:val="none"/>
        </w:rPr>
      </w:pPr>
    </w:p>
    <w:p>
      <w:pPr>
        <w:pStyle w:val="2"/>
        <w:rPr>
          <w:rFonts w:hint="eastAsia" w:ascii="宋体" w:hAnsi="宋体" w:eastAsia="宋体" w:cs="宋体"/>
          <w:sz w:val="16"/>
          <w:szCs w:val="16"/>
          <w:highlight w:val="none"/>
        </w:rPr>
      </w:pPr>
    </w:p>
    <w:p>
      <w:pPr>
        <w:rPr>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9"/>
          <w:szCs w:val="19"/>
          <w:highlight w:val="none"/>
        </w:rPr>
        <w:t>4、资格证明文件</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9"/>
          <w:szCs w:val="19"/>
          <w:highlight w:val="none"/>
        </w:rPr>
        <w:t>4-1、单位负责人授权书</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我方的单位负责人</w:t>
      </w:r>
      <w:r>
        <w:rPr>
          <w:rFonts w:hint="eastAsia" w:ascii="宋体" w:hAnsi="宋体" w:eastAsia="宋体" w:cs="宋体"/>
          <w:sz w:val="19"/>
          <w:szCs w:val="19"/>
          <w:highlight w:val="none"/>
          <w:u w:val="single"/>
        </w:rPr>
        <w:t>（填写“单位负责人全名”）</w:t>
      </w:r>
      <w:r>
        <w:rPr>
          <w:rFonts w:hint="eastAsia" w:ascii="宋体" w:hAnsi="宋体" w:eastAsia="宋体" w:cs="宋体"/>
          <w:sz w:val="19"/>
          <w:szCs w:val="19"/>
          <w:highlight w:val="none"/>
        </w:rPr>
        <w:t>授权</w:t>
      </w:r>
      <w:r>
        <w:rPr>
          <w:rFonts w:hint="eastAsia" w:ascii="宋体" w:hAnsi="宋体" w:eastAsia="宋体" w:cs="宋体"/>
          <w:sz w:val="19"/>
          <w:szCs w:val="19"/>
          <w:highlight w:val="none"/>
          <w:u w:val="single"/>
        </w:rPr>
        <w:t>（填写“供应商代表全名”）</w:t>
      </w:r>
      <w:r>
        <w:rPr>
          <w:rFonts w:hint="eastAsia" w:ascii="宋体" w:hAnsi="宋体" w:eastAsia="宋体" w:cs="宋体"/>
          <w:sz w:val="19"/>
          <w:szCs w:val="19"/>
          <w:highlight w:val="none"/>
        </w:rPr>
        <w:t>为供应商代表，代表我方参加</w:t>
      </w:r>
      <w:r>
        <w:rPr>
          <w:rFonts w:hint="eastAsia" w:ascii="宋体" w:hAnsi="宋体" w:eastAsia="宋体" w:cs="宋体"/>
          <w:sz w:val="19"/>
          <w:szCs w:val="19"/>
          <w:highlight w:val="none"/>
          <w:u w:val="single"/>
        </w:rPr>
        <w:t>（填写“项目名称”）</w:t>
      </w:r>
      <w:r>
        <w:rPr>
          <w:rFonts w:hint="eastAsia" w:ascii="宋体" w:hAnsi="宋体" w:eastAsia="宋体" w:cs="宋体"/>
          <w:sz w:val="19"/>
          <w:szCs w:val="19"/>
          <w:highlight w:val="none"/>
        </w:rPr>
        <w:t>项目（项目编号：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）的询价，全权代表我方处理询价过程的一切事宜，包括但不限于：报价、参与报价会、谈判、签约等。供应商代表在询价过程中所签署的一切文件和处理与之有关的一切事务，我方均予以认可并对此承担责任。</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供应商代表无转委权。特此授权。</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（以下无正文）</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单位负责人：</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身份证号：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手机：</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u w:val="single"/>
          <w:lang w:val="en-US" w:eastAsia="zh-CN"/>
        </w:rPr>
        <w:t xml:space="preserve"> </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身份证号：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u w:val="single"/>
          <w:lang w:val="en-US" w:eastAsia="zh-CN"/>
        </w:rPr>
        <w:t xml:space="preserve">   </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手机：</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u w:val="single"/>
          <w:lang w:val="en-US" w:eastAsia="zh-CN"/>
        </w:rPr>
        <w:t xml:space="preserve">  </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授权方</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单位负责人签字或盖章：</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接受授权方</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right"/>
        <w:rPr>
          <w:highlight w:val="none"/>
        </w:rPr>
      </w:pPr>
      <w:r>
        <w:rPr>
          <w:rFonts w:hint="eastAsia" w:ascii="宋体" w:hAnsi="宋体" w:eastAsia="宋体" w:cs="宋体"/>
          <w:sz w:val="19"/>
          <w:szCs w:val="19"/>
          <w:highlight w:val="none"/>
        </w:rPr>
        <w:t>签署日期：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附：单位负责人、供应商代表的身份证正反面复印件</w:t>
      </w:r>
    </w:p>
    <w:tbl>
      <w:tblPr>
        <w:tblStyle w:val="7"/>
        <w:tblW w:w="5000" w:type="pct"/>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jc w:val="center"/>
        </w:trPr>
        <w:tc>
          <w:tcPr>
            <w:tcW w:w="4964"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Style w:val="9"/>
                <w:rFonts w:hint="eastAsia" w:ascii="宋体" w:hAnsi="宋体" w:eastAsia="宋体" w:cs="宋体"/>
                <w:sz w:val="19"/>
                <w:szCs w:val="19"/>
                <w:highlight w:val="none"/>
              </w:rPr>
              <w:t> </w:t>
            </w:r>
          </w:p>
          <w:p>
            <w:pPr>
              <w:pStyle w:val="6"/>
              <w:keepNext w:val="0"/>
              <w:keepLines w:val="0"/>
              <w:widowControl/>
              <w:suppressLineNumbers w:val="0"/>
              <w:jc w:val="center"/>
              <w:rPr>
                <w:highlight w:val="none"/>
              </w:rPr>
            </w:pPr>
            <w:r>
              <w:rPr>
                <w:rStyle w:val="9"/>
                <w:rFonts w:hint="eastAsia" w:ascii="宋体" w:hAnsi="宋体" w:eastAsia="宋体" w:cs="宋体"/>
                <w:sz w:val="19"/>
                <w:szCs w:val="19"/>
                <w:highlight w:val="none"/>
              </w:rPr>
              <w:t>要求：真实、有效、清晰</w:t>
            </w:r>
          </w:p>
          <w:p>
            <w:pPr>
              <w:pStyle w:val="6"/>
              <w:keepNext w:val="0"/>
              <w:keepLines w:val="0"/>
              <w:widowControl/>
              <w:suppressLineNumbers w:val="0"/>
              <w:rPr>
                <w:highlight w:val="none"/>
              </w:rPr>
            </w:pPr>
            <w:r>
              <w:rPr>
                <w:rStyle w:val="9"/>
                <w:rFonts w:hint="eastAsia" w:ascii="宋体" w:hAnsi="宋体" w:eastAsia="宋体" w:cs="宋体"/>
                <w:sz w:val="16"/>
                <w:szCs w:val="16"/>
                <w:highlight w:val="none"/>
              </w:rPr>
              <w:t> </w:t>
            </w:r>
          </w:p>
        </w:tc>
      </w:tr>
    </w:tbl>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1、企业（银行、保险、石油石化、电力、电信等行业除外）、机关、事业单位和社会团体法人的“单位负责人”指</w:t>
      </w:r>
      <w:r>
        <w:rPr>
          <w:rStyle w:val="9"/>
          <w:rFonts w:hint="eastAsia" w:ascii="宋体" w:hAnsi="宋体" w:eastAsia="宋体" w:cs="宋体"/>
          <w:sz w:val="19"/>
          <w:szCs w:val="19"/>
          <w:highlight w:val="none"/>
        </w:rPr>
        <w:t>法定代表人，</w:t>
      </w:r>
      <w:r>
        <w:rPr>
          <w:rFonts w:hint="eastAsia" w:ascii="宋体" w:hAnsi="宋体" w:eastAsia="宋体" w:cs="宋体"/>
          <w:sz w:val="19"/>
          <w:szCs w:val="19"/>
          <w:highlight w:val="none"/>
        </w:rPr>
        <w:t>即</w:t>
      </w:r>
      <w:r>
        <w:rPr>
          <w:rStyle w:val="9"/>
          <w:rFonts w:hint="eastAsia" w:ascii="宋体" w:hAnsi="宋体" w:eastAsia="宋体" w:cs="宋体"/>
          <w:sz w:val="19"/>
          <w:szCs w:val="19"/>
          <w:highlight w:val="none"/>
        </w:rPr>
        <w:t>与实际提交的“营业执照等证明文件”载明的一致</w:t>
      </w:r>
      <w:r>
        <w:rPr>
          <w:rFonts w:hint="eastAsia" w:ascii="宋体" w:hAnsi="宋体" w:eastAsia="宋体" w:cs="宋体"/>
          <w:sz w:val="19"/>
          <w:szCs w:val="19"/>
          <w:highlight w:val="none"/>
        </w:rPr>
        <w:t>。</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2、银行、保险、石油石化、电力、电信等行业：以法人身份参加报价的，“单位负责人”指</w:t>
      </w:r>
      <w:r>
        <w:rPr>
          <w:rStyle w:val="9"/>
          <w:rFonts w:hint="eastAsia" w:ascii="宋体" w:hAnsi="宋体" w:eastAsia="宋体" w:cs="宋体"/>
          <w:sz w:val="19"/>
          <w:szCs w:val="19"/>
          <w:highlight w:val="none"/>
        </w:rPr>
        <w:t>法定代表人，</w:t>
      </w:r>
      <w:r>
        <w:rPr>
          <w:rFonts w:hint="eastAsia" w:ascii="宋体" w:hAnsi="宋体" w:eastAsia="宋体" w:cs="宋体"/>
          <w:sz w:val="19"/>
          <w:szCs w:val="19"/>
          <w:highlight w:val="none"/>
        </w:rPr>
        <w:t>即</w:t>
      </w:r>
      <w:r>
        <w:rPr>
          <w:rStyle w:val="9"/>
          <w:rFonts w:hint="eastAsia" w:ascii="宋体" w:hAnsi="宋体" w:eastAsia="宋体" w:cs="宋体"/>
          <w:sz w:val="19"/>
          <w:szCs w:val="19"/>
          <w:highlight w:val="none"/>
        </w:rPr>
        <w:t>与实际提交的“营业执照等证明文件”载明的一致</w:t>
      </w:r>
      <w:r>
        <w:rPr>
          <w:rFonts w:hint="eastAsia" w:ascii="宋体" w:hAnsi="宋体" w:eastAsia="宋体" w:cs="宋体"/>
          <w:sz w:val="19"/>
          <w:szCs w:val="19"/>
          <w:highlight w:val="none"/>
        </w:rPr>
        <w:t>；以非法人身份参加报价的，“单位负责人”指</w:t>
      </w:r>
      <w:r>
        <w:rPr>
          <w:rStyle w:val="9"/>
          <w:rFonts w:hint="eastAsia" w:ascii="宋体" w:hAnsi="宋体" w:eastAsia="宋体" w:cs="宋体"/>
          <w:sz w:val="19"/>
          <w:szCs w:val="19"/>
          <w:highlight w:val="none"/>
        </w:rPr>
        <w:t>代表单位行使职权的主要负责人，</w:t>
      </w:r>
      <w:r>
        <w:rPr>
          <w:rFonts w:hint="eastAsia" w:ascii="宋体" w:hAnsi="宋体" w:eastAsia="宋体" w:cs="宋体"/>
          <w:sz w:val="19"/>
          <w:szCs w:val="19"/>
          <w:highlight w:val="none"/>
        </w:rPr>
        <w:t>即</w:t>
      </w:r>
      <w:r>
        <w:rPr>
          <w:rStyle w:val="9"/>
          <w:rFonts w:hint="eastAsia" w:ascii="宋体" w:hAnsi="宋体" w:eastAsia="宋体" w:cs="宋体"/>
          <w:sz w:val="19"/>
          <w:szCs w:val="19"/>
          <w:highlight w:val="none"/>
        </w:rPr>
        <w:t>与实际提交的“营业执照等证明文件”载明的一致</w:t>
      </w:r>
      <w:r>
        <w:rPr>
          <w:rFonts w:hint="eastAsia" w:ascii="宋体" w:hAnsi="宋体" w:eastAsia="宋体" w:cs="宋体"/>
          <w:sz w:val="19"/>
          <w:szCs w:val="19"/>
          <w:highlight w:val="none"/>
        </w:rPr>
        <w:t>。</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4-2、营业执照等证明文件</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）供应商为法人（包括企业、事业单位和社会团体）的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现附上由</w:t>
      </w:r>
      <w:r>
        <w:rPr>
          <w:rFonts w:hint="eastAsia" w:ascii="宋体" w:hAnsi="宋体" w:eastAsia="宋体" w:cs="宋体"/>
          <w:sz w:val="19"/>
          <w:szCs w:val="19"/>
          <w:highlight w:val="none"/>
          <w:u w:val="single"/>
        </w:rPr>
        <w:t>（填写“签发机关全称”）</w:t>
      </w:r>
      <w:r>
        <w:rPr>
          <w:rFonts w:hint="eastAsia" w:ascii="宋体" w:hAnsi="宋体" w:eastAsia="宋体" w:cs="宋体"/>
          <w:sz w:val="19"/>
          <w:szCs w:val="19"/>
          <w:highlight w:val="none"/>
        </w:rPr>
        <w:t>签发的我方统一社会信用代码</w:t>
      </w:r>
      <w:r>
        <w:rPr>
          <w:rFonts w:hint="eastAsia" w:ascii="宋体" w:hAnsi="宋体" w:eastAsia="宋体" w:cs="宋体"/>
          <w:sz w:val="19"/>
          <w:szCs w:val="19"/>
          <w:highlight w:val="none"/>
          <w:u w:val="single"/>
        </w:rPr>
        <w:t>（请填写法人的具体证照名称）</w:t>
      </w:r>
      <w:r>
        <w:rPr>
          <w:rFonts w:hint="eastAsia" w:ascii="宋体" w:hAnsi="宋体" w:eastAsia="宋体" w:cs="宋体"/>
          <w:sz w:val="19"/>
          <w:szCs w:val="19"/>
          <w:highlight w:val="none"/>
        </w:rPr>
        <w:t>复印件，该证明材料真实有效，否则我方负全部责任。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）供应商为非法人（包括其他组织、自然人）的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□现附上由</w:t>
      </w:r>
      <w:r>
        <w:rPr>
          <w:rFonts w:hint="eastAsia" w:ascii="宋体" w:hAnsi="宋体" w:eastAsia="宋体" w:cs="宋体"/>
          <w:sz w:val="19"/>
          <w:szCs w:val="19"/>
          <w:highlight w:val="none"/>
          <w:u w:val="single"/>
        </w:rPr>
        <w:t>（填写“签发机关全称”）</w:t>
      </w:r>
      <w:r>
        <w:rPr>
          <w:rFonts w:hint="eastAsia" w:ascii="宋体" w:hAnsi="宋体" w:eastAsia="宋体" w:cs="宋体"/>
          <w:sz w:val="19"/>
          <w:szCs w:val="19"/>
          <w:highlight w:val="none"/>
        </w:rPr>
        <w:t>签发的我方</w:t>
      </w:r>
      <w:r>
        <w:rPr>
          <w:rFonts w:hint="eastAsia" w:ascii="宋体" w:hAnsi="宋体" w:eastAsia="宋体" w:cs="宋体"/>
          <w:sz w:val="19"/>
          <w:szCs w:val="19"/>
          <w:highlight w:val="none"/>
          <w:u w:val="single"/>
        </w:rPr>
        <w:t>（请填写非自然人的非法人的具体证照名称）</w:t>
      </w:r>
      <w:r>
        <w:rPr>
          <w:rFonts w:hint="eastAsia" w:ascii="宋体" w:hAnsi="宋体" w:eastAsia="宋体" w:cs="宋体"/>
          <w:sz w:val="19"/>
          <w:szCs w:val="19"/>
          <w:highlight w:val="none"/>
        </w:rPr>
        <w:t>复印件，该证明材料真实有效，否则我方负全部责任。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□现附上由</w:t>
      </w:r>
      <w:r>
        <w:rPr>
          <w:rFonts w:hint="eastAsia" w:ascii="宋体" w:hAnsi="宋体" w:eastAsia="宋体" w:cs="宋体"/>
          <w:sz w:val="19"/>
          <w:szCs w:val="19"/>
          <w:highlight w:val="none"/>
          <w:u w:val="single"/>
        </w:rPr>
        <w:t>（填写“签发机关全称”）</w:t>
      </w:r>
      <w:r>
        <w:rPr>
          <w:rFonts w:hint="eastAsia" w:ascii="宋体" w:hAnsi="宋体" w:eastAsia="宋体" w:cs="宋体"/>
          <w:sz w:val="19"/>
          <w:szCs w:val="19"/>
          <w:highlight w:val="none"/>
        </w:rPr>
        <w:t>签发的我方</w:t>
      </w:r>
      <w:r>
        <w:rPr>
          <w:rFonts w:hint="eastAsia" w:ascii="宋体" w:hAnsi="宋体" w:eastAsia="宋体" w:cs="宋体"/>
          <w:sz w:val="19"/>
          <w:szCs w:val="19"/>
          <w:highlight w:val="none"/>
          <w:u w:val="single"/>
        </w:rPr>
        <w:t>（请填写自然人的身份证件名称）</w:t>
      </w:r>
      <w:r>
        <w:rPr>
          <w:rFonts w:hint="eastAsia" w:ascii="宋体" w:hAnsi="宋体" w:eastAsia="宋体" w:cs="宋体"/>
          <w:sz w:val="19"/>
          <w:szCs w:val="19"/>
          <w:highlight w:val="none"/>
        </w:rPr>
        <w:t>复印件，该证明材料真实有效，否则我方负全部责任。</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1、请供应商按照实际情况编制填写，在相应的（）中打“√”并选择相应的“□”（若有）后，再按照本格式的要求提供相应证明材料的复印件。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3、供应商提供的相应证明材料复印件均应符合：内容完整、清晰、整洁，并由供应商加盖其单位公章。</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rFonts w:hint="eastAsia" w:ascii="宋体" w:hAnsi="宋体" w:eastAsia="宋体" w:cs="宋体"/>
          <w:sz w:val="19"/>
          <w:szCs w:val="19"/>
          <w:highlight w:val="none"/>
        </w:rPr>
      </w:pPr>
      <w:r>
        <w:rPr>
          <w:rFonts w:hint="eastAsia" w:ascii="宋体" w:hAnsi="宋体" w:eastAsia="宋体" w:cs="宋体"/>
          <w:sz w:val="19"/>
          <w:szCs w:val="19"/>
          <w:highlight w:val="none"/>
        </w:rPr>
        <w:t> </w:t>
      </w:r>
    </w:p>
    <w:p>
      <w:pPr>
        <w:rPr>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br w:type="textWrapping"/>
      </w:r>
      <w:r>
        <w:rPr>
          <w:rStyle w:val="9"/>
          <w:rFonts w:hint="eastAsia" w:ascii="宋体" w:hAnsi="宋体" w:eastAsia="宋体" w:cs="宋体"/>
          <w:sz w:val="19"/>
          <w:szCs w:val="19"/>
          <w:highlight w:val="none"/>
        </w:rPr>
        <w:t>4-3、财务状况报告</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 ）供应商提供财务报告的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□企业适用：现附上我方</w:t>
      </w:r>
      <w:r>
        <w:rPr>
          <w:rFonts w:hint="eastAsia" w:ascii="宋体" w:hAnsi="宋体" w:eastAsia="宋体" w:cs="宋体"/>
          <w:sz w:val="19"/>
          <w:szCs w:val="19"/>
          <w:highlight w:val="none"/>
          <w:u w:val="single"/>
        </w:rPr>
        <w:t>（填写“具体的年度、或半年度、或季度”）</w:t>
      </w:r>
      <w:r>
        <w:rPr>
          <w:rFonts w:hint="eastAsia" w:ascii="宋体" w:hAnsi="宋体" w:eastAsia="宋体" w:cs="宋体"/>
          <w:sz w:val="19"/>
          <w:szCs w:val="19"/>
          <w:highlight w:val="none"/>
        </w:rPr>
        <w:t>财务报告复印件，包括资产负债表、利润表、现金流量表、所有者权益变动表及其附注（若有），上述证明材料真实有效，否则我方负全部责任。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□事业单位适用：现附上我方</w:t>
      </w:r>
      <w:r>
        <w:rPr>
          <w:rFonts w:hint="eastAsia" w:ascii="宋体" w:hAnsi="宋体" w:eastAsia="宋体" w:cs="宋体"/>
          <w:sz w:val="19"/>
          <w:szCs w:val="19"/>
          <w:highlight w:val="none"/>
          <w:u w:val="single"/>
        </w:rPr>
        <w:t>（填写“具体的年度、或半年度、或季度”）</w:t>
      </w:r>
      <w:r>
        <w:rPr>
          <w:rFonts w:hint="eastAsia" w:ascii="宋体" w:hAnsi="宋体" w:eastAsia="宋体" w:cs="宋体"/>
          <w:sz w:val="19"/>
          <w:szCs w:val="19"/>
          <w:highlight w:val="none"/>
        </w:rPr>
        <w:t>财务报告复印件，包括资产负债表、收入支出表或收入费用表、财政补助收入支出表，上述证明材料真实有效，否则我方负全部责任。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□社会团体适用：现附上我方</w:t>
      </w:r>
      <w:r>
        <w:rPr>
          <w:rFonts w:hint="eastAsia" w:ascii="宋体" w:hAnsi="宋体" w:eastAsia="宋体" w:cs="宋体"/>
          <w:sz w:val="19"/>
          <w:szCs w:val="19"/>
          <w:highlight w:val="none"/>
          <w:u w:val="single"/>
        </w:rPr>
        <w:t>（填写“具体的年度、或半年度、或季度”）</w:t>
      </w:r>
      <w:r>
        <w:rPr>
          <w:rFonts w:hint="eastAsia" w:ascii="宋体" w:hAnsi="宋体" w:eastAsia="宋体" w:cs="宋体"/>
          <w:sz w:val="19"/>
          <w:szCs w:val="19"/>
          <w:highlight w:val="none"/>
        </w:rPr>
        <w:t>财务报告复印件，包括资产负债表、业务活动表、现金流量表，上述证明材料真实有效，否则我方负全部责任。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）供应商提供资信证明的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□非自然人适用：现附上我方银行：</w:t>
      </w:r>
      <w:r>
        <w:rPr>
          <w:rFonts w:hint="eastAsia" w:ascii="宋体" w:hAnsi="宋体" w:eastAsia="宋体" w:cs="宋体"/>
          <w:sz w:val="19"/>
          <w:szCs w:val="19"/>
          <w:highlight w:val="none"/>
          <w:u w:val="single"/>
        </w:rPr>
        <w:t>（填写“开户银行全称”）</w:t>
      </w:r>
      <w:r>
        <w:rPr>
          <w:rFonts w:hint="eastAsia" w:ascii="宋体" w:hAnsi="宋体" w:eastAsia="宋体" w:cs="宋体"/>
          <w:sz w:val="19"/>
          <w:szCs w:val="19"/>
          <w:highlight w:val="none"/>
        </w:rPr>
        <w:t>出具的资信证明复印件，上述证明材料真实有效，否则我方负全部责任。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□自然人适用：现附上我方银行：</w:t>
      </w:r>
      <w:r>
        <w:rPr>
          <w:rFonts w:hint="eastAsia" w:ascii="宋体" w:hAnsi="宋体" w:eastAsia="宋体" w:cs="宋体"/>
          <w:sz w:val="19"/>
          <w:szCs w:val="19"/>
          <w:highlight w:val="none"/>
          <w:u w:val="single"/>
        </w:rPr>
        <w:t>（填写自然人的“个人账户的开户银行全称”）</w:t>
      </w:r>
      <w:r>
        <w:rPr>
          <w:rFonts w:hint="eastAsia" w:ascii="宋体" w:hAnsi="宋体" w:eastAsia="宋体" w:cs="宋体"/>
          <w:sz w:val="19"/>
          <w:szCs w:val="19"/>
          <w:highlight w:val="none"/>
        </w:rPr>
        <w:t>出具的资信证明复印件，上述证明材料真实有效，否则我方负全部责任。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）供应商提供投标担保函的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现附上由财政部门认可的政府采购专业担保机构：</w:t>
      </w:r>
      <w:r>
        <w:rPr>
          <w:rFonts w:hint="eastAsia" w:ascii="宋体" w:hAnsi="宋体" w:eastAsia="宋体" w:cs="宋体"/>
          <w:sz w:val="19"/>
          <w:szCs w:val="19"/>
          <w:highlight w:val="none"/>
          <w:u w:val="single"/>
        </w:rPr>
        <w:t>（填写“担保机构全称”）</w:t>
      </w:r>
      <w:r>
        <w:rPr>
          <w:rFonts w:hint="eastAsia" w:ascii="宋体" w:hAnsi="宋体" w:eastAsia="宋体" w:cs="宋体"/>
          <w:sz w:val="19"/>
          <w:szCs w:val="19"/>
          <w:highlight w:val="none"/>
        </w:rPr>
        <w:t>出具的投标担保函复印件，上述证明材料真实有效，否则我方负全部责任。</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1、请供应商按照实际情况编制填写，在相应的（）中打“√”并选择相应的“□”（若有）后，再按照本格式的要求提供相应证明材料的复印件。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2、供应商提供的财务报告复印件（成立年限按照提交响应文件截止时间推算）应符合下列规定：</w:t>
      </w:r>
    </w:p>
    <w:p>
      <w:pPr>
        <w:pStyle w:val="6"/>
        <w:keepNext w:val="0"/>
        <w:keepLines w:val="0"/>
        <w:widowControl/>
        <w:suppressLineNumbers w:val="0"/>
        <w:rPr>
          <w:highlight w:val="none"/>
        </w:rPr>
      </w:pPr>
      <w:r>
        <w:rPr>
          <w:rFonts w:hint="eastAsia" w:ascii="宋体" w:hAnsi="宋体" w:eastAsia="宋体" w:cs="宋体"/>
          <w:sz w:val="19"/>
          <w:szCs w:val="19"/>
          <w:highlight w:val="none"/>
        </w:rPr>
        <w:t>2.1成立年限满1年及以上的供应商，提供经审计的上一年度的年度财务报告。</w:t>
      </w:r>
    </w:p>
    <w:p>
      <w:pPr>
        <w:pStyle w:val="6"/>
        <w:keepNext w:val="0"/>
        <w:keepLines w:val="0"/>
        <w:widowControl/>
        <w:suppressLineNumbers w:val="0"/>
        <w:rPr>
          <w:highlight w:val="none"/>
        </w:rPr>
      </w:pPr>
      <w:r>
        <w:rPr>
          <w:rFonts w:hint="eastAsia" w:ascii="宋体" w:hAnsi="宋体" w:eastAsia="宋体" w:cs="宋体"/>
          <w:sz w:val="19"/>
          <w:szCs w:val="19"/>
          <w:highlight w:val="none"/>
        </w:rPr>
        <w:t>2.2成立年限满半年但不足1年的供应商，提供该半年度中任一季度的季度财务报告或该半年度的半年度财务报告。</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※无法按照本格式第2.1、2.2条规定提供财务报告复印件的供应商，应按照本格式的要求选择提供资信证明复印件或投标担保函复印件。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3、“财政部门认可的政府采购专业担保机构”应符合《财政部关于开展政府采购信用担保试点工作方案》（财库[2011]124号）的规定。</w:t>
      </w:r>
    </w:p>
    <w:p>
      <w:pPr>
        <w:pStyle w:val="6"/>
        <w:keepNext w:val="0"/>
        <w:keepLines w:val="0"/>
        <w:widowControl/>
        <w:suppressLineNumbers w:val="0"/>
        <w:rPr>
          <w:highlight w:val="none"/>
        </w:rPr>
      </w:pPr>
      <w:r>
        <w:rPr>
          <w:rFonts w:hint="eastAsia" w:ascii="宋体" w:hAnsi="宋体" w:eastAsia="宋体" w:cs="宋体"/>
          <w:sz w:val="19"/>
          <w:szCs w:val="19"/>
          <w:highlight w:val="none"/>
        </w:rPr>
        <w:t>4、供应商提供的相应证明材料复印件均应符合：内容完整、清晰、整洁，并由供应商加盖其单位公章。</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4-4、依法缴纳税收证明材料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1、依法缴纳税收的供应商</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）法人（包括企业、事业单位和社会团体）的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现附上自</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日至</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日期间我方缴纳的</w:t>
      </w:r>
      <w:r>
        <w:rPr>
          <w:rFonts w:hint="eastAsia" w:ascii="宋体" w:hAnsi="宋体" w:eastAsia="宋体" w:cs="宋体"/>
          <w:sz w:val="19"/>
          <w:szCs w:val="19"/>
          <w:highlight w:val="none"/>
          <w:u w:val="single"/>
        </w:rPr>
        <w:t>（按照供应商实际缴纳的税种名称填写，如：增值税、所得税等）</w:t>
      </w:r>
      <w:r>
        <w:rPr>
          <w:rFonts w:hint="eastAsia" w:ascii="宋体" w:hAnsi="宋体" w:eastAsia="宋体" w:cs="宋体"/>
          <w:sz w:val="19"/>
          <w:szCs w:val="19"/>
          <w:highlight w:val="none"/>
        </w:rPr>
        <w:t>税收凭据复印件，上述证明材料真实有效，否则我方负全部责任。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）非法人（包括其他组织、自然人）的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现附上自</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日至</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日期间我方缴纳的</w:t>
      </w:r>
      <w:r>
        <w:rPr>
          <w:rFonts w:hint="eastAsia" w:ascii="宋体" w:hAnsi="宋体" w:eastAsia="宋体" w:cs="宋体"/>
          <w:sz w:val="19"/>
          <w:szCs w:val="19"/>
          <w:highlight w:val="none"/>
          <w:u w:val="single"/>
        </w:rPr>
        <w:t>（按照供应商实际缴纳的税种名称填写）</w:t>
      </w:r>
      <w:r>
        <w:rPr>
          <w:rFonts w:hint="eastAsia" w:ascii="宋体" w:hAnsi="宋体" w:eastAsia="宋体" w:cs="宋体"/>
          <w:sz w:val="19"/>
          <w:szCs w:val="19"/>
          <w:highlight w:val="none"/>
        </w:rPr>
        <w:t>税收凭据复印件，上述证明材料真实有效，否则我方负全部责任。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2、依法免税的供应商</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）现附上我方依法免税证明材料复印件，上述证明材料真实有效，否则我方负全部责任。</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1、请供应商按照实际情况编制填写，在相应的（）中打“√”，并按照本格式的要求提供相应证明材料的复印件。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2、供应商提供的税收凭据复印件应符合下列规定：</w:t>
      </w:r>
    </w:p>
    <w:p>
      <w:pPr>
        <w:pStyle w:val="6"/>
        <w:keepNext w:val="0"/>
        <w:keepLines w:val="0"/>
        <w:widowControl/>
        <w:suppressLineNumbers w:val="0"/>
        <w:rPr>
          <w:highlight w:val="none"/>
        </w:rPr>
      </w:pPr>
      <w:r>
        <w:rPr>
          <w:rFonts w:hint="eastAsia" w:ascii="宋体" w:hAnsi="宋体" w:eastAsia="宋体" w:cs="宋体"/>
          <w:sz w:val="19"/>
          <w:szCs w:val="19"/>
          <w:highlight w:val="none"/>
        </w:rPr>
        <w:t>2.1提交响应文件截止时间前（不含提交响应文件截止时间的当月）已依法缴纳税收的供应商，提供提交响应文件截止时间前六个月（不含提交响应文件截止时间的当月）中任一月份的税收凭据复印件。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2.2提交响应文件截止时间的当月成立且已依法缴纳税收的供应商，提供提交响应文件截止时间当月的税收凭据复印件。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2.3提交响应文件截止时间的当月成立但因税务机关原因导致其尚未依法缴纳税收的供应商，提供依法缴纳税收承诺书原件（格式自拟），该承诺书视同税收凭据。</w:t>
      </w:r>
    </w:p>
    <w:p>
      <w:pPr>
        <w:pStyle w:val="6"/>
        <w:keepNext w:val="0"/>
        <w:keepLines w:val="0"/>
        <w:widowControl/>
        <w:suppressLineNumbers w:val="0"/>
        <w:rPr>
          <w:highlight w:val="none"/>
        </w:rPr>
      </w:pPr>
      <w:r>
        <w:rPr>
          <w:rFonts w:hint="eastAsia" w:ascii="宋体" w:hAnsi="宋体" w:eastAsia="宋体" w:cs="宋体"/>
          <w:sz w:val="19"/>
          <w:szCs w:val="19"/>
          <w:highlight w:val="none"/>
        </w:rPr>
        <w:t>3、</w:t>
      </w:r>
      <w:r>
        <w:rPr>
          <w:rStyle w:val="9"/>
          <w:rFonts w:hint="eastAsia" w:ascii="宋体" w:hAnsi="宋体" w:eastAsia="宋体" w:cs="宋体"/>
          <w:sz w:val="19"/>
          <w:szCs w:val="19"/>
          <w:highlight w:val="none"/>
        </w:rPr>
        <w:t>“依法缴纳税收证明材料”</w:t>
      </w:r>
      <w:r>
        <w:rPr>
          <w:rFonts w:hint="eastAsia" w:ascii="宋体" w:hAnsi="宋体" w:eastAsia="宋体" w:cs="宋体"/>
          <w:sz w:val="19"/>
          <w:szCs w:val="19"/>
          <w:highlight w:val="none"/>
        </w:rPr>
        <w:t>有欠缴记录的，视为</w:t>
      </w:r>
      <w:r>
        <w:rPr>
          <w:rStyle w:val="9"/>
          <w:rFonts w:hint="eastAsia" w:ascii="宋体" w:hAnsi="宋体" w:eastAsia="宋体" w:cs="宋体"/>
          <w:sz w:val="19"/>
          <w:szCs w:val="19"/>
          <w:highlight w:val="none"/>
        </w:rPr>
        <w:t>未依法缴纳税收。</w:t>
      </w:r>
    </w:p>
    <w:p>
      <w:pPr>
        <w:pStyle w:val="6"/>
        <w:keepNext w:val="0"/>
        <w:keepLines w:val="0"/>
        <w:widowControl/>
        <w:suppressLineNumbers w:val="0"/>
        <w:rPr>
          <w:highlight w:val="none"/>
        </w:rPr>
      </w:pPr>
      <w:r>
        <w:rPr>
          <w:rFonts w:hint="eastAsia" w:ascii="宋体" w:hAnsi="宋体" w:eastAsia="宋体" w:cs="宋体"/>
          <w:sz w:val="19"/>
          <w:szCs w:val="19"/>
          <w:highlight w:val="none"/>
        </w:rPr>
        <w:t>4、供应商提供的相应证明材料复印件均应符合：内容完整、清晰、整洁，并由供应商加盖其单位公章。</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4-5、依法缴纳社会保障资金证明材料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1、依法缴纳社会保障资金的供应商</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）法人（包括企业、事业单位和社会团体）的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现附上自</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日至</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）非法人（包括其他组织、自然人）的</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自</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日至</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2、依法不需要缴纳社会保障资金的供应商</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 ）现附上我方依法不需要缴纳社会保障资金证明材料复印件，上述证明材料真实有效，否则我方负全部责任。</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1、请供应商按照实际情况编制填写，在相应的（）中打“√”，并按照本格式的要求提供相应证明材料的复印件。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2、供应商提供的社会保险凭据复印件应符合下列规定：</w:t>
      </w:r>
    </w:p>
    <w:p>
      <w:pPr>
        <w:pStyle w:val="6"/>
        <w:keepNext w:val="0"/>
        <w:keepLines w:val="0"/>
        <w:widowControl/>
        <w:suppressLineNumbers w:val="0"/>
        <w:rPr>
          <w:highlight w:val="none"/>
        </w:rPr>
      </w:pPr>
      <w:r>
        <w:rPr>
          <w:rFonts w:hint="eastAsia" w:ascii="宋体" w:hAnsi="宋体" w:eastAsia="宋体" w:cs="宋体"/>
          <w:sz w:val="19"/>
          <w:szCs w:val="19"/>
          <w:highlight w:val="none"/>
        </w:rPr>
        <w:t>2.1提交响应文件截止时间前（不含提交响应文件截止时间的当月）已依法缴纳社会保障资金的供应商，提供提交响应文件截止时间前六个月（不含提交响应文件截止时间的当月）中任一月份的社会保险凭据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2.2提交响应文件截止时间的当月成立且已依法缴纳社会保障资金的供应商，提供提交响应文件截止时间当月的社会保险凭据复印件。</w:t>
      </w:r>
    </w:p>
    <w:p>
      <w:pPr>
        <w:pStyle w:val="6"/>
        <w:keepNext w:val="0"/>
        <w:keepLines w:val="0"/>
        <w:widowControl/>
        <w:suppressLineNumbers w:val="0"/>
        <w:rPr>
          <w:highlight w:val="none"/>
        </w:rPr>
      </w:pPr>
      <w:r>
        <w:rPr>
          <w:rFonts w:hint="eastAsia" w:ascii="宋体" w:hAnsi="宋体" w:eastAsia="宋体" w:cs="宋体"/>
          <w:sz w:val="19"/>
          <w:szCs w:val="19"/>
          <w:highlight w:val="none"/>
        </w:rPr>
        <w:t>2.3提交响应文件截止时间的当月成立但因税务机关/社会保障资金管理机关原因导致其尚未依法缴纳社会保障资金的供应商，提供依法缴纳社会保障资金承诺书原件（格式自拟），该承诺书视同社会保险凭据。</w:t>
      </w:r>
    </w:p>
    <w:p>
      <w:pPr>
        <w:pStyle w:val="6"/>
        <w:keepNext w:val="0"/>
        <w:keepLines w:val="0"/>
        <w:widowControl/>
        <w:suppressLineNumbers w:val="0"/>
        <w:rPr>
          <w:highlight w:val="none"/>
        </w:rPr>
      </w:pPr>
      <w:r>
        <w:rPr>
          <w:rFonts w:hint="eastAsia" w:ascii="宋体" w:hAnsi="宋体" w:eastAsia="宋体" w:cs="宋体"/>
          <w:sz w:val="19"/>
          <w:szCs w:val="19"/>
          <w:highlight w:val="none"/>
        </w:rPr>
        <w:t>3、</w:t>
      </w:r>
      <w:r>
        <w:rPr>
          <w:rStyle w:val="9"/>
          <w:rFonts w:hint="eastAsia" w:ascii="宋体" w:hAnsi="宋体" w:eastAsia="宋体" w:cs="宋体"/>
          <w:sz w:val="19"/>
          <w:szCs w:val="19"/>
          <w:highlight w:val="none"/>
        </w:rPr>
        <w:t>“依法缴纳社会保障资金证明材料”</w:t>
      </w:r>
      <w:r>
        <w:rPr>
          <w:rFonts w:hint="eastAsia" w:ascii="宋体" w:hAnsi="宋体" w:eastAsia="宋体" w:cs="宋体"/>
          <w:sz w:val="19"/>
          <w:szCs w:val="19"/>
          <w:highlight w:val="none"/>
        </w:rPr>
        <w:t>有欠缴记录的，视为</w:t>
      </w:r>
      <w:r>
        <w:rPr>
          <w:rStyle w:val="9"/>
          <w:rFonts w:hint="eastAsia" w:ascii="宋体" w:hAnsi="宋体" w:eastAsia="宋体" w:cs="宋体"/>
          <w:sz w:val="19"/>
          <w:szCs w:val="19"/>
          <w:highlight w:val="none"/>
        </w:rPr>
        <w:t>未依法缴纳社会保障资金。</w:t>
      </w:r>
    </w:p>
    <w:p>
      <w:pPr>
        <w:pStyle w:val="6"/>
        <w:keepNext w:val="0"/>
        <w:keepLines w:val="0"/>
        <w:widowControl/>
        <w:suppressLineNumbers w:val="0"/>
        <w:rPr>
          <w:highlight w:val="none"/>
        </w:rPr>
      </w:pPr>
      <w:r>
        <w:rPr>
          <w:rFonts w:hint="eastAsia" w:ascii="宋体" w:hAnsi="宋体" w:eastAsia="宋体" w:cs="宋体"/>
          <w:sz w:val="19"/>
          <w:szCs w:val="19"/>
          <w:highlight w:val="none"/>
        </w:rPr>
        <w:t>4、供应商提供的相应证明材料复印件均应符合：内容完整、清晰、整洁，并由供应商加盖其单位公章。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4-6、具备履行合同所必需设备和专业技术能力证明材料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我方具备履行合同所必需的设备和专业技术能力，否则产生不利后果由我方承担责任。</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特此声明。</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1、询价通知书未要求供应商提供</w:t>
      </w:r>
      <w:r>
        <w:rPr>
          <w:rStyle w:val="9"/>
          <w:rFonts w:hint="eastAsia" w:ascii="宋体" w:hAnsi="宋体" w:eastAsia="宋体" w:cs="宋体"/>
          <w:sz w:val="19"/>
          <w:szCs w:val="19"/>
          <w:highlight w:val="none"/>
        </w:rPr>
        <w:t>“具备履行合同所必需的设备和专业技术能力的专项证明材料”</w:t>
      </w:r>
      <w:r>
        <w:rPr>
          <w:rFonts w:hint="eastAsia" w:ascii="宋体" w:hAnsi="宋体" w:eastAsia="宋体" w:cs="宋体"/>
          <w:sz w:val="19"/>
          <w:szCs w:val="19"/>
          <w:highlight w:val="none"/>
        </w:rPr>
        <w:t>的，供应商应提供本</w:t>
      </w:r>
      <w:r>
        <w:rPr>
          <w:rStyle w:val="9"/>
          <w:rFonts w:hint="eastAsia" w:ascii="宋体" w:hAnsi="宋体" w:eastAsia="宋体" w:cs="宋体"/>
          <w:sz w:val="19"/>
          <w:szCs w:val="19"/>
          <w:highlight w:val="none"/>
        </w:rPr>
        <w:t>“具备履行合同所必需的设备和专业技术能力的基本证明材料”</w:t>
      </w:r>
      <w:r>
        <w:rPr>
          <w:rFonts w:hint="eastAsia" w:ascii="宋体" w:hAnsi="宋体" w:eastAsia="宋体" w:cs="宋体"/>
          <w:sz w:val="19"/>
          <w:szCs w:val="19"/>
          <w:highlight w:val="none"/>
        </w:rPr>
        <w:t>。</w:t>
      </w:r>
    </w:p>
    <w:p>
      <w:pPr>
        <w:pStyle w:val="6"/>
        <w:keepNext w:val="0"/>
        <w:keepLines w:val="0"/>
        <w:widowControl/>
        <w:suppressLineNumbers w:val="0"/>
        <w:rPr>
          <w:highlight w:val="none"/>
        </w:rPr>
      </w:pPr>
      <w:r>
        <w:rPr>
          <w:rFonts w:hint="eastAsia" w:ascii="宋体" w:hAnsi="宋体" w:eastAsia="宋体" w:cs="宋体"/>
          <w:sz w:val="19"/>
          <w:szCs w:val="19"/>
          <w:highlight w:val="none"/>
        </w:rPr>
        <w:t>2、询价通知书要求供应商提供</w:t>
      </w:r>
      <w:r>
        <w:rPr>
          <w:rStyle w:val="9"/>
          <w:rFonts w:hint="eastAsia" w:ascii="宋体" w:hAnsi="宋体" w:eastAsia="宋体" w:cs="宋体"/>
          <w:sz w:val="19"/>
          <w:szCs w:val="19"/>
          <w:highlight w:val="none"/>
        </w:rPr>
        <w:t>“具备履行合同所必需的设备和专业技术能力的专项证明材料”</w:t>
      </w:r>
      <w:r>
        <w:rPr>
          <w:rFonts w:hint="eastAsia" w:ascii="宋体" w:hAnsi="宋体" w:eastAsia="宋体" w:cs="宋体"/>
          <w:sz w:val="19"/>
          <w:szCs w:val="19"/>
          <w:highlight w:val="none"/>
        </w:rPr>
        <w:t>的，供应商须另列提供</w:t>
      </w:r>
      <w:r>
        <w:rPr>
          <w:rStyle w:val="9"/>
          <w:rFonts w:hint="eastAsia" w:ascii="宋体" w:hAnsi="宋体" w:eastAsia="宋体" w:cs="宋体"/>
          <w:sz w:val="19"/>
          <w:szCs w:val="19"/>
          <w:highlight w:val="none"/>
        </w:rPr>
        <w:t>”</w:t>
      </w:r>
      <w:r>
        <w:rPr>
          <w:rFonts w:hint="eastAsia" w:ascii="宋体" w:hAnsi="宋体" w:eastAsia="宋体" w:cs="宋体"/>
          <w:sz w:val="19"/>
          <w:szCs w:val="19"/>
          <w:highlight w:val="none"/>
        </w:rPr>
        <w:t>。</w:t>
      </w:r>
    </w:p>
    <w:p>
      <w:pPr>
        <w:pStyle w:val="6"/>
        <w:keepNext w:val="0"/>
        <w:keepLines w:val="0"/>
        <w:widowControl/>
        <w:suppressLineNumbers w:val="0"/>
        <w:rPr>
          <w:highlight w:val="none"/>
        </w:rPr>
      </w:pPr>
      <w:r>
        <w:rPr>
          <w:rFonts w:hint="eastAsia" w:ascii="宋体" w:hAnsi="宋体" w:eastAsia="宋体" w:cs="宋体"/>
          <w:sz w:val="19"/>
          <w:szCs w:val="19"/>
          <w:highlight w:val="none"/>
        </w:rPr>
        <w:t>3、纸质响应文件正本中的本材料（若有）应为原件。</w:t>
      </w:r>
    </w:p>
    <w:p>
      <w:pPr>
        <w:pStyle w:val="6"/>
        <w:keepNext w:val="0"/>
        <w:keepLines w:val="0"/>
        <w:widowControl/>
        <w:suppressLineNumbers w:val="0"/>
        <w:rPr>
          <w:highlight w:val="none"/>
        </w:rPr>
      </w:pPr>
      <w:r>
        <w:rPr>
          <w:rFonts w:hint="eastAsia" w:ascii="宋体" w:hAnsi="宋体" w:eastAsia="宋体" w:cs="宋体"/>
          <w:sz w:val="19"/>
          <w:szCs w:val="19"/>
          <w:highlight w:val="none"/>
        </w:rPr>
        <w:t>4、请供应商根据实际情况如实声明，否则</w:t>
      </w:r>
      <w:r>
        <w:rPr>
          <w:rStyle w:val="9"/>
          <w:rFonts w:hint="eastAsia" w:ascii="宋体" w:hAnsi="宋体" w:eastAsia="宋体" w:cs="宋体"/>
          <w:sz w:val="19"/>
          <w:szCs w:val="19"/>
          <w:highlight w:val="none"/>
        </w:rPr>
        <w:t>视为提供虚假材料。</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rFonts w:hint="eastAsia" w:ascii="宋体" w:hAnsi="宋体" w:eastAsia="宋体" w:cs="宋体"/>
          <w:sz w:val="19"/>
          <w:szCs w:val="19"/>
          <w:highlight w:val="none"/>
        </w:rPr>
      </w:pPr>
      <w:r>
        <w:rPr>
          <w:rFonts w:hint="eastAsia" w:ascii="宋体" w:hAnsi="宋体" w:eastAsia="宋体" w:cs="宋体"/>
          <w:sz w:val="19"/>
          <w:szCs w:val="19"/>
          <w:highlight w:val="none"/>
        </w:rPr>
        <w:t> </w:t>
      </w: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rFonts w:hint="eastAsia" w:ascii="宋体" w:hAnsi="宋体" w:eastAsia="宋体" w:cs="宋体"/>
          <w:sz w:val="19"/>
          <w:szCs w:val="19"/>
          <w:highlight w:val="none"/>
        </w:rPr>
      </w:pPr>
    </w:p>
    <w:p>
      <w:pPr>
        <w:pStyle w:val="2"/>
        <w:rPr>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br w:type="textWrapping"/>
      </w:r>
      <w:r>
        <w:rPr>
          <w:rStyle w:val="9"/>
          <w:rFonts w:hint="eastAsia" w:ascii="宋体" w:hAnsi="宋体" w:eastAsia="宋体" w:cs="宋体"/>
          <w:sz w:val="19"/>
          <w:szCs w:val="19"/>
          <w:highlight w:val="none"/>
        </w:rPr>
        <w:t>4-7、参加采购活动前三年内在经营活动中没有重大违法记录书面声明</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参加采购活动前三年内，我方在经营活动中没有重大违法记录，</w:t>
      </w:r>
      <w:r>
        <w:rPr>
          <w:rFonts w:hint="eastAsia" w:ascii="宋体" w:hAnsi="宋体" w:eastAsia="宋体" w:cs="宋体"/>
          <w:sz w:val="16"/>
          <w:szCs w:val="16"/>
          <w:highlight w:val="none"/>
        </w:rPr>
        <w:t>也无行贿犯罪记录</w:t>
      </w:r>
      <w:r>
        <w:rPr>
          <w:rFonts w:hint="eastAsia" w:ascii="宋体" w:hAnsi="宋体" w:eastAsia="宋体" w:cs="宋体"/>
          <w:highlight w:val="none"/>
        </w:rPr>
        <w:t>。</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特此声明。</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1、“重大违法记录”指供应商因违法经营受到刑事处罚或责令停产停业、吊销许可证或执照、较大数额罚款等行政处罚。</w:t>
      </w:r>
    </w:p>
    <w:p>
      <w:pPr>
        <w:pStyle w:val="6"/>
        <w:keepNext w:val="0"/>
        <w:keepLines w:val="0"/>
        <w:widowControl/>
        <w:suppressLineNumbers w:val="0"/>
        <w:rPr>
          <w:highlight w:val="none"/>
        </w:rPr>
      </w:pPr>
      <w:r>
        <w:rPr>
          <w:rFonts w:hint="eastAsia" w:ascii="宋体" w:hAnsi="宋体" w:eastAsia="宋体" w:cs="宋体"/>
          <w:sz w:val="19"/>
          <w:szCs w:val="19"/>
          <w:highlight w:val="none"/>
        </w:rPr>
        <w:t>2、纸质响应文件正本中的本声明应为原件。</w:t>
      </w:r>
    </w:p>
    <w:p>
      <w:pPr>
        <w:pStyle w:val="6"/>
        <w:keepNext w:val="0"/>
        <w:keepLines w:val="0"/>
        <w:widowControl/>
        <w:suppressLineNumbers w:val="0"/>
        <w:rPr>
          <w:highlight w:val="none"/>
        </w:rPr>
      </w:pPr>
      <w:r>
        <w:rPr>
          <w:rFonts w:hint="eastAsia" w:ascii="宋体" w:hAnsi="宋体" w:eastAsia="宋体" w:cs="宋体"/>
          <w:sz w:val="19"/>
          <w:szCs w:val="19"/>
          <w:highlight w:val="none"/>
        </w:rPr>
        <w:t>3、请供应商根据实际情况如实声明，否则</w:t>
      </w:r>
      <w:r>
        <w:rPr>
          <w:rStyle w:val="9"/>
          <w:rFonts w:hint="eastAsia" w:ascii="宋体" w:hAnsi="宋体" w:eastAsia="宋体" w:cs="宋体"/>
          <w:sz w:val="19"/>
          <w:szCs w:val="19"/>
          <w:highlight w:val="none"/>
        </w:rPr>
        <w:t>视为提供虚假材料。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br w:type="textWrapping"/>
      </w:r>
      <w:r>
        <w:rPr>
          <w:rStyle w:val="9"/>
          <w:rFonts w:hint="eastAsia" w:ascii="宋体" w:hAnsi="宋体" w:eastAsia="宋体" w:cs="宋体"/>
          <w:sz w:val="19"/>
          <w:szCs w:val="19"/>
          <w:highlight w:val="none"/>
        </w:rPr>
        <w:t>4-8、信用记录查询结果</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现附上截至</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时我方通过“信用中国”网站（www.creditchina.gov.cn）获取的我方信用信息查询结果</w:t>
      </w:r>
      <w:r>
        <w:rPr>
          <w:rFonts w:hint="eastAsia" w:ascii="宋体" w:hAnsi="宋体" w:eastAsia="宋体" w:cs="宋体"/>
          <w:sz w:val="19"/>
          <w:szCs w:val="19"/>
          <w:highlight w:val="none"/>
          <w:u w:val="single"/>
        </w:rPr>
        <w:t>（填写具体份数）</w:t>
      </w:r>
      <w:r>
        <w:rPr>
          <w:rFonts w:hint="eastAsia" w:ascii="宋体" w:hAnsi="宋体" w:eastAsia="宋体" w:cs="宋体"/>
          <w:sz w:val="19"/>
          <w:szCs w:val="19"/>
          <w:highlight w:val="none"/>
        </w:rPr>
        <w:t>份、通过中国政府采购网（www.ccgp.gov.cn）获取的我方信用信息查询结果</w:t>
      </w:r>
      <w:r>
        <w:rPr>
          <w:rFonts w:hint="eastAsia" w:ascii="宋体" w:hAnsi="宋体" w:eastAsia="宋体" w:cs="宋体"/>
          <w:sz w:val="19"/>
          <w:szCs w:val="19"/>
          <w:highlight w:val="none"/>
          <w:u w:val="single"/>
        </w:rPr>
        <w:t>（填写具体份数）</w:t>
      </w:r>
      <w:r>
        <w:rPr>
          <w:rFonts w:hint="eastAsia" w:ascii="宋体" w:hAnsi="宋体" w:eastAsia="宋体" w:cs="宋体"/>
          <w:sz w:val="19"/>
          <w:szCs w:val="19"/>
          <w:highlight w:val="none"/>
        </w:rPr>
        <w:t>份，上述信用信息查询结果真实有效，否则我方负全部责任。</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1、供应商应</w:t>
      </w:r>
      <w:r>
        <w:rPr>
          <w:rStyle w:val="9"/>
          <w:rFonts w:hint="eastAsia" w:ascii="宋体" w:hAnsi="宋体" w:eastAsia="宋体" w:cs="宋体"/>
          <w:sz w:val="19"/>
          <w:szCs w:val="19"/>
          <w:highlight w:val="none"/>
        </w:rPr>
        <w:t>同时提供</w:t>
      </w:r>
      <w:r>
        <w:rPr>
          <w:rFonts w:hint="eastAsia" w:ascii="宋体" w:hAnsi="宋体" w:eastAsia="宋体" w:cs="宋体"/>
          <w:sz w:val="19"/>
          <w:szCs w:val="19"/>
          <w:highlight w:val="none"/>
        </w:rPr>
        <w:t>在询价通知书要求的截止时点前通过上述2个网站获取的信用信息查询结果，信用信息查询结果应为从上述2个网站获取的查询结果原始页面的打印件或完整截图，否则</w:t>
      </w:r>
      <w:r>
        <w:rPr>
          <w:rStyle w:val="9"/>
          <w:rFonts w:hint="eastAsia" w:ascii="宋体" w:hAnsi="宋体" w:eastAsia="宋体" w:cs="宋体"/>
          <w:sz w:val="19"/>
          <w:szCs w:val="19"/>
          <w:highlight w:val="none"/>
        </w:rPr>
        <w:t>投标无效。</w:t>
      </w:r>
    </w:p>
    <w:p>
      <w:pPr>
        <w:pStyle w:val="6"/>
        <w:keepNext w:val="0"/>
        <w:keepLines w:val="0"/>
        <w:widowControl/>
        <w:suppressLineNumbers w:val="0"/>
        <w:rPr>
          <w:highlight w:val="none"/>
        </w:rPr>
      </w:pPr>
      <w:r>
        <w:rPr>
          <w:rFonts w:hint="eastAsia" w:ascii="宋体" w:hAnsi="宋体" w:eastAsia="宋体" w:cs="宋体"/>
          <w:sz w:val="19"/>
          <w:szCs w:val="19"/>
          <w:highlight w:val="none"/>
        </w:rPr>
        <w:t>2、若本项目接受联合体投标且供应商为联合体，应同时提供在询价通知书要求的截止时点前通过上述2个网站获取的联合体各方的信用信息查询结果，信用信息查询结果应为从上述2个网站获取的查询结果原始页面的完整截图或打印件，否则</w:t>
      </w:r>
      <w:r>
        <w:rPr>
          <w:rStyle w:val="9"/>
          <w:rFonts w:hint="eastAsia" w:ascii="宋体" w:hAnsi="宋体" w:eastAsia="宋体" w:cs="宋体"/>
          <w:sz w:val="19"/>
          <w:szCs w:val="19"/>
          <w:highlight w:val="none"/>
        </w:rPr>
        <w:t>报价无效。</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※除上述规定外，信用记录的其他有关规定（包括但不限于：信用信息的查询渠道及截止时点、查询记录和证据留存的具体方式、使用规则等内容）详见询价通知书第一章。</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6"/>
          <w:szCs w:val="16"/>
          <w:highlight w:val="none"/>
        </w:rPr>
        <w:br w:type="textWrapping"/>
      </w:r>
      <w:r>
        <w:rPr>
          <w:rFonts w:hint="eastAsia" w:ascii="宋体" w:hAnsi="宋体" w:eastAsia="宋体" w:cs="宋体"/>
          <w:sz w:val="19"/>
          <w:szCs w:val="19"/>
          <w:highlight w:val="none"/>
        </w:rPr>
        <w:t>4-9、检察机关行贿犯罪档案查询结果告知函</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firstLine="336"/>
        <w:rPr>
          <w:highlight w:val="none"/>
        </w:rPr>
      </w:pPr>
      <w:r>
        <w:rPr>
          <w:rFonts w:hint="eastAsia" w:ascii="宋体" w:hAnsi="宋体" w:eastAsia="宋体" w:cs="宋体"/>
          <w:sz w:val="19"/>
          <w:szCs w:val="19"/>
          <w:highlight w:val="none"/>
        </w:rPr>
        <w:t>检察机关行贿犯罪档案查询结果告知函（以下简称：“告知函”）由供应商向住所地或业务发生地检察院申请查询，具体以检察院出具的为准。</w:t>
      </w:r>
    </w:p>
    <w:p>
      <w:pPr>
        <w:pStyle w:val="6"/>
        <w:keepNext w:val="0"/>
        <w:keepLines w:val="0"/>
        <w:widowControl/>
        <w:suppressLineNumbers w:val="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rPr>
          <w:highlight w:val="none"/>
        </w:rPr>
      </w:pPr>
      <w:r>
        <w:rPr>
          <w:rFonts w:hint="eastAsia" w:ascii="宋体" w:hAnsi="宋体" w:eastAsia="宋体" w:cs="宋体"/>
          <w:sz w:val="19"/>
          <w:szCs w:val="19"/>
          <w:highlight w:val="none"/>
        </w:rPr>
        <w:t>1、未提供行贿犯罪档案查询结果或查询结果表明供应商有行贿犯罪记录的，</w:t>
      </w:r>
      <w:r>
        <w:rPr>
          <w:rStyle w:val="9"/>
          <w:rFonts w:hint="eastAsia" w:ascii="宋体" w:hAnsi="宋体" w:eastAsia="宋体" w:cs="宋体"/>
          <w:sz w:val="19"/>
          <w:szCs w:val="19"/>
          <w:highlight w:val="none"/>
        </w:rPr>
        <w:t>报价无效。</w:t>
      </w:r>
    </w:p>
    <w:p>
      <w:pPr>
        <w:pStyle w:val="6"/>
        <w:keepNext w:val="0"/>
        <w:keepLines w:val="0"/>
        <w:widowControl/>
        <w:suppressLineNumbers w:val="0"/>
        <w:rPr>
          <w:highlight w:val="none"/>
        </w:rPr>
      </w:pPr>
      <w:r>
        <w:rPr>
          <w:rFonts w:hint="eastAsia" w:ascii="宋体" w:hAnsi="宋体" w:eastAsia="宋体" w:cs="宋体"/>
          <w:sz w:val="19"/>
          <w:szCs w:val="19"/>
          <w:highlight w:val="none"/>
        </w:rPr>
        <w:t>2、若从检察机关指定网站下载打印或截图告知函，则告知函应为从前述指定网站获取的查询结果原始页面的打印件或完整截图，否则</w:t>
      </w:r>
      <w:r>
        <w:rPr>
          <w:rStyle w:val="9"/>
          <w:rFonts w:hint="eastAsia" w:ascii="宋体" w:hAnsi="宋体" w:eastAsia="宋体" w:cs="宋体"/>
          <w:sz w:val="19"/>
          <w:szCs w:val="19"/>
          <w:highlight w:val="none"/>
        </w:rPr>
        <w:t>报价无效。</w:t>
      </w:r>
    </w:p>
    <w:p>
      <w:pPr>
        <w:pStyle w:val="6"/>
        <w:keepNext w:val="0"/>
        <w:keepLines w:val="0"/>
        <w:widowControl/>
        <w:suppressLineNumbers w:val="0"/>
        <w:rPr>
          <w:highlight w:val="none"/>
        </w:rPr>
      </w:pPr>
      <w:r>
        <w:rPr>
          <w:rFonts w:hint="eastAsia" w:ascii="宋体" w:hAnsi="宋体" w:eastAsia="宋体" w:cs="宋体"/>
          <w:sz w:val="19"/>
          <w:szCs w:val="19"/>
          <w:highlight w:val="none"/>
        </w:rPr>
        <w:t>3、告知函应在有效期内，否则</w:t>
      </w:r>
      <w:r>
        <w:rPr>
          <w:rStyle w:val="9"/>
          <w:rFonts w:hint="eastAsia" w:ascii="宋体" w:hAnsi="宋体" w:eastAsia="宋体" w:cs="宋体"/>
          <w:sz w:val="19"/>
          <w:szCs w:val="19"/>
          <w:highlight w:val="none"/>
        </w:rPr>
        <w:t>报价无效。</w:t>
      </w:r>
    </w:p>
    <w:p>
      <w:pPr>
        <w:pStyle w:val="6"/>
        <w:keepNext w:val="0"/>
        <w:keepLines w:val="0"/>
        <w:widowControl/>
        <w:suppressLineNumbers w:val="0"/>
        <w:rPr>
          <w:highlight w:val="none"/>
        </w:rPr>
      </w:pPr>
      <w:r>
        <w:rPr>
          <w:rFonts w:hint="eastAsia" w:ascii="宋体" w:hAnsi="宋体" w:eastAsia="宋体" w:cs="宋体"/>
          <w:sz w:val="19"/>
          <w:szCs w:val="19"/>
          <w:highlight w:val="none"/>
        </w:rPr>
        <w:t>4、有效期内的告知函复印件，无论内容中是否注明“复印件无效”，均视同有效。</w:t>
      </w:r>
    </w:p>
    <w:p>
      <w:pPr>
        <w:pStyle w:val="6"/>
        <w:keepNext w:val="0"/>
        <w:keepLines w:val="0"/>
        <w:widowControl/>
        <w:suppressLineNumbers w:val="0"/>
        <w:rPr>
          <w:highlight w:val="none"/>
        </w:rPr>
      </w:pPr>
      <w:r>
        <w:rPr>
          <w:rFonts w:hint="eastAsia" w:ascii="宋体" w:hAnsi="宋体" w:eastAsia="宋体" w:cs="宋体"/>
          <w:sz w:val="19"/>
          <w:szCs w:val="19"/>
          <w:highlight w:val="none"/>
        </w:rPr>
        <w:t>5、无法获取有效期内检察机关行贿犯罪档案查询结果告知函的，应在《参加采购活动前三年内在经营活动中没有重大违法记录书面声明》中对近三年无行贿犯罪记录进行声明。</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rFonts w:hint="eastAsia" w:ascii="宋体" w:hAnsi="宋体" w:eastAsia="宋体" w:cs="宋体"/>
          <w:sz w:val="19"/>
          <w:szCs w:val="19"/>
          <w:highlight w:val="none"/>
        </w:rPr>
      </w:pPr>
      <w:r>
        <w:rPr>
          <w:rFonts w:hint="eastAsia" w:ascii="宋体" w:hAnsi="宋体" w:eastAsia="宋体" w:cs="宋体"/>
          <w:sz w:val="19"/>
          <w:szCs w:val="19"/>
          <w:highlight w:val="none"/>
        </w:rPr>
        <w:t> </w:t>
      </w: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highlight w:val="none"/>
        </w:rPr>
      </w:pP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6"/>
          <w:szCs w:val="16"/>
          <w:highlight w:val="none"/>
        </w:rPr>
        <w:t> </w:t>
      </w:r>
      <w:r>
        <w:rPr>
          <w:rStyle w:val="9"/>
          <w:rFonts w:hint="eastAsia" w:ascii="宋体" w:hAnsi="宋体" w:eastAsia="宋体" w:cs="宋体"/>
          <w:sz w:val="22"/>
          <w:szCs w:val="22"/>
          <w:highlight w:val="none"/>
        </w:rPr>
        <w:t>5、技术要求响应表</w:t>
      </w:r>
    </w:p>
    <w:p>
      <w:pPr>
        <w:pStyle w:val="6"/>
        <w:keepNext w:val="0"/>
        <w:keepLines w:val="0"/>
        <w:widowControl/>
        <w:suppressLineNumbers w:val="0"/>
        <w:spacing w:before="60" w:beforeAutospacing="0" w:after="60" w:afterAutospacing="0"/>
        <w:ind w:left="0" w:right="0"/>
        <w:jc w:val="center"/>
        <w:rPr>
          <w:highlight w:val="none"/>
        </w:rPr>
      </w:pPr>
      <w:r>
        <w:rPr>
          <w:rFonts w:hint="default" w:ascii="Arial" w:hAnsi="Arial" w:cs="Arial"/>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项目编号：</w:t>
      </w:r>
      <w:r>
        <w:rPr>
          <w:rFonts w:hint="eastAsia" w:ascii="宋体" w:hAnsi="宋体" w:eastAsia="宋体" w:cs="宋体"/>
          <w:sz w:val="19"/>
          <w:szCs w:val="19"/>
          <w:highlight w:val="none"/>
          <w:u w:val="single"/>
        </w:rPr>
        <w:t>                   </w:t>
      </w:r>
    </w:p>
    <w:tbl>
      <w:tblPr>
        <w:tblStyle w:val="7"/>
        <w:tblW w:w="4998"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88"/>
        <w:gridCol w:w="875"/>
        <w:gridCol w:w="3247"/>
        <w:gridCol w:w="1805"/>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493"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合同包</w:t>
            </w:r>
          </w:p>
        </w:tc>
        <w:tc>
          <w:tcPr>
            <w:tcW w:w="494"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品目号</w:t>
            </w:r>
          </w:p>
        </w:tc>
        <w:tc>
          <w:tcPr>
            <w:tcW w:w="1880"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询价通知书要求</w:t>
            </w:r>
          </w:p>
        </w:tc>
        <w:tc>
          <w:tcPr>
            <w:tcW w:w="1037"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响应文件应答</w:t>
            </w:r>
          </w:p>
        </w:tc>
        <w:tc>
          <w:tcPr>
            <w:tcW w:w="988"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3" w:type="pct"/>
            <w:vMerge w:val="restar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494"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*-1</w:t>
            </w:r>
          </w:p>
        </w:tc>
        <w:tc>
          <w:tcPr>
            <w:tcW w:w="1880"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1037"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98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3" w:type="pct"/>
            <w:vMerge w:val="continue"/>
            <w:shd w:val="clear" w:color="auto" w:fill="auto"/>
            <w:tcMar>
              <w:top w:w="0" w:type="dxa"/>
              <w:left w:w="84" w:type="dxa"/>
              <w:bottom w:w="0" w:type="dxa"/>
              <w:right w:w="84" w:type="dxa"/>
            </w:tcMar>
            <w:vAlign w:val="center"/>
          </w:tcPr>
          <w:p>
            <w:pPr>
              <w:rPr>
                <w:rFonts w:hint="eastAsia" w:ascii="宋体"/>
                <w:sz w:val="24"/>
                <w:szCs w:val="24"/>
                <w:highlight w:val="none"/>
              </w:rPr>
            </w:pPr>
          </w:p>
        </w:tc>
        <w:tc>
          <w:tcPr>
            <w:tcW w:w="494"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1880"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1037"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98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3"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494"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880"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037"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988"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bl>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1、供应商应在“询价通知书要求” “响应文件应答”中按询价通知书第四章的内容逐项详细对应应答。</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2、对询价通知书关于“大于（或小于）等于”等某个区间值范围内的内容，报价响应应填写具体的数值。</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3“是否偏离及说明”项下应按下列规定填写：优于的，填写“正偏离”；符合的，填写“无偏离”；低于的，填写“负偏离”。</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4、若需要说明的内容因询价通知书中的格式特殊或需特殊表达的，可另页应答。</w:t>
      </w:r>
    </w:p>
    <w:p>
      <w:pPr>
        <w:pStyle w:val="6"/>
        <w:keepNext w:val="0"/>
        <w:keepLines w:val="0"/>
        <w:widowControl/>
        <w:suppressLineNumbers w:val="0"/>
        <w:spacing w:before="60" w:beforeAutospacing="0" w:after="60" w:afterAutospacing="0"/>
        <w:ind w:left="0" w:right="0"/>
        <w:rPr>
          <w:highlight w:val="none"/>
        </w:rPr>
      </w:pPr>
      <w:r>
        <w:rPr>
          <w:rFonts w:hint="default" w:ascii="Arial" w:hAnsi="Arial" w:cs="Arial"/>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rFonts w:hint="eastAsia" w:ascii="宋体" w:hAnsi="宋体" w:eastAsia="宋体" w:cs="宋体"/>
          <w:sz w:val="19"/>
          <w:szCs w:val="19"/>
          <w:highlight w:val="none"/>
        </w:rPr>
      </w:pPr>
      <w:r>
        <w:rPr>
          <w:rFonts w:hint="eastAsia" w:ascii="宋体" w:hAnsi="宋体" w:eastAsia="宋体" w:cs="宋体"/>
          <w:sz w:val="19"/>
          <w:szCs w:val="19"/>
          <w:highlight w:val="none"/>
        </w:rPr>
        <w:t> </w:t>
      </w: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rFonts w:hint="eastAsia" w:ascii="宋体" w:hAnsi="宋体" w:eastAsia="宋体" w:cs="宋体"/>
          <w:sz w:val="19"/>
          <w:szCs w:val="19"/>
          <w:highlight w:val="none"/>
        </w:rPr>
      </w:pPr>
    </w:p>
    <w:p>
      <w:pPr>
        <w:pStyle w:val="2"/>
        <w:rPr>
          <w:rFonts w:hint="eastAsia" w:ascii="宋体" w:hAnsi="宋体" w:eastAsia="宋体" w:cs="宋体"/>
          <w:sz w:val="19"/>
          <w:szCs w:val="19"/>
          <w:highlight w:val="none"/>
        </w:rPr>
      </w:pPr>
    </w:p>
    <w:p>
      <w:pPr>
        <w:rPr>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6"/>
          <w:szCs w:val="16"/>
          <w:highlight w:val="none"/>
        </w:rPr>
        <w:br w:type="textWrapping"/>
      </w:r>
      <w:r>
        <w:rPr>
          <w:rStyle w:val="9"/>
          <w:rFonts w:hint="eastAsia" w:ascii="宋体" w:hAnsi="宋体" w:eastAsia="宋体" w:cs="宋体"/>
          <w:sz w:val="22"/>
          <w:szCs w:val="22"/>
          <w:highlight w:val="none"/>
        </w:rPr>
        <w:t>6、商务条件响应表</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项目编号：</w:t>
      </w:r>
      <w:r>
        <w:rPr>
          <w:rFonts w:hint="eastAsia" w:ascii="宋体" w:hAnsi="宋体" w:eastAsia="宋体" w:cs="宋体"/>
          <w:sz w:val="19"/>
          <w:szCs w:val="19"/>
          <w:highlight w:val="none"/>
          <w:u w:val="single"/>
        </w:rPr>
        <w:t>                   </w:t>
      </w:r>
    </w:p>
    <w:tbl>
      <w:tblPr>
        <w:tblStyle w:val="7"/>
        <w:tblW w:w="4998"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888"/>
        <w:gridCol w:w="875"/>
        <w:gridCol w:w="3249"/>
        <w:gridCol w:w="1803"/>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493"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合同包</w:t>
            </w:r>
          </w:p>
        </w:tc>
        <w:tc>
          <w:tcPr>
            <w:tcW w:w="494"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品目号</w:t>
            </w:r>
          </w:p>
        </w:tc>
        <w:tc>
          <w:tcPr>
            <w:tcW w:w="1881"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询价通知书要求</w:t>
            </w:r>
          </w:p>
        </w:tc>
        <w:tc>
          <w:tcPr>
            <w:tcW w:w="1036"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响应文件应答</w:t>
            </w:r>
          </w:p>
        </w:tc>
        <w:tc>
          <w:tcPr>
            <w:tcW w:w="988"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493" w:type="pct"/>
            <w:vMerge w:val="restar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494"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*-1</w:t>
            </w:r>
          </w:p>
        </w:tc>
        <w:tc>
          <w:tcPr>
            <w:tcW w:w="1881"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103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98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3" w:type="pct"/>
            <w:vMerge w:val="continue"/>
            <w:shd w:val="clear" w:color="auto" w:fill="auto"/>
            <w:tcMar>
              <w:top w:w="0" w:type="dxa"/>
              <w:left w:w="84" w:type="dxa"/>
              <w:bottom w:w="0" w:type="dxa"/>
              <w:right w:w="84" w:type="dxa"/>
            </w:tcMar>
            <w:vAlign w:val="center"/>
          </w:tcPr>
          <w:p>
            <w:pPr>
              <w:jc w:val="center"/>
              <w:rPr>
                <w:rFonts w:hint="eastAsia" w:ascii="宋体"/>
                <w:sz w:val="24"/>
                <w:szCs w:val="24"/>
                <w:highlight w:val="none"/>
              </w:rPr>
            </w:pPr>
          </w:p>
        </w:tc>
        <w:tc>
          <w:tcPr>
            <w:tcW w:w="494"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1881"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1036"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c>
          <w:tcPr>
            <w:tcW w:w="988" w:type="pct"/>
            <w:shd w:val="clear" w:color="auto" w:fill="auto"/>
            <w:tcMar>
              <w:top w:w="0" w:type="dxa"/>
              <w:left w:w="84" w:type="dxa"/>
              <w:bottom w:w="0" w:type="dxa"/>
              <w:right w:w="84" w:type="dxa"/>
            </w:tcMar>
            <w:vAlign w:val="top"/>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3" w:type="pct"/>
            <w:shd w:val="clear" w:color="auto" w:fill="auto"/>
            <w:tcMar>
              <w:top w:w="0" w:type="dxa"/>
              <w:left w:w="84" w:type="dxa"/>
              <w:bottom w:w="0" w:type="dxa"/>
              <w:right w:w="84" w:type="dxa"/>
            </w:tcMar>
            <w:vAlign w:val="center"/>
          </w:tcPr>
          <w:p>
            <w:pPr>
              <w:pStyle w:val="6"/>
              <w:keepNext w:val="0"/>
              <w:keepLines w:val="0"/>
              <w:widowControl/>
              <w:suppressLineNumbers w:val="0"/>
              <w:jc w:val="center"/>
              <w:rPr>
                <w:highlight w:val="none"/>
              </w:rPr>
            </w:pPr>
            <w:r>
              <w:rPr>
                <w:rFonts w:hint="eastAsia" w:ascii="宋体" w:hAnsi="宋体" w:eastAsia="宋体" w:cs="宋体"/>
                <w:sz w:val="19"/>
                <w:szCs w:val="19"/>
                <w:highlight w:val="none"/>
              </w:rPr>
              <w:t>…</w:t>
            </w:r>
          </w:p>
        </w:tc>
        <w:tc>
          <w:tcPr>
            <w:tcW w:w="494" w:type="pct"/>
            <w:shd w:val="clear" w:color="auto" w:fill="auto"/>
            <w:tcMar>
              <w:top w:w="0" w:type="dxa"/>
              <w:left w:w="84" w:type="dxa"/>
              <w:bottom w:w="0" w:type="dxa"/>
              <w:right w:w="84" w:type="dxa"/>
            </w:tcMar>
            <w:vAlign w:val="center"/>
          </w:tcPr>
          <w:p>
            <w:pPr>
              <w:keepNext w:val="0"/>
              <w:keepLines w:val="0"/>
              <w:widowControl/>
              <w:suppressLineNumbers w:val="0"/>
              <w:jc w:val="center"/>
              <w:rPr>
                <w:highlight w:val="none"/>
              </w:rPr>
            </w:pPr>
          </w:p>
        </w:tc>
        <w:tc>
          <w:tcPr>
            <w:tcW w:w="1881"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1036"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988"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bl>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1、供应商应在“询价通知书要求” “响应文件应答”中按询价通知书第四章的内容逐项详细对应应答。</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2、对询价通知书关于“大于（或小于）等于”等某个区间值范围内的内容，报价响应应填写具体的数值。</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3“是否偏离及说明”项下应按下列规定填写：优于的，填写“正偏离”；符合的，填写“无偏离”；低于的，填写“负偏离”。</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4、若需要说明的内容因询价通知书中的格式特殊或需特殊表达的，可另页应答。</w:t>
      </w:r>
    </w:p>
    <w:p>
      <w:pPr>
        <w:pStyle w:val="6"/>
        <w:keepNext w:val="0"/>
        <w:keepLines w:val="0"/>
        <w:widowControl/>
        <w:suppressLineNumbers w:val="0"/>
        <w:spacing w:before="60" w:beforeAutospacing="0" w:after="60" w:afterAutospacing="0"/>
        <w:ind w:left="0" w:right="0"/>
        <w:rPr>
          <w:highlight w:val="none"/>
        </w:rPr>
      </w:pPr>
      <w:r>
        <w:rPr>
          <w:rFonts w:hint="default" w:ascii="Arial" w:hAnsi="Arial" w:cs="Arial"/>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default" w:ascii="Arial" w:hAnsi="Arial" w:cs="Arial"/>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default" w:ascii="Arial" w:hAnsi="Arial" w:cs="Arial"/>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22"/>
          <w:szCs w:val="22"/>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22"/>
          <w:szCs w:val="22"/>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22"/>
          <w:szCs w:val="22"/>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22"/>
          <w:szCs w:val="22"/>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default" w:ascii="Arial" w:hAnsi="Arial" w:cs="Arial"/>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22"/>
          <w:szCs w:val="22"/>
          <w:highlight w:val="none"/>
        </w:rPr>
        <w:t>7、提供政府采购政策产品等证明材料</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6"/>
          <w:szCs w:val="16"/>
          <w:highlight w:val="none"/>
        </w:rPr>
        <w:t>7-1、优先类节能产品、环境标志产品统计表</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项目编号：</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jc w:val="right"/>
        <w:rPr>
          <w:highlight w:val="none"/>
        </w:rPr>
      </w:pPr>
      <w:r>
        <w:rPr>
          <w:rFonts w:hint="eastAsia" w:ascii="宋体" w:hAnsi="宋体" w:eastAsia="宋体" w:cs="宋体"/>
          <w:sz w:val="19"/>
          <w:szCs w:val="19"/>
          <w:highlight w:val="none"/>
        </w:rPr>
        <w:t>货币单位：人民币元</w:t>
      </w:r>
    </w:p>
    <w:tbl>
      <w:tblPr>
        <w:tblStyle w:val="7"/>
        <w:tblW w:w="4999"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84"/>
        <w:gridCol w:w="1326"/>
        <w:gridCol w:w="1642"/>
        <w:gridCol w:w="996"/>
        <w:gridCol w:w="996"/>
        <w:gridCol w:w="996"/>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440"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4506" w:type="pct"/>
            <w:gridSpan w:val="6"/>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40"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合同包</w:t>
            </w:r>
          </w:p>
        </w:tc>
        <w:tc>
          <w:tcPr>
            <w:tcW w:w="771"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品目号</w:t>
            </w:r>
          </w:p>
        </w:tc>
        <w:tc>
          <w:tcPr>
            <w:tcW w:w="959"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货物名称</w:t>
            </w:r>
          </w:p>
        </w:tc>
        <w:tc>
          <w:tcPr>
            <w:tcW w:w="575"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单价</w:t>
            </w:r>
          </w:p>
        </w:tc>
        <w:tc>
          <w:tcPr>
            <w:tcW w:w="575"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数量</w:t>
            </w:r>
          </w:p>
        </w:tc>
        <w:tc>
          <w:tcPr>
            <w:tcW w:w="575"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总价</w:t>
            </w:r>
          </w:p>
        </w:tc>
        <w:tc>
          <w:tcPr>
            <w:tcW w:w="961"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40" w:type="pct"/>
            <w:vMerge w:val="restar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771"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*-1</w:t>
            </w:r>
          </w:p>
        </w:tc>
        <w:tc>
          <w:tcPr>
            <w:tcW w:w="959"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575"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575"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575"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961"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40" w:type="pct"/>
            <w:vMerge w:val="continue"/>
            <w:shd w:val="clear" w:color="auto" w:fill="auto"/>
            <w:tcMar>
              <w:top w:w="0" w:type="dxa"/>
              <w:left w:w="84" w:type="dxa"/>
              <w:bottom w:w="0" w:type="dxa"/>
              <w:right w:w="84" w:type="dxa"/>
            </w:tcMar>
            <w:vAlign w:val="center"/>
          </w:tcPr>
          <w:p>
            <w:pPr>
              <w:rPr>
                <w:rFonts w:hint="eastAsia" w:ascii="宋体"/>
                <w:sz w:val="24"/>
                <w:szCs w:val="24"/>
                <w:highlight w:val="none"/>
              </w:rPr>
            </w:pPr>
          </w:p>
        </w:tc>
        <w:tc>
          <w:tcPr>
            <w:tcW w:w="771"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w:t>
            </w:r>
          </w:p>
        </w:tc>
        <w:tc>
          <w:tcPr>
            <w:tcW w:w="959"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575"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575"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575"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c>
          <w:tcPr>
            <w:tcW w:w="961" w:type="pct"/>
            <w:shd w:val="clear" w:color="auto" w:fill="auto"/>
            <w:tcMar>
              <w:top w:w="0" w:type="dxa"/>
              <w:left w:w="84" w:type="dxa"/>
              <w:bottom w:w="0" w:type="dxa"/>
              <w:right w:w="84" w:type="dxa"/>
            </w:tcMar>
            <w:vAlign w:val="center"/>
          </w:tcPr>
          <w:p>
            <w:pPr>
              <w:keepNext w:val="0"/>
              <w:keepLines w:val="0"/>
              <w:widowControl/>
              <w:suppressLineNumbers w:val="0"/>
              <w:jc w:val="lef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40" w:type="pct"/>
            <w:shd w:val="clear" w:color="auto" w:fill="auto"/>
            <w:tcMar>
              <w:top w:w="0" w:type="dxa"/>
              <w:left w:w="84" w:type="dxa"/>
              <w:bottom w:w="0" w:type="dxa"/>
              <w:right w:w="84" w:type="dxa"/>
            </w:tcMar>
            <w:vAlign w:val="center"/>
          </w:tcPr>
          <w:p>
            <w:pPr>
              <w:pStyle w:val="6"/>
              <w:keepNext w:val="0"/>
              <w:keepLines w:val="0"/>
              <w:widowControl/>
              <w:suppressLineNumbers w:val="0"/>
              <w:rPr>
                <w:highlight w:val="none"/>
              </w:rPr>
            </w:pPr>
            <w:r>
              <w:rPr>
                <w:rFonts w:hint="eastAsia" w:ascii="宋体" w:hAnsi="宋体" w:eastAsia="宋体" w:cs="宋体"/>
                <w:sz w:val="19"/>
                <w:szCs w:val="19"/>
                <w:highlight w:val="none"/>
              </w:rPr>
              <w:t>备注</w:t>
            </w:r>
          </w:p>
        </w:tc>
        <w:tc>
          <w:tcPr>
            <w:tcW w:w="4506" w:type="pct"/>
            <w:gridSpan w:val="6"/>
            <w:shd w:val="clear" w:color="auto" w:fill="auto"/>
            <w:tcMar>
              <w:top w:w="0" w:type="dxa"/>
              <w:left w:w="84" w:type="dxa"/>
              <w:bottom w:w="0" w:type="dxa"/>
              <w:right w:w="84" w:type="dxa"/>
            </w:tcMar>
            <w:vAlign w:val="top"/>
          </w:tcPr>
          <w:p>
            <w:pPr>
              <w:pStyle w:val="6"/>
              <w:keepNext w:val="0"/>
              <w:keepLines w:val="0"/>
              <w:widowControl/>
              <w:suppressLineNumbers w:val="0"/>
              <w:rPr>
                <w:highlight w:val="none"/>
              </w:rPr>
            </w:pPr>
            <w:r>
              <w:rPr>
                <w:rFonts w:hint="eastAsia" w:ascii="宋体" w:hAnsi="宋体" w:eastAsia="宋体" w:cs="宋体"/>
                <w:sz w:val="19"/>
                <w:szCs w:val="19"/>
                <w:highlight w:val="none"/>
              </w:rPr>
              <w:t>a.本合同包内属于节能、环境标志产品的报价总金额：</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w:t>
            </w:r>
          </w:p>
          <w:p>
            <w:pPr>
              <w:pStyle w:val="6"/>
              <w:keepNext w:val="0"/>
              <w:keepLines w:val="0"/>
              <w:widowControl/>
              <w:suppressLineNumbers w:val="0"/>
              <w:rPr>
                <w:highlight w:val="none"/>
              </w:rPr>
            </w:pPr>
            <w:r>
              <w:rPr>
                <w:rFonts w:hint="eastAsia" w:ascii="宋体" w:hAnsi="宋体" w:eastAsia="宋体" w:cs="宋体"/>
                <w:sz w:val="19"/>
                <w:szCs w:val="19"/>
                <w:highlight w:val="none"/>
              </w:rPr>
              <w:t>b.本合同包报价总金额（现场）：</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w:t>
            </w:r>
          </w:p>
          <w:p>
            <w:pPr>
              <w:pStyle w:val="6"/>
              <w:keepNext w:val="0"/>
              <w:keepLines w:val="0"/>
              <w:widowControl/>
              <w:suppressLineNumbers w:val="0"/>
              <w:rPr>
                <w:highlight w:val="none"/>
              </w:rPr>
            </w:pPr>
            <w:r>
              <w:rPr>
                <w:rFonts w:hint="eastAsia" w:ascii="宋体" w:hAnsi="宋体" w:eastAsia="宋体" w:cs="宋体"/>
                <w:sz w:val="19"/>
                <w:szCs w:val="19"/>
                <w:highlight w:val="none"/>
              </w:rPr>
              <w:t>c.本合同包内属于节能、环境标志产品的报价总金额占本合同包报价总金额的比例（以%列示）：</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w:t>
            </w:r>
          </w:p>
        </w:tc>
      </w:tr>
    </w:tbl>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1、对“节能、环境标志产品”计算价格扣除时，只依据响应文件提交的相应清单中报价产品所在的原始页面打印件。</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2、本表以合同包为单位，不同合同包请分别填写；单个合同包请按照其品目号顺序分别填写。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3、具体统计、计算：</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3.1若单个合同包内的单个或多个货物取得或同时取得节能、环境标志产品等二项或多项认证的，均按照单个货物对应一项认证的原则统计、计算1次。</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3.2价格扣除的计算结果若除不尽，可四舍五入保留到小数点后两位。</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3.3价格扣除应按照询价通知书要求认真统计、计算，否则询价小组可不予认定。</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3.4若无货物属于节能、环境标志产品的，不填写本表，否则，视为提供虚假材料。</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供应商代表签字：</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192" w:afterAutospacing="0"/>
        <w:ind w:left="0" w:right="0"/>
        <w:rPr>
          <w:highlight w:val="none"/>
        </w:rPr>
      </w:pPr>
      <w:r>
        <w:rPr>
          <w:rFonts w:hint="eastAsia" w:ascii="宋体" w:hAnsi="宋体" w:eastAsia="宋体" w:cs="宋体"/>
          <w:sz w:val="16"/>
          <w:szCs w:val="16"/>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6"/>
          <w:szCs w:val="16"/>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6"/>
          <w:szCs w:val="16"/>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6"/>
          <w:szCs w:val="16"/>
          <w:highlight w:val="none"/>
        </w:rPr>
        <w:t>日</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9"/>
          <w:szCs w:val="19"/>
          <w:highlight w:val="none"/>
        </w:rPr>
        <w:t>7-2、中小企业声明函</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（专门面向中小企业或小型、微型企业适用，若有）</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pacing w:val="0"/>
          <w:sz w:val="19"/>
          <w:szCs w:val="19"/>
          <w:highlight w:val="none"/>
        </w:rPr>
        <w:t>                   </w:t>
      </w:r>
      <w:r>
        <w:rPr>
          <w:spacing w:val="0"/>
          <w:sz w:val="19"/>
          <w:szCs w:val="19"/>
          <w:highlight w:val="none"/>
        </w:rPr>
        <w:t>中小企业声明函（货物）</w:t>
      </w:r>
      <w:r>
        <w:rPr>
          <w:spacing w:val="0"/>
          <w:sz w:val="19"/>
          <w:szCs w:val="19"/>
          <w:highlight w:val="none"/>
        </w:rPr>
        <w:br w:type="textWrapping"/>
      </w:r>
      <w:r>
        <w:rPr>
          <w:spacing w:val="0"/>
          <w:sz w:val="19"/>
          <w:szCs w:val="19"/>
          <w:highlight w:val="none"/>
        </w:rPr>
        <w:t>     </w:t>
      </w:r>
      <w:r>
        <w:rPr>
          <w:rFonts w:hint="eastAsia" w:ascii="宋体" w:hAnsi="宋体" w:eastAsia="宋体" w:cs="宋体"/>
          <w:spacing w:val="0"/>
          <w:sz w:val="16"/>
          <w:szCs w:val="16"/>
          <w:highlight w:val="none"/>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1.  （标的名称） ，属于（采购文件中明确的所属行业）行业；制造商为（企业名称），从业人员  人，营业收入为  万元，资产总额为  万元</w:t>
      </w:r>
      <w:r>
        <w:rPr>
          <w:rFonts w:hint="eastAsia" w:ascii="宋体" w:hAnsi="宋体" w:eastAsia="宋体" w:cs="宋体"/>
          <w:spacing w:val="0"/>
          <w:sz w:val="16"/>
          <w:szCs w:val="16"/>
          <w:highlight w:val="none"/>
          <w:vertAlign w:val="superscript"/>
        </w:rPr>
        <w:t>1</w:t>
      </w:r>
      <w:r>
        <w:rPr>
          <w:rFonts w:hint="eastAsia" w:ascii="宋体" w:hAnsi="宋体" w:eastAsia="宋体" w:cs="宋体"/>
          <w:spacing w:val="0"/>
          <w:sz w:val="16"/>
          <w:szCs w:val="16"/>
          <w:highlight w:val="none"/>
        </w:rPr>
        <w:t>，属于（中型企业、小型企业、微型企业）；</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2.  （标的名称） ， 属 于 （采购文件中明确的所属行业 ）行业；制造商为（企业名称），从业人员  人，营业收入为  万元，资产总额为  万元，属于（中型企业、小型企业、微型企业）；</w:t>
      </w:r>
      <w:r>
        <w:rPr>
          <w:spacing w:val="0"/>
          <w:sz w:val="19"/>
          <w:szCs w:val="19"/>
          <w:highlight w:val="none"/>
        </w:rPr>
        <w:br w:type="textWrapping"/>
      </w:r>
      <w:r>
        <w:rPr>
          <w:spacing w:val="0"/>
          <w:sz w:val="19"/>
          <w:szCs w:val="19"/>
          <w:highlight w:val="none"/>
        </w:rPr>
        <w:t>  </w:t>
      </w:r>
      <w:r>
        <w:rPr>
          <w:spacing w:val="0"/>
          <w:sz w:val="19"/>
          <w:szCs w:val="19"/>
          <w:highlight w:val="none"/>
        </w:rPr>
        <w:br w:type="textWrapping"/>
      </w:r>
      <w:r>
        <w:rPr>
          <w:rFonts w:hint="eastAsia" w:ascii="宋体" w:hAnsi="宋体" w:eastAsia="宋体" w:cs="宋体"/>
          <w:spacing w:val="0"/>
          <w:sz w:val="16"/>
          <w:szCs w:val="16"/>
          <w:highlight w:val="none"/>
        </w:rPr>
        <w:t>……</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以上企业，不属于大企业的分支机构，不存在控股股东为大企业的情形，也不存在与大企业的负责人为同一人的情形。</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本企业对上述声明内容的真实性负责。如有虚假，将依法承担相应责任。</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企业名称（盖章）：        </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w:t>
      </w:r>
      <w:r>
        <w:rPr>
          <w:rFonts w:hint="eastAsia" w:ascii="宋体" w:hAnsi="宋体" w:eastAsia="宋体" w:cs="宋体"/>
          <w:spacing w:val="0"/>
          <w:sz w:val="16"/>
          <w:szCs w:val="16"/>
          <w:highlight w:val="none"/>
          <w:lang w:val="en-US" w:eastAsia="zh-CN"/>
        </w:rPr>
        <w:t xml:space="preserve">                </w:t>
      </w:r>
      <w:r>
        <w:rPr>
          <w:rFonts w:hint="eastAsia" w:ascii="宋体" w:hAnsi="宋体" w:eastAsia="宋体" w:cs="宋体"/>
          <w:spacing w:val="0"/>
          <w:sz w:val="16"/>
          <w:szCs w:val="16"/>
          <w:highlight w:val="none"/>
        </w:rPr>
        <w:t> 日期：</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1从业人员、营业收入、资产总额填报上一年度数据，无上一年度数据的新成立企业可不填报。</w:t>
      </w:r>
      <w:r>
        <w:rPr>
          <w:spacing w:val="0"/>
          <w:sz w:val="19"/>
          <w:szCs w:val="19"/>
          <w:highlight w:val="none"/>
        </w:rPr>
        <w:br w:type="textWrapping"/>
      </w:r>
      <w:r>
        <w:rPr>
          <w:spacing w:val="0"/>
          <w:sz w:val="19"/>
          <w:szCs w:val="19"/>
          <w:highlight w:val="none"/>
        </w:rPr>
        <w:br w:type="textWrapping"/>
      </w:r>
      <w:r>
        <w:rPr>
          <w:spacing w:val="0"/>
          <w:sz w:val="19"/>
          <w:szCs w:val="19"/>
          <w:highlight w:val="none"/>
        </w:rPr>
        <w:br w:type="textWrapping"/>
      </w:r>
      <w:r>
        <w:rPr>
          <w:spacing w:val="0"/>
          <w:sz w:val="19"/>
          <w:szCs w:val="19"/>
          <w:highlight w:val="none"/>
        </w:rPr>
        <w:t>                                      </w:t>
      </w:r>
      <w:r>
        <w:rPr>
          <w:rFonts w:hint="eastAsia" w:ascii="宋体" w:hAnsi="宋体" w:eastAsia="宋体" w:cs="宋体"/>
          <w:spacing w:val="0"/>
          <w:sz w:val="19"/>
          <w:szCs w:val="19"/>
          <w:highlight w:val="none"/>
        </w:rPr>
        <w:t>中小企业声明函（工程、服务）</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本公司（联合体）郑重声明，根据《政府采购促进中小企业发展管理办法》（财库﹝2020﹞46 号）的规定，本公司（联合体）参加</w:t>
      </w:r>
      <w:r>
        <w:rPr>
          <w:rFonts w:hint="eastAsia" w:ascii="宋体" w:hAnsi="宋体" w:eastAsia="宋体" w:cs="宋体"/>
          <w:spacing w:val="0"/>
          <w:sz w:val="16"/>
          <w:szCs w:val="16"/>
          <w:highlight w:val="none"/>
          <w:u w:val="single"/>
        </w:rPr>
        <w:t>（单位名称）</w:t>
      </w:r>
      <w:r>
        <w:rPr>
          <w:rFonts w:hint="eastAsia" w:ascii="宋体" w:hAnsi="宋体" w:eastAsia="宋体" w:cs="宋体"/>
          <w:spacing w:val="0"/>
          <w:sz w:val="16"/>
          <w:szCs w:val="16"/>
          <w:highlight w:val="none"/>
        </w:rPr>
        <w:t>的</w:t>
      </w:r>
      <w:r>
        <w:rPr>
          <w:rFonts w:hint="eastAsia" w:ascii="宋体" w:hAnsi="宋体" w:eastAsia="宋体" w:cs="宋体"/>
          <w:spacing w:val="0"/>
          <w:sz w:val="16"/>
          <w:szCs w:val="16"/>
          <w:highlight w:val="none"/>
          <w:u w:val="single"/>
        </w:rPr>
        <w:t>（项目名称）</w:t>
      </w:r>
      <w:r>
        <w:rPr>
          <w:rFonts w:hint="eastAsia" w:ascii="宋体" w:hAnsi="宋体" w:eastAsia="宋体" w:cs="宋体"/>
          <w:spacing w:val="0"/>
          <w:sz w:val="16"/>
          <w:szCs w:val="16"/>
          <w:highlight w:val="none"/>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1. （标的名称），属于（采购文件中明确的所属行业）；承建（承接）企业为（企业名称），从业人员  </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人，营业收入为  万元，资产总额为  万元</w:t>
      </w:r>
      <w:r>
        <w:rPr>
          <w:rFonts w:hint="eastAsia" w:ascii="宋体" w:hAnsi="宋体" w:eastAsia="宋体" w:cs="宋体"/>
          <w:spacing w:val="0"/>
          <w:sz w:val="16"/>
          <w:szCs w:val="16"/>
          <w:highlight w:val="none"/>
          <w:vertAlign w:val="superscript"/>
        </w:rPr>
        <w:t>1</w:t>
      </w:r>
      <w:r>
        <w:rPr>
          <w:rFonts w:hint="eastAsia" w:ascii="宋体" w:hAnsi="宋体" w:eastAsia="宋体" w:cs="宋体"/>
          <w:spacing w:val="0"/>
          <w:sz w:val="16"/>
          <w:szCs w:val="16"/>
          <w:highlight w:val="none"/>
        </w:rPr>
        <w:t>，属于（中型企业、小型企业、微型企业）；</w:t>
      </w:r>
    </w:p>
    <w:p>
      <w:pPr>
        <w:pStyle w:val="6"/>
        <w:keepNext w:val="0"/>
        <w:keepLines w:val="0"/>
        <w:widowControl/>
        <w:suppressLineNumbers w:val="0"/>
        <w:rPr>
          <w:highlight w:val="none"/>
        </w:rPr>
      </w:pPr>
      <w:r>
        <w:rPr>
          <w:rFonts w:hint="eastAsia" w:ascii="宋体" w:hAnsi="宋体" w:eastAsia="宋体" w:cs="宋体"/>
          <w:spacing w:val="0"/>
          <w:sz w:val="16"/>
          <w:szCs w:val="16"/>
          <w:highlight w:val="none"/>
        </w:rPr>
        <w:t>        2. （标的名称），属于（采购文件中明确的所属行业）；承建（承接）企业为（企业名称），从业人员  人，营业收入为  万元，资产总额为  万元，属于（中型企业、小型企业、微型企业）；</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以上企业，不属于大企业的分支机构，不存在控股股东为大企业的情形，也不存在与大企业的负责人为同一人的情形。</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本企业对上述声明内容的真实性负责。如有虚假，将依法承担相应责任。</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企业名称（盖章）：                     </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日期：</w:t>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br w:type="textWrapping"/>
      </w:r>
      <w:r>
        <w:rPr>
          <w:rFonts w:hint="eastAsia" w:ascii="宋体" w:hAnsi="宋体" w:eastAsia="宋体" w:cs="宋体"/>
          <w:spacing w:val="0"/>
          <w:sz w:val="16"/>
          <w:szCs w:val="16"/>
          <w:highlight w:val="none"/>
        </w:rPr>
        <w:t>     1从业人员、营业收入、资产总额填报上一年度数据，无上一年度数据的新成立企业可不填报。</w:t>
      </w:r>
    </w:p>
    <w:p>
      <w:pPr>
        <w:pStyle w:val="6"/>
        <w:keepNext w:val="0"/>
        <w:keepLines w:val="0"/>
        <w:widowControl/>
        <w:suppressLineNumbers w:val="0"/>
        <w:spacing w:before="0" w:beforeAutospacing="1" w:after="0" w:afterAutospacing="1"/>
        <w:ind w:left="0" w:firstLine="336"/>
        <w:rPr>
          <w:highlight w:val="none"/>
        </w:rPr>
      </w:pPr>
    </w:p>
    <w:p>
      <w:pPr>
        <w:rPr>
          <w:highlight w:val="none"/>
        </w:rPr>
      </w:pPr>
    </w:p>
    <w:p>
      <w:pPr>
        <w:pStyle w:val="2"/>
        <w:rPr>
          <w:highlight w:val="none"/>
        </w:rPr>
      </w:pPr>
    </w:p>
    <w:p>
      <w:pPr>
        <w:rPr>
          <w:highlight w:val="none"/>
        </w:rPr>
      </w:pPr>
    </w:p>
    <w:p>
      <w:pPr>
        <w:pStyle w:val="2"/>
        <w:rPr>
          <w:highlight w:val="none"/>
        </w:rPr>
      </w:pP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rPr>
          <w:highlight w:val="none"/>
        </w:rPr>
      </w:pPr>
      <w:r>
        <w:rPr>
          <w:rFonts w:hint="eastAsia" w:ascii="宋体" w:hAnsi="宋体" w:eastAsia="宋体" w:cs="宋体"/>
          <w:sz w:val="19"/>
          <w:szCs w:val="19"/>
          <w:highlight w:val="none"/>
        </w:rPr>
        <w:t> 附：</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残疾人福利性单位声明函</w:t>
      </w:r>
    </w:p>
    <w:p>
      <w:pPr>
        <w:pStyle w:val="6"/>
        <w:keepNext w:val="0"/>
        <w:keepLines w:val="0"/>
        <w:widowControl/>
        <w:suppressLineNumbers w:val="0"/>
        <w:spacing w:before="0" w:beforeAutospacing="1" w:after="0" w:afterAutospacing="1"/>
        <w:jc w:val="center"/>
        <w:rPr>
          <w:highlight w:val="none"/>
        </w:rPr>
      </w:pPr>
      <w:r>
        <w:rPr>
          <w:rStyle w:val="9"/>
          <w:rFonts w:hint="eastAsia" w:ascii="宋体" w:hAnsi="宋体" w:eastAsia="宋体" w:cs="宋体"/>
          <w:sz w:val="19"/>
          <w:szCs w:val="19"/>
          <w:highlight w:val="none"/>
        </w:rPr>
        <w:t>（专门面向中小企业或小型、微型企业适用，若有）</w:t>
      </w:r>
    </w:p>
    <w:p>
      <w:pPr>
        <w:pStyle w:val="6"/>
        <w:keepNext w:val="0"/>
        <w:keepLines w:val="0"/>
        <w:widowControl/>
        <w:suppressLineNumbers w:val="0"/>
        <w:rPr>
          <w:highlight w:val="none"/>
        </w:rPr>
      </w:pPr>
      <w:r>
        <w:rPr>
          <w:rStyle w:val="9"/>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firstLine="336"/>
        <w:rPr>
          <w:highlight w:val="none"/>
        </w:rPr>
      </w:pPr>
      <w:r>
        <w:rPr>
          <w:rFonts w:hint="eastAsia" w:ascii="宋体" w:hAnsi="宋体" w:eastAsia="宋体" w:cs="宋体"/>
          <w:sz w:val="16"/>
          <w:szCs w:val="16"/>
          <w:highlight w:val="none"/>
        </w:rPr>
        <w:t>本供应商郑重声明，根据《财政部 民政部 中国残疾人联合会关于促进残疾人就业政府采购政策的通知》（财库[2017]141号）、《政府采购促进中小企业发展管理办法》（财库〔2020〕46号）的规定，本供应商为符合条件的残疾人福利性单位，且本供应商参加贵单位的</w:t>
      </w:r>
      <w:r>
        <w:rPr>
          <w:rFonts w:hint="eastAsia" w:ascii="宋体" w:hAnsi="宋体" w:eastAsia="宋体" w:cs="宋体"/>
          <w:sz w:val="16"/>
          <w:szCs w:val="16"/>
          <w:highlight w:val="none"/>
          <w:u w:val="single"/>
        </w:rPr>
        <w:t>（填写“项目名称”）</w:t>
      </w:r>
      <w:r>
        <w:rPr>
          <w:rFonts w:hint="eastAsia" w:ascii="宋体" w:hAnsi="宋体" w:eastAsia="宋体" w:cs="宋体"/>
          <w:sz w:val="16"/>
          <w:szCs w:val="16"/>
          <w:highlight w:val="none"/>
        </w:rPr>
        <w:t>项目采购活动：</w:t>
      </w:r>
    </w:p>
    <w:p>
      <w:pPr>
        <w:pStyle w:val="6"/>
        <w:keepNext w:val="0"/>
        <w:keepLines w:val="0"/>
        <w:widowControl/>
        <w:suppressLineNumbers w:val="0"/>
        <w:spacing w:before="60" w:beforeAutospacing="0" w:after="60" w:afterAutospacing="0"/>
        <w:ind w:left="0" w:firstLine="336"/>
        <w:rPr>
          <w:highlight w:val="none"/>
        </w:rPr>
      </w:pPr>
      <w:r>
        <w:rPr>
          <w:rFonts w:hint="eastAsia" w:ascii="宋体" w:hAnsi="宋体" w:eastAsia="宋体" w:cs="宋体"/>
          <w:sz w:val="16"/>
          <w:szCs w:val="16"/>
          <w:highlight w:val="none"/>
        </w:rPr>
        <w:t>（ ）提供本供应商制造的</w:t>
      </w:r>
      <w:r>
        <w:rPr>
          <w:rFonts w:hint="eastAsia" w:ascii="宋体" w:hAnsi="宋体" w:eastAsia="宋体" w:cs="宋体"/>
          <w:sz w:val="16"/>
          <w:szCs w:val="16"/>
          <w:highlight w:val="none"/>
          <w:u w:val="single"/>
        </w:rPr>
        <w:t>（填写“所投合同包、品目号”）</w:t>
      </w:r>
      <w:r>
        <w:rPr>
          <w:rFonts w:hint="eastAsia" w:ascii="宋体" w:hAnsi="宋体" w:eastAsia="宋体" w:cs="宋体"/>
          <w:sz w:val="16"/>
          <w:szCs w:val="16"/>
          <w:highlight w:val="none"/>
        </w:rPr>
        <w:t>货物，或提供其他残疾人福利性单位制造的</w:t>
      </w:r>
      <w:r>
        <w:rPr>
          <w:rFonts w:hint="eastAsia" w:ascii="宋体" w:hAnsi="宋体" w:eastAsia="宋体" w:cs="宋体"/>
          <w:sz w:val="16"/>
          <w:szCs w:val="16"/>
          <w:highlight w:val="none"/>
          <w:u w:val="single"/>
        </w:rPr>
        <w:t>（填写“所投合同包、品目号”）</w:t>
      </w:r>
      <w:r>
        <w:rPr>
          <w:rFonts w:hint="eastAsia" w:ascii="宋体" w:hAnsi="宋体" w:eastAsia="宋体" w:cs="宋体"/>
          <w:sz w:val="16"/>
          <w:szCs w:val="16"/>
          <w:highlight w:val="none"/>
        </w:rPr>
        <w:t>货物（不包括使用非残疾人福利性单位注册商标的货物）。（说明：只有部分货物由残疾人福利企业制造的，在该货物后标</w:t>
      </w:r>
      <w:r>
        <w:rPr>
          <w:rFonts w:ascii="Segoe UI Symbol" w:hAnsi="Segoe UI Symbol" w:eastAsia="Segoe UI Symbol" w:cs="Segoe UI Symbol"/>
          <w:color w:val="333333"/>
          <w:sz w:val="15"/>
          <w:szCs w:val="15"/>
          <w:highlight w:val="none"/>
          <w:shd w:val="clear" w:fill="FFFFFF"/>
        </w:rPr>
        <w:t>★</w:t>
      </w:r>
      <w:r>
        <w:rPr>
          <w:rFonts w:hint="eastAsia" w:ascii="宋体" w:hAnsi="宋体" w:eastAsia="宋体" w:cs="宋体"/>
          <w:sz w:val="16"/>
          <w:szCs w:val="16"/>
          <w:highlight w:val="none"/>
        </w:rPr>
        <w:t>）</w:t>
      </w:r>
    </w:p>
    <w:p>
      <w:pPr>
        <w:pStyle w:val="6"/>
        <w:keepNext w:val="0"/>
        <w:keepLines w:val="0"/>
        <w:widowControl/>
        <w:suppressLineNumbers w:val="0"/>
        <w:spacing w:before="60" w:beforeAutospacing="0" w:after="60" w:afterAutospacing="0"/>
        <w:ind w:left="0" w:firstLine="336"/>
        <w:rPr>
          <w:highlight w:val="none"/>
        </w:rPr>
      </w:pPr>
      <w:r>
        <w:rPr>
          <w:rFonts w:hint="eastAsia" w:ascii="宋体" w:hAnsi="宋体" w:eastAsia="宋体" w:cs="宋体"/>
          <w:sz w:val="16"/>
          <w:szCs w:val="16"/>
          <w:highlight w:val="none"/>
        </w:rPr>
        <w:t>（ ）由本供应商承建的</w:t>
      </w:r>
      <w:r>
        <w:rPr>
          <w:rFonts w:hint="eastAsia" w:ascii="宋体" w:hAnsi="宋体" w:eastAsia="宋体" w:cs="宋体"/>
          <w:sz w:val="16"/>
          <w:szCs w:val="16"/>
          <w:highlight w:val="none"/>
          <w:u w:val="single"/>
        </w:rPr>
        <w:t>（填写“所投合同包、品目号”）</w:t>
      </w:r>
      <w:r>
        <w:rPr>
          <w:rFonts w:hint="eastAsia" w:ascii="宋体" w:hAnsi="宋体" w:eastAsia="宋体" w:cs="宋体"/>
          <w:sz w:val="16"/>
          <w:szCs w:val="16"/>
          <w:highlight w:val="none"/>
        </w:rPr>
        <w:t>工程</w:t>
      </w:r>
    </w:p>
    <w:p>
      <w:pPr>
        <w:pStyle w:val="6"/>
        <w:keepNext w:val="0"/>
        <w:keepLines w:val="0"/>
        <w:widowControl/>
        <w:suppressLineNumbers w:val="0"/>
        <w:spacing w:before="60" w:beforeAutospacing="0" w:after="60" w:afterAutospacing="0"/>
        <w:ind w:left="0" w:firstLine="336"/>
        <w:rPr>
          <w:highlight w:val="none"/>
        </w:rPr>
      </w:pPr>
      <w:r>
        <w:rPr>
          <w:rFonts w:hint="eastAsia" w:ascii="宋体" w:hAnsi="宋体" w:eastAsia="宋体" w:cs="宋体"/>
          <w:sz w:val="16"/>
          <w:szCs w:val="16"/>
          <w:highlight w:val="none"/>
        </w:rPr>
        <w:t>（ ）由本供应商承接的</w:t>
      </w:r>
      <w:r>
        <w:rPr>
          <w:rFonts w:hint="eastAsia" w:ascii="宋体" w:hAnsi="宋体" w:eastAsia="宋体" w:cs="宋体"/>
          <w:sz w:val="16"/>
          <w:szCs w:val="16"/>
          <w:highlight w:val="none"/>
          <w:u w:val="single"/>
        </w:rPr>
        <w:t>（填写“所投合同包、品目号”）</w:t>
      </w:r>
      <w:r>
        <w:rPr>
          <w:rFonts w:hint="eastAsia" w:ascii="宋体" w:hAnsi="宋体" w:eastAsia="宋体" w:cs="宋体"/>
          <w:sz w:val="16"/>
          <w:szCs w:val="16"/>
          <w:highlight w:val="none"/>
        </w:rPr>
        <w:t>服务；</w:t>
      </w:r>
    </w:p>
    <w:p>
      <w:pPr>
        <w:pStyle w:val="6"/>
        <w:keepNext w:val="0"/>
        <w:keepLines w:val="0"/>
        <w:widowControl/>
        <w:suppressLineNumbers w:val="0"/>
        <w:spacing w:before="60" w:beforeAutospacing="0" w:after="60" w:afterAutospacing="0"/>
        <w:ind w:left="0" w:firstLine="336"/>
        <w:rPr>
          <w:highlight w:val="none"/>
        </w:rPr>
      </w:pPr>
      <w:r>
        <w:rPr>
          <w:rFonts w:hint="eastAsia" w:ascii="宋体" w:hAnsi="宋体" w:eastAsia="宋体" w:cs="宋体"/>
          <w:sz w:val="16"/>
          <w:szCs w:val="16"/>
          <w:highlight w:val="none"/>
        </w:rPr>
        <w:t>本供应商对上述声明的真实性负责。如有虚假，将依法承担相应责任。</w:t>
      </w:r>
    </w:p>
    <w:p>
      <w:pPr>
        <w:pStyle w:val="6"/>
        <w:keepNext w:val="0"/>
        <w:keepLines w:val="0"/>
        <w:widowControl/>
        <w:suppressLineNumbers w:val="0"/>
        <w:spacing w:before="60" w:beforeAutospacing="0" w:after="60" w:afterAutospacing="0"/>
        <w:ind w:left="0" w:firstLine="336"/>
        <w:rPr>
          <w:highlight w:val="none"/>
        </w:rPr>
      </w:pPr>
      <w:r>
        <w:rPr>
          <w:rFonts w:hint="default" w:ascii="Calibri" w:hAnsi="Calibri" w:cs="Calibri"/>
          <w:sz w:val="16"/>
          <w:szCs w:val="16"/>
          <w:highlight w:val="none"/>
        </w:rPr>
        <w:t> </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备注：</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1、请供应商按照实际情况编制填写本声明函，并在相应的（）中打“√”。</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2、纸质响应文件正本中的本声明函（若有）应为原件。</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3、若《残疾人福利性单位声明函》内容不真实，</w:t>
      </w:r>
      <w:r>
        <w:rPr>
          <w:rStyle w:val="9"/>
          <w:rFonts w:hint="eastAsia" w:ascii="宋体" w:hAnsi="宋体" w:eastAsia="宋体" w:cs="宋体"/>
          <w:sz w:val="16"/>
          <w:szCs w:val="16"/>
          <w:highlight w:val="none"/>
        </w:rPr>
        <w:t>视为提供虚假材料。</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 </w:t>
      </w:r>
    </w:p>
    <w:p>
      <w:pPr>
        <w:pStyle w:val="6"/>
        <w:keepNext w:val="0"/>
        <w:keepLines w:val="0"/>
        <w:widowControl/>
        <w:suppressLineNumbers w:val="0"/>
        <w:spacing w:before="60" w:beforeAutospacing="0" w:after="60" w:afterAutospacing="0"/>
        <w:rPr>
          <w:highlight w:val="none"/>
        </w:rPr>
      </w:pPr>
      <w:r>
        <w:rPr>
          <w:rFonts w:hint="default" w:ascii="Calibri" w:hAnsi="Calibri" w:cs="Calibri"/>
          <w:sz w:val="16"/>
          <w:szCs w:val="16"/>
          <w:highlight w:val="none"/>
        </w:rPr>
        <w:t> </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供应商：</w:t>
      </w:r>
      <w:r>
        <w:rPr>
          <w:rFonts w:hint="eastAsia" w:ascii="宋体" w:hAnsi="宋体" w:eastAsia="宋体" w:cs="宋体"/>
          <w:sz w:val="16"/>
          <w:szCs w:val="16"/>
          <w:highlight w:val="none"/>
          <w:u w:val="single"/>
        </w:rPr>
        <w:t>（全称并加盖单位公章）</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供应商代表签字：</w:t>
      </w:r>
      <w:r>
        <w:rPr>
          <w:rFonts w:hint="eastAsia" w:ascii="宋体" w:hAnsi="宋体" w:eastAsia="宋体" w:cs="宋体"/>
          <w:sz w:val="16"/>
          <w:szCs w:val="16"/>
          <w:highlight w:val="none"/>
          <w:u w:val="single"/>
        </w:rPr>
        <w:t>                   </w:t>
      </w:r>
    </w:p>
    <w:p>
      <w:pPr>
        <w:pStyle w:val="6"/>
        <w:keepNext w:val="0"/>
        <w:keepLines w:val="0"/>
        <w:widowControl/>
        <w:suppressLineNumbers w:val="0"/>
        <w:spacing w:before="60" w:beforeAutospacing="0" w:after="60" w:afterAutospacing="0"/>
        <w:rPr>
          <w:highlight w:val="none"/>
        </w:rPr>
      </w:pPr>
      <w:r>
        <w:rPr>
          <w:rFonts w:hint="eastAsia" w:ascii="宋体" w:hAnsi="宋体" w:eastAsia="宋体" w:cs="宋体"/>
          <w:sz w:val="16"/>
          <w:szCs w:val="16"/>
          <w:highlight w:val="none"/>
        </w:rPr>
        <w:t>日期：</w:t>
      </w:r>
      <w:r>
        <w:rPr>
          <w:rFonts w:hint="eastAsia" w:ascii="宋体" w:hAnsi="宋体" w:eastAsia="宋体" w:cs="宋体"/>
          <w:sz w:val="16"/>
          <w:szCs w:val="16"/>
          <w:highlight w:val="none"/>
          <w:u w:val="single"/>
        </w:rPr>
        <w:t>    </w:t>
      </w:r>
      <w:r>
        <w:rPr>
          <w:rFonts w:hint="eastAsia" w:ascii="宋体" w:hAnsi="宋体" w:eastAsia="宋体" w:cs="宋体"/>
          <w:sz w:val="16"/>
          <w:szCs w:val="16"/>
          <w:highlight w:val="none"/>
        </w:rPr>
        <w:t>年</w:t>
      </w:r>
      <w:r>
        <w:rPr>
          <w:rFonts w:hint="eastAsia" w:ascii="宋体" w:hAnsi="宋体" w:eastAsia="宋体" w:cs="宋体"/>
          <w:sz w:val="16"/>
          <w:szCs w:val="16"/>
          <w:highlight w:val="none"/>
          <w:u w:val="single"/>
        </w:rPr>
        <w:t>   </w:t>
      </w:r>
      <w:r>
        <w:rPr>
          <w:rFonts w:hint="eastAsia" w:ascii="宋体" w:hAnsi="宋体" w:eastAsia="宋体" w:cs="宋体"/>
          <w:sz w:val="16"/>
          <w:szCs w:val="16"/>
          <w:highlight w:val="none"/>
        </w:rPr>
        <w:t>月</w:t>
      </w:r>
      <w:r>
        <w:rPr>
          <w:rFonts w:hint="eastAsia" w:ascii="宋体" w:hAnsi="宋体" w:eastAsia="宋体" w:cs="宋体"/>
          <w:sz w:val="16"/>
          <w:szCs w:val="16"/>
          <w:highlight w:val="none"/>
          <w:u w:val="single"/>
        </w:rPr>
        <w:t>   </w:t>
      </w:r>
      <w:r>
        <w:rPr>
          <w:rFonts w:hint="eastAsia" w:ascii="宋体" w:hAnsi="宋体" w:eastAsia="宋体" w:cs="宋体"/>
          <w:sz w:val="16"/>
          <w:szCs w:val="16"/>
          <w:highlight w:val="none"/>
        </w:rPr>
        <w:t>日</w:t>
      </w:r>
    </w:p>
    <w:p>
      <w:pPr>
        <w:pStyle w:val="6"/>
        <w:keepNext w:val="0"/>
        <w:keepLines w:val="0"/>
        <w:widowControl/>
        <w:suppressLineNumbers w:val="0"/>
        <w:spacing w:before="0" w:beforeAutospacing="1" w:after="0" w:afterAutospacing="1"/>
        <w:ind w:left="0" w:firstLine="336"/>
        <w:rPr>
          <w:highlight w:val="none"/>
        </w:rPr>
      </w:pP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22"/>
          <w:szCs w:val="22"/>
          <w:highlight w:val="none"/>
        </w:rPr>
        <w:t>8、联合体协议（若有）</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兹有</w:t>
      </w:r>
      <w:r>
        <w:rPr>
          <w:rFonts w:hint="eastAsia" w:ascii="宋体" w:hAnsi="宋体" w:eastAsia="宋体" w:cs="宋体"/>
          <w:sz w:val="19"/>
          <w:szCs w:val="19"/>
          <w:highlight w:val="none"/>
          <w:u w:val="single"/>
        </w:rPr>
        <w:t>（填写“联合体中各方的全称”，各方的全称之间请用“、”分割）</w:t>
      </w:r>
      <w:r>
        <w:rPr>
          <w:rFonts w:hint="eastAsia" w:ascii="宋体" w:hAnsi="宋体" w:eastAsia="宋体" w:cs="宋体"/>
          <w:sz w:val="19"/>
          <w:szCs w:val="19"/>
          <w:highlight w:val="none"/>
        </w:rPr>
        <w:t>自愿组成联合体，共同参加</w:t>
      </w:r>
      <w:r>
        <w:rPr>
          <w:rFonts w:hint="eastAsia" w:ascii="宋体" w:hAnsi="宋体" w:eastAsia="宋体" w:cs="宋体"/>
          <w:sz w:val="19"/>
          <w:szCs w:val="19"/>
          <w:highlight w:val="none"/>
          <w:u w:val="single"/>
        </w:rPr>
        <w:t>（填写“项目名称”） </w:t>
      </w:r>
      <w:r>
        <w:rPr>
          <w:rFonts w:hint="eastAsia" w:ascii="宋体" w:hAnsi="宋体" w:eastAsia="宋体" w:cs="宋体"/>
          <w:sz w:val="19"/>
          <w:szCs w:val="19"/>
          <w:highlight w:val="none"/>
        </w:rPr>
        <w:t>项目（项目编号：</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）的报价。现就联合体参加本项目报价的有关事宜达成下列协议：</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一、联合体各方应承担的工作和义务具体如下：</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1、牵头方（</w:t>
      </w:r>
      <w:r>
        <w:rPr>
          <w:rFonts w:hint="eastAsia" w:ascii="宋体" w:hAnsi="宋体" w:eastAsia="宋体" w:cs="宋体"/>
          <w:sz w:val="19"/>
          <w:szCs w:val="19"/>
          <w:highlight w:val="none"/>
          <w:u w:val="single"/>
        </w:rPr>
        <w:t>全称</w:t>
      </w:r>
      <w:r>
        <w:rPr>
          <w:rFonts w:hint="eastAsia" w:ascii="宋体" w:hAnsi="宋体" w:eastAsia="宋体" w:cs="宋体"/>
          <w:sz w:val="19"/>
          <w:szCs w:val="19"/>
          <w:highlight w:val="none"/>
        </w:rPr>
        <w:t>）：</w:t>
      </w:r>
      <w:r>
        <w:rPr>
          <w:rFonts w:hint="eastAsia" w:ascii="宋体" w:hAnsi="宋体" w:eastAsia="宋体" w:cs="宋体"/>
          <w:sz w:val="19"/>
          <w:szCs w:val="19"/>
          <w:highlight w:val="none"/>
          <w:u w:val="single"/>
        </w:rPr>
        <w:t> （填写“工作及义务的具体内容”） </w:t>
      </w:r>
      <w:r>
        <w:rPr>
          <w:rFonts w:hint="eastAsia" w:ascii="宋体" w:hAnsi="宋体" w:eastAsia="宋体" w:cs="宋体"/>
          <w:sz w:val="19"/>
          <w:szCs w:val="19"/>
          <w:highlight w:val="none"/>
        </w:rPr>
        <w:t>；</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2、成员方：</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6"/>
          <w:szCs w:val="16"/>
          <w:highlight w:val="none"/>
        </w:rPr>
        <w:t>2.1</w:t>
      </w:r>
      <w:r>
        <w:rPr>
          <w:rFonts w:hint="eastAsia" w:ascii="宋体" w:hAnsi="宋体" w:eastAsia="宋体" w:cs="宋体"/>
          <w:sz w:val="16"/>
          <w:szCs w:val="16"/>
          <w:highlight w:val="none"/>
          <w:u w:val="single"/>
        </w:rPr>
        <w:t>（成员一的全称）</w:t>
      </w:r>
      <w:r>
        <w:rPr>
          <w:rFonts w:hint="eastAsia" w:ascii="宋体" w:hAnsi="宋体" w:eastAsia="宋体" w:cs="宋体"/>
          <w:sz w:val="16"/>
          <w:szCs w:val="16"/>
          <w:highlight w:val="none"/>
        </w:rPr>
        <w:t>：</w:t>
      </w:r>
      <w:r>
        <w:rPr>
          <w:rFonts w:hint="eastAsia" w:ascii="宋体" w:hAnsi="宋体" w:eastAsia="宋体" w:cs="宋体"/>
          <w:sz w:val="19"/>
          <w:szCs w:val="19"/>
          <w:highlight w:val="none"/>
          <w:u w:val="single"/>
        </w:rPr>
        <w:t> （填写“工作及义务的具体内容”） </w:t>
      </w:r>
      <w:r>
        <w:rPr>
          <w:rFonts w:hint="eastAsia" w:ascii="宋体" w:hAnsi="宋体" w:eastAsia="宋体" w:cs="宋体"/>
          <w:sz w:val="16"/>
          <w:szCs w:val="16"/>
          <w:highlight w:val="none"/>
        </w:rPr>
        <w:t>；</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6"/>
          <w:szCs w:val="16"/>
          <w:highlight w:val="none"/>
        </w:rPr>
        <w:t>……。</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二、联合体各方约定由</w:t>
      </w:r>
      <w:r>
        <w:rPr>
          <w:rFonts w:hint="eastAsia" w:ascii="宋体" w:hAnsi="宋体" w:eastAsia="宋体" w:cs="宋体"/>
          <w:sz w:val="19"/>
          <w:szCs w:val="19"/>
          <w:highlight w:val="none"/>
          <w:u w:val="single"/>
        </w:rPr>
        <w:t>（填写“牵头方的全称”）</w:t>
      </w:r>
      <w:r>
        <w:rPr>
          <w:rFonts w:hint="eastAsia" w:ascii="宋体" w:hAnsi="宋体" w:eastAsia="宋体" w:cs="宋体"/>
          <w:sz w:val="19"/>
          <w:szCs w:val="19"/>
          <w:highlight w:val="none"/>
        </w:rPr>
        <w:t>代表联合体办理参加本项目报价的有关事宜（包括但不限于：派出供应商代表、提交响应文件及参加开标、谈判、澄清等），在此过程中，供应商代表签署的一切文件和处理结果，联合体均予以认可并对此承担责任。</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三、联合体各方约定由</w:t>
      </w:r>
      <w:r>
        <w:rPr>
          <w:rFonts w:hint="eastAsia" w:ascii="宋体" w:hAnsi="宋体" w:eastAsia="宋体" w:cs="宋体"/>
          <w:sz w:val="19"/>
          <w:szCs w:val="19"/>
          <w:highlight w:val="none"/>
          <w:u w:val="single"/>
        </w:rPr>
        <w:t>（填写“牵头方或成员方的全称”）</w:t>
      </w:r>
      <w:r>
        <w:rPr>
          <w:rFonts w:hint="eastAsia" w:ascii="宋体" w:hAnsi="宋体" w:eastAsia="宋体" w:cs="宋体"/>
          <w:sz w:val="19"/>
          <w:szCs w:val="19"/>
          <w:highlight w:val="none"/>
        </w:rPr>
        <w:t>代表联合体办理询价保证金事宜。</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四、若成交，牵头方将代表联合体与采购人就合同签订事宜进行协商；若协商一致，则联合体各方将共同与采购人签订政府采购合同，并就政府采购合同约定的事项对采购人承担连带责任。</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五、本协议自签署之日起生效，政府采购合同履行完毕后自动失效。</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六、本协议一式</w:t>
      </w:r>
      <w:r>
        <w:rPr>
          <w:rFonts w:hint="eastAsia" w:ascii="宋体" w:hAnsi="宋体" w:eastAsia="宋体" w:cs="宋体"/>
          <w:sz w:val="19"/>
          <w:szCs w:val="19"/>
          <w:highlight w:val="none"/>
          <w:u w:val="single"/>
        </w:rPr>
        <w:t>（填写具体份数）</w:t>
      </w:r>
      <w:r>
        <w:rPr>
          <w:rFonts w:hint="eastAsia" w:ascii="宋体" w:hAnsi="宋体" w:eastAsia="宋体" w:cs="宋体"/>
          <w:sz w:val="19"/>
          <w:szCs w:val="19"/>
          <w:highlight w:val="none"/>
        </w:rPr>
        <w:t>份，联合体各方各执一份，响应文件中提交一份。</w:t>
      </w:r>
    </w:p>
    <w:p>
      <w:pPr>
        <w:pStyle w:val="6"/>
        <w:keepNext w:val="0"/>
        <w:keepLines w:val="0"/>
        <w:widowControl/>
        <w:suppressLineNumbers w:val="0"/>
        <w:spacing w:before="60" w:beforeAutospacing="0" w:after="60" w:afterAutospacing="0"/>
        <w:ind w:left="0" w:right="0"/>
        <w:jc w:val="center"/>
        <w:rPr>
          <w:highlight w:val="none"/>
        </w:rPr>
      </w:pPr>
      <w:r>
        <w:rPr>
          <w:rFonts w:hint="eastAsia" w:ascii="宋体" w:hAnsi="宋体" w:eastAsia="宋体" w:cs="宋体"/>
          <w:sz w:val="19"/>
          <w:szCs w:val="19"/>
          <w:highlight w:val="none"/>
        </w:rPr>
        <w:t>（以下无正文）</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牵头方：</w:t>
      </w:r>
      <w:r>
        <w:rPr>
          <w:rFonts w:hint="eastAsia" w:ascii="宋体" w:hAnsi="宋体" w:eastAsia="宋体" w:cs="宋体"/>
          <w:sz w:val="19"/>
          <w:szCs w:val="19"/>
          <w:highlight w:val="none"/>
          <w:u w:val="single"/>
        </w:rPr>
        <w:t>（全称并加盖单位公章）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法定代表人或其委托代理人：</w:t>
      </w:r>
      <w:r>
        <w:rPr>
          <w:rFonts w:hint="eastAsia" w:ascii="宋体" w:hAnsi="宋体" w:eastAsia="宋体" w:cs="宋体"/>
          <w:sz w:val="19"/>
          <w:szCs w:val="19"/>
          <w:highlight w:val="none"/>
          <w:u w:val="single"/>
        </w:rPr>
        <w:t>  （签字或盖章）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成员一：</w:t>
      </w:r>
      <w:r>
        <w:rPr>
          <w:rFonts w:hint="eastAsia" w:ascii="宋体" w:hAnsi="宋体" w:eastAsia="宋体" w:cs="宋体"/>
          <w:sz w:val="19"/>
          <w:szCs w:val="19"/>
          <w:highlight w:val="none"/>
          <w:u w:val="single"/>
        </w:rPr>
        <w:t>（全称并加盖成员一的单位公章）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法定代表人或其委托代理人：</w:t>
      </w:r>
      <w:r>
        <w:rPr>
          <w:rFonts w:hint="eastAsia" w:ascii="宋体" w:hAnsi="宋体" w:eastAsia="宋体" w:cs="宋体"/>
          <w:sz w:val="19"/>
          <w:szCs w:val="19"/>
          <w:highlight w:val="none"/>
          <w:u w:val="single"/>
        </w:rPr>
        <w:t>  （签字或盖章）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成员**：</w:t>
      </w:r>
      <w:r>
        <w:rPr>
          <w:rFonts w:hint="eastAsia" w:ascii="宋体" w:hAnsi="宋体" w:eastAsia="宋体" w:cs="宋体"/>
          <w:sz w:val="19"/>
          <w:szCs w:val="19"/>
          <w:highlight w:val="none"/>
          <w:u w:val="single"/>
        </w:rPr>
        <w:t>（全称并加盖成员**的单位公章）</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法定代表人或其委托代理人：</w:t>
      </w:r>
      <w:r>
        <w:rPr>
          <w:rFonts w:hint="eastAsia" w:ascii="宋体" w:hAnsi="宋体" w:eastAsia="宋体" w:cs="宋体"/>
          <w:sz w:val="19"/>
          <w:szCs w:val="19"/>
          <w:highlight w:val="none"/>
          <w:u w:val="single"/>
        </w:rPr>
        <w:t>  （签字或盖章）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right"/>
        <w:rPr>
          <w:highlight w:val="none"/>
        </w:rPr>
      </w:pPr>
      <w:r>
        <w:rPr>
          <w:rFonts w:hint="eastAsia" w:ascii="宋体" w:hAnsi="宋体" w:eastAsia="宋体" w:cs="宋体"/>
          <w:sz w:val="19"/>
          <w:szCs w:val="19"/>
          <w:highlight w:val="none"/>
        </w:rPr>
        <w:t>签署日期：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★注意：本协议由委托代理人签字或盖章的，应按照本章载明的格式提供“单位负责人授权书”。</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jc w:val="center"/>
        <w:rPr>
          <w:highlight w:val="none"/>
        </w:rPr>
      </w:pPr>
      <w:r>
        <w:rPr>
          <w:rStyle w:val="9"/>
          <w:rFonts w:hint="eastAsia" w:ascii="宋体" w:hAnsi="宋体" w:eastAsia="宋体" w:cs="宋体"/>
          <w:sz w:val="19"/>
          <w:szCs w:val="19"/>
          <w:highlight w:val="none"/>
        </w:rPr>
        <w:t>9、询价保证金凭证</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致：</w:t>
      </w:r>
      <w:r>
        <w:rPr>
          <w:rFonts w:hint="eastAsia" w:ascii="宋体" w:hAnsi="宋体" w:eastAsia="宋体" w:cs="宋体"/>
          <w:sz w:val="19"/>
          <w:szCs w:val="19"/>
          <w:highlight w:val="none"/>
          <w:u w:val="single"/>
        </w:rPr>
        <w:t>     （采购人或采购代理机构）</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我方在贵方组织的</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项目询价采购活动中（</w:t>
      </w:r>
      <w:r>
        <w:rPr>
          <w:rFonts w:hint="eastAsia" w:ascii="宋体" w:hAnsi="宋体" w:eastAsia="宋体" w:cs="宋体"/>
          <w:sz w:val="19"/>
          <w:szCs w:val="19"/>
          <w:highlight w:val="none"/>
          <w:u w:val="single"/>
        </w:rPr>
        <w:t>项目编号          ），</w:t>
      </w:r>
      <w:r>
        <w:rPr>
          <w:rFonts w:hint="eastAsia" w:ascii="宋体" w:hAnsi="宋体" w:eastAsia="宋体" w:cs="宋体"/>
          <w:sz w:val="19"/>
          <w:szCs w:val="19"/>
          <w:highlight w:val="none"/>
        </w:rPr>
        <w:t>提交了</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元人民币的询价保证金。我公司汇出询价保证金的账户信息如下：</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1. 开户名：</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2. 开户行：</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3. 账号：</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widowControl/>
        <w:numPr>
          <w:ilvl w:val="0"/>
          <w:numId w:val="0"/>
        </w:numPr>
        <w:spacing w:line="480" w:lineRule="exact"/>
        <w:ind w:right="0" w:rightChars="0"/>
        <w:rPr>
          <w:rFonts w:hint="eastAsia" w:ascii="宋体" w:hAnsi="宋体" w:cs="宋体"/>
          <w:sz w:val="19"/>
          <w:szCs w:val="19"/>
          <w:highlight w:val="none"/>
        </w:rPr>
      </w:pPr>
      <w:r>
        <w:rPr>
          <w:rFonts w:hint="eastAsia" w:ascii="宋体" w:hAnsi="宋体" w:cs="宋体"/>
          <w:sz w:val="19"/>
          <w:szCs w:val="19"/>
          <w:highlight w:val="none"/>
        </w:rPr>
        <w:t>在此项下提交的</w:t>
      </w:r>
      <w:r>
        <w:rPr>
          <w:rStyle w:val="9"/>
          <w:rFonts w:hint="eastAsia" w:ascii="宋体" w:hAnsi="宋体" w:cs="宋体"/>
          <w:sz w:val="19"/>
          <w:szCs w:val="19"/>
          <w:highlight w:val="none"/>
        </w:rPr>
        <w:t>“</w:t>
      </w:r>
      <w:r>
        <w:rPr>
          <w:rStyle w:val="9"/>
          <w:rFonts w:hint="eastAsia" w:ascii="宋体" w:hAnsi="宋体" w:cs="宋体"/>
          <w:sz w:val="19"/>
          <w:szCs w:val="19"/>
          <w:highlight w:val="none"/>
          <w:lang w:eastAsia="zh-CN"/>
        </w:rPr>
        <w:t>询价</w:t>
      </w:r>
      <w:r>
        <w:rPr>
          <w:rStyle w:val="9"/>
          <w:rFonts w:hint="eastAsia" w:ascii="宋体" w:hAnsi="宋体" w:cs="宋体"/>
          <w:sz w:val="19"/>
          <w:szCs w:val="19"/>
          <w:highlight w:val="none"/>
        </w:rPr>
        <w:t>保证金”</w:t>
      </w:r>
      <w:r>
        <w:rPr>
          <w:rFonts w:hint="eastAsia" w:ascii="宋体" w:hAnsi="宋体" w:cs="宋体"/>
          <w:sz w:val="19"/>
          <w:szCs w:val="19"/>
          <w:highlight w:val="none"/>
        </w:rPr>
        <w:t>材料可使用转账凭证复印件</w:t>
      </w:r>
    </w:p>
    <w:tbl>
      <w:tblPr>
        <w:tblStyle w:val="7"/>
        <w:tblW w:w="0" w:type="auto"/>
        <w:tblCellSpacing w:w="15"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8460" w:type="dxa"/>
            <w:noWrap w:val="0"/>
            <w:tcMar>
              <w:top w:w="0" w:type="dxa"/>
              <w:left w:w="105" w:type="dxa"/>
              <w:bottom w:w="0" w:type="dxa"/>
              <w:right w:w="105" w:type="dxa"/>
            </w:tcMar>
            <w:vAlign w:val="center"/>
          </w:tcPr>
          <w:p>
            <w:pPr>
              <w:pStyle w:val="6"/>
              <w:widowControl/>
              <w:jc w:val="center"/>
              <w:rPr>
                <w:sz w:val="19"/>
                <w:szCs w:val="19"/>
                <w:highlight w:val="none"/>
              </w:rPr>
            </w:pPr>
            <w:r>
              <w:rPr>
                <w:rStyle w:val="9"/>
                <w:rFonts w:hint="eastAsia" w:ascii="宋体" w:hAnsi="宋体" w:cs="宋体"/>
                <w:sz w:val="19"/>
                <w:szCs w:val="19"/>
                <w:highlight w:val="none"/>
              </w:rPr>
              <w:t> </w:t>
            </w:r>
          </w:p>
          <w:p>
            <w:pPr>
              <w:pStyle w:val="6"/>
              <w:widowControl/>
              <w:jc w:val="center"/>
              <w:rPr>
                <w:sz w:val="19"/>
                <w:szCs w:val="19"/>
                <w:highlight w:val="none"/>
              </w:rPr>
            </w:pPr>
            <w:r>
              <w:rPr>
                <w:rStyle w:val="9"/>
                <w:rFonts w:hint="eastAsia" w:ascii="宋体" w:hAnsi="宋体" w:cs="宋体"/>
                <w:sz w:val="19"/>
                <w:szCs w:val="19"/>
                <w:highlight w:val="none"/>
              </w:rPr>
              <w:t>要求：真实有效且内容完整、清晰、整洁。</w:t>
            </w:r>
          </w:p>
          <w:p>
            <w:pPr>
              <w:pStyle w:val="6"/>
              <w:widowControl/>
              <w:jc w:val="center"/>
              <w:rPr>
                <w:sz w:val="19"/>
                <w:szCs w:val="19"/>
                <w:highlight w:val="none"/>
              </w:rPr>
            </w:pPr>
            <w:r>
              <w:rPr>
                <w:rStyle w:val="9"/>
                <w:rFonts w:hint="eastAsia" w:ascii="宋体" w:hAnsi="宋体" w:cs="宋体"/>
                <w:sz w:val="19"/>
                <w:szCs w:val="19"/>
                <w:highlight w:val="none"/>
              </w:rPr>
              <w:t> </w:t>
            </w:r>
          </w:p>
        </w:tc>
      </w:tr>
    </w:tbl>
    <w:p>
      <w:pPr>
        <w:rPr>
          <w:rFonts w:hint="eastAsia"/>
          <w:highlight w:val="none"/>
        </w:rPr>
      </w:pPr>
    </w:p>
    <w:p>
      <w:pPr>
        <w:pStyle w:val="6"/>
        <w:keepNext w:val="0"/>
        <w:keepLines w:val="0"/>
        <w:widowControl/>
        <w:suppressLineNumbers w:val="0"/>
        <w:spacing w:before="60" w:beforeAutospacing="0" w:after="60" w:afterAutospacing="0"/>
        <w:ind w:left="0" w:right="0" w:firstLine="336"/>
        <w:rPr>
          <w:highlight w:val="none"/>
        </w:rPr>
      </w:pP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供应商代表：</w:t>
      </w:r>
      <w:r>
        <w:rPr>
          <w:rFonts w:hint="eastAsia" w:ascii="宋体" w:hAnsi="宋体" w:eastAsia="宋体" w:cs="宋体"/>
          <w:sz w:val="19"/>
          <w:szCs w:val="19"/>
          <w:highlight w:val="none"/>
          <w:u w:val="single"/>
        </w:rPr>
        <w:t>             （签字）</w:t>
      </w:r>
    </w:p>
    <w:p>
      <w:pPr>
        <w:pStyle w:val="6"/>
        <w:keepNext w:val="0"/>
        <w:keepLines w:val="0"/>
        <w:widowControl/>
        <w:suppressLineNumbers w:val="0"/>
        <w:spacing w:before="60" w:beforeAutospacing="0" w:after="60" w:afterAutospacing="0"/>
        <w:ind w:left="0" w:right="0"/>
        <w:rPr>
          <w:highlight w:val="none"/>
        </w:rPr>
      </w:pPr>
      <w:r>
        <w:rPr>
          <w:rFonts w:hint="eastAsia" w:ascii="宋体" w:hAnsi="宋体" w:eastAsia="宋体" w:cs="宋体"/>
          <w:sz w:val="19"/>
          <w:szCs w:val="19"/>
          <w:highlight w:val="none"/>
        </w:rPr>
        <w:t>供应商名称：</w:t>
      </w:r>
      <w:r>
        <w:rPr>
          <w:rFonts w:hint="eastAsia" w:ascii="宋体" w:hAnsi="宋体" w:eastAsia="宋体" w:cs="宋体"/>
          <w:sz w:val="19"/>
          <w:szCs w:val="19"/>
          <w:highlight w:val="none"/>
          <w:u w:val="single"/>
        </w:rPr>
        <w:t>   （全称并加盖公章）</w:t>
      </w:r>
    </w:p>
    <w:p>
      <w:pPr>
        <w:pStyle w:val="6"/>
        <w:keepNext w:val="0"/>
        <w:keepLines w:val="0"/>
        <w:widowControl/>
        <w:suppressLineNumbers w:val="0"/>
        <w:spacing w:before="60" w:beforeAutospacing="0" w:after="60" w:afterAutospacing="0"/>
        <w:ind w:left="0" w:right="336"/>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336" w:firstLine="4032"/>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336" w:firstLine="4032"/>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336" w:firstLine="4032"/>
        <w:rPr>
          <w:rFonts w:hint="eastAsia" w:ascii="宋体" w:hAnsi="宋体" w:eastAsia="宋体" w:cs="宋体"/>
          <w:sz w:val="19"/>
          <w:szCs w:val="19"/>
          <w:highlight w:val="none"/>
        </w:rPr>
      </w:pP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4032"/>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jc w:val="center"/>
        <w:rPr>
          <w:highlight w:val="none"/>
        </w:rPr>
      </w:pPr>
      <w:r>
        <w:rPr>
          <w:rStyle w:val="9"/>
          <w:rFonts w:hint="eastAsia" w:ascii="宋体" w:hAnsi="宋体" w:eastAsia="宋体" w:cs="宋体"/>
          <w:sz w:val="19"/>
          <w:szCs w:val="19"/>
          <w:highlight w:val="none"/>
        </w:rPr>
        <w:t>10、要求作为响应文件组成部分的其他内容（若有）</w:t>
      </w:r>
    </w:p>
    <w:p>
      <w:pPr>
        <w:pStyle w:val="6"/>
        <w:keepNext w:val="0"/>
        <w:keepLines w:val="0"/>
        <w:widowControl/>
        <w:suppressLineNumbers w:val="0"/>
        <w:spacing w:before="60" w:beforeAutospacing="0" w:after="60" w:afterAutospacing="0"/>
        <w:ind w:left="0" w:right="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rPr>
          <w:highlight w:val="none"/>
        </w:rPr>
      </w:pPr>
      <w:r>
        <w:rPr>
          <w:rFonts w:hint="eastAsia" w:ascii="宋体" w:hAnsi="宋体" w:eastAsia="宋体" w:cs="宋体"/>
          <w:sz w:val="19"/>
          <w:szCs w:val="19"/>
          <w:highlight w:val="none"/>
        </w:rPr>
        <w:t>说明：</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采购人或采购代理机构可以根据项目的特点和需要，在询价通知书中对要求作为相应文件组成部分的其他内容进行具体规定或附表格式，供应商应按照询价通知书要求提供相关承诺及材料（格式自拟），并加盖供应商单位公章。</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60" w:beforeAutospacing="0" w:after="60" w:afterAutospacing="0"/>
        <w:ind w:left="0" w:right="84" w:firstLine="420"/>
        <w:rPr>
          <w:highlight w:val="none"/>
        </w:rPr>
      </w:pPr>
      <w:r>
        <w:rPr>
          <w:rFonts w:hint="eastAsia" w:ascii="宋体" w:hAnsi="宋体" w:eastAsia="宋体" w:cs="宋体"/>
          <w:sz w:val="19"/>
          <w:szCs w:val="19"/>
          <w:highlight w:val="none"/>
        </w:rPr>
        <w:t>供应商代表：</w:t>
      </w:r>
      <w:r>
        <w:rPr>
          <w:rFonts w:hint="eastAsia" w:ascii="宋体" w:hAnsi="宋体" w:eastAsia="宋体" w:cs="宋体"/>
          <w:sz w:val="19"/>
          <w:szCs w:val="19"/>
          <w:highlight w:val="none"/>
          <w:u w:val="single"/>
        </w:rPr>
        <w:t>             （签字）</w:t>
      </w:r>
    </w:p>
    <w:p>
      <w:pPr>
        <w:pStyle w:val="6"/>
        <w:keepNext w:val="0"/>
        <w:keepLines w:val="0"/>
        <w:widowControl/>
        <w:suppressLineNumbers w:val="0"/>
        <w:spacing w:before="60" w:beforeAutospacing="0" w:after="60" w:afterAutospacing="0"/>
        <w:ind w:left="0" w:right="0" w:firstLine="336"/>
        <w:rPr>
          <w:highlight w:val="none"/>
        </w:rPr>
      </w:pPr>
      <w:r>
        <w:rPr>
          <w:rFonts w:hint="eastAsia" w:ascii="宋体" w:hAnsi="宋体" w:eastAsia="宋体" w:cs="宋体"/>
          <w:sz w:val="19"/>
          <w:szCs w:val="19"/>
          <w:highlight w:val="none"/>
        </w:rPr>
        <w:t>供应商名称：</w:t>
      </w:r>
      <w:r>
        <w:rPr>
          <w:rFonts w:hint="eastAsia" w:ascii="宋体" w:hAnsi="宋体" w:eastAsia="宋体" w:cs="宋体"/>
          <w:sz w:val="19"/>
          <w:szCs w:val="19"/>
          <w:highlight w:val="none"/>
          <w:u w:val="single"/>
        </w:rPr>
        <w:t>   （全称并加盖公章）</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日期：</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年</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 月</w:t>
      </w:r>
      <w:r>
        <w:rPr>
          <w:rFonts w:hint="eastAsia" w:ascii="宋体" w:hAnsi="宋体" w:eastAsia="宋体" w:cs="宋体"/>
          <w:sz w:val="19"/>
          <w:szCs w:val="19"/>
          <w:highlight w:val="none"/>
          <w:u w:val="single"/>
        </w:rPr>
        <w:t>   </w:t>
      </w:r>
      <w:r>
        <w:rPr>
          <w:rFonts w:hint="eastAsia" w:ascii="宋体" w:hAnsi="宋体" w:eastAsia="宋体" w:cs="宋体"/>
          <w:sz w:val="19"/>
          <w:szCs w:val="19"/>
          <w:highlight w:val="none"/>
        </w:rPr>
        <w:t>日    </w:t>
      </w:r>
    </w:p>
    <w:p>
      <w:pPr>
        <w:pStyle w:val="6"/>
        <w:keepNext w:val="0"/>
        <w:keepLines w:val="0"/>
        <w:widowControl/>
        <w:suppressLineNumbers w:val="0"/>
        <w:spacing w:before="60" w:beforeAutospacing="0" w:after="60" w:afterAutospacing="0"/>
        <w:ind w:left="0" w:right="336"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jc w:val="center"/>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right="336" w:firstLine="336"/>
        <w:rPr>
          <w:highlight w:val="none"/>
        </w:rPr>
      </w:pPr>
      <w:r>
        <w:rPr>
          <w:rFonts w:hint="eastAsia" w:ascii="宋体" w:hAnsi="宋体" w:eastAsia="宋体" w:cs="宋体"/>
          <w:sz w:val="19"/>
          <w:szCs w:val="19"/>
          <w:highlight w:val="none"/>
        </w:rPr>
        <w:t> </w:t>
      </w:r>
    </w:p>
    <w:p>
      <w:pPr>
        <w:pStyle w:val="6"/>
        <w:keepNext w:val="0"/>
        <w:keepLines w:val="0"/>
        <w:widowControl/>
        <w:suppressLineNumbers w:val="0"/>
        <w:spacing w:before="0" w:beforeAutospacing="1" w:after="0" w:afterAutospacing="1"/>
        <w:ind w:left="0" w:right="336" w:firstLine="336"/>
        <w:rPr>
          <w:rFonts w:hint="eastAsia" w:ascii="微软雅黑" w:hAnsi="微软雅黑" w:eastAsia="微软雅黑" w:cs="微软雅黑"/>
          <w:i w:val="0"/>
          <w:iCs w:val="0"/>
          <w:caps w:val="0"/>
          <w:color w:val="000000"/>
          <w:spacing w:val="0"/>
          <w:sz w:val="27"/>
          <w:szCs w:val="27"/>
          <w:highlight w:val="none"/>
        </w:rPr>
      </w:pPr>
      <w:r>
        <w:rPr>
          <w:rFonts w:hint="eastAsia" w:ascii="宋体" w:hAnsi="宋体" w:eastAsia="宋体" w:cs="宋体"/>
          <w:i w:val="0"/>
          <w:iCs w:val="0"/>
          <w:caps w:val="0"/>
          <w:color w:val="000000"/>
          <w:spacing w:val="0"/>
          <w:sz w:val="19"/>
          <w:szCs w:val="19"/>
          <w:highlight w:val="none"/>
        </w:rPr>
        <w:t> </w:t>
      </w:r>
    </w:p>
    <w:p>
      <w:pPr>
        <w:pStyle w:val="6"/>
        <w:keepNext w:val="0"/>
        <w:keepLines w:val="0"/>
        <w:widowControl/>
        <w:suppressLineNumbers w:val="0"/>
        <w:spacing w:before="0" w:beforeAutospacing="1" w:after="0" w:afterAutospacing="1"/>
        <w:ind w:left="0" w:right="336" w:firstLine="336"/>
        <w:rPr>
          <w:rFonts w:hint="eastAsia" w:ascii="微软雅黑" w:hAnsi="微软雅黑" w:eastAsia="微软雅黑" w:cs="微软雅黑"/>
          <w:i w:val="0"/>
          <w:iCs w:val="0"/>
          <w:caps w:val="0"/>
          <w:color w:val="000000"/>
          <w:spacing w:val="0"/>
          <w:sz w:val="27"/>
          <w:szCs w:val="27"/>
          <w:highlight w:val="none"/>
        </w:rPr>
      </w:pPr>
      <w:r>
        <w:rPr>
          <w:rFonts w:hint="eastAsia" w:ascii="宋体" w:hAnsi="宋体" w:eastAsia="宋体" w:cs="宋体"/>
          <w:i w:val="0"/>
          <w:iCs w:val="0"/>
          <w:caps w:val="0"/>
          <w:color w:val="000000"/>
          <w:spacing w:val="0"/>
          <w:sz w:val="19"/>
          <w:szCs w:val="19"/>
          <w:highlight w:val="none"/>
        </w:rPr>
        <w:t> </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highlight w:val="none"/>
        </w:rPr>
      </w:pPr>
      <w:r>
        <w:rPr>
          <w:rFonts w:hint="eastAsia" w:ascii="微软雅黑" w:hAnsi="微软雅黑" w:eastAsia="微软雅黑" w:cs="微软雅黑"/>
          <w:i w:val="0"/>
          <w:iCs w:val="0"/>
          <w:caps w:val="0"/>
          <w:color w:val="000000"/>
          <w:spacing w:val="0"/>
          <w:highlight w:val="none"/>
        </w:rPr>
        <w:t>采购文件相关附件</w:t>
      </w:r>
    </w:p>
    <w:p>
      <w:pPr>
        <w:rPr>
          <w:highlight w:val="none"/>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lang w:eastAsia="zh-CN"/>
      </w:rPr>
      <w:t>询价文件</w:t>
    </w:r>
    <w:r>
      <w:rPr>
        <w:rFonts w:hint="eastAsia"/>
        <w:lang w:val="en-US" w:eastAsia="zh-CN"/>
      </w:rPr>
      <w:t xml:space="preserve">                                                      </w:t>
    </w:r>
    <w:r>
      <w:rPr>
        <w:rFonts w:hint="eastAsia"/>
        <w:lang w:eastAsia="zh-CN"/>
      </w:rPr>
      <w:t>福建中实建设项目管理有限公司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50D50"/>
    <w:multiLevelType w:val="singleLevel"/>
    <w:tmpl w:val="74450D5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1Mjc2OWY1OWY3MDFjZDQ4Y2RhNTQ2MTZlMmVhMjUifQ=="/>
  </w:docVars>
  <w:rsids>
    <w:rsidRoot w:val="00000000"/>
    <w:rsid w:val="02CC7973"/>
    <w:rsid w:val="0A62155A"/>
    <w:rsid w:val="0C3E019B"/>
    <w:rsid w:val="0D0A728D"/>
    <w:rsid w:val="101B0193"/>
    <w:rsid w:val="15B335B0"/>
    <w:rsid w:val="1B051652"/>
    <w:rsid w:val="1DE57CB9"/>
    <w:rsid w:val="277D2D22"/>
    <w:rsid w:val="2A691C72"/>
    <w:rsid w:val="2E8E0C35"/>
    <w:rsid w:val="2F986277"/>
    <w:rsid w:val="31E70327"/>
    <w:rsid w:val="361A0E15"/>
    <w:rsid w:val="362C19C4"/>
    <w:rsid w:val="3BCE4236"/>
    <w:rsid w:val="3CA46DAB"/>
    <w:rsid w:val="3F0E4717"/>
    <w:rsid w:val="40420D59"/>
    <w:rsid w:val="418B715F"/>
    <w:rsid w:val="45863281"/>
    <w:rsid w:val="4A872429"/>
    <w:rsid w:val="4E36472C"/>
    <w:rsid w:val="645760BC"/>
    <w:rsid w:val="66E76601"/>
    <w:rsid w:val="71477D1C"/>
    <w:rsid w:val="71A566B9"/>
    <w:rsid w:val="739F538A"/>
    <w:rsid w:val="75C56C4D"/>
    <w:rsid w:val="76400105"/>
    <w:rsid w:val="7D03223A"/>
    <w:rsid w:val="7F177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line="360" w:lineRule="auto"/>
    </w:pPr>
    <w:rPr>
      <w:kern w:val="0"/>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next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font31"/>
    <w:basedOn w:val="8"/>
    <w:qFormat/>
    <w:uiPriority w:val="0"/>
    <w:rPr>
      <w:rFonts w:hint="eastAsia" w:ascii="宋体" w:hAnsi="宋体" w:eastAsia="宋体" w:cs="宋体"/>
      <w:color w:val="000000"/>
      <w:sz w:val="24"/>
      <w:szCs w:val="24"/>
      <w:u w:val="none"/>
    </w:rPr>
  </w:style>
  <w:style w:type="character" w:customStyle="1" w:styleId="12">
    <w:name w:val="font51"/>
    <w:basedOn w:val="8"/>
    <w:qFormat/>
    <w:uiPriority w:val="0"/>
    <w:rPr>
      <w:rFonts w:ascii="Arial" w:hAnsi="Arial" w:cs="Arial"/>
      <w:color w:val="000000"/>
      <w:sz w:val="24"/>
      <w:szCs w:val="24"/>
      <w:u w:val="none"/>
    </w:rPr>
  </w:style>
  <w:style w:type="character" w:customStyle="1" w:styleId="13">
    <w:name w:val="font122"/>
    <w:basedOn w:val="8"/>
    <w:qFormat/>
    <w:uiPriority w:val="0"/>
    <w:rPr>
      <w:rFonts w:ascii="Arial" w:hAnsi="Arial" w:cs="Arial"/>
      <w:color w:val="000000"/>
      <w:sz w:val="20"/>
      <w:szCs w:val="20"/>
      <w:u w:val="none"/>
    </w:rPr>
  </w:style>
  <w:style w:type="character" w:customStyle="1" w:styleId="14">
    <w:name w:val="font71"/>
    <w:basedOn w:val="8"/>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8" Type="http://schemas.openxmlformats.org/officeDocument/2006/relationships/fontTable" Target="fontTable.xml"/><Relationship Id="rId317" Type="http://schemas.openxmlformats.org/officeDocument/2006/relationships/numbering" Target="numbering.xml"/><Relationship Id="rId316" Type="http://schemas.openxmlformats.org/officeDocument/2006/relationships/customXml" Target="../customXml/item1.xml"/><Relationship Id="rId315" Type="http://schemas.openxmlformats.org/officeDocument/2006/relationships/image" Target="media/image310.png"/><Relationship Id="rId314" Type="http://schemas.openxmlformats.org/officeDocument/2006/relationships/image" Target="media/image309.png"/><Relationship Id="rId313" Type="http://schemas.openxmlformats.org/officeDocument/2006/relationships/image" Target="media/image308.png"/><Relationship Id="rId312" Type="http://schemas.openxmlformats.org/officeDocument/2006/relationships/image" Target="media/image307.png"/><Relationship Id="rId311" Type="http://schemas.openxmlformats.org/officeDocument/2006/relationships/image" Target="media/image306.png"/><Relationship Id="rId310" Type="http://schemas.openxmlformats.org/officeDocument/2006/relationships/image" Target="media/image305.jpeg"/><Relationship Id="rId31" Type="http://schemas.openxmlformats.org/officeDocument/2006/relationships/image" Target="media/image26.png"/><Relationship Id="rId309" Type="http://schemas.openxmlformats.org/officeDocument/2006/relationships/image" Target="media/image304.png"/><Relationship Id="rId308" Type="http://schemas.openxmlformats.org/officeDocument/2006/relationships/image" Target="media/image303.png"/><Relationship Id="rId307" Type="http://schemas.openxmlformats.org/officeDocument/2006/relationships/image" Target="media/image302.png"/><Relationship Id="rId306" Type="http://schemas.openxmlformats.org/officeDocument/2006/relationships/image" Target="media/image301.png"/><Relationship Id="rId305" Type="http://schemas.openxmlformats.org/officeDocument/2006/relationships/image" Target="media/image300.png"/><Relationship Id="rId304" Type="http://schemas.openxmlformats.org/officeDocument/2006/relationships/image" Target="media/image299.png"/><Relationship Id="rId303" Type="http://schemas.openxmlformats.org/officeDocument/2006/relationships/image" Target="media/image298.png"/><Relationship Id="rId302" Type="http://schemas.openxmlformats.org/officeDocument/2006/relationships/image" Target="media/image297.png"/><Relationship Id="rId301" Type="http://schemas.openxmlformats.org/officeDocument/2006/relationships/image" Target="media/image296.png"/><Relationship Id="rId300" Type="http://schemas.openxmlformats.org/officeDocument/2006/relationships/image" Target="media/image295.png"/><Relationship Id="rId30" Type="http://schemas.openxmlformats.org/officeDocument/2006/relationships/image" Target="media/image25.png"/><Relationship Id="rId3" Type="http://schemas.openxmlformats.org/officeDocument/2006/relationships/header" Target="header1.xml"/><Relationship Id="rId299" Type="http://schemas.openxmlformats.org/officeDocument/2006/relationships/image" Target="media/image294.png"/><Relationship Id="rId298" Type="http://schemas.openxmlformats.org/officeDocument/2006/relationships/image" Target="media/image293.png"/><Relationship Id="rId297" Type="http://schemas.openxmlformats.org/officeDocument/2006/relationships/image" Target="media/image292.png"/><Relationship Id="rId296" Type="http://schemas.openxmlformats.org/officeDocument/2006/relationships/image" Target="media/image291.png"/><Relationship Id="rId295" Type="http://schemas.openxmlformats.org/officeDocument/2006/relationships/image" Target="media/image290.png"/><Relationship Id="rId294" Type="http://schemas.openxmlformats.org/officeDocument/2006/relationships/image" Target="media/image289.png"/><Relationship Id="rId293" Type="http://schemas.openxmlformats.org/officeDocument/2006/relationships/image" Target="media/image288.png"/><Relationship Id="rId292" Type="http://schemas.openxmlformats.org/officeDocument/2006/relationships/image" Target="media/image287.png"/><Relationship Id="rId291" Type="http://schemas.openxmlformats.org/officeDocument/2006/relationships/image" Target="media/image286.png"/><Relationship Id="rId290" Type="http://schemas.openxmlformats.org/officeDocument/2006/relationships/image" Target="media/image285.png"/><Relationship Id="rId29" Type="http://schemas.openxmlformats.org/officeDocument/2006/relationships/image" Target="media/image24.png"/><Relationship Id="rId289" Type="http://schemas.openxmlformats.org/officeDocument/2006/relationships/image" Target="media/image284.png"/><Relationship Id="rId288" Type="http://schemas.openxmlformats.org/officeDocument/2006/relationships/image" Target="media/image283.png"/><Relationship Id="rId287" Type="http://schemas.openxmlformats.org/officeDocument/2006/relationships/image" Target="media/image282.png"/><Relationship Id="rId286" Type="http://schemas.openxmlformats.org/officeDocument/2006/relationships/image" Target="media/image281.png"/><Relationship Id="rId285" Type="http://schemas.openxmlformats.org/officeDocument/2006/relationships/image" Target="media/image280.png"/><Relationship Id="rId284" Type="http://schemas.openxmlformats.org/officeDocument/2006/relationships/image" Target="media/image279.png"/><Relationship Id="rId283" Type="http://schemas.openxmlformats.org/officeDocument/2006/relationships/image" Target="media/image278.png"/><Relationship Id="rId282" Type="http://schemas.openxmlformats.org/officeDocument/2006/relationships/image" Target="media/image277.png"/><Relationship Id="rId281" Type="http://schemas.openxmlformats.org/officeDocument/2006/relationships/image" Target="media/image276.png"/><Relationship Id="rId280" Type="http://schemas.openxmlformats.org/officeDocument/2006/relationships/image" Target="media/image275.png"/><Relationship Id="rId28" Type="http://schemas.openxmlformats.org/officeDocument/2006/relationships/image" Target="media/image23.png"/><Relationship Id="rId279" Type="http://schemas.openxmlformats.org/officeDocument/2006/relationships/image" Target="media/image274.png"/><Relationship Id="rId278" Type="http://schemas.openxmlformats.org/officeDocument/2006/relationships/image" Target="media/image273.png"/><Relationship Id="rId277" Type="http://schemas.openxmlformats.org/officeDocument/2006/relationships/image" Target="media/image272.png"/><Relationship Id="rId276" Type="http://schemas.openxmlformats.org/officeDocument/2006/relationships/image" Target="media/image271.png"/><Relationship Id="rId275" Type="http://schemas.openxmlformats.org/officeDocument/2006/relationships/image" Target="media/image270.png"/><Relationship Id="rId274" Type="http://schemas.openxmlformats.org/officeDocument/2006/relationships/image" Target="media/image269.png"/><Relationship Id="rId273" Type="http://schemas.openxmlformats.org/officeDocument/2006/relationships/image" Target="media/image268.png"/><Relationship Id="rId272" Type="http://schemas.openxmlformats.org/officeDocument/2006/relationships/image" Target="media/image267.png"/><Relationship Id="rId271" Type="http://schemas.openxmlformats.org/officeDocument/2006/relationships/image" Target="media/image266.png"/><Relationship Id="rId270" Type="http://schemas.openxmlformats.org/officeDocument/2006/relationships/image" Target="media/image265.png"/><Relationship Id="rId27" Type="http://schemas.openxmlformats.org/officeDocument/2006/relationships/image" Target="media/image22.png"/><Relationship Id="rId269" Type="http://schemas.openxmlformats.org/officeDocument/2006/relationships/image" Target="media/image264.png"/><Relationship Id="rId268" Type="http://schemas.openxmlformats.org/officeDocument/2006/relationships/image" Target="media/image263.png"/><Relationship Id="rId267" Type="http://schemas.openxmlformats.org/officeDocument/2006/relationships/image" Target="media/image262.png"/><Relationship Id="rId266" Type="http://schemas.openxmlformats.org/officeDocument/2006/relationships/image" Target="media/image261.png"/><Relationship Id="rId265" Type="http://schemas.openxmlformats.org/officeDocument/2006/relationships/image" Target="media/image260.png"/><Relationship Id="rId264" Type="http://schemas.openxmlformats.org/officeDocument/2006/relationships/image" Target="media/image259.png"/><Relationship Id="rId263" Type="http://schemas.openxmlformats.org/officeDocument/2006/relationships/image" Target="media/image258.png"/><Relationship Id="rId262" Type="http://schemas.openxmlformats.org/officeDocument/2006/relationships/image" Target="media/image257.png"/><Relationship Id="rId261" Type="http://schemas.openxmlformats.org/officeDocument/2006/relationships/image" Target="media/image256.png"/><Relationship Id="rId260" Type="http://schemas.openxmlformats.org/officeDocument/2006/relationships/image" Target="media/image255.png"/><Relationship Id="rId26" Type="http://schemas.openxmlformats.org/officeDocument/2006/relationships/image" Target="media/image21.png"/><Relationship Id="rId259" Type="http://schemas.openxmlformats.org/officeDocument/2006/relationships/image" Target="media/image254.png"/><Relationship Id="rId258" Type="http://schemas.openxmlformats.org/officeDocument/2006/relationships/image" Target="media/image253.png"/><Relationship Id="rId257" Type="http://schemas.openxmlformats.org/officeDocument/2006/relationships/image" Target="media/image252.png"/><Relationship Id="rId256" Type="http://schemas.openxmlformats.org/officeDocument/2006/relationships/image" Target="media/image251.png"/><Relationship Id="rId255" Type="http://schemas.openxmlformats.org/officeDocument/2006/relationships/image" Target="media/image250.png"/><Relationship Id="rId254" Type="http://schemas.openxmlformats.org/officeDocument/2006/relationships/image" Target="media/image249.png"/><Relationship Id="rId253" Type="http://schemas.openxmlformats.org/officeDocument/2006/relationships/image" Target="media/image248.png"/><Relationship Id="rId252" Type="http://schemas.openxmlformats.org/officeDocument/2006/relationships/image" Target="media/image247.png"/><Relationship Id="rId251" Type="http://schemas.openxmlformats.org/officeDocument/2006/relationships/image" Target="media/image246.png"/><Relationship Id="rId250" Type="http://schemas.openxmlformats.org/officeDocument/2006/relationships/image" Target="media/image245.png"/><Relationship Id="rId25" Type="http://schemas.openxmlformats.org/officeDocument/2006/relationships/image" Target="media/image20.png"/><Relationship Id="rId249" Type="http://schemas.openxmlformats.org/officeDocument/2006/relationships/image" Target="media/image244.png"/><Relationship Id="rId248" Type="http://schemas.openxmlformats.org/officeDocument/2006/relationships/image" Target="media/image243.png"/><Relationship Id="rId247" Type="http://schemas.openxmlformats.org/officeDocument/2006/relationships/image" Target="media/image242.png"/><Relationship Id="rId246" Type="http://schemas.openxmlformats.org/officeDocument/2006/relationships/image" Target="media/image241.png"/><Relationship Id="rId245" Type="http://schemas.openxmlformats.org/officeDocument/2006/relationships/image" Target="media/image240.png"/><Relationship Id="rId244" Type="http://schemas.openxmlformats.org/officeDocument/2006/relationships/image" Target="media/image239.png"/><Relationship Id="rId243" Type="http://schemas.openxmlformats.org/officeDocument/2006/relationships/image" Target="media/image238.png"/><Relationship Id="rId242" Type="http://schemas.openxmlformats.org/officeDocument/2006/relationships/image" Target="media/image237.png"/><Relationship Id="rId241" Type="http://schemas.openxmlformats.org/officeDocument/2006/relationships/image" Target="media/image236.png"/><Relationship Id="rId240" Type="http://schemas.openxmlformats.org/officeDocument/2006/relationships/image" Target="media/image235.png"/><Relationship Id="rId24" Type="http://schemas.openxmlformats.org/officeDocument/2006/relationships/image" Target="media/image19.png"/><Relationship Id="rId239" Type="http://schemas.openxmlformats.org/officeDocument/2006/relationships/image" Target="media/image234.png"/><Relationship Id="rId238" Type="http://schemas.openxmlformats.org/officeDocument/2006/relationships/image" Target="media/image233.png"/><Relationship Id="rId237" Type="http://schemas.openxmlformats.org/officeDocument/2006/relationships/image" Target="media/image232.png"/><Relationship Id="rId236" Type="http://schemas.openxmlformats.org/officeDocument/2006/relationships/image" Target="media/image231.png"/><Relationship Id="rId235" Type="http://schemas.openxmlformats.org/officeDocument/2006/relationships/image" Target="media/image230.png"/><Relationship Id="rId234" Type="http://schemas.openxmlformats.org/officeDocument/2006/relationships/image" Target="media/image229.png"/><Relationship Id="rId233" Type="http://schemas.openxmlformats.org/officeDocument/2006/relationships/image" Target="media/image228.png"/><Relationship Id="rId232" Type="http://schemas.openxmlformats.org/officeDocument/2006/relationships/image" Target="media/image227.png"/><Relationship Id="rId231" Type="http://schemas.openxmlformats.org/officeDocument/2006/relationships/image" Target="media/image226.png"/><Relationship Id="rId230" Type="http://schemas.openxmlformats.org/officeDocument/2006/relationships/image" Target="media/image225.png"/><Relationship Id="rId23" Type="http://schemas.openxmlformats.org/officeDocument/2006/relationships/image" Target="media/image18.png"/><Relationship Id="rId229" Type="http://schemas.openxmlformats.org/officeDocument/2006/relationships/image" Target="media/image224.png"/><Relationship Id="rId228" Type="http://schemas.openxmlformats.org/officeDocument/2006/relationships/image" Target="media/image223.png"/><Relationship Id="rId227" Type="http://schemas.openxmlformats.org/officeDocument/2006/relationships/image" Target="media/image222.png"/><Relationship Id="rId226" Type="http://schemas.openxmlformats.org/officeDocument/2006/relationships/image" Target="media/image221.png"/><Relationship Id="rId225" Type="http://schemas.openxmlformats.org/officeDocument/2006/relationships/image" Target="media/image220.png"/><Relationship Id="rId224" Type="http://schemas.openxmlformats.org/officeDocument/2006/relationships/image" Target="media/image219.png"/><Relationship Id="rId223" Type="http://schemas.openxmlformats.org/officeDocument/2006/relationships/image" Target="media/image218.png"/><Relationship Id="rId222" Type="http://schemas.openxmlformats.org/officeDocument/2006/relationships/image" Target="media/image217.png"/><Relationship Id="rId221" Type="http://schemas.openxmlformats.org/officeDocument/2006/relationships/image" Target="media/image216.png"/><Relationship Id="rId220" Type="http://schemas.openxmlformats.org/officeDocument/2006/relationships/image" Target="media/image215.png"/><Relationship Id="rId22" Type="http://schemas.openxmlformats.org/officeDocument/2006/relationships/image" Target="media/image17.png"/><Relationship Id="rId219" Type="http://schemas.openxmlformats.org/officeDocument/2006/relationships/image" Target="media/image214.png"/><Relationship Id="rId218" Type="http://schemas.openxmlformats.org/officeDocument/2006/relationships/image" Target="media/image213.png"/><Relationship Id="rId217" Type="http://schemas.openxmlformats.org/officeDocument/2006/relationships/image" Target="media/image212.png"/><Relationship Id="rId216" Type="http://schemas.openxmlformats.org/officeDocument/2006/relationships/image" Target="media/image211.png"/><Relationship Id="rId215" Type="http://schemas.openxmlformats.org/officeDocument/2006/relationships/image" Target="media/image210.png"/><Relationship Id="rId214" Type="http://schemas.openxmlformats.org/officeDocument/2006/relationships/image" Target="media/image209.png"/><Relationship Id="rId213" Type="http://schemas.openxmlformats.org/officeDocument/2006/relationships/image" Target="media/image208.png"/><Relationship Id="rId212" Type="http://schemas.openxmlformats.org/officeDocument/2006/relationships/image" Target="media/image207.png"/><Relationship Id="rId211" Type="http://schemas.openxmlformats.org/officeDocument/2006/relationships/image" Target="media/image206.png"/><Relationship Id="rId210" Type="http://schemas.openxmlformats.org/officeDocument/2006/relationships/image" Target="media/image205.png"/><Relationship Id="rId21" Type="http://schemas.openxmlformats.org/officeDocument/2006/relationships/image" Target="media/image16.png"/><Relationship Id="rId209" Type="http://schemas.openxmlformats.org/officeDocument/2006/relationships/image" Target="media/image204.png"/><Relationship Id="rId208" Type="http://schemas.openxmlformats.org/officeDocument/2006/relationships/image" Target="media/image203.png"/><Relationship Id="rId207" Type="http://schemas.openxmlformats.org/officeDocument/2006/relationships/image" Target="media/image202.png"/><Relationship Id="rId206" Type="http://schemas.openxmlformats.org/officeDocument/2006/relationships/image" Target="media/image201.png"/><Relationship Id="rId205" Type="http://schemas.openxmlformats.org/officeDocument/2006/relationships/image" Target="media/image200.png"/><Relationship Id="rId204" Type="http://schemas.openxmlformats.org/officeDocument/2006/relationships/image" Target="media/image199.png"/><Relationship Id="rId203" Type="http://schemas.openxmlformats.org/officeDocument/2006/relationships/image" Target="media/image198.png"/><Relationship Id="rId202" Type="http://schemas.openxmlformats.org/officeDocument/2006/relationships/image" Target="media/image197.png"/><Relationship Id="rId201" Type="http://schemas.openxmlformats.org/officeDocument/2006/relationships/image" Target="media/image196.png"/><Relationship Id="rId200" Type="http://schemas.openxmlformats.org/officeDocument/2006/relationships/image" Target="media/image195.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94.png"/><Relationship Id="rId198" Type="http://schemas.openxmlformats.org/officeDocument/2006/relationships/image" Target="media/image193.png"/><Relationship Id="rId197" Type="http://schemas.openxmlformats.org/officeDocument/2006/relationships/image" Target="media/image192.png"/><Relationship Id="rId196" Type="http://schemas.openxmlformats.org/officeDocument/2006/relationships/image" Target="media/image191.png"/><Relationship Id="rId195" Type="http://schemas.openxmlformats.org/officeDocument/2006/relationships/image" Target="media/image190.png"/><Relationship Id="rId194" Type="http://schemas.openxmlformats.org/officeDocument/2006/relationships/image" Target="media/image189.png"/><Relationship Id="rId193" Type="http://schemas.openxmlformats.org/officeDocument/2006/relationships/image" Target="media/image188.png"/><Relationship Id="rId192" Type="http://schemas.openxmlformats.org/officeDocument/2006/relationships/image" Target="media/image187.png"/><Relationship Id="rId191" Type="http://schemas.openxmlformats.org/officeDocument/2006/relationships/image" Target="media/image186.png"/><Relationship Id="rId190" Type="http://schemas.openxmlformats.org/officeDocument/2006/relationships/image" Target="media/image185.png"/><Relationship Id="rId19" Type="http://schemas.openxmlformats.org/officeDocument/2006/relationships/image" Target="media/image14.png"/><Relationship Id="rId189" Type="http://schemas.openxmlformats.org/officeDocument/2006/relationships/image" Target="media/image184.pn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58703</Words>
  <Characters>66397</Characters>
  <Lines>0</Lines>
  <Paragraphs>0</Paragraphs>
  <TotalTime>17</TotalTime>
  <ScaleCrop>false</ScaleCrop>
  <LinksUpToDate>false</LinksUpToDate>
  <CharactersWithSpaces>69650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2022-08-09T10:06:00Z</dcterms:created>
  <dc:creator>Administrator</dc:creator>
  <cp:lastModifiedBy>Administrator</cp:lastModifiedBy>
  <cp:lastPrinted>2022-08-23T02:40:40Z</cp:lastPrinted>
  <dcterms:modified xsi:type="dcterms:W3CDTF">2022-08-23T02:48:29Z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E0130DF716CC48EB815DDBD67846345F</vt:lpwstr>
  </property>
</Properties>
</file>