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5"/>
        <w:spacing w:line="360" w:lineRule="auto"/>
        <w:rPr>
          <w:rFonts w:hAnsi="宋体"/>
        </w:rPr>
      </w:pPr>
      <w:r>
        <w:rPr>
          <w:rFonts w:hint="eastAsia" w:hAnsi="宋体"/>
          <w:b/>
          <w:snapToGrid w:val="0"/>
          <w:kern w:val="0"/>
          <w:sz w:val="36"/>
          <w:szCs w:val="36"/>
        </w:rPr>
        <w:t>政府采购</w:t>
      </w:r>
    </w:p>
    <w:p>
      <w:pPr>
        <w:rPr>
          <w:rFonts w:ascii="宋体" w:hAnsi="宋体"/>
        </w:rPr>
      </w:pPr>
    </w:p>
    <w:p>
      <w:pPr>
        <w:rPr>
          <w:rFonts w:ascii="宋体" w:hAnsi="宋体"/>
        </w:rPr>
      </w:pPr>
    </w:p>
    <w:p>
      <w:pPr>
        <w:rPr>
          <w:rFonts w:ascii="宋体" w:hAnsi="宋体"/>
        </w:rPr>
      </w:pPr>
    </w:p>
    <w:p>
      <w:pPr>
        <w:jc w:val="center"/>
        <w:rPr>
          <w:rFonts w:ascii="宋体" w:hAnsi="宋体" w:cs="黑体"/>
          <w:b/>
          <w:sz w:val="72"/>
          <w:szCs w:val="72"/>
        </w:rPr>
      </w:pPr>
      <w:r>
        <w:rPr>
          <w:rFonts w:hint="eastAsia" w:ascii="宋体" w:hAnsi="宋体" w:cs="黑体"/>
          <w:b/>
          <w:sz w:val="72"/>
          <w:szCs w:val="72"/>
        </w:rPr>
        <w:t>招 标 文 件</w:t>
      </w:r>
    </w:p>
    <w:p>
      <w:pPr>
        <w:pStyle w:val="25"/>
        <w:ind w:firstLine="720" w:firstLineChars="200"/>
        <w:rPr>
          <w:rFonts w:hAnsi="宋体" w:cs="宋体"/>
          <w:sz w:val="36"/>
          <w:szCs w:val="36"/>
        </w:rPr>
      </w:pPr>
    </w:p>
    <w:p>
      <w:pPr>
        <w:pStyle w:val="25"/>
        <w:rPr>
          <w:rFonts w:hAnsi="宋体" w:cs="宋体"/>
          <w:b/>
          <w:bCs/>
          <w:sz w:val="30"/>
          <w:szCs w:val="30"/>
        </w:rPr>
      </w:pPr>
    </w:p>
    <w:p>
      <w:pPr>
        <w:pStyle w:val="25"/>
        <w:spacing w:line="276" w:lineRule="auto"/>
        <w:ind w:left="2766" w:leftChars="600" w:hanging="1506" w:hangingChars="500"/>
        <w:jc w:val="left"/>
        <w:rPr>
          <w:rFonts w:hAnsi="宋体" w:cs="宋体"/>
          <w:b/>
          <w:bCs/>
          <w:sz w:val="30"/>
          <w:szCs w:val="30"/>
        </w:rPr>
      </w:pPr>
      <w:r>
        <w:rPr>
          <w:rFonts w:hint="eastAsia" w:hAnsi="宋体" w:cs="宋体"/>
          <w:b/>
          <w:bCs/>
          <w:sz w:val="30"/>
          <w:szCs w:val="30"/>
        </w:rPr>
        <w:t>项目名称：</w:t>
      </w:r>
      <w:r>
        <w:rPr>
          <w:rFonts w:hint="eastAsia" w:hAnsi="宋体" w:cs="宋体"/>
          <w:b/>
          <w:bCs/>
          <w:spacing w:val="-8"/>
          <w:sz w:val="30"/>
          <w:szCs w:val="30"/>
        </w:rPr>
        <w:t>国家税务总局湖南省税务局三年安全规划第一期项目（第</w:t>
      </w:r>
      <w:r>
        <w:rPr>
          <w:rFonts w:hint="eastAsia" w:hAnsi="宋体" w:cs="宋体"/>
          <w:b/>
          <w:bCs/>
          <w:spacing w:val="-8"/>
          <w:sz w:val="30"/>
          <w:szCs w:val="30"/>
          <w:lang w:val="en-US" w:eastAsia="zh-CN"/>
        </w:rPr>
        <w:t>三</w:t>
      </w:r>
      <w:r>
        <w:rPr>
          <w:rFonts w:hint="eastAsia" w:hAnsi="宋体" w:cs="宋体"/>
          <w:b/>
          <w:bCs/>
          <w:spacing w:val="-8"/>
          <w:sz w:val="30"/>
          <w:szCs w:val="30"/>
        </w:rPr>
        <w:t>次）</w:t>
      </w:r>
    </w:p>
    <w:p>
      <w:pPr>
        <w:pStyle w:val="25"/>
        <w:spacing w:before="240" w:beforeLines="100"/>
        <w:ind w:left="1260" w:leftChars="600"/>
        <w:rPr>
          <w:rFonts w:hint="eastAsia" w:hAnsi="宋体" w:eastAsia="宋体" w:cs="宋体"/>
          <w:b/>
          <w:bCs/>
          <w:sz w:val="30"/>
          <w:szCs w:val="30"/>
          <w:lang w:eastAsia="zh-CN"/>
        </w:rPr>
      </w:pPr>
      <w:r>
        <w:rPr>
          <w:rFonts w:hint="eastAsia" w:hAnsi="宋体" w:cs="宋体"/>
          <w:b/>
          <w:bCs/>
          <w:sz w:val="30"/>
          <w:szCs w:val="30"/>
        </w:rPr>
        <w:t>项目编号：ZXGP-2022GK0101</w:t>
      </w:r>
      <w:r>
        <w:rPr>
          <w:rFonts w:hint="eastAsia" w:hAnsi="宋体" w:cs="宋体"/>
          <w:b/>
          <w:bCs/>
          <w:sz w:val="30"/>
          <w:szCs w:val="30"/>
          <w:lang w:val="en-US" w:eastAsia="zh-CN"/>
        </w:rPr>
        <w:t>4</w:t>
      </w: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firstLine="1506" w:firstLineChars="500"/>
        <w:rPr>
          <w:rFonts w:hAnsi="宋体" w:cs="宋体"/>
          <w:b/>
          <w:bCs/>
          <w:sz w:val="30"/>
          <w:szCs w:val="30"/>
        </w:rPr>
      </w:pPr>
    </w:p>
    <w:p>
      <w:pPr>
        <w:pStyle w:val="25"/>
        <w:ind w:left="210" w:leftChars="100" w:firstLine="1506" w:firstLineChars="500"/>
        <w:rPr>
          <w:rFonts w:hAnsi="宋体" w:cs="宋体"/>
          <w:b/>
          <w:bCs/>
          <w:sz w:val="30"/>
          <w:szCs w:val="30"/>
        </w:rPr>
      </w:pPr>
      <w:r>
        <w:rPr>
          <w:rFonts w:hint="eastAsia" w:hAnsi="宋体" w:cs="宋体"/>
          <w:b/>
          <w:bCs/>
          <w:sz w:val="30"/>
          <w:szCs w:val="30"/>
        </w:rPr>
        <w:t>采购人名称：国家税务总局湖南省税务局</w:t>
      </w:r>
    </w:p>
    <w:p>
      <w:pPr>
        <w:pStyle w:val="25"/>
        <w:spacing w:before="120" w:beforeLines="50"/>
        <w:ind w:left="210" w:leftChars="100" w:firstLine="1506" w:firstLineChars="500"/>
        <w:rPr>
          <w:rFonts w:hAnsi="宋体" w:cs="宋体"/>
          <w:b/>
          <w:bCs/>
          <w:sz w:val="30"/>
          <w:szCs w:val="30"/>
        </w:rPr>
      </w:pPr>
      <w:r>
        <w:rPr>
          <w:rFonts w:hint="eastAsia" w:hAnsi="宋体" w:cs="宋体"/>
          <w:b/>
          <w:bCs/>
          <w:sz w:val="30"/>
          <w:szCs w:val="30"/>
        </w:rPr>
        <w:t>采购代理机构：湖南正兴项目管理有限公司</w:t>
      </w:r>
    </w:p>
    <w:p>
      <w:pPr>
        <w:pStyle w:val="25"/>
        <w:spacing w:before="120" w:beforeLines="50"/>
        <w:jc w:val="center"/>
        <w:rPr>
          <w:rFonts w:hAnsi="宋体" w:cs="宋体"/>
          <w:b/>
          <w:bCs/>
          <w:sz w:val="32"/>
          <w:szCs w:val="32"/>
        </w:rPr>
      </w:pPr>
    </w:p>
    <w:p>
      <w:pPr>
        <w:pStyle w:val="25"/>
        <w:spacing w:before="120" w:beforeLines="50"/>
        <w:jc w:val="center"/>
        <w:rPr>
          <w:rFonts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二○二二年</w:t>
      </w:r>
      <w:r>
        <w:rPr>
          <w:rFonts w:hint="eastAsia" w:hAnsi="宋体" w:cs="宋体"/>
          <w:b/>
          <w:bCs/>
          <w:color w:val="000000" w:themeColor="text1"/>
          <w:sz w:val="32"/>
          <w:szCs w:val="32"/>
          <w:lang w:val="en-US" w:eastAsia="zh-CN"/>
          <w14:textFill>
            <w14:solidFill>
              <w14:schemeClr w14:val="tx1"/>
            </w14:solidFill>
          </w14:textFill>
        </w:rPr>
        <w:t>七</w:t>
      </w:r>
      <w:r>
        <w:rPr>
          <w:rFonts w:hint="eastAsia" w:hAnsi="宋体" w:cs="宋体"/>
          <w:b/>
          <w:bCs/>
          <w:color w:val="000000" w:themeColor="text1"/>
          <w:sz w:val="32"/>
          <w:szCs w:val="32"/>
          <w14:textFill>
            <w14:solidFill>
              <w14:schemeClr w14:val="tx1"/>
            </w14:solidFill>
          </w14:textFill>
        </w:rPr>
        <w:t>月</w:t>
      </w:r>
    </w:p>
    <w:p>
      <w:pPr>
        <w:pStyle w:val="25"/>
        <w:jc w:val="center"/>
        <w:rPr>
          <w:rFonts w:hAnsi="宋体" w:cs="宋体"/>
          <w:b/>
          <w:bCs/>
          <w:sz w:val="32"/>
          <w:szCs w:val="32"/>
        </w:rPr>
      </w:pPr>
    </w:p>
    <w:p>
      <w:pPr>
        <w:jc w:val="center"/>
        <w:rPr>
          <w:b/>
          <w:bCs/>
          <w:sz w:val="36"/>
          <w:szCs w:val="40"/>
        </w:rPr>
        <w:sectPr>
          <w:headerReference r:id="rId4" w:type="first"/>
          <w:headerReference r:id="rId3" w:type="default"/>
          <w:footerReference r:id="rId5" w:type="default"/>
          <w:pgSz w:w="11906" w:h="16838"/>
          <w:pgMar w:top="1304" w:right="1247" w:bottom="1134" w:left="1304" w:header="850" w:footer="850" w:gutter="0"/>
          <w:cols w:space="720" w:num="1"/>
          <w:titlePg/>
          <w:docGrid w:linePitch="319" w:charSpace="0"/>
        </w:sectPr>
      </w:pPr>
    </w:p>
    <w:p>
      <w:pPr>
        <w:jc w:val="center"/>
        <w:rPr>
          <w:b/>
          <w:bCs/>
          <w:sz w:val="36"/>
          <w:szCs w:val="40"/>
        </w:rPr>
      </w:pPr>
    </w:p>
    <w:p>
      <w:pPr>
        <w:jc w:val="center"/>
        <w:rPr>
          <w:b/>
          <w:bCs/>
          <w:sz w:val="36"/>
          <w:szCs w:val="40"/>
        </w:rPr>
      </w:pPr>
      <w:bookmarkStart w:id="0" w:name="_Toc2201"/>
    </w:p>
    <w:p>
      <w:pPr>
        <w:jc w:val="center"/>
        <w:rPr>
          <w:b/>
          <w:bCs/>
          <w:sz w:val="36"/>
          <w:szCs w:val="40"/>
        </w:rPr>
      </w:pPr>
      <w:r>
        <w:rPr>
          <w:rFonts w:hint="eastAsia"/>
          <w:b/>
          <w:bCs/>
          <w:sz w:val="36"/>
          <w:szCs w:val="40"/>
        </w:rPr>
        <w:t>目　　录</w:t>
      </w:r>
    </w:p>
    <w:p>
      <w:pPr>
        <w:pStyle w:val="25"/>
        <w:tabs>
          <w:tab w:val="right" w:leader="dot" w:pos="9412"/>
        </w:tabs>
        <w:spacing w:line="480" w:lineRule="auto"/>
        <w:jc w:val="center"/>
      </w:pPr>
      <w:r>
        <w:rPr>
          <w:rFonts w:hint="eastAsia" w:hAnsi="宋体" w:cs="宋体"/>
          <w:sz w:val="22"/>
          <w:szCs w:val="22"/>
        </w:rPr>
        <w:fldChar w:fldCharType="begin"/>
      </w:r>
      <w:r>
        <w:rPr>
          <w:rFonts w:hint="eastAsia" w:hAnsi="宋体" w:cs="宋体"/>
          <w:sz w:val="22"/>
          <w:szCs w:val="22"/>
        </w:rPr>
        <w:instrText xml:space="preserve">TOC \o "1-3" \h \u </w:instrText>
      </w:r>
      <w:r>
        <w:rPr>
          <w:rFonts w:hint="eastAsia" w:hAnsi="宋体" w:cs="宋体"/>
          <w:sz w:val="22"/>
          <w:szCs w:val="22"/>
        </w:rPr>
        <w:fldChar w:fldCharType="separate"/>
      </w:r>
    </w:p>
    <w:p>
      <w:pPr>
        <w:pStyle w:val="32"/>
        <w:tabs>
          <w:tab w:val="right" w:leader="dot" w:pos="9345"/>
        </w:tabs>
        <w:spacing w:line="480" w:lineRule="auto"/>
        <w:rPr>
          <w:rFonts w:ascii="等线" w:hAnsi="等线" w:eastAsia="等线"/>
          <w:sz w:val="24"/>
          <w:szCs w:val="24"/>
        </w:rPr>
      </w:pPr>
      <w:r>
        <w:fldChar w:fldCharType="begin"/>
      </w:r>
      <w:r>
        <w:instrText xml:space="preserve"> HYPERLINK \l "_Toc21647434" </w:instrText>
      </w:r>
      <w:r>
        <w:fldChar w:fldCharType="separate"/>
      </w:r>
      <w:r>
        <w:rPr>
          <w:rStyle w:val="51"/>
          <w:rFonts w:eastAsia="方正小标宋_GBK"/>
          <w:b/>
          <w:kern w:val="44"/>
          <w:sz w:val="24"/>
          <w:szCs w:val="24"/>
        </w:rPr>
        <w:t>第一卷　商务部分</w:t>
      </w:r>
      <w:r>
        <w:rPr>
          <w:sz w:val="24"/>
          <w:szCs w:val="24"/>
        </w:rPr>
        <w:tab/>
      </w:r>
      <w:r>
        <w:rPr>
          <w:sz w:val="24"/>
          <w:szCs w:val="24"/>
        </w:rPr>
        <w:fldChar w:fldCharType="begin"/>
      </w:r>
      <w:r>
        <w:rPr>
          <w:sz w:val="24"/>
          <w:szCs w:val="24"/>
        </w:rPr>
        <w:instrText xml:space="preserve"> PAGEREF _Toc21647434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37"/>
        <w:tabs>
          <w:tab w:val="right" w:leader="dot" w:pos="9345"/>
        </w:tabs>
        <w:spacing w:line="480" w:lineRule="auto"/>
        <w:rPr>
          <w:rFonts w:ascii="等线" w:hAnsi="等线" w:eastAsia="等线"/>
          <w:sz w:val="24"/>
          <w:szCs w:val="24"/>
        </w:rPr>
      </w:pPr>
      <w:r>
        <w:fldChar w:fldCharType="begin"/>
      </w:r>
      <w:r>
        <w:instrText xml:space="preserve"> HYPERLINK \l "_Toc21647435" </w:instrText>
      </w:r>
      <w:r>
        <w:fldChar w:fldCharType="separate"/>
      </w:r>
      <w:r>
        <w:rPr>
          <w:rStyle w:val="51"/>
          <w:rFonts w:ascii="宋体" w:hAnsi="宋体" w:cs="宋体"/>
          <w:bCs/>
          <w:kern w:val="44"/>
          <w:sz w:val="24"/>
          <w:szCs w:val="24"/>
        </w:rPr>
        <w:t>第一章　投标邀请</w:t>
      </w:r>
      <w:r>
        <w:rPr>
          <w:sz w:val="24"/>
          <w:szCs w:val="24"/>
        </w:rPr>
        <w:tab/>
      </w:r>
      <w:r>
        <w:rPr>
          <w:sz w:val="24"/>
          <w:szCs w:val="24"/>
        </w:rPr>
        <w:fldChar w:fldCharType="begin"/>
      </w:r>
      <w:r>
        <w:rPr>
          <w:sz w:val="24"/>
          <w:szCs w:val="24"/>
        </w:rPr>
        <w:instrText xml:space="preserve"> PAGEREF _Toc21647435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7"/>
        <w:tabs>
          <w:tab w:val="right" w:leader="dot" w:pos="9345"/>
        </w:tabs>
        <w:spacing w:line="480" w:lineRule="auto"/>
        <w:rPr>
          <w:rFonts w:ascii="等线" w:hAnsi="等线" w:eastAsia="等线"/>
          <w:sz w:val="24"/>
          <w:szCs w:val="24"/>
        </w:rPr>
      </w:pPr>
      <w:r>
        <w:fldChar w:fldCharType="begin"/>
      </w:r>
      <w:r>
        <w:instrText xml:space="preserve"> HYPERLINK \l "_Toc21647436" </w:instrText>
      </w:r>
      <w:r>
        <w:fldChar w:fldCharType="separate"/>
      </w:r>
      <w:r>
        <w:rPr>
          <w:rStyle w:val="51"/>
          <w:rFonts w:ascii="宋体" w:hAnsi="宋体" w:cs="宋体"/>
          <w:bCs/>
          <w:kern w:val="44"/>
          <w:sz w:val="24"/>
          <w:szCs w:val="24"/>
        </w:rPr>
        <w:t>第二章　投标人须知</w:t>
      </w:r>
      <w:r>
        <w:rPr>
          <w:sz w:val="24"/>
          <w:szCs w:val="24"/>
        </w:rPr>
        <w:tab/>
      </w:r>
      <w:r>
        <w:rPr>
          <w:sz w:val="24"/>
          <w:szCs w:val="24"/>
        </w:rPr>
        <w:fldChar w:fldCharType="begin"/>
      </w:r>
      <w:r>
        <w:rPr>
          <w:sz w:val="24"/>
          <w:szCs w:val="24"/>
        </w:rPr>
        <w:instrText xml:space="preserve"> PAGEREF _Toc21647436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4"/>
        <w:tabs>
          <w:tab w:val="right" w:leader="dot" w:pos="9345"/>
        </w:tabs>
        <w:spacing w:line="480" w:lineRule="auto"/>
        <w:rPr>
          <w:rFonts w:ascii="等线" w:hAnsi="等线" w:eastAsia="等线"/>
          <w:sz w:val="24"/>
          <w:szCs w:val="24"/>
        </w:rPr>
      </w:pPr>
      <w:r>
        <w:fldChar w:fldCharType="begin"/>
      </w:r>
      <w:r>
        <w:instrText xml:space="preserve"> HYPERLINK \l "_Toc21647437" </w:instrText>
      </w:r>
      <w:r>
        <w:fldChar w:fldCharType="separate"/>
      </w:r>
      <w:r>
        <w:rPr>
          <w:rStyle w:val="51"/>
          <w:rFonts w:hAnsi="宋体"/>
          <w:b/>
          <w:bCs/>
          <w:sz w:val="24"/>
          <w:szCs w:val="24"/>
        </w:rPr>
        <w:t>投标人须知前附表</w:t>
      </w:r>
      <w:r>
        <w:rPr>
          <w:sz w:val="24"/>
          <w:szCs w:val="24"/>
        </w:rPr>
        <w:tab/>
      </w:r>
      <w:r>
        <w:rPr>
          <w:sz w:val="24"/>
          <w:szCs w:val="24"/>
        </w:rPr>
        <w:fldChar w:fldCharType="begin"/>
      </w:r>
      <w:r>
        <w:rPr>
          <w:sz w:val="24"/>
          <w:szCs w:val="24"/>
        </w:rPr>
        <w:instrText xml:space="preserve"> PAGEREF _Toc21647437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4"/>
        <w:tabs>
          <w:tab w:val="right" w:leader="dot" w:pos="9345"/>
        </w:tabs>
        <w:spacing w:line="480" w:lineRule="auto"/>
        <w:rPr>
          <w:rFonts w:ascii="等线" w:hAnsi="等线" w:eastAsia="等线"/>
          <w:sz w:val="24"/>
          <w:szCs w:val="24"/>
        </w:rPr>
      </w:pPr>
      <w:r>
        <w:fldChar w:fldCharType="begin"/>
      </w:r>
      <w:r>
        <w:instrText xml:space="preserve"> HYPERLINK \l "_Toc21647438" </w:instrText>
      </w:r>
      <w:r>
        <w:fldChar w:fldCharType="separate"/>
      </w:r>
      <w:r>
        <w:rPr>
          <w:rStyle w:val="51"/>
          <w:rFonts w:hAnsi="宋体"/>
          <w:b/>
          <w:kern w:val="44"/>
          <w:sz w:val="24"/>
          <w:szCs w:val="24"/>
        </w:rPr>
        <w:t>投标人须知正文</w:t>
      </w:r>
      <w:r>
        <w:rPr>
          <w:sz w:val="24"/>
          <w:szCs w:val="24"/>
        </w:rPr>
        <w:tab/>
      </w:r>
      <w:r>
        <w:rPr>
          <w:sz w:val="24"/>
          <w:szCs w:val="24"/>
        </w:rPr>
        <w:fldChar w:fldCharType="begin"/>
      </w:r>
      <w:r>
        <w:rPr>
          <w:sz w:val="24"/>
          <w:szCs w:val="24"/>
        </w:rPr>
        <w:instrText xml:space="preserve"> PAGEREF _Toc21647438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7"/>
        <w:tabs>
          <w:tab w:val="right" w:leader="dot" w:pos="9345"/>
        </w:tabs>
        <w:spacing w:line="480" w:lineRule="auto"/>
        <w:rPr>
          <w:rFonts w:ascii="等线" w:hAnsi="等线" w:eastAsia="等线"/>
          <w:sz w:val="24"/>
          <w:szCs w:val="24"/>
        </w:rPr>
      </w:pPr>
      <w:r>
        <w:fldChar w:fldCharType="begin"/>
      </w:r>
      <w:r>
        <w:instrText xml:space="preserve"> HYPERLINK \l "_Toc21647439" </w:instrText>
      </w:r>
      <w:r>
        <w:fldChar w:fldCharType="separate"/>
      </w:r>
      <w:r>
        <w:rPr>
          <w:rStyle w:val="51"/>
          <w:rFonts w:hAnsi="宋体" w:cs="宋体"/>
          <w:kern w:val="44"/>
          <w:sz w:val="24"/>
          <w:szCs w:val="24"/>
        </w:rPr>
        <w:t>第三章　评标方法及标准</w:t>
      </w:r>
      <w:r>
        <w:rPr>
          <w:sz w:val="24"/>
          <w:szCs w:val="24"/>
        </w:rPr>
        <w:tab/>
      </w:r>
      <w:r>
        <w:rPr>
          <w:sz w:val="24"/>
          <w:szCs w:val="24"/>
        </w:rPr>
        <w:fldChar w:fldCharType="begin"/>
      </w:r>
      <w:r>
        <w:rPr>
          <w:sz w:val="24"/>
          <w:szCs w:val="24"/>
        </w:rPr>
        <w:instrText xml:space="preserve"> PAGEREF _Toc21647439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37"/>
        <w:tabs>
          <w:tab w:val="right" w:leader="dot" w:pos="9345"/>
        </w:tabs>
        <w:spacing w:line="480" w:lineRule="auto"/>
        <w:rPr>
          <w:rFonts w:ascii="等线" w:hAnsi="等线" w:eastAsia="等线"/>
          <w:sz w:val="24"/>
          <w:szCs w:val="24"/>
        </w:rPr>
      </w:pPr>
      <w:r>
        <w:fldChar w:fldCharType="begin"/>
      </w:r>
      <w:r>
        <w:instrText xml:space="preserve"> HYPERLINK \l "_Toc21647440" </w:instrText>
      </w:r>
      <w:r>
        <w:fldChar w:fldCharType="separate"/>
      </w:r>
      <w:r>
        <w:rPr>
          <w:rStyle w:val="51"/>
          <w:rFonts w:hAnsi="宋体" w:cs="宋体"/>
          <w:kern w:val="44"/>
          <w:sz w:val="24"/>
          <w:szCs w:val="24"/>
        </w:rPr>
        <w:t>第四章　政府采购合同</w:t>
      </w:r>
      <w:r>
        <w:rPr>
          <w:sz w:val="24"/>
          <w:szCs w:val="24"/>
        </w:rPr>
        <w:tab/>
      </w:r>
      <w:r>
        <w:rPr>
          <w:sz w:val="24"/>
          <w:szCs w:val="24"/>
        </w:rPr>
        <w:fldChar w:fldCharType="begin"/>
      </w:r>
      <w:r>
        <w:rPr>
          <w:sz w:val="24"/>
          <w:szCs w:val="24"/>
        </w:rPr>
        <w:instrText xml:space="preserve"> PAGEREF _Toc21647440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37"/>
        <w:tabs>
          <w:tab w:val="right" w:leader="dot" w:pos="9345"/>
        </w:tabs>
        <w:spacing w:line="480" w:lineRule="auto"/>
        <w:rPr>
          <w:rFonts w:ascii="等线" w:hAnsi="等线" w:eastAsia="等线"/>
          <w:sz w:val="24"/>
          <w:szCs w:val="24"/>
        </w:rPr>
      </w:pPr>
      <w:r>
        <w:fldChar w:fldCharType="begin"/>
      </w:r>
      <w:r>
        <w:instrText xml:space="preserve"> HYPERLINK \l "_Toc21647441" </w:instrText>
      </w:r>
      <w:r>
        <w:fldChar w:fldCharType="separate"/>
      </w:r>
      <w:r>
        <w:rPr>
          <w:rStyle w:val="51"/>
          <w:rFonts w:hAnsi="宋体" w:cs="宋体"/>
          <w:kern w:val="44"/>
          <w:sz w:val="24"/>
          <w:szCs w:val="24"/>
        </w:rPr>
        <w:t>第五章　投标文件格式</w:t>
      </w:r>
      <w:r>
        <w:rPr>
          <w:sz w:val="24"/>
          <w:szCs w:val="24"/>
        </w:rPr>
        <w:tab/>
      </w:r>
      <w:r>
        <w:rPr>
          <w:sz w:val="24"/>
          <w:szCs w:val="24"/>
        </w:rPr>
        <w:fldChar w:fldCharType="begin"/>
      </w:r>
      <w:r>
        <w:rPr>
          <w:sz w:val="24"/>
          <w:szCs w:val="24"/>
        </w:rPr>
        <w:instrText xml:space="preserve"> PAGEREF _Toc21647441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24"/>
        <w:tabs>
          <w:tab w:val="right" w:leader="dot" w:pos="9345"/>
        </w:tabs>
        <w:spacing w:line="480" w:lineRule="auto"/>
        <w:rPr>
          <w:rFonts w:ascii="等线" w:hAnsi="等线" w:eastAsia="等线"/>
          <w:sz w:val="24"/>
          <w:szCs w:val="24"/>
        </w:rPr>
      </w:pPr>
      <w:r>
        <w:fldChar w:fldCharType="begin"/>
      </w:r>
      <w:r>
        <w:instrText xml:space="preserve"> HYPERLINK \l "_Toc21647442" </w:instrText>
      </w:r>
      <w:r>
        <w:fldChar w:fldCharType="separate"/>
      </w:r>
      <w:r>
        <w:rPr>
          <w:rStyle w:val="51"/>
          <w:rFonts w:ascii="宋体" w:hAnsi="宋体"/>
          <w:b/>
          <w:bCs/>
          <w:sz w:val="24"/>
          <w:szCs w:val="24"/>
        </w:rPr>
        <w:t>第一部分、资格证明</w:t>
      </w:r>
      <w:bookmarkStart w:id="1" w:name="_Hlt36593437"/>
      <w:bookmarkStart w:id="2" w:name="_Hlt36593436"/>
      <w:r>
        <w:rPr>
          <w:rStyle w:val="51"/>
          <w:rFonts w:ascii="宋体" w:hAnsi="宋体"/>
          <w:b/>
          <w:bCs/>
          <w:sz w:val="24"/>
          <w:szCs w:val="24"/>
        </w:rPr>
        <w:t>文</w:t>
      </w:r>
      <w:bookmarkEnd w:id="1"/>
      <w:bookmarkEnd w:id="2"/>
      <w:r>
        <w:rPr>
          <w:rStyle w:val="51"/>
          <w:rFonts w:ascii="宋体" w:hAnsi="宋体"/>
          <w:b/>
          <w:bCs/>
          <w:sz w:val="24"/>
          <w:szCs w:val="24"/>
        </w:rPr>
        <w:t>件</w:t>
      </w:r>
      <w:r>
        <w:rPr>
          <w:sz w:val="24"/>
          <w:szCs w:val="24"/>
        </w:rPr>
        <w:tab/>
      </w:r>
      <w:r>
        <w:rPr>
          <w:sz w:val="24"/>
          <w:szCs w:val="24"/>
        </w:rPr>
        <w:fldChar w:fldCharType="begin"/>
      </w:r>
      <w:r>
        <w:rPr>
          <w:sz w:val="24"/>
          <w:szCs w:val="24"/>
        </w:rPr>
        <w:instrText xml:space="preserve"> PAGEREF _Toc21647442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24"/>
        <w:tabs>
          <w:tab w:val="right" w:leader="dot" w:pos="9345"/>
        </w:tabs>
        <w:spacing w:line="480" w:lineRule="auto"/>
        <w:rPr>
          <w:rFonts w:ascii="等线" w:hAnsi="等线" w:eastAsia="等线"/>
          <w:sz w:val="24"/>
          <w:szCs w:val="24"/>
        </w:rPr>
      </w:pPr>
      <w:r>
        <w:fldChar w:fldCharType="begin"/>
      </w:r>
      <w:r>
        <w:instrText xml:space="preserve"> HYPERLINK \l "_Toc21647443" </w:instrText>
      </w:r>
      <w:r>
        <w:fldChar w:fldCharType="separate"/>
      </w:r>
      <w:r>
        <w:rPr>
          <w:rStyle w:val="51"/>
          <w:rFonts w:ascii="宋体" w:hAnsi="宋体"/>
          <w:b/>
          <w:bCs/>
          <w:sz w:val="24"/>
          <w:szCs w:val="24"/>
        </w:rPr>
        <w:t>第二部分、商务文件</w:t>
      </w:r>
      <w:r>
        <w:rPr>
          <w:sz w:val="24"/>
          <w:szCs w:val="24"/>
        </w:rPr>
        <w:tab/>
      </w:r>
      <w:r>
        <w:rPr>
          <w:sz w:val="24"/>
          <w:szCs w:val="24"/>
        </w:rPr>
        <w:fldChar w:fldCharType="begin"/>
      </w:r>
      <w:r>
        <w:rPr>
          <w:sz w:val="24"/>
          <w:szCs w:val="24"/>
        </w:rPr>
        <w:instrText xml:space="preserve"> PAGEREF _Toc21647443 \h </w:instrText>
      </w:r>
      <w:r>
        <w:rPr>
          <w:sz w:val="24"/>
          <w:szCs w:val="24"/>
        </w:rPr>
        <w:fldChar w:fldCharType="separate"/>
      </w:r>
      <w:r>
        <w:rPr>
          <w:sz w:val="24"/>
          <w:szCs w:val="24"/>
        </w:rPr>
        <w:t>49</w:t>
      </w:r>
      <w:r>
        <w:rPr>
          <w:sz w:val="24"/>
          <w:szCs w:val="24"/>
        </w:rPr>
        <w:fldChar w:fldCharType="end"/>
      </w:r>
      <w:r>
        <w:rPr>
          <w:sz w:val="24"/>
          <w:szCs w:val="24"/>
        </w:rPr>
        <w:fldChar w:fldCharType="end"/>
      </w:r>
    </w:p>
    <w:p>
      <w:pPr>
        <w:pStyle w:val="24"/>
        <w:tabs>
          <w:tab w:val="right" w:leader="dot" w:pos="9345"/>
        </w:tabs>
        <w:spacing w:line="480" w:lineRule="auto"/>
        <w:rPr>
          <w:rFonts w:ascii="等线" w:hAnsi="等线" w:eastAsia="等线"/>
          <w:sz w:val="24"/>
          <w:szCs w:val="24"/>
        </w:rPr>
      </w:pPr>
      <w:r>
        <w:fldChar w:fldCharType="begin"/>
      </w:r>
      <w:r>
        <w:instrText xml:space="preserve"> HYPERLINK \l "_Toc21647444" </w:instrText>
      </w:r>
      <w:r>
        <w:fldChar w:fldCharType="separate"/>
      </w:r>
      <w:r>
        <w:rPr>
          <w:rStyle w:val="51"/>
          <w:rFonts w:ascii="宋体" w:hAnsi="宋体"/>
          <w:b/>
          <w:bCs/>
          <w:sz w:val="24"/>
          <w:szCs w:val="24"/>
        </w:rPr>
        <w:t>第三部分、技术文件</w:t>
      </w:r>
      <w:r>
        <w:rPr>
          <w:sz w:val="24"/>
          <w:szCs w:val="24"/>
        </w:rPr>
        <w:tab/>
      </w:r>
      <w:r>
        <w:rPr>
          <w:sz w:val="24"/>
          <w:szCs w:val="24"/>
        </w:rPr>
        <w:fldChar w:fldCharType="begin"/>
      </w:r>
      <w:r>
        <w:rPr>
          <w:sz w:val="24"/>
          <w:szCs w:val="24"/>
        </w:rPr>
        <w:instrText xml:space="preserve"> PAGEREF _Toc21647444 \h </w:instrText>
      </w:r>
      <w:r>
        <w:rPr>
          <w:sz w:val="24"/>
          <w:szCs w:val="24"/>
        </w:rPr>
        <w:fldChar w:fldCharType="separate"/>
      </w:r>
      <w:r>
        <w:rPr>
          <w:sz w:val="24"/>
          <w:szCs w:val="24"/>
        </w:rPr>
        <w:t>59</w:t>
      </w:r>
      <w:r>
        <w:rPr>
          <w:sz w:val="24"/>
          <w:szCs w:val="24"/>
        </w:rPr>
        <w:fldChar w:fldCharType="end"/>
      </w:r>
      <w:r>
        <w:rPr>
          <w:sz w:val="24"/>
          <w:szCs w:val="24"/>
        </w:rPr>
        <w:fldChar w:fldCharType="end"/>
      </w:r>
    </w:p>
    <w:p>
      <w:pPr>
        <w:pStyle w:val="32"/>
        <w:tabs>
          <w:tab w:val="right" w:leader="dot" w:pos="9345"/>
        </w:tabs>
        <w:spacing w:line="480" w:lineRule="auto"/>
        <w:rPr>
          <w:rFonts w:ascii="等线" w:hAnsi="等线" w:eastAsia="等线"/>
          <w:sz w:val="24"/>
          <w:szCs w:val="24"/>
        </w:rPr>
      </w:pPr>
      <w:r>
        <w:fldChar w:fldCharType="begin"/>
      </w:r>
      <w:r>
        <w:instrText xml:space="preserve"> HYPERLINK \l "_Toc21647445" </w:instrText>
      </w:r>
      <w:r>
        <w:fldChar w:fldCharType="separate"/>
      </w:r>
      <w:r>
        <w:rPr>
          <w:rStyle w:val="51"/>
          <w:rFonts w:eastAsia="方正小标宋_GBK"/>
          <w:b/>
          <w:kern w:val="44"/>
          <w:sz w:val="24"/>
          <w:szCs w:val="24"/>
        </w:rPr>
        <w:t>第二卷　技术部分</w:t>
      </w:r>
      <w:r>
        <w:rPr>
          <w:sz w:val="24"/>
          <w:szCs w:val="24"/>
        </w:rPr>
        <w:tab/>
      </w:r>
      <w:r>
        <w:rPr>
          <w:sz w:val="24"/>
          <w:szCs w:val="24"/>
        </w:rPr>
        <w:fldChar w:fldCharType="begin"/>
      </w:r>
      <w:r>
        <w:rPr>
          <w:sz w:val="24"/>
          <w:szCs w:val="24"/>
        </w:rPr>
        <w:instrText xml:space="preserve"> PAGEREF _Toc21647445 \h </w:instrText>
      </w:r>
      <w:r>
        <w:rPr>
          <w:sz w:val="24"/>
          <w:szCs w:val="24"/>
        </w:rPr>
        <w:fldChar w:fldCharType="separate"/>
      </w:r>
      <w:r>
        <w:rPr>
          <w:sz w:val="24"/>
          <w:szCs w:val="24"/>
        </w:rPr>
        <w:t>63</w:t>
      </w:r>
      <w:r>
        <w:rPr>
          <w:sz w:val="24"/>
          <w:szCs w:val="24"/>
        </w:rPr>
        <w:fldChar w:fldCharType="end"/>
      </w:r>
      <w:r>
        <w:rPr>
          <w:sz w:val="24"/>
          <w:szCs w:val="24"/>
        </w:rPr>
        <w:fldChar w:fldCharType="end"/>
      </w:r>
    </w:p>
    <w:p>
      <w:pPr>
        <w:pStyle w:val="37"/>
        <w:tabs>
          <w:tab w:val="right" w:leader="dot" w:pos="9345"/>
        </w:tabs>
        <w:spacing w:line="480" w:lineRule="auto"/>
        <w:rPr>
          <w:rFonts w:ascii="等线" w:hAnsi="等线" w:eastAsia="等线"/>
          <w:sz w:val="24"/>
          <w:szCs w:val="24"/>
        </w:rPr>
      </w:pPr>
      <w:r>
        <w:fldChar w:fldCharType="begin"/>
      </w:r>
      <w:r>
        <w:instrText xml:space="preserve"> HYPERLINK \l "_Toc21647446" </w:instrText>
      </w:r>
      <w:r>
        <w:fldChar w:fldCharType="separate"/>
      </w:r>
      <w:r>
        <w:rPr>
          <w:rStyle w:val="51"/>
          <w:rFonts w:hAnsi="宋体" w:cs="宋体"/>
          <w:kern w:val="44"/>
          <w:sz w:val="24"/>
          <w:szCs w:val="24"/>
        </w:rPr>
        <w:t>第六章　项目需求</w:t>
      </w:r>
      <w:bookmarkStart w:id="3" w:name="_Hlt24021020"/>
      <w:bookmarkStart w:id="4" w:name="_Hlt24021019"/>
      <w:r>
        <w:rPr>
          <w:sz w:val="24"/>
          <w:szCs w:val="24"/>
        </w:rPr>
        <w:tab/>
      </w:r>
      <w:bookmarkEnd w:id="3"/>
      <w:bookmarkEnd w:id="4"/>
      <w:r>
        <w:rPr>
          <w:sz w:val="24"/>
          <w:szCs w:val="24"/>
        </w:rPr>
        <w:fldChar w:fldCharType="begin"/>
      </w:r>
      <w:r>
        <w:rPr>
          <w:sz w:val="24"/>
          <w:szCs w:val="24"/>
        </w:rPr>
        <w:instrText xml:space="preserve"> PAGEREF _Toc21647446 \h </w:instrText>
      </w:r>
      <w:r>
        <w:rPr>
          <w:sz w:val="24"/>
          <w:szCs w:val="24"/>
        </w:rPr>
        <w:fldChar w:fldCharType="separate"/>
      </w:r>
      <w:r>
        <w:rPr>
          <w:sz w:val="24"/>
          <w:szCs w:val="24"/>
        </w:rPr>
        <w:t>64</w:t>
      </w:r>
      <w:r>
        <w:rPr>
          <w:sz w:val="24"/>
          <w:szCs w:val="24"/>
        </w:rPr>
        <w:fldChar w:fldCharType="end"/>
      </w:r>
      <w:r>
        <w:rPr>
          <w:sz w:val="24"/>
          <w:szCs w:val="24"/>
        </w:rPr>
        <w:fldChar w:fldCharType="end"/>
      </w:r>
    </w:p>
    <w:p>
      <w:pPr>
        <w:pStyle w:val="32"/>
        <w:tabs>
          <w:tab w:val="right" w:leader="dot" w:pos="9412"/>
        </w:tabs>
        <w:spacing w:line="480" w:lineRule="auto"/>
        <w:jc w:val="center"/>
        <w:rPr>
          <w:rFonts w:hAnsi="宋体" w:cs="宋体"/>
          <w:b/>
          <w:bCs/>
          <w:sz w:val="32"/>
          <w:szCs w:val="32"/>
        </w:rPr>
      </w:pPr>
      <w:r>
        <w:rPr>
          <w:rFonts w:hint="eastAsia" w:hAnsi="宋体" w:cs="宋体"/>
          <w:sz w:val="22"/>
          <w:szCs w:val="24"/>
        </w:rPr>
        <w:fldChar w:fldCharType="end"/>
      </w:r>
    </w:p>
    <w:p>
      <w:pPr>
        <w:pStyle w:val="25"/>
        <w:jc w:val="center"/>
        <w:rPr>
          <w:rFonts w:hAnsi="宋体" w:cs="宋体"/>
          <w:b/>
          <w:bCs/>
          <w:sz w:val="32"/>
          <w:szCs w:val="32"/>
        </w:rPr>
      </w:pPr>
    </w:p>
    <w:p>
      <w:pPr>
        <w:pStyle w:val="25"/>
        <w:jc w:val="center"/>
        <w:rPr>
          <w:rFonts w:hAnsi="宋体" w:cs="宋体"/>
          <w:b/>
          <w:bCs/>
          <w:sz w:val="32"/>
          <w:szCs w:val="32"/>
        </w:rPr>
        <w:sectPr>
          <w:headerReference r:id="rId6" w:type="first"/>
          <w:footerReference r:id="rId8" w:type="first"/>
          <w:footerReference r:id="rId7" w:type="default"/>
          <w:pgSz w:w="11906" w:h="16838"/>
          <w:pgMar w:top="1304" w:right="1247" w:bottom="1134" w:left="1304" w:header="850" w:footer="850" w:gutter="0"/>
          <w:pgNumType w:start="1"/>
          <w:cols w:space="720" w:num="1"/>
          <w:titlePg/>
          <w:docGrid w:linePitch="319" w:charSpace="0"/>
        </w:sectPr>
      </w:pPr>
    </w:p>
    <w:p>
      <w:pPr>
        <w:pStyle w:val="25"/>
        <w:rPr>
          <w:rFonts w:hAnsi="宋体" w:cs="宋体"/>
          <w:b/>
          <w:bCs/>
          <w:sz w:val="32"/>
          <w:szCs w:val="32"/>
        </w:rPr>
      </w:pPr>
    </w:p>
    <w:p>
      <w:pPr>
        <w:pStyle w:val="25"/>
        <w:rPr>
          <w:rFonts w:hAnsi="宋体" w:cs="宋体"/>
          <w:b/>
          <w:bCs/>
          <w:sz w:val="32"/>
          <w:szCs w:val="32"/>
        </w:rPr>
      </w:pPr>
    </w:p>
    <w:p>
      <w:pPr>
        <w:pStyle w:val="25"/>
        <w:rPr>
          <w:rFonts w:hAnsi="宋体" w:cs="宋体"/>
          <w:b/>
          <w:bCs/>
          <w:sz w:val="32"/>
          <w:szCs w:val="32"/>
        </w:rPr>
      </w:pPr>
    </w:p>
    <w:p>
      <w:pPr>
        <w:pStyle w:val="25"/>
        <w:rPr>
          <w:rFonts w:hAnsi="宋体" w:cs="宋体"/>
          <w:b/>
          <w:bCs/>
          <w:sz w:val="32"/>
          <w:szCs w:val="32"/>
        </w:rPr>
      </w:pPr>
    </w:p>
    <w:p>
      <w:pPr>
        <w:pStyle w:val="25"/>
        <w:rPr>
          <w:rFonts w:hAnsi="宋体" w:cs="宋体"/>
          <w:b/>
          <w:bCs/>
          <w:sz w:val="32"/>
          <w:szCs w:val="32"/>
        </w:rPr>
      </w:pPr>
    </w:p>
    <w:p>
      <w:pPr>
        <w:pStyle w:val="25"/>
        <w:rPr>
          <w:rFonts w:hAnsi="宋体" w:cs="宋体"/>
          <w:b/>
          <w:bCs/>
          <w:sz w:val="32"/>
          <w:szCs w:val="32"/>
        </w:rPr>
      </w:pPr>
    </w:p>
    <w:p>
      <w:pPr>
        <w:pStyle w:val="25"/>
        <w:rPr>
          <w:rFonts w:hAnsi="宋体" w:cs="宋体"/>
          <w:b/>
          <w:bCs/>
          <w:sz w:val="32"/>
          <w:szCs w:val="32"/>
        </w:rPr>
      </w:pPr>
    </w:p>
    <w:p>
      <w:pPr>
        <w:pStyle w:val="25"/>
        <w:rPr>
          <w:rFonts w:hAnsi="宋体" w:cs="宋体"/>
          <w:b/>
          <w:bCs/>
          <w:sz w:val="32"/>
          <w:szCs w:val="32"/>
        </w:rPr>
      </w:pPr>
    </w:p>
    <w:p>
      <w:pPr>
        <w:pStyle w:val="25"/>
        <w:rPr>
          <w:rFonts w:hAnsi="宋体" w:cs="宋体"/>
          <w:b/>
          <w:bCs/>
          <w:sz w:val="32"/>
          <w:szCs w:val="32"/>
        </w:rPr>
      </w:pPr>
    </w:p>
    <w:p>
      <w:pPr>
        <w:pStyle w:val="25"/>
        <w:rPr>
          <w:rFonts w:hAnsi="宋体" w:cs="宋体"/>
          <w:b/>
          <w:bCs/>
          <w:sz w:val="32"/>
          <w:szCs w:val="32"/>
        </w:rPr>
      </w:pPr>
    </w:p>
    <w:p>
      <w:pPr>
        <w:pStyle w:val="25"/>
        <w:rPr>
          <w:rFonts w:hAnsi="宋体" w:cs="宋体"/>
          <w:b/>
          <w:bCs/>
          <w:sz w:val="32"/>
          <w:szCs w:val="32"/>
        </w:rPr>
      </w:pPr>
    </w:p>
    <w:p>
      <w:pPr>
        <w:pStyle w:val="25"/>
        <w:jc w:val="center"/>
        <w:outlineLvl w:val="0"/>
        <w:rPr>
          <w:rFonts w:ascii="Calibri" w:hAnsi="Calibri" w:eastAsia="方正小标宋_GBK"/>
          <w:b/>
          <w:kern w:val="44"/>
          <w:sz w:val="40"/>
          <w:szCs w:val="48"/>
        </w:rPr>
      </w:pPr>
      <w:bookmarkStart w:id="5" w:name="_Toc529050579"/>
      <w:bookmarkStart w:id="6" w:name="_Toc21647434"/>
      <w:r>
        <w:rPr>
          <w:rFonts w:hint="eastAsia" w:ascii="Calibri" w:hAnsi="Calibri" w:eastAsia="方正小标宋_GBK"/>
          <w:b/>
          <w:kern w:val="44"/>
          <w:sz w:val="40"/>
          <w:szCs w:val="48"/>
        </w:rPr>
        <w:t>第一卷　商务部分</w:t>
      </w:r>
      <w:bookmarkEnd w:id="5"/>
      <w:bookmarkEnd w:id="6"/>
    </w:p>
    <w:p>
      <w:pPr>
        <w:pStyle w:val="25"/>
        <w:jc w:val="center"/>
        <w:outlineLvl w:val="0"/>
        <w:rPr>
          <w:rFonts w:ascii="Calibri" w:hAnsi="Calibri" w:eastAsia="方正小标宋_GBK"/>
          <w:b/>
          <w:kern w:val="44"/>
          <w:sz w:val="40"/>
          <w:szCs w:val="48"/>
        </w:rPr>
      </w:pPr>
    </w:p>
    <w:p>
      <w:pPr>
        <w:pStyle w:val="25"/>
        <w:jc w:val="center"/>
        <w:rPr>
          <w:rFonts w:hAnsi="宋体" w:cs="宋体"/>
          <w:b/>
          <w:bCs/>
          <w:sz w:val="32"/>
          <w:szCs w:val="32"/>
        </w:rPr>
        <w:sectPr>
          <w:pgSz w:w="11906" w:h="16838"/>
          <w:pgMar w:top="1304" w:right="1247" w:bottom="1134" w:left="1304" w:header="850" w:footer="850" w:gutter="0"/>
          <w:cols w:space="720" w:num="1"/>
          <w:titlePg/>
          <w:docGrid w:linePitch="319" w:charSpace="0"/>
        </w:sectPr>
      </w:pPr>
    </w:p>
    <w:p>
      <w:pPr>
        <w:pStyle w:val="5"/>
        <w:spacing w:before="120" w:beforeLines="50" w:after="120" w:afterLines="50" w:line="360" w:lineRule="auto"/>
        <w:jc w:val="center"/>
        <w:rPr>
          <w:rFonts w:ascii="宋体" w:hAnsi="宋体" w:eastAsia="宋体" w:cs="宋体"/>
          <w:sz w:val="28"/>
          <w:szCs w:val="28"/>
          <w:u w:val="single"/>
        </w:rPr>
      </w:pPr>
      <w:bookmarkStart w:id="7" w:name="_Toc21647435"/>
      <w:bookmarkStart w:id="8" w:name="_Toc529050580"/>
      <w:bookmarkStart w:id="9" w:name="_Toc25534"/>
      <w:r>
        <w:rPr>
          <w:rFonts w:hint="eastAsia" w:ascii="宋体" w:hAnsi="宋体" w:eastAsia="宋体" w:cs="宋体"/>
          <w:bCs/>
          <w:kern w:val="44"/>
          <w:sz w:val="28"/>
          <w:szCs w:val="28"/>
        </w:rPr>
        <w:t>第一章　</w:t>
      </w:r>
      <w:bookmarkStart w:id="10" w:name="_Hlk52259770"/>
      <w:r>
        <w:rPr>
          <w:rFonts w:hint="eastAsia" w:ascii="宋体" w:hAnsi="宋体" w:eastAsia="宋体" w:cs="宋体"/>
          <w:bCs/>
          <w:kern w:val="44"/>
          <w:sz w:val="28"/>
          <w:szCs w:val="28"/>
        </w:rPr>
        <w:t>投标邀请</w:t>
      </w:r>
      <w:bookmarkEnd w:id="7"/>
      <w:bookmarkEnd w:id="8"/>
      <w:bookmarkEnd w:id="9"/>
    </w:p>
    <w:bookmarkEnd w:id="10"/>
    <w:p>
      <w:pPr>
        <w:widowControl/>
        <w:shd w:val="clear" w:color="auto" w:fill="FFFFFF"/>
        <w:spacing w:line="420" w:lineRule="exact"/>
        <w:ind w:firstLine="422" w:firstLineChars="200"/>
        <w:jc w:val="left"/>
        <w:textAlignment w:val="baseline"/>
        <w:outlineLvl w:val="2"/>
        <w:rPr>
          <w:rFonts w:ascii="宋体" w:hAnsi="宋体" w:cs="宋体"/>
          <w:b/>
          <w:bCs/>
          <w:color w:val="000000" w:themeColor="text1"/>
          <w:kern w:val="0"/>
          <w:szCs w:val="21"/>
          <w14:textFill>
            <w14:solidFill>
              <w14:schemeClr w14:val="tx1"/>
            </w14:solidFill>
          </w14:textFill>
        </w:rPr>
      </w:pPr>
      <w:bookmarkStart w:id="11" w:name="_Toc20170"/>
      <w:bookmarkStart w:id="12" w:name="_Toc2403"/>
      <w:r>
        <w:rPr>
          <w:rFonts w:hint="eastAsia" w:ascii="宋体" w:hAnsi="宋体" w:cs="宋体"/>
          <w:b/>
          <w:bCs/>
          <w:color w:val="000000" w:themeColor="text1"/>
          <w:kern w:val="0"/>
          <w:szCs w:val="21"/>
          <w14:textFill>
            <w14:solidFill>
              <w14:schemeClr w14:val="tx1"/>
            </w14:solidFill>
          </w14:textFill>
        </w:rPr>
        <w:t>项目概况</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国家税务总局湖南省税务局三年安全规划第一期项目（第三次）招标项目的潜在投标人应</w:t>
      </w:r>
      <w:r>
        <w:rPr>
          <w:rFonts w:hint="eastAsia" w:ascii="宋体" w:hAnsi="宋体"/>
        </w:rPr>
        <w:t>当</w:t>
      </w:r>
      <w:r>
        <w:rPr>
          <w:rFonts w:hint="eastAsia" w:ascii="宋体" w:hAnsi="宋体"/>
          <w:color w:val="000000"/>
          <w:kern w:val="0"/>
        </w:rPr>
        <w:t>在长沙市芙蓉中路一段319号绿地中心T2栋1108室获取招标文件，并于</w:t>
      </w:r>
      <w:r>
        <w:rPr>
          <w:rFonts w:hint="eastAsia" w:ascii="宋体" w:hAnsi="宋体"/>
          <w:b/>
          <w:bCs/>
          <w:color w:val="0000CC"/>
          <w:kern w:val="0"/>
        </w:rPr>
        <w:t>2022年8月15日</w:t>
      </w:r>
      <w:r>
        <w:rPr>
          <w:rFonts w:hint="eastAsia" w:ascii="宋体" w:hAnsi="宋体"/>
          <w:color w:val="000000"/>
          <w:kern w:val="0"/>
        </w:rPr>
        <w:t>10点00分（北京时间）前递交投标文件。</w:t>
      </w:r>
    </w:p>
    <w:p>
      <w:pPr>
        <w:widowControl/>
        <w:shd w:val="clear" w:color="auto" w:fill="FFFFFF"/>
        <w:spacing w:line="420" w:lineRule="exact"/>
        <w:ind w:firstLine="422" w:firstLineChars="200"/>
        <w:jc w:val="left"/>
        <w:textAlignment w:val="baseline"/>
        <w:rPr>
          <w:rFonts w:hint="eastAsia" w:ascii="宋体" w:hAnsi="宋体"/>
          <w:color w:val="000000"/>
          <w:kern w:val="0"/>
        </w:rPr>
      </w:pPr>
      <w:r>
        <w:rPr>
          <w:rFonts w:hint="eastAsia" w:ascii="宋体" w:hAnsi="宋体"/>
          <w:b/>
          <w:bCs/>
          <w:color w:val="000000"/>
          <w:kern w:val="0"/>
        </w:rPr>
        <w:t>一、项目基本情况</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项目编号：</w:t>
      </w:r>
      <w:r>
        <w:rPr>
          <w:rFonts w:hint="eastAsia" w:ascii="宋体" w:hAnsi="宋体"/>
          <w:color w:val="000000"/>
        </w:rPr>
        <w:t>ZXGP-2022GK01014</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项目名称：国家税务总局湖南省税务局三年安全规划第一期项目（第三次）</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预算金额：600.00万元（人民币）。</w:t>
      </w:r>
    </w:p>
    <w:p>
      <w:pPr>
        <w:widowControl/>
        <w:shd w:val="clear" w:color="auto" w:fill="FFFFFF"/>
        <w:spacing w:line="420" w:lineRule="exact"/>
        <w:ind w:firstLine="420" w:firstLineChars="200"/>
        <w:jc w:val="left"/>
        <w:textAlignment w:val="baseline"/>
        <w:rPr>
          <w:rFonts w:hint="eastAsia" w:hAnsi="宋体" w:cs="宋体"/>
          <w:color w:val="000000"/>
        </w:rPr>
      </w:pPr>
      <w:r>
        <w:rPr>
          <w:rFonts w:hint="eastAsia" w:ascii="宋体" w:hAnsi="宋体"/>
          <w:color w:val="000000"/>
        </w:rPr>
        <w:t>采购需求：</w:t>
      </w:r>
    </w:p>
    <w:p>
      <w:pPr>
        <w:widowControl/>
        <w:shd w:val="clear" w:color="auto" w:fill="FFFFFF"/>
        <w:spacing w:line="420" w:lineRule="exact"/>
        <w:ind w:firstLine="420" w:firstLineChars="200"/>
        <w:jc w:val="left"/>
        <w:textAlignment w:val="baseline"/>
        <w:rPr>
          <w:rFonts w:hAnsi="宋体" w:cs="宋体"/>
          <w:color w:val="000000"/>
        </w:rPr>
      </w:pPr>
      <w:r>
        <w:rPr>
          <w:rFonts w:hint="eastAsia" w:ascii="宋体" w:hAnsi="宋体"/>
          <w:color w:val="000000"/>
        </w:rPr>
        <w:t>主要内容包括：</w:t>
      </w:r>
    </w:p>
    <w:p>
      <w:pPr>
        <w:widowControl/>
        <w:shd w:val="clear" w:color="auto" w:fill="FFFFFF"/>
        <w:spacing w:line="420" w:lineRule="exact"/>
        <w:ind w:firstLine="420" w:firstLineChars="200"/>
        <w:jc w:val="left"/>
        <w:textAlignment w:val="baseline"/>
        <w:rPr>
          <w:rFonts w:ascii="宋体" w:hAnsi="宋体"/>
        </w:rPr>
      </w:pPr>
      <w:r>
        <w:rPr>
          <w:rFonts w:hint="eastAsia" w:ascii="宋体" w:hAnsi="宋体"/>
        </w:rPr>
        <w:t>（1）安全零信任系统（1套），构建全省税务信息网络数据运维安全风险监测和处理能力。</w:t>
      </w:r>
    </w:p>
    <w:p>
      <w:pPr>
        <w:widowControl/>
        <w:shd w:val="clear" w:color="auto" w:fill="FFFFFF"/>
        <w:spacing w:line="420" w:lineRule="exact"/>
        <w:ind w:firstLine="420" w:firstLineChars="200"/>
        <w:jc w:val="left"/>
        <w:textAlignment w:val="baseline"/>
        <w:rPr>
          <w:rFonts w:hint="eastAsia" w:ascii="宋体" w:hAnsi="宋体"/>
        </w:rPr>
      </w:pPr>
      <w:r>
        <w:rPr>
          <w:rFonts w:hint="eastAsia" w:ascii="宋体" w:hAnsi="宋体"/>
        </w:rPr>
        <w:t>（2）应用发布系统（2套），实现对指定资源的访问和配置批量发布等。</w:t>
      </w:r>
    </w:p>
    <w:p>
      <w:pPr>
        <w:widowControl/>
        <w:shd w:val="clear" w:color="auto" w:fill="FFFFFF"/>
        <w:spacing w:line="420" w:lineRule="exact"/>
        <w:ind w:firstLine="420" w:firstLineChars="200"/>
        <w:jc w:val="left"/>
        <w:textAlignment w:val="baseline"/>
        <w:rPr>
          <w:rFonts w:hint="eastAsia" w:ascii="宋体" w:hAnsi="宋体"/>
        </w:rPr>
      </w:pPr>
      <w:r>
        <w:rPr>
          <w:rFonts w:hint="eastAsia" w:ascii="宋体" w:hAnsi="宋体"/>
        </w:rPr>
        <w:t>（3）应用主机安全防御及安全补丁升级平台（1套），为数据中心（897台）提供操作系统，中间件，数据库等基础支撑环境安全正式版补丁，补丁升级操作指南及一键式补丁升级等服务。</w:t>
      </w:r>
    </w:p>
    <w:p>
      <w:pPr>
        <w:widowControl/>
        <w:shd w:val="clear" w:color="auto" w:fill="FFFFFF"/>
        <w:spacing w:line="420" w:lineRule="exact"/>
        <w:ind w:firstLine="420" w:firstLineChars="200"/>
        <w:jc w:val="left"/>
        <w:textAlignment w:val="baseline"/>
        <w:rPr>
          <w:rFonts w:hint="eastAsia" w:ascii="宋体" w:hAnsi="宋体"/>
        </w:rPr>
      </w:pPr>
      <w:r>
        <w:rPr>
          <w:rFonts w:hint="eastAsia" w:ascii="宋体" w:hAnsi="宋体"/>
        </w:rPr>
        <w:t>（4）</w:t>
      </w:r>
      <w:r>
        <w:rPr>
          <w:rFonts w:hint="eastAsia" w:ascii="宋体" w:hAnsi="宋体"/>
          <w:color w:val="000000"/>
        </w:rPr>
        <w:t>数据库</w:t>
      </w:r>
      <w:r>
        <w:rPr>
          <w:rFonts w:hint="eastAsia" w:ascii="宋体" w:hAnsi="宋体"/>
        </w:rPr>
        <w:t>审计防火墙（2套），计划覆盖目前所有数据库主机以及主机上安装的所有数据库实例（约155个），并在维保期内，提供覆盖所有新增数据库实例的服务。</w:t>
      </w:r>
    </w:p>
    <w:p>
      <w:pPr>
        <w:widowControl/>
        <w:shd w:val="clear" w:color="auto" w:fill="FFFFFF"/>
        <w:spacing w:line="420" w:lineRule="exact"/>
        <w:ind w:firstLine="420" w:firstLineChars="200"/>
        <w:jc w:val="left"/>
        <w:textAlignment w:val="baseline"/>
        <w:rPr>
          <w:rFonts w:hint="eastAsia" w:ascii="宋体" w:hAnsi="宋体"/>
        </w:rPr>
      </w:pPr>
      <w:r>
        <w:rPr>
          <w:rFonts w:hint="eastAsia" w:ascii="宋体" w:hAnsi="宋体"/>
        </w:rPr>
        <w:t>（5）数据监控大数据分析系统（1套，包含硬件1台），对当期税务系统的告警进行多维统计分析及3D展示，</w:t>
      </w:r>
      <w:r>
        <w:rPr>
          <w:rFonts w:hint="eastAsia" w:ascii="宋体" w:hAnsi="宋体"/>
          <w:color w:val="000000"/>
        </w:rPr>
        <w:t>通过</w:t>
      </w:r>
      <w:r>
        <w:rPr>
          <w:rFonts w:hint="eastAsia" w:ascii="宋体" w:hAnsi="宋体"/>
        </w:rPr>
        <w:t>日志，流量分析精确产生告警并上报至总局态势感知平台。</w:t>
      </w:r>
    </w:p>
    <w:p>
      <w:pPr>
        <w:widowControl/>
        <w:shd w:val="clear" w:color="auto" w:fill="FFFFFF"/>
        <w:spacing w:line="420" w:lineRule="exact"/>
        <w:ind w:firstLine="420" w:firstLineChars="200"/>
        <w:jc w:val="left"/>
        <w:textAlignment w:val="baseline"/>
        <w:rPr>
          <w:rFonts w:hint="eastAsia" w:ascii="宋体" w:hAnsi="宋体"/>
        </w:rPr>
      </w:pPr>
      <w:r>
        <w:rPr>
          <w:rFonts w:hint="eastAsia" w:ascii="宋体" w:hAnsi="宋体"/>
        </w:rPr>
        <w:t>（6）数据库操作日志审计设备（1套），部署在省局外联区，审计多个金融机构的前置系统，数据交换系统，以及该区域部分系统通过防火墙系统访问省局内网中的某些数据库的行为。</w:t>
      </w:r>
    </w:p>
    <w:p>
      <w:pPr>
        <w:widowControl/>
        <w:shd w:val="clear" w:color="auto" w:fill="FFFFFF"/>
        <w:spacing w:line="420" w:lineRule="exact"/>
        <w:ind w:firstLine="420" w:firstLineChars="200"/>
        <w:jc w:val="left"/>
        <w:textAlignment w:val="baseline"/>
        <w:rPr>
          <w:rFonts w:hint="eastAsia" w:ascii="宋体" w:hAnsi="宋体"/>
        </w:rPr>
      </w:pPr>
      <w:r>
        <w:rPr>
          <w:rFonts w:hint="eastAsia" w:ascii="宋体" w:hAnsi="宋体"/>
        </w:rPr>
        <w:t>（7）态势</w:t>
      </w:r>
      <w:r>
        <w:rPr>
          <w:rFonts w:ascii="宋体" w:hAnsi="宋体" w:cs="宋体"/>
          <w:color w:val="000000"/>
        </w:rPr>
        <w:t>感知</w:t>
      </w:r>
      <w:r>
        <w:rPr>
          <w:rFonts w:hint="eastAsia" w:ascii="宋体" w:hAnsi="宋体"/>
        </w:rPr>
        <w:t>驻场运维服</w:t>
      </w:r>
      <w:r>
        <w:rPr>
          <w:rFonts w:hint="eastAsia" w:ascii="宋体" w:hAnsi="宋体"/>
          <w:color w:val="000000"/>
        </w:rPr>
        <w:t>务（2年，从合同签订之日起计算）</w:t>
      </w:r>
      <w:r>
        <w:rPr>
          <w:rFonts w:hint="eastAsia" w:ascii="宋体" w:hAnsi="宋体"/>
        </w:rPr>
        <w:t>，提供资产管理，平台巡检，安全检测与分析服务，</w:t>
      </w:r>
      <w:r>
        <w:rPr>
          <w:rFonts w:ascii="宋体" w:hAnsi="宋体" w:cs="宋体"/>
          <w:color w:val="000000"/>
        </w:rPr>
        <w:t>漏洞</w:t>
      </w:r>
      <w:r>
        <w:rPr>
          <w:rFonts w:hint="eastAsia" w:ascii="宋体" w:hAnsi="宋体"/>
        </w:rPr>
        <w:t>管理服务等。</w:t>
      </w:r>
    </w:p>
    <w:p>
      <w:pPr>
        <w:widowControl/>
        <w:shd w:val="clear" w:color="auto" w:fill="FFFFFF"/>
        <w:spacing w:line="420" w:lineRule="exact"/>
        <w:ind w:firstLine="420" w:firstLineChars="200"/>
        <w:jc w:val="left"/>
        <w:textAlignment w:val="baseline"/>
        <w:rPr>
          <w:rFonts w:hint="eastAsia" w:ascii="宋体" w:hAnsi="宋体"/>
        </w:rPr>
      </w:pPr>
      <w:r>
        <w:rPr>
          <w:rFonts w:hint="eastAsia" w:ascii="宋体" w:hAnsi="宋体"/>
        </w:rPr>
        <w:t>（8）网络</w:t>
      </w:r>
      <w:r>
        <w:rPr>
          <w:rFonts w:ascii="宋体" w:hAnsi="宋体" w:cs="宋体"/>
          <w:color w:val="000000"/>
        </w:rPr>
        <w:t>可视化</w:t>
      </w:r>
      <w:r>
        <w:rPr>
          <w:rFonts w:hint="eastAsia" w:ascii="宋体" w:hAnsi="宋体"/>
        </w:rPr>
        <w:t>设备（2台），对需要分析监控的网络流量进行汇聚、过滤、分流、复制、负载均衡等处理，为与其相连的各种后端监控系统提供高效易行的前置平台。</w:t>
      </w:r>
    </w:p>
    <w:p>
      <w:pPr>
        <w:widowControl/>
        <w:shd w:val="clear" w:color="auto" w:fill="FFFFFF"/>
        <w:spacing w:line="420" w:lineRule="exact"/>
        <w:ind w:firstLine="420" w:firstLineChars="200"/>
        <w:jc w:val="left"/>
        <w:textAlignment w:val="baseline"/>
        <w:rPr>
          <w:rFonts w:hint="eastAsia" w:ascii="宋体" w:hAnsi="宋体"/>
        </w:rPr>
      </w:pPr>
      <w:r>
        <w:rPr>
          <w:rFonts w:hint="eastAsia" w:ascii="宋体" w:hAnsi="宋体"/>
        </w:rPr>
        <w:t>（9）数据</w:t>
      </w:r>
      <w:r>
        <w:rPr>
          <w:rFonts w:ascii="宋体" w:hAnsi="宋体" w:cs="宋体"/>
          <w:color w:val="000000"/>
        </w:rPr>
        <w:t>水印</w:t>
      </w:r>
      <w:r>
        <w:rPr>
          <w:rFonts w:hint="eastAsia" w:ascii="宋体" w:hAnsi="宋体"/>
        </w:rPr>
        <w:t>标记系统（1套），实现核心征管主要查询界面中加载数字水印，在数据显示环节对信息泄露加载可追溯信息，并对违规操作者形成威慑。</w:t>
      </w:r>
    </w:p>
    <w:p>
      <w:pPr>
        <w:widowControl/>
        <w:shd w:val="clear" w:color="auto" w:fill="FFFFFF"/>
        <w:spacing w:line="420" w:lineRule="exact"/>
        <w:ind w:firstLine="420" w:firstLineChars="200"/>
        <w:jc w:val="left"/>
        <w:textAlignment w:val="baseline"/>
        <w:rPr>
          <w:rFonts w:hint="eastAsia"/>
        </w:rPr>
      </w:pPr>
      <w:r>
        <w:rPr>
          <w:rFonts w:hint="eastAsia" w:ascii="宋体" w:hAnsi="宋体"/>
        </w:rPr>
        <w:t>（10）采购人在项目实施过程中提出的其他相关配套服务。</w:t>
      </w:r>
    </w:p>
    <w:p>
      <w:pPr>
        <w:widowControl/>
        <w:shd w:val="clear" w:color="auto" w:fill="FFFFFF"/>
        <w:spacing w:line="420" w:lineRule="exact"/>
        <w:ind w:firstLine="420" w:firstLineChars="200"/>
        <w:jc w:val="left"/>
        <w:textAlignment w:val="baseline"/>
        <w:rPr>
          <w:rFonts w:ascii="宋体" w:hAnsi="宋体"/>
          <w:color w:val="000000"/>
        </w:rPr>
      </w:pPr>
      <w:r>
        <w:rPr>
          <w:rFonts w:hint="eastAsia" w:ascii="宋体" w:hAnsi="宋体"/>
          <w:color w:val="000000"/>
        </w:rPr>
        <w:t>提供服务的时间：从合同生效之日起12个月内完成设备部署、平台开发及试运行工作，进行第一次验收。</w:t>
      </w:r>
    </w:p>
    <w:p>
      <w:pPr>
        <w:widowControl/>
        <w:shd w:val="clear" w:color="auto" w:fill="FFFFFF"/>
        <w:spacing w:line="420" w:lineRule="exact"/>
        <w:ind w:firstLine="420" w:firstLineChars="200"/>
        <w:jc w:val="left"/>
        <w:textAlignment w:val="baseline"/>
        <w:rPr>
          <w:rFonts w:hint="eastAsia" w:ascii="宋体" w:hAnsi="宋体"/>
          <w:color w:val="000000"/>
        </w:rPr>
      </w:pPr>
      <w:r>
        <w:rPr>
          <w:rFonts w:hint="eastAsia" w:ascii="宋体" w:hAnsi="宋体"/>
          <w:color w:val="000000"/>
        </w:rPr>
        <w:t>项目服务期限：验收合格之日起，整体提供3年免费质保，对所供第三方产品提供原厂商1年免费软件升级、硬件维保和远程支持服务。其中湖南省税务局态势感知驻场运维服务期限为2年，从合同签订之日起计算。</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具体内容详见招标文件第六章“项目需求”。</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本项目不接受联合体投标。</w:t>
      </w:r>
    </w:p>
    <w:p>
      <w:pPr>
        <w:widowControl/>
        <w:shd w:val="clear" w:color="auto" w:fill="FFFFFF"/>
        <w:spacing w:line="420" w:lineRule="exact"/>
        <w:ind w:firstLine="422" w:firstLineChars="200"/>
        <w:jc w:val="left"/>
        <w:textAlignment w:val="baseline"/>
        <w:rPr>
          <w:rFonts w:hint="eastAsia" w:ascii="宋体" w:hAnsi="宋体"/>
          <w:color w:val="000000"/>
          <w:kern w:val="0"/>
        </w:rPr>
      </w:pPr>
      <w:r>
        <w:rPr>
          <w:rFonts w:hint="eastAsia" w:ascii="宋体" w:hAnsi="宋体"/>
          <w:b/>
          <w:bCs/>
          <w:color w:val="000000"/>
          <w:kern w:val="0"/>
        </w:rPr>
        <w:t>二、申请人的资格要求：</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1、满足《中华人民共和国政府采购法》第二十二条规定；</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2、落实政府采购政策需满足的资格要求：</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投标人必须未被列入信用中国网站（www.creditchina.gov.cn）、中国政府采购网（www.ccgp.gov.cn）渠道信用记录失信被执行人、重大税收违法案件当事人名单、政府采购严重违法失信行为记录名单。</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3、本项目的特定资格要求：</w:t>
      </w:r>
    </w:p>
    <w:p>
      <w:pPr>
        <w:widowControl/>
        <w:shd w:val="clear" w:color="auto" w:fill="FFFFFF"/>
        <w:spacing w:line="420" w:lineRule="exact"/>
        <w:ind w:firstLine="422" w:firstLineChars="200"/>
        <w:jc w:val="left"/>
        <w:textAlignment w:val="baseline"/>
        <w:rPr>
          <w:rFonts w:hint="eastAsia" w:ascii="宋体" w:hAnsi="宋体"/>
          <w:b/>
          <w:bCs/>
          <w:color w:val="000000"/>
          <w:kern w:val="0"/>
        </w:rPr>
      </w:pPr>
      <w:r>
        <w:rPr>
          <w:rFonts w:hint="eastAsia" w:ascii="宋体" w:hAnsi="宋体"/>
          <w:b/>
          <w:bCs/>
          <w:color w:val="000000"/>
          <w:kern w:val="0"/>
        </w:rPr>
        <w:t>无</w:t>
      </w:r>
    </w:p>
    <w:p>
      <w:pPr>
        <w:widowControl/>
        <w:shd w:val="clear" w:color="auto" w:fill="FFFFFF"/>
        <w:spacing w:line="420" w:lineRule="exact"/>
        <w:ind w:firstLine="422" w:firstLineChars="200"/>
        <w:jc w:val="left"/>
        <w:textAlignment w:val="baseline"/>
        <w:rPr>
          <w:rFonts w:hint="eastAsia" w:ascii="宋体" w:hAnsi="宋体"/>
          <w:color w:val="000000"/>
          <w:kern w:val="0"/>
        </w:rPr>
      </w:pPr>
      <w:r>
        <w:rPr>
          <w:rFonts w:hint="eastAsia" w:ascii="宋体" w:hAnsi="宋体"/>
          <w:b/>
          <w:bCs/>
          <w:color w:val="000000"/>
          <w:kern w:val="0"/>
        </w:rPr>
        <w:t>三、获取招标文件</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时间</w:t>
      </w:r>
      <w:r>
        <w:rPr>
          <w:rFonts w:hint="eastAsia" w:ascii="宋体" w:hAnsi="宋体"/>
          <w:color w:val="0000CC"/>
          <w:kern w:val="0"/>
        </w:rPr>
        <w:t>：</w:t>
      </w:r>
      <w:r>
        <w:rPr>
          <w:rFonts w:hint="eastAsia" w:ascii="宋体" w:hAnsi="宋体"/>
          <w:b/>
          <w:bCs/>
          <w:color w:val="0000CC"/>
          <w:kern w:val="0"/>
        </w:rPr>
        <w:t>2022年7月25日至2022年8月1日</w:t>
      </w:r>
      <w:r>
        <w:rPr>
          <w:rFonts w:hint="eastAsia" w:ascii="宋体" w:hAnsi="宋体"/>
          <w:color w:val="000000"/>
          <w:kern w:val="0"/>
        </w:rPr>
        <w:t>（提供期限自本公告发布之日起不得少于5个工作日），每天上午9:00至12:00，下午14:30至17:00。（北京时间，法定节假日除外）</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地点：长沙市芙蓉中路一段319号绿地中心T2栋1108室</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方式：投标人法定代表人持法定代表人身份证明（或授权代表持授权委托书（附法定代表人身份证明））、个人身份证原件购买招标文件。</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售价：￥400.00元，本公告包含的招标文件售价总和。</w:t>
      </w:r>
    </w:p>
    <w:p>
      <w:pPr>
        <w:widowControl/>
        <w:shd w:val="clear" w:color="auto" w:fill="FFFFFF"/>
        <w:spacing w:line="420" w:lineRule="exact"/>
        <w:ind w:firstLine="422" w:firstLineChars="200"/>
        <w:jc w:val="left"/>
        <w:textAlignment w:val="baseline"/>
        <w:rPr>
          <w:rFonts w:hint="eastAsia" w:ascii="宋体" w:hAnsi="宋体"/>
          <w:color w:val="000000"/>
          <w:kern w:val="0"/>
        </w:rPr>
      </w:pPr>
      <w:r>
        <w:rPr>
          <w:rFonts w:hint="eastAsia" w:ascii="宋体" w:hAnsi="宋体"/>
          <w:b/>
          <w:bCs/>
          <w:color w:val="000000"/>
          <w:kern w:val="0"/>
        </w:rPr>
        <w:t>四、提交投标文件截止时间、开标时间和地点</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提交投标文件截止时间：</w:t>
      </w:r>
      <w:r>
        <w:rPr>
          <w:rFonts w:hint="eastAsia" w:ascii="宋体" w:hAnsi="宋体"/>
          <w:b/>
          <w:bCs/>
          <w:color w:val="0000CC"/>
          <w:kern w:val="0"/>
        </w:rPr>
        <w:t>2022年8月15日</w:t>
      </w:r>
      <w:r>
        <w:rPr>
          <w:rFonts w:hint="eastAsia" w:ascii="宋体" w:hAnsi="宋体"/>
          <w:b/>
          <w:bCs/>
          <w:color w:val="000000"/>
          <w:kern w:val="0"/>
        </w:rPr>
        <w:t>10点00分</w:t>
      </w:r>
      <w:r>
        <w:rPr>
          <w:rFonts w:hint="eastAsia" w:ascii="宋体" w:hAnsi="宋体"/>
          <w:color w:val="000000"/>
          <w:kern w:val="0"/>
        </w:rPr>
        <w:t>（北京时间）（自招标文件开始发出之日起至投标人提交投标文件截止之日止，不得少于20日）</w:t>
      </w:r>
    </w:p>
    <w:p>
      <w:pPr>
        <w:widowControl/>
        <w:shd w:val="clear" w:color="auto" w:fill="FFFFFF"/>
        <w:spacing w:line="420" w:lineRule="exact"/>
        <w:ind w:firstLine="420" w:firstLineChars="200"/>
        <w:jc w:val="left"/>
        <w:textAlignment w:val="baseline"/>
        <w:rPr>
          <w:rFonts w:hint="eastAsia" w:ascii="宋体" w:hAnsi="宋体"/>
          <w:color w:val="000000"/>
          <w:kern w:val="0"/>
        </w:rPr>
      </w:pPr>
      <w:r>
        <w:rPr>
          <w:rFonts w:hint="eastAsia" w:ascii="宋体" w:hAnsi="宋体"/>
          <w:color w:val="000000"/>
          <w:kern w:val="0"/>
        </w:rPr>
        <w:t>开标时间：</w:t>
      </w:r>
      <w:r>
        <w:rPr>
          <w:rFonts w:hint="eastAsia" w:ascii="宋体" w:hAnsi="宋体"/>
          <w:b/>
          <w:bCs/>
          <w:color w:val="0000CC"/>
          <w:kern w:val="0"/>
        </w:rPr>
        <w:t>2022年8月15日</w:t>
      </w:r>
      <w:r>
        <w:rPr>
          <w:rFonts w:hint="eastAsia" w:ascii="宋体" w:hAnsi="宋体"/>
          <w:b/>
          <w:bCs/>
          <w:color w:val="000000"/>
          <w:kern w:val="0"/>
        </w:rPr>
        <w:t>10点00分</w:t>
      </w:r>
      <w:r>
        <w:rPr>
          <w:rFonts w:hint="eastAsia" w:ascii="宋体" w:hAnsi="宋体"/>
          <w:color w:val="000000"/>
          <w:kern w:val="0"/>
        </w:rPr>
        <w:t>（北京时间）</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olor w:val="000000"/>
          <w:kern w:val="0"/>
        </w:rPr>
        <w:t>地点：长沙市芙蓉中路一段319号绿地中心T2栋1109室</w:t>
      </w:r>
    </w:p>
    <w:p>
      <w:pPr>
        <w:widowControl/>
        <w:shd w:val="clear" w:color="auto" w:fill="FFFFFF"/>
        <w:spacing w:line="420" w:lineRule="exact"/>
        <w:ind w:firstLine="422" w:firstLineChars="200"/>
        <w:jc w:val="left"/>
        <w:textAlignment w:val="baseline"/>
        <w:rPr>
          <w:rFonts w:ascii="宋体" w:hAnsi="宋体" w:cs="宋体"/>
          <w:kern w:val="0"/>
          <w:szCs w:val="21"/>
        </w:rPr>
      </w:pPr>
      <w:r>
        <w:rPr>
          <w:rFonts w:ascii="宋体" w:hAnsi="宋体" w:cs="宋体"/>
          <w:b/>
          <w:bCs/>
          <w:kern w:val="0"/>
          <w:szCs w:val="21"/>
        </w:rPr>
        <w:t>五、公告期限</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自本公告发布之日起5个工作日。</w:t>
      </w:r>
    </w:p>
    <w:p>
      <w:pPr>
        <w:widowControl/>
        <w:shd w:val="clear" w:color="auto" w:fill="FFFFFF"/>
        <w:spacing w:line="420" w:lineRule="exact"/>
        <w:ind w:firstLine="422" w:firstLineChars="200"/>
        <w:jc w:val="left"/>
        <w:textAlignment w:val="baseline"/>
        <w:rPr>
          <w:rFonts w:ascii="宋体" w:hAnsi="宋体" w:cs="宋体"/>
          <w:kern w:val="0"/>
          <w:szCs w:val="21"/>
        </w:rPr>
      </w:pPr>
      <w:r>
        <w:rPr>
          <w:rFonts w:ascii="宋体" w:hAnsi="宋体" w:cs="宋体"/>
          <w:b/>
          <w:bCs/>
          <w:kern w:val="0"/>
          <w:szCs w:val="21"/>
        </w:rPr>
        <w:t>六、其他补充事宜</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1、投标文件请于投标当日投标截止时间之前递交至投标地点，逾期递交的投标文件恕不接受，届时请投标人派代表参加开标仪式。</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2、评标方法：综合评分法</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3、采购项目需要落实的政府采购政策：</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（1）按照财政部、工业和信息化部《政府采购促进中小企业发展管理办法》（财库〔2020〕46号）的规定，落实促进中小企业发展政策。</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（2）按照《财政部、司法部关于政府采购支持监狱企业发展有关问题的通知》（财库〔2014〕68号）的规定，落实支持监狱企业发展政策。</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（3）按照《三部门联合发布关于促进残疾人就业政府采购政策的通知》（财库〔2017〕141号）的规定，落实支持残疾人福利性单位发展政策。</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（4）政府采购节能产品、环境标志产品；进口产品管理等。</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4、本项目招标公告在中国政府采购网上发布。</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5、凡对本次招标提出询问及质疑，请与湖南正兴项目管理有限公司联系（质疑函请采用政府采购供应商质疑函范本格式，以书面形式一次性提交）。</w:t>
      </w:r>
    </w:p>
    <w:p>
      <w:pPr>
        <w:widowControl/>
        <w:shd w:val="clear" w:color="auto" w:fill="FFFFFF"/>
        <w:spacing w:line="420" w:lineRule="exact"/>
        <w:ind w:firstLine="422" w:firstLineChars="200"/>
        <w:jc w:val="left"/>
        <w:textAlignment w:val="baseline"/>
        <w:rPr>
          <w:rFonts w:ascii="宋体" w:hAnsi="宋体" w:cs="宋体"/>
          <w:kern w:val="0"/>
          <w:szCs w:val="21"/>
        </w:rPr>
      </w:pPr>
      <w:r>
        <w:rPr>
          <w:rFonts w:ascii="宋体" w:hAnsi="宋体" w:cs="宋体"/>
          <w:b/>
          <w:bCs/>
          <w:kern w:val="0"/>
          <w:szCs w:val="21"/>
        </w:rPr>
        <w:t>七、对本次招标提出询问，请按以下方式联系。</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1、采购人信息</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名称：国家税务总局湖南省税务局</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地址：长沙市环保西路6号</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联系方式：王先生，</w:t>
      </w:r>
      <w:r>
        <w:rPr>
          <w:rFonts w:hint="eastAsia" w:hAnsi="宋体" w:cs="宋体"/>
          <w:color w:val="000000" w:themeColor="text1"/>
          <w14:textFill>
            <w14:solidFill>
              <w14:schemeClr w14:val="tx1"/>
            </w14:solidFill>
          </w14:textFill>
        </w:rPr>
        <w:t>肖女士</w:t>
      </w:r>
      <w:r>
        <w:rPr>
          <w:rFonts w:hint="eastAsia" w:ascii="宋体" w:hAnsi="宋体" w:cs="宋体"/>
          <w:color w:val="000000" w:themeColor="text1"/>
          <w:kern w:val="0"/>
          <w:szCs w:val="21"/>
          <w14:textFill>
            <w14:solidFill>
              <w14:schemeClr w14:val="tx1"/>
            </w14:solidFill>
          </w14:textFill>
        </w:rPr>
        <w:t>0731-85384488、</w:t>
      </w:r>
      <w:r>
        <w:rPr>
          <w:rFonts w:ascii="宋体" w:hAnsi="宋体" w:cs="宋体"/>
          <w:color w:val="000000" w:themeColor="text1"/>
          <w:kern w:val="0"/>
          <w:szCs w:val="21"/>
          <w14:textFill>
            <w14:solidFill>
              <w14:schemeClr w14:val="tx1"/>
            </w14:solidFill>
          </w14:textFill>
        </w:rPr>
        <w:t>85579076</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2、采购代理机构信息</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名称：湖南正兴项目管理有限公司</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地址：长沙市芙蓉中路一段319号绿地中心T2栋1108室</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联系方式：龙女士，王女士，李先生  0731-89913056</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3、项目联系方式</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项目联系人：郭先生</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电话：</w:t>
      </w:r>
      <w:r>
        <w:rPr>
          <w:rFonts w:ascii="宋体" w:hAnsi="宋体" w:cs="宋体"/>
          <w:color w:val="000000" w:themeColor="text1"/>
          <w:kern w:val="0"/>
          <w:szCs w:val="21"/>
          <w14:textFill>
            <w14:solidFill>
              <w14:schemeClr w14:val="tx1"/>
            </w14:solidFill>
          </w14:textFill>
        </w:rPr>
        <w:t>0731-85510027</w:t>
      </w:r>
    </w:p>
    <w:p/>
    <w:p>
      <w:pPr>
        <w:spacing w:line="520" w:lineRule="exact"/>
      </w:pPr>
    </w:p>
    <w:p>
      <w:pPr>
        <w:spacing w:before="120" w:beforeLines="50" w:after="120" w:afterLines="50" w:line="360" w:lineRule="auto"/>
        <w:rPr>
          <w:rFonts w:ascii="宋体" w:hAnsi="宋体" w:cs="宋体"/>
          <w:bCs/>
          <w:kern w:val="44"/>
          <w:sz w:val="28"/>
          <w:szCs w:val="28"/>
        </w:rPr>
        <w:sectPr>
          <w:headerReference r:id="rId9" w:type="first"/>
          <w:pgSz w:w="11906" w:h="16838"/>
          <w:pgMar w:top="1304" w:right="1247" w:bottom="1134" w:left="1304" w:header="850" w:footer="850" w:gutter="0"/>
          <w:cols w:space="720" w:num="1"/>
          <w:titlePg/>
          <w:docGrid w:linePitch="319" w:charSpace="0"/>
        </w:sectPr>
      </w:pPr>
    </w:p>
    <w:p/>
    <w:p>
      <w:pPr>
        <w:pStyle w:val="5"/>
        <w:spacing w:before="120" w:beforeLines="50" w:after="120" w:afterLines="50" w:line="360" w:lineRule="auto"/>
        <w:jc w:val="center"/>
        <w:rPr>
          <w:rFonts w:ascii="Times New Roman" w:hAnsi="Times New Roman"/>
          <w:bCs/>
          <w:sz w:val="28"/>
          <w:szCs w:val="28"/>
        </w:rPr>
      </w:pPr>
      <w:bookmarkStart w:id="13" w:name="_Toc529050581"/>
      <w:bookmarkStart w:id="14" w:name="_Toc21647436"/>
      <w:r>
        <w:rPr>
          <w:rFonts w:hint="eastAsia" w:ascii="宋体" w:hAnsi="宋体" w:eastAsia="宋体" w:cs="宋体"/>
          <w:bCs/>
          <w:kern w:val="44"/>
          <w:sz w:val="28"/>
          <w:szCs w:val="28"/>
        </w:rPr>
        <w:t>第二章　投标人须知</w:t>
      </w:r>
      <w:bookmarkEnd w:id="11"/>
      <w:bookmarkEnd w:id="13"/>
      <w:bookmarkEnd w:id="14"/>
    </w:p>
    <w:p>
      <w:pPr>
        <w:pStyle w:val="25"/>
        <w:spacing w:after="120" w:afterLines="50"/>
        <w:jc w:val="center"/>
        <w:outlineLvl w:val="2"/>
        <w:rPr>
          <w:rFonts w:hAnsi="宋体"/>
          <w:b/>
          <w:bCs/>
          <w:sz w:val="28"/>
          <w:szCs w:val="28"/>
        </w:rPr>
      </w:pPr>
      <w:bookmarkStart w:id="15" w:name="_Toc529050582"/>
      <w:bookmarkStart w:id="16" w:name="_Toc32085"/>
      <w:bookmarkStart w:id="17" w:name="_Toc21647437"/>
      <w:r>
        <w:rPr>
          <w:rFonts w:hint="eastAsia" w:hAnsi="宋体"/>
          <w:b/>
          <w:bCs/>
          <w:sz w:val="28"/>
          <w:szCs w:val="28"/>
        </w:rPr>
        <w:t>投标人须知前附表</w:t>
      </w:r>
      <w:bookmarkEnd w:id="15"/>
      <w:bookmarkEnd w:id="16"/>
      <w:bookmarkEnd w:id="17"/>
    </w:p>
    <w:p>
      <w:pPr>
        <w:pStyle w:val="25"/>
        <w:rPr>
          <w:rFonts w:hAnsi="宋体" w:cs="宋体"/>
        </w:rPr>
      </w:pPr>
      <w:r>
        <w:rPr>
          <w:rFonts w:hint="eastAsia" w:hAnsi="宋体" w:cs="宋体"/>
        </w:rPr>
        <w:t>注：编列内容规定条款前标注</w:t>
      </w:r>
      <w:r>
        <w:rPr>
          <w:rFonts w:hint="eastAsia" w:hAnsi="宋体" w:cs="宋体"/>
        </w:rPr>
        <w:fldChar w:fldCharType="begin"/>
      </w:r>
      <w:r>
        <w:rPr>
          <w:rFonts w:hint="eastAsia" w:hAnsi="宋体" w:cs="宋体"/>
        </w:rPr>
        <w:instrText xml:space="preserve">eq \o\ac(□</w:instrText>
      </w:r>
      <w:r>
        <w:rPr>
          <w:rFonts w:hAnsi="宋体" w:cs="宋体"/>
        </w:rPr>
        <w:instrText xml:space="preserve">,√)</w:instrText>
      </w:r>
      <w:r>
        <w:rPr>
          <w:rFonts w:hint="eastAsia" w:hAnsi="宋体" w:cs="宋体"/>
        </w:rPr>
        <w:fldChar w:fldCharType="end"/>
      </w:r>
      <w:r>
        <w:rPr>
          <w:rFonts w:hint="eastAsia" w:hAnsi="宋体" w:cs="宋体"/>
        </w:rPr>
        <w:t>表示启用该条款。</w:t>
      </w:r>
    </w:p>
    <w:tbl>
      <w:tblPr>
        <w:tblStyle w:val="45"/>
        <w:tblW w:w="94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863"/>
        <w:gridCol w:w="6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689" w:type="dxa"/>
            <w:vAlign w:val="center"/>
          </w:tcPr>
          <w:p>
            <w:pPr>
              <w:pStyle w:val="25"/>
              <w:spacing w:line="320" w:lineRule="exact"/>
              <w:jc w:val="center"/>
              <w:rPr>
                <w:rFonts w:hAnsi="宋体" w:cs="宋体"/>
                <w:b/>
                <w:bCs/>
              </w:rPr>
            </w:pPr>
            <w:bookmarkStart w:id="18" w:name="_Hlk24582643"/>
            <w:r>
              <w:rPr>
                <w:rFonts w:hint="eastAsia" w:hAnsi="宋体" w:cs="宋体"/>
                <w:b/>
                <w:bCs/>
              </w:rPr>
              <w:t>序号</w:t>
            </w:r>
          </w:p>
        </w:tc>
        <w:tc>
          <w:tcPr>
            <w:tcW w:w="1863" w:type="dxa"/>
            <w:vAlign w:val="center"/>
          </w:tcPr>
          <w:p>
            <w:pPr>
              <w:pStyle w:val="25"/>
              <w:spacing w:line="320" w:lineRule="exact"/>
              <w:jc w:val="center"/>
              <w:rPr>
                <w:rFonts w:hAnsi="宋体" w:cs="宋体"/>
                <w:b/>
                <w:bCs/>
              </w:rPr>
            </w:pPr>
            <w:r>
              <w:rPr>
                <w:rFonts w:hint="eastAsia" w:hAnsi="宋体" w:cs="宋体"/>
                <w:b/>
                <w:bCs/>
              </w:rPr>
              <w:t>条款名称</w:t>
            </w:r>
          </w:p>
        </w:tc>
        <w:tc>
          <w:tcPr>
            <w:tcW w:w="6931" w:type="dxa"/>
            <w:vAlign w:val="center"/>
          </w:tcPr>
          <w:p>
            <w:pPr>
              <w:pStyle w:val="25"/>
              <w:spacing w:line="320" w:lineRule="exact"/>
              <w:jc w:val="center"/>
              <w:rPr>
                <w:rFonts w:hAnsi="宋体" w:cs="宋体"/>
                <w:b/>
                <w:bCs/>
              </w:rPr>
            </w:pPr>
            <w:r>
              <w:rPr>
                <w:rFonts w:hint="eastAsia" w:hAnsi="宋体" w:cs="宋体"/>
                <w:b/>
                <w:bCs/>
              </w:rPr>
              <w:t>编列内容规定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9" w:type="dxa"/>
            <w:vMerge w:val="restart"/>
            <w:vAlign w:val="center"/>
          </w:tcPr>
          <w:p>
            <w:pPr>
              <w:pStyle w:val="25"/>
              <w:spacing w:line="320" w:lineRule="exact"/>
              <w:jc w:val="center"/>
              <w:rPr>
                <w:rFonts w:hAnsi="宋体" w:cs="宋体"/>
              </w:rPr>
            </w:pPr>
            <w:r>
              <w:rPr>
                <w:rFonts w:hint="eastAsia" w:hAnsi="宋体" w:cs="宋体"/>
              </w:rPr>
              <w:t>1</w:t>
            </w:r>
          </w:p>
        </w:tc>
        <w:tc>
          <w:tcPr>
            <w:tcW w:w="1863" w:type="dxa"/>
            <w:vAlign w:val="center"/>
          </w:tcPr>
          <w:p>
            <w:pPr>
              <w:pStyle w:val="25"/>
              <w:spacing w:line="320" w:lineRule="exact"/>
              <w:jc w:val="center"/>
              <w:rPr>
                <w:rFonts w:hAnsi="宋体" w:cs="宋体"/>
              </w:rPr>
            </w:pPr>
            <w:r>
              <w:rPr>
                <w:rFonts w:hint="eastAsia" w:hAnsi="宋体" w:cs="宋体"/>
              </w:rPr>
              <w:t>采购项目</w:t>
            </w:r>
          </w:p>
        </w:tc>
        <w:tc>
          <w:tcPr>
            <w:tcW w:w="6931" w:type="dxa"/>
            <w:vAlign w:val="center"/>
          </w:tcPr>
          <w:p>
            <w:pPr>
              <w:pStyle w:val="25"/>
              <w:spacing w:line="320" w:lineRule="exact"/>
              <w:rPr>
                <w:rFonts w:hint="eastAsia" w:hAnsi="宋体" w:eastAsia="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国家税务总局湖南省税务局三年安全规划第一期项目（第三次）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9" w:type="dxa"/>
            <w:vMerge w:val="continue"/>
            <w:vAlign w:val="center"/>
          </w:tcPr>
          <w:p>
            <w:pPr>
              <w:pStyle w:val="25"/>
              <w:spacing w:line="320" w:lineRule="exact"/>
              <w:jc w:val="center"/>
              <w:rPr>
                <w:rFonts w:hAnsi="宋体" w:cs="宋体"/>
              </w:rPr>
            </w:pPr>
          </w:p>
        </w:tc>
        <w:tc>
          <w:tcPr>
            <w:tcW w:w="1863" w:type="dxa"/>
            <w:vAlign w:val="center"/>
          </w:tcPr>
          <w:p>
            <w:pPr>
              <w:pStyle w:val="25"/>
              <w:spacing w:line="320" w:lineRule="exact"/>
              <w:jc w:val="center"/>
              <w:rPr>
                <w:rFonts w:hAnsi="宋体" w:cs="宋体"/>
                <w:color w:val="000000"/>
              </w:rPr>
            </w:pPr>
            <w:r>
              <w:rPr>
                <w:rFonts w:hint="eastAsia" w:hAnsi="宋体" w:cs="宋体"/>
                <w:color w:val="000000"/>
              </w:rPr>
              <w:t>采购预算</w:t>
            </w:r>
          </w:p>
        </w:tc>
        <w:tc>
          <w:tcPr>
            <w:tcW w:w="6931" w:type="dxa"/>
            <w:vAlign w:val="center"/>
          </w:tcPr>
          <w:p>
            <w:pPr>
              <w:pStyle w:val="25"/>
              <w:spacing w:line="32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总预算：</w:t>
            </w:r>
            <w:r>
              <w:rPr>
                <w:rFonts w:hAnsi="宋体" w:cs="宋体"/>
                <w:color w:val="000000" w:themeColor="text1"/>
                <w14:textFill>
                  <w14:solidFill>
                    <w14:schemeClr w14:val="tx1"/>
                  </w14:solidFill>
                </w14:textFill>
              </w:rPr>
              <w:t>600</w:t>
            </w:r>
            <w:r>
              <w:rPr>
                <w:rFonts w:hint="eastAsia" w:hAnsi="宋体" w:cs="宋体"/>
                <w:color w:val="000000" w:themeColor="text1"/>
                <w14:textFill>
                  <w14:solidFill>
                    <w14:schemeClr w14:val="tx1"/>
                  </w14:solidFill>
                </w14:textFill>
              </w:rPr>
              <w:t>.00万元（人民币）。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9" w:type="dxa"/>
            <w:vMerge w:val="continue"/>
            <w:vAlign w:val="center"/>
          </w:tcPr>
          <w:p>
            <w:pPr>
              <w:pStyle w:val="25"/>
              <w:spacing w:line="320" w:lineRule="exact"/>
              <w:jc w:val="center"/>
              <w:rPr>
                <w:rFonts w:hAnsi="宋体" w:cs="宋体"/>
              </w:rPr>
            </w:pPr>
          </w:p>
        </w:tc>
        <w:tc>
          <w:tcPr>
            <w:tcW w:w="1863" w:type="dxa"/>
            <w:vAlign w:val="center"/>
          </w:tcPr>
          <w:p>
            <w:pPr>
              <w:pStyle w:val="25"/>
              <w:spacing w:line="320" w:lineRule="exact"/>
              <w:jc w:val="center"/>
              <w:rPr>
                <w:rFonts w:hAnsi="宋体" w:cs="宋体"/>
              </w:rPr>
            </w:pPr>
            <w:r>
              <w:rPr>
                <w:rFonts w:hint="eastAsia" w:hAnsi="宋体" w:cs="宋体"/>
              </w:rPr>
              <w:t>本项目设定的最高限价</w:t>
            </w:r>
          </w:p>
        </w:tc>
        <w:tc>
          <w:tcPr>
            <w:tcW w:w="6931" w:type="dxa"/>
            <w:vAlign w:val="center"/>
          </w:tcPr>
          <w:p>
            <w:pPr>
              <w:pStyle w:val="25"/>
              <w:spacing w:line="32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无</w:t>
            </w:r>
          </w:p>
          <w:p>
            <w:pPr>
              <w:pStyle w:val="25"/>
              <w:spacing w:line="32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fldChar w:fldCharType="begin"/>
            </w:r>
            <w:r>
              <w:rPr>
                <w:rFonts w:hint="eastAsia" w:hAnsi="宋体" w:cs="宋体"/>
                <w:color w:val="000000" w:themeColor="text1"/>
                <w14:textFill>
                  <w14:solidFill>
                    <w14:schemeClr w14:val="tx1"/>
                  </w14:solidFill>
                </w14:textFill>
              </w:rPr>
              <w:instrText xml:space="preserve">eq \o\ac(□,√)</w:instrText>
            </w:r>
            <w:r>
              <w:rPr>
                <w:rFonts w:hint="eastAsia" w:hAnsi="宋体" w:cs="宋体"/>
                <w:color w:val="000000" w:themeColor="text1"/>
                <w14:textFill>
                  <w14:solidFill>
                    <w14:schemeClr w14:val="tx1"/>
                  </w14:solidFill>
                </w14:textFill>
              </w:rPr>
              <w:fldChar w:fldCharType="end"/>
            </w:r>
            <w:r>
              <w:rPr>
                <w:rFonts w:hint="eastAsia" w:hAnsi="宋体" w:cs="宋体"/>
                <w:color w:val="000000" w:themeColor="text1"/>
                <w14:textFill>
                  <w14:solidFill>
                    <w14:schemeClr w14:val="tx1"/>
                  </w14:solidFill>
                </w14:textFill>
              </w:rPr>
              <w:t xml:space="preserve"> 有，金额：</w:t>
            </w:r>
            <w:r>
              <w:rPr>
                <w:rFonts w:hAnsi="宋体" w:cs="宋体"/>
                <w:color w:val="000000" w:themeColor="text1"/>
                <w14:textFill>
                  <w14:solidFill>
                    <w14:schemeClr w14:val="tx1"/>
                  </w14:solidFill>
                </w14:textFill>
              </w:rPr>
              <w:t>600</w:t>
            </w:r>
            <w:r>
              <w:rPr>
                <w:rFonts w:hint="eastAsia" w:hAnsi="宋体" w:cs="宋体"/>
                <w:color w:val="000000" w:themeColor="text1"/>
                <w14:textFill>
                  <w14:solidFill>
                    <w14:schemeClr w14:val="tx1"/>
                  </w14:solidFill>
                </w14:textFill>
              </w:rPr>
              <w:t>.00万元（人民币）。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9" w:type="dxa"/>
            <w:vMerge w:val="continue"/>
            <w:vAlign w:val="center"/>
          </w:tcPr>
          <w:p>
            <w:pPr>
              <w:pStyle w:val="25"/>
              <w:spacing w:line="320" w:lineRule="exact"/>
              <w:jc w:val="center"/>
              <w:rPr>
                <w:rFonts w:hAnsi="宋体" w:cs="宋体"/>
              </w:rPr>
            </w:pPr>
          </w:p>
        </w:tc>
        <w:tc>
          <w:tcPr>
            <w:tcW w:w="1863" w:type="dxa"/>
            <w:vAlign w:val="center"/>
          </w:tcPr>
          <w:p>
            <w:pPr>
              <w:pStyle w:val="25"/>
              <w:spacing w:line="320" w:lineRule="exact"/>
              <w:jc w:val="center"/>
              <w:rPr>
                <w:rFonts w:hAnsi="宋体" w:cs="宋体"/>
                <w:color w:val="000000"/>
              </w:rPr>
            </w:pPr>
            <w:r>
              <w:rPr>
                <w:rFonts w:hint="eastAsia" w:hAnsi="宋体" w:cs="宋体"/>
                <w:color w:val="000000"/>
              </w:rPr>
              <w:t>核心产品</w:t>
            </w:r>
          </w:p>
        </w:tc>
        <w:tc>
          <w:tcPr>
            <w:tcW w:w="6931" w:type="dxa"/>
            <w:vAlign w:val="center"/>
          </w:tcPr>
          <w:p>
            <w:pPr>
              <w:pStyle w:val="25"/>
              <w:spacing w:line="320" w:lineRule="exact"/>
              <w:jc w:val="left"/>
              <w:rPr>
                <w:rFonts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9" w:type="dxa"/>
            <w:vMerge w:val="continue"/>
            <w:vAlign w:val="center"/>
          </w:tcPr>
          <w:p>
            <w:pPr>
              <w:pStyle w:val="25"/>
              <w:spacing w:line="320" w:lineRule="exact"/>
              <w:jc w:val="center"/>
              <w:rPr>
                <w:rFonts w:hAnsi="宋体" w:cs="宋体"/>
              </w:rPr>
            </w:pPr>
          </w:p>
        </w:tc>
        <w:tc>
          <w:tcPr>
            <w:tcW w:w="1863" w:type="dxa"/>
            <w:vAlign w:val="center"/>
          </w:tcPr>
          <w:p>
            <w:pPr>
              <w:pStyle w:val="25"/>
              <w:spacing w:line="320" w:lineRule="exact"/>
              <w:jc w:val="center"/>
              <w:rPr>
                <w:rFonts w:hAnsi="宋体" w:cs="宋体"/>
              </w:rPr>
            </w:pPr>
            <w:r>
              <w:rPr>
                <w:rFonts w:hint="eastAsia" w:hAnsi="宋体" w:cs="宋体"/>
              </w:rPr>
              <w:t>公告媒体</w:t>
            </w:r>
          </w:p>
        </w:tc>
        <w:tc>
          <w:tcPr>
            <w:tcW w:w="6931" w:type="dxa"/>
            <w:vAlign w:val="center"/>
          </w:tcPr>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中国政府采购网（http：//www.ccgp.gov.cn/）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89" w:type="dxa"/>
            <w:vAlign w:val="center"/>
          </w:tcPr>
          <w:p>
            <w:pPr>
              <w:pStyle w:val="25"/>
              <w:spacing w:line="320" w:lineRule="exact"/>
              <w:jc w:val="center"/>
              <w:rPr>
                <w:rFonts w:hAnsi="宋体" w:cs="宋体"/>
              </w:rPr>
            </w:pPr>
            <w:r>
              <w:rPr>
                <w:rFonts w:hint="eastAsia" w:hAnsi="宋体" w:cs="宋体"/>
              </w:rPr>
              <w:t>2</w:t>
            </w:r>
          </w:p>
        </w:tc>
        <w:tc>
          <w:tcPr>
            <w:tcW w:w="1863" w:type="dxa"/>
            <w:vAlign w:val="center"/>
          </w:tcPr>
          <w:p>
            <w:pPr>
              <w:pStyle w:val="25"/>
              <w:spacing w:line="320" w:lineRule="exact"/>
              <w:jc w:val="center"/>
              <w:rPr>
                <w:rFonts w:hAnsi="宋体" w:cs="宋体"/>
              </w:rPr>
            </w:pPr>
            <w:r>
              <w:rPr>
                <w:rFonts w:hint="eastAsia" w:hAnsi="宋体" w:cs="宋体"/>
              </w:rPr>
              <w:t>采购人</w:t>
            </w:r>
          </w:p>
        </w:tc>
        <w:tc>
          <w:tcPr>
            <w:tcW w:w="6931" w:type="dxa"/>
            <w:vAlign w:val="center"/>
          </w:tcPr>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名称：国家税务总局湖南省税务局</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地址：长沙市环保西路6号</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联系人：王先生，肖女士</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联系电话：</w:t>
            </w:r>
            <w:r>
              <w:rPr>
                <w:rFonts w:hAnsi="宋体" w:cs="宋体"/>
                <w:color w:val="000000" w:themeColor="text1"/>
                <w14:textFill>
                  <w14:solidFill>
                    <w14:schemeClr w14:val="tx1"/>
                  </w14:solidFill>
                </w14:textFill>
              </w:rPr>
              <w:t>0731-</w:t>
            </w:r>
            <w:r>
              <w:rPr>
                <w:rFonts w:hint="eastAsia" w:hAnsi="宋体" w:cs="宋体"/>
              </w:rPr>
              <w:t>85384488，85579076</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技术咨询：郭先生</w:t>
            </w:r>
            <w:r>
              <w:rPr>
                <w:rFonts w:hAnsi="宋体" w:cs="宋体"/>
                <w:color w:val="000000" w:themeColor="text1"/>
                <w14:textFill>
                  <w14:solidFill>
                    <w14:schemeClr w14:val="tx1"/>
                  </w14:solidFill>
                </w14:textFill>
              </w:rPr>
              <w:t>0731-85510027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89" w:type="dxa"/>
            <w:vAlign w:val="center"/>
          </w:tcPr>
          <w:p>
            <w:pPr>
              <w:pStyle w:val="25"/>
              <w:spacing w:line="320" w:lineRule="exact"/>
              <w:jc w:val="center"/>
              <w:rPr>
                <w:rFonts w:hAnsi="宋体" w:cs="宋体"/>
              </w:rPr>
            </w:pPr>
            <w:r>
              <w:rPr>
                <w:rFonts w:hint="eastAsia" w:hAnsi="宋体" w:cs="宋体"/>
              </w:rPr>
              <w:t>3</w:t>
            </w:r>
          </w:p>
        </w:tc>
        <w:tc>
          <w:tcPr>
            <w:tcW w:w="1863" w:type="dxa"/>
            <w:vAlign w:val="center"/>
          </w:tcPr>
          <w:p>
            <w:pPr>
              <w:pStyle w:val="25"/>
              <w:spacing w:line="320" w:lineRule="exact"/>
              <w:jc w:val="center"/>
              <w:rPr>
                <w:rFonts w:hAnsi="宋体" w:cs="宋体"/>
              </w:rPr>
            </w:pPr>
            <w:r>
              <w:rPr>
                <w:rFonts w:hint="eastAsia" w:hAnsi="宋体" w:cs="宋体"/>
              </w:rPr>
              <w:t>采购代理机构</w:t>
            </w:r>
          </w:p>
        </w:tc>
        <w:tc>
          <w:tcPr>
            <w:tcW w:w="6931" w:type="dxa"/>
            <w:vAlign w:val="center"/>
          </w:tcPr>
          <w:p>
            <w:pPr>
              <w:adjustRightInd w:val="0"/>
              <w:snapToGrid w:val="0"/>
              <w:spacing w:line="320" w:lineRule="exact"/>
              <w:rPr>
                <w:rFonts w:ascii="宋体" w:hAnsi="宋体" w:cs="宋体"/>
                <w:szCs w:val="21"/>
              </w:rPr>
            </w:pPr>
            <w:r>
              <w:rPr>
                <w:rFonts w:hint="eastAsia" w:ascii="宋体" w:hAnsi="宋体" w:cs="宋体"/>
                <w:szCs w:val="21"/>
              </w:rPr>
              <w:t>名称：湖南正兴项目管理有限公司</w:t>
            </w:r>
          </w:p>
          <w:p>
            <w:pPr>
              <w:adjustRightInd w:val="0"/>
              <w:snapToGrid w:val="0"/>
              <w:spacing w:line="320" w:lineRule="exact"/>
              <w:rPr>
                <w:rFonts w:ascii="宋体" w:hAnsi="宋体" w:cs="宋体"/>
                <w:szCs w:val="21"/>
              </w:rPr>
            </w:pPr>
            <w:r>
              <w:rPr>
                <w:rFonts w:hint="eastAsia" w:ascii="宋体" w:hAnsi="宋体" w:cs="宋体"/>
                <w:szCs w:val="21"/>
              </w:rPr>
              <w:t>地址：长沙市芙蓉中路一段319号绿地中心T2栋1109室</w:t>
            </w:r>
          </w:p>
          <w:p>
            <w:pPr>
              <w:adjustRightInd w:val="0"/>
              <w:snapToGrid w:val="0"/>
              <w:spacing w:line="320" w:lineRule="exact"/>
              <w:rPr>
                <w:rFonts w:ascii="宋体" w:hAnsi="宋体" w:cs="宋体"/>
                <w:szCs w:val="21"/>
              </w:rPr>
            </w:pPr>
            <w:r>
              <w:rPr>
                <w:rFonts w:hint="eastAsia" w:ascii="宋体" w:hAnsi="宋体" w:cs="宋体"/>
                <w:szCs w:val="21"/>
              </w:rPr>
              <w:t>联系人：龙女士，王女士，李先生</w:t>
            </w:r>
          </w:p>
          <w:p>
            <w:pPr>
              <w:pStyle w:val="25"/>
              <w:spacing w:line="320" w:lineRule="exact"/>
              <w:jc w:val="left"/>
              <w:rPr>
                <w:rFonts w:hAnsi="宋体" w:cs="宋体"/>
              </w:rPr>
            </w:pPr>
            <w:r>
              <w:rPr>
                <w:rFonts w:hint="eastAsia" w:hAnsi="宋体" w:cs="宋体"/>
              </w:rPr>
              <w:t>电话：0731-89913056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89" w:type="dxa"/>
            <w:vAlign w:val="center"/>
          </w:tcPr>
          <w:p>
            <w:pPr>
              <w:pStyle w:val="25"/>
              <w:spacing w:line="320" w:lineRule="exact"/>
              <w:jc w:val="center"/>
              <w:rPr>
                <w:rFonts w:hAnsi="宋体" w:cs="宋体"/>
              </w:rPr>
            </w:pPr>
            <w:r>
              <w:rPr>
                <w:rFonts w:hint="eastAsia" w:hAnsi="宋体" w:cs="宋体"/>
              </w:rPr>
              <w:t>4</w:t>
            </w:r>
          </w:p>
        </w:tc>
        <w:tc>
          <w:tcPr>
            <w:tcW w:w="1863" w:type="dxa"/>
            <w:vAlign w:val="center"/>
          </w:tcPr>
          <w:p>
            <w:pPr>
              <w:pStyle w:val="25"/>
              <w:spacing w:line="320" w:lineRule="exact"/>
              <w:jc w:val="center"/>
              <w:rPr>
                <w:rFonts w:hAnsi="宋体" w:cs="宋体"/>
              </w:rPr>
            </w:pPr>
            <w:r>
              <w:rPr>
                <w:rFonts w:hint="eastAsia" w:hAnsi="宋体" w:cs="宋体"/>
              </w:rPr>
              <w:t>投标人资格条件</w:t>
            </w:r>
          </w:p>
        </w:tc>
        <w:tc>
          <w:tcPr>
            <w:tcW w:w="6931" w:type="dxa"/>
            <w:vAlign w:val="center"/>
          </w:tcPr>
          <w:p>
            <w:pPr>
              <w:pStyle w:val="25"/>
              <w:spacing w:line="320" w:lineRule="exact"/>
              <w:jc w:val="left"/>
              <w:rPr>
                <w:rFonts w:hAnsi="宋体" w:cs="宋体"/>
              </w:rPr>
            </w:pPr>
            <w:r>
              <w:rPr>
                <w:rFonts w:hint="eastAsia" w:hAnsi="宋体" w:cs="宋体"/>
              </w:rPr>
              <w:t>（1）符合《政府采购法》第二十二条第一款规定的供应商条件。</w:t>
            </w:r>
          </w:p>
          <w:p>
            <w:pPr>
              <w:pStyle w:val="25"/>
              <w:spacing w:line="320" w:lineRule="exact"/>
              <w:jc w:val="left"/>
              <w:rPr>
                <w:rFonts w:hAnsi="宋体" w:cs="宋体"/>
              </w:rPr>
            </w:pPr>
            <w:r>
              <w:rPr>
                <w:rFonts w:hint="eastAsia" w:hAnsi="宋体" w:cs="宋体"/>
              </w:rPr>
              <w:t>（2）其他特定资格条件：</w:t>
            </w:r>
          </w:p>
          <w:p>
            <w:pPr>
              <w:pStyle w:val="25"/>
              <w:spacing w:line="320" w:lineRule="exact"/>
              <w:jc w:val="left"/>
              <w:rPr>
                <w:rFonts w:hAnsi="宋体" w:cs="宋体"/>
              </w:rPr>
            </w:pPr>
            <w:r>
              <w:rPr>
                <w:rFonts w:hint="eastAsia" w:hAnsi="宋体" w:cs="宋体"/>
                <w:b/>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89" w:type="dxa"/>
            <w:vAlign w:val="center"/>
          </w:tcPr>
          <w:p>
            <w:pPr>
              <w:pStyle w:val="25"/>
              <w:spacing w:line="320" w:lineRule="exact"/>
              <w:jc w:val="center"/>
              <w:rPr>
                <w:rFonts w:hAnsi="宋体" w:cs="宋体"/>
              </w:rPr>
            </w:pPr>
            <w:r>
              <w:rPr>
                <w:rFonts w:hint="eastAsia" w:hAnsi="宋体" w:cs="宋体"/>
              </w:rPr>
              <w:t>5</w:t>
            </w:r>
          </w:p>
        </w:tc>
        <w:tc>
          <w:tcPr>
            <w:tcW w:w="1863" w:type="dxa"/>
            <w:vAlign w:val="center"/>
          </w:tcPr>
          <w:p>
            <w:pPr>
              <w:pStyle w:val="25"/>
              <w:spacing w:line="320" w:lineRule="exact"/>
              <w:jc w:val="center"/>
              <w:rPr>
                <w:rFonts w:hAnsi="宋体" w:cs="宋体"/>
              </w:rPr>
            </w:pPr>
            <w:r>
              <w:rPr>
                <w:rFonts w:hint="eastAsia" w:hAnsi="宋体" w:cs="宋体"/>
              </w:rPr>
              <w:t>项目现场勘察</w:t>
            </w:r>
          </w:p>
        </w:tc>
        <w:tc>
          <w:tcPr>
            <w:tcW w:w="6931" w:type="dxa"/>
            <w:vAlign w:val="center"/>
          </w:tcPr>
          <w:p>
            <w:pPr>
              <w:pStyle w:val="25"/>
              <w:spacing w:line="320" w:lineRule="exact"/>
              <w:jc w:val="left"/>
              <w:rPr>
                <w:rFonts w:hAnsi="宋体" w:cs="宋体"/>
              </w:rPr>
            </w:pPr>
            <w:r>
              <w:rPr>
                <w:rFonts w:hint="eastAsia" w:hAnsi="宋体"/>
                <w:position w:val="2"/>
              </w:rPr>
              <w:fldChar w:fldCharType="begin"/>
            </w:r>
            <w:r>
              <w:rPr>
                <w:rFonts w:hint="eastAsia" w:hAnsi="宋体"/>
                <w:position w:val="2"/>
              </w:rPr>
              <w:instrText xml:space="preserve">eq \o\ac(□</w:instrText>
            </w:r>
            <w:r>
              <w:rPr>
                <w:rFonts w:hAnsi="宋体"/>
                <w:position w:val="2"/>
              </w:rPr>
              <w:instrText xml:space="preserve">,√)</w:instrText>
            </w:r>
            <w:r>
              <w:rPr>
                <w:rFonts w:hint="eastAsia" w:hAnsi="宋体"/>
                <w:position w:val="2"/>
              </w:rPr>
              <w:fldChar w:fldCharType="end"/>
            </w:r>
            <w:r>
              <w:rPr>
                <w:rFonts w:hAnsi="宋体"/>
                <w:position w:val="2"/>
              </w:rPr>
              <w:t xml:space="preserve"> </w:t>
            </w:r>
            <w:r>
              <w:rPr>
                <w:rFonts w:hint="eastAsia" w:hAnsi="宋体" w:cs="宋体"/>
              </w:rPr>
              <w:t>不组织</w:t>
            </w:r>
          </w:p>
          <w:p>
            <w:pPr>
              <w:pStyle w:val="25"/>
              <w:spacing w:line="320" w:lineRule="exact"/>
              <w:jc w:val="left"/>
              <w:rPr>
                <w:rFonts w:hAnsi="宋体" w:cs="宋体"/>
              </w:rPr>
            </w:pPr>
            <w:r>
              <w:rPr>
                <w:rFonts w:hint="eastAsia" w:hAnsi="宋体" w:cs="宋体"/>
              </w:rPr>
              <w:t>□ 组织：____________________</w:t>
            </w:r>
          </w:p>
          <w:p>
            <w:pPr>
              <w:pStyle w:val="25"/>
              <w:spacing w:line="320" w:lineRule="exact"/>
              <w:jc w:val="left"/>
              <w:rPr>
                <w:rFonts w:hAnsi="宋体" w:cs="宋体"/>
              </w:rPr>
            </w:pPr>
            <w:r>
              <w:rPr>
                <w:rFonts w:hint="eastAsia" w:hAnsi="宋体" w:cs="宋体"/>
              </w:rPr>
              <w:t>（1）时间：____________________</w:t>
            </w:r>
          </w:p>
          <w:p>
            <w:pPr>
              <w:pStyle w:val="25"/>
              <w:spacing w:line="320" w:lineRule="exact"/>
              <w:jc w:val="left"/>
              <w:rPr>
                <w:rFonts w:hAnsi="宋体" w:cs="宋体"/>
              </w:rPr>
            </w:pPr>
            <w:r>
              <w:rPr>
                <w:rFonts w:hint="eastAsia" w:hAnsi="宋体" w:cs="宋体"/>
              </w:rPr>
              <w:t>（2）地点：____________________</w:t>
            </w:r>
          </w:p>
          <w:p>
            <w:pPr>
              <w:pStyle w:val="25"/>
              <w:spacing w:line="320" w:lineRule="exact"/>
              <w:jc w:val="left"/>
              <w:rPr>
                <w:rFonts w:hAnsi="宋体" w:cs="宋体"/>
              </w:rPr>
            </w:pPr>
            <w:r>
              <w:rPr>
                <w:rFonts w:hint="eastAsia" w:hAnsi="宋体" w:cs="宋体"/>
              </w:rPr>
              <w:t>（3）其他：____________________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9" w:type="dxa"/>
            <w:vAlign w:val="center"/>
          </w:tcPr>
          <w:p>
            <w:pPr>
              <w:pStyle w:val="25"/>
              <w:spacing w:line="320" w:lineRule="exact"/>
              <w:jc w:val="center"/>
              <w:rPr>
                <w:rFonts w:hAnsi="宋体" w:cs="宋体"/>
              </w:rPr>
            </w:pPr>
            <w:r>
              <w:rPr>
                <w:rFonts w:hint="eastAsia" w:hAnsi="宋体" w:cs="宋体"/>
              </w:rPr>
              <w:t>6</w:t>
            </w:r>
          </w:p>
        </w:tc>
        <w:tc>
          <w:tcPr>
            <w:tcW w:w="1863" w:type="dxa"/>
            <w:vAlign w:val="center"/>
          </w:tcPr>
          <w:p>
            <w:pPr>
              <w:pStyle w:val="25"/>
              <w:spacing w:line="320" w:lineRule="exact"/>
              <w:jc w:val="center"/>
              <w:rPr>
                <w:rFonts w:hAnsi="宋体" w:cs="宋体"/>
              </w:rPr>
            </w:pPr>
            <w:r>
              <w:rPr>
                <w:rFonts w:hint="eastAsia" w:hAnsi="宋体" w:cs="宋体"/>
              </w:rPr>
              <w:t>样品</w:t>
            </w:r>
          </w:p>
        </w:tc>
        <w:tc>
          <w:tcPr>
            <w:tcW w:w="6931" w:type="dxa"/>
            <w:vAlign w:val="center"/>
          </w:tcPr>
          <w:p>
            <w:pPr>
              <w:pStyle w:val="25"/>
              <w:spacing w:line="320" w:lineRule="exact"/>
              <w:jc w:val="left"/>
              <w:rPr>
                <w:rFonts w:hAnsi="宋体" w:cs="宋体"/>
              </w:rPr>
            </w:pPr>
            <w:r>
              <w:rPr>
                <w:rFonts w:hint="eastAsia" w:hAnsi="宋体"/>
                <w:position w:val="2"/>
              </w:rPr>
              <w:fldChar w:fldCharType="begin"/>
            </w:r>
            <w:r>
              <w:rPr>
                <w:rFonts w:hint="eastAsia" w:hAnsi="宋体"/>
                <w:position w:val="2"/>
              </w:rPr>
              <w:instrText xml:space="preserve">eq \o\ac(□</w:instrText>
            </w:r>
            <w:r>
              <w:rPr>
                <w:rFonts w:hAnsi="宋体"/>
                <w:position w:val="2"/>
              </w:rPr>
              <w:instrText xml:space="preserve">,√)</w:instrText>
            </w:r>
            <w:r>
              <w:rPr>
                <w:rFonts w:hint="eastAsia" w:hAnsi="宋体"/>
                <w:position w:val="2"/>
              </w:rPr>
              <w:fldChar w:fldCharType="end"/>
            </w:r>
            <w:r>
              <w:rPr>
                <w:rFonts w:hAnsi="宋体"/>
                <w:position w:val="2"/>
              </w:rPr>
              <w:t xml:space="preserve"> </w:t>
            </w:r>
            <w:r>
              <w:rPr>
                <w:rFonts w:hint="eastAsia" w:hAnsi="宋体" w:cs="宋体"/>
              </w:rPr>
              <w:t>不要求提供</w:t>
            </w:r>
          </w:p>
          <w:p>
            <w:pPr>
              <w:pStyle w:val="25"/>
              <w:spacing w:line="320" w:lineRule="exact"/>
              <w:jc w:val="left"/>
              <w:rPr>
                <w:rFonts w:hAnsi="宋体" w:cs="宋体"/>
              </w:rPr>
            </w:pPr>
            <w:r>
              <w:rPr>
                <w:rFonts w:hint="eastAsia" w:hAnsi="宋体" w:cs="宋体"/>
              </w:rPr>
              <w:t>□ 要求提供：</w:t>
            </w:r>
          </w:p>
          <w:p>
            <w:pPr>
              <w:pStyle w:val="25"/>
              <w:spacing w:line="320" w:lineRule="exact"/>
              <w:jc w:val="left"/>
              <w:rPr>
                <w:rFonts w:hAnsi="宋体" w:cs="宋体"/>
              </w:rPr>
            </w:pPr>
            <w:r>
              <w:rPr>
                <w:rFonts w:hint="eastAsia" w:hAnsi="宋体" w:cs="宋体"/>
              </w:rPr>
              <w:t>（1）样品制作的标准和要求：____________________</w:t>
            </w:r>
          </w:p>
          <w:p>
            <w:pPr>
              <w:pStyle w:val="25"/>
              <w:spacing w:line="320" w:lineRule="exact"/>
              <w:jc w:val="left"/>
              <w:rPr>
                <w:rFonts w:hAnsi="宋体" w:cs="宋体"/>
              </w:rPr>
            </w:pPr>
            <w:r>
              <w:rPr>
                <w:rFonts w:hint="eastAsia" w:hAnsi="宋体" w:cs="宋体"/>
              </w:rPr>
              <w:t>（2）样品检测报告：（□否；□是，检测机构的要求、检测内容详见第六章项目采购需求）</w:t>
            </w:r>
          </w:p>
          <w:p>
            <w:pPr>
              <w:pStyle w:val="25"/>
              <w:spacing w:line="320" w:lineRule="exact"/>
              <w:jc w:val="left"/>
              <w:rPr>
                <w:rFonts w:hAnsi="宋体" w:cs="宋体"/>
              </w:rPr>
            </w:pPr>
            <w:r>
              <w:rPr>
                <w:rFonts w:hint="eastAsia" w:hAnsi="宋体" w:cs="宋体"/>
              </w:rPr>
              <w:t>（3）样品的评审方法及评审标准：内容详见“第三章 评标办法及标准”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9" w:type="dxa"/>
            <w:vMerge w:val="restart"/>
            <w:vAlign w:val="center"/>
          </w:tcPr>
          <w:p>
            <w:pPr>
              <w:pStyle w:val="25"/>
              <w:spacing w:line="320" w:lineRule="exact"/>
              <w:jc w:val="center"/>
              <w:rPr>
                <w:rFonts w:hAnsi="宋体" w:cs="宋体"/>
              </w:rPr>
            </w:pPr>
            <w:r>
              <w:rPr>
                <w:rFonts w:hint="eastAsia" w:hAnsi="宋体" w:cs="宋体"/>
              </w:rPr>
              <w:t>7</w:t>
            </w:r>
          </w:p>
        </w:tc>
        <w:tc>
          <w:tcPr>
            <w:tcW w:w="1863" w:type="dxa"/>
            <w:vAlign w:val="center"/>
          </w:tcPr>
          <w:p>
            <w:pPr>
              <w:pStyle w:val="25"/>
              <w:spacing w:line="320" w:lineRule="exact"/>
              <w:jc w:val="center"/>
              <w:rPr>
                <w:rFonts w:hAnsi="宋体" w:cs="宋体"/>
              </w:rPr>
            </w:pPr>
            <w:r>
              <w:rPr>
                <w:rFonts w:hint="eastAsia" w:hAnsi="宋体" w:cs="宋体"/>
              </w:rPr>
              <w:t>联合体投标</w:t>
            </w:r>
          </w:p>
        </w:tc>
        <w:tc>
          <w:tcPr>
            <w:tcW w:w="6931" w:type="dxa"/>
            <w:vAlign w:val="center"/>
          </w:tcPr>
          <w:p>
            <w:pPr>
              <w:pStyle w:val="25"/>
              <w:spacing w:line="320" w:lineRule="exact"/>
              <w:jc w:val="left"/>
              <w:rPr>
                <w:rFonts w:hAnsi="宋体" w:cs="宋体"/>
              </w:rPr>
            </w:pPr>
            <w:r>
              <w:rPr>
                <w:rFonts w:hint="eastAsia" w:hAnsi="宋体"/>
                <w:position w:val="2"/>
              </w:rPr>
              <w:fldChar w:fldCharType="begin"/>
            </w:r>
            <w:r>
              <w:rPr>
                <w:rFonts w:hint="eastAsia" w:hAnsi="宋体"/>
                <w:position w:val="2"/>
              </w:rPr>
              <w:instrText xml:space="preserve">eq \o\ac(□</w:instrText>
            </w:r>
            <w:r>
              <w:rPr>
                <w:rFonts w:hAnsi="宋体"/>
                <w:position w:val="2"/>
              </w:rPr>
              <w:instrText xml:space="preserve">,√)</w:instrText>
            </w:r>
            <w:r>
              <w:rPr>
                <w:rFonts w:hint="eastAsia" w:hAnsi="宋体"/>
                <w:position w:val="2"/>
              </w:rPr>
              <w:fldChar w:fldCharType="end"/>
            </w:r>
            <w:r>
              <w:rPr>
                <w:rFonts w:hAnsi="宋体"/>
                <w:position w:val="2"/>
              </w:rPr>
              <w:t xml:space="preserve"> </w:t>
            </w:r>
            <w:r>
              <w:rPr>
                <w:rFonts w:hint="eastAsia" w:hAnsi="宋体" w:cs="宋体"/>
              </w:rPr>
              <w:t>不接受</w:t>
            </w:r>
          </w:p>
          <w:p>
            <w:pPr>
              <w:pStyle w:val="25"/>
              <w:spacing w:line="320" w:lineRule="exact"/>
              <w:jc w:val="left"/>
              <w:rPr>
                <w:rFonts w:hAnsi="宋体" w:cs="宋体"/>
              </w:rPr>
            </w:pPr>
            <w:r>
              <w:rPr>
                <w:rFonts w:hint="eastAsia" w:hAnsi="宋体" w:cs="宋体"/>
              </w:rPr>
              <w:t>□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vAlign w:val="center"/>
          </w:tcPr>
          <w:p>
            <w:pPr>
              <w:pStyle w:val="25"/>
              <w:spacing w:line="320" w:lineRule="exact"/>
              <w:jc w:val="center"/>
              <w:rPr>
                <w:rFonts w:hAnsi="宋体" w:cs="宋体"/>
              </w:rPr>
            </w:pPr>
          </w:p>
        </w:tc>
        <w:tc>
          <w:tcPr>
            <w:tcW w:w="1863" w:type="dxa"/>
            <w:vAlign w:val="center"/>
          </w:tcPr>
          <w:p>
            <w:pPr>
              <w:pStyle w:val="25"/>
              <w:spacing w:line="320" w:lineRule="exact"/>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分包</w:t>
            </w:r>
          </w:p>
        </w:tc>
        <w:tc>
          <w:tcPr>
            <w:tcW w:w="6931" w:type="dxa"/>
            <w:vAlign w:val="center"/>
          </w:tcPr>
          <w:p>
            <w:pPr>
              <w:pStyle w:val="25"/>
              <w:spacing w:line="320" w:lineRule="exact"/>
              <w:jc w:val="left"/>
              <w:rPr>
                <w:rFonts w:hAnsi="宋体" w:cs="宋体"/>
                <w:color w:val="000000" w:themeColor="text1"/>
                <w14:textFill>
                  <w14:solidFill>
                    <w14:schemeClr w14:val="tx1"/>
                  </w14:solidFill>
                </w14:textFill>
              </w:rPr>
            </w:pPr>
            <w:r>
              <w:rPr>
                <w:rFonts w:hint="eastAsia" w:hAnsi="宋体"/>
                <w:color w:val="000000" w:themeColor="text1"/>
                <w:position w:val="2"/>
                <w14:textFill>
                  <w14:solidFill>
                    <w14:schemeClr w14:val="tx1"/>
                  </w14:solidFill>
                </w14:textFill>
              </w:rPr>
              <w:fldChar w:fldCharType="begin"/>
            </w:r>
            <w:r>
              <w:rPr>
                <w:rFonts w:hint="eastAsia" w:hAnsi="宋体"/>
                <w:color w:val="000000" w:themeColor="text1"/>
                <w:position w:val="2"/>
                <w14:textFill>
                  <w14:solidFill>
                    <w14:schemeClr w14:val="tx1"/>
                  </w14:solidFill>
                </w14:textFill>
              </w:rPr>
              <w:instrText xml:space="preserve">eq \o\ac(□</w:instrText>
            </w:r>
            <w:r>
              <w:rPr>
                <w:rFonts w:hAnsi="宋体"/>
                <w:color w:val="000000" w:themeColor="text1"/>
                <w:position w:val="2"/>
                <w14:textFill>
                  <w14:solidFill>
                    <w14:schemeClr w14:val="tx1"/>
                  </w14:solidFill>
                </w14:textFill>
              </w:rPr>
              <w:instrText xml:space="preserve">,√)</w:instrText>
            </w:r>
            <w:r>
              <w:rPr>
                <w:rFonts w:hint="eastAsia" w:hAnsi="宋体"/>
                <w:color w:val="000000" w:themeColor="text1"/>
                <w:position w:val="2"/>
                <w14:textFill>
                  <w14:solidFill>
                    <w14:schemeClr w14:val="tx1"/>
                  </w14:solidFill>
                </w14:textFill>
              </w:rPr>
              <w:fldChar w:fldCharType="end"/>
            </w:r>
            <w:r>
              <w:rPr>
                <w:rFonts w:hint="eastAsia" w:hAnsi="宋体" w:cs="宋体"/>
                <w:color w:val="000000" w:themeColor="text1"/>
                <w14:textFill>
                  <w14:solidFill>
                    <w14:schemeClr w14:val="tx1"/>
                  </w14:solidFill>
                </w14:textFill>
              </w:rPr>
              <w:t>不接受</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89" w:type="dxa"/>
            <w:vAlign w:val="center"/>
          </w:tcPr>
          <w:p>
            <w:pPr>
              <w:pStyle w:val="25"/>
              <w:spacing w:line="320" w:lineRule="exact"/>
              <w:jc w:val="center"/>
              <w:rPr>
                <w:rFonts w:hAnsi="宋体" w:cs="宋体"/>
              </w:rPr>
            </w:pPr>
            <w:r>
              <w:rPr>
                <w:rFonts w:hint="eastAsia" w:hAnsi="宋体" w:cs="宋体"/>
              </w:rPr>
              <w:t>8</w:t>
            </w:r>
          </w:p>
        </w:tc>
        <w:tc>
          <w:tcPr>
            <w:tcW w:w="1863" w:type="dxa"/>
            <w:vAlign w:val="center"/>
          </w:tcPr>
          <w:p>
            <w:pPr>
              <w:pStyle w:val="25"/>
              <w:spacing w:line="320" w:lineRule="exact"/>
              <w:jc w:val="center"/>
              <w:rPr>
                <w:rFonts w:hAnsi="宋体" w:cs="宋体"/>
              </w:rPr>
            </w:pPr>
            <w:r>
              <w:rPr>
                <w:rFonts w:hint="eastAsia" w:hAnsi="宋体" w:cs="宋体"/>
              </w:rPr>
              <w:t>采购进口产品</w:t>
            </w:r>
          </w:p>
        </w:tc>
        <w:tc>
          <w:tcPr>
            <w:tcW w:w="6931" w:type="dxa"/>
            <w:vAlign w:val="center"/>
          </w:tcPr>
          <w:p>
            <w:pPr>
              <w:pStyle w:val="25"/>
              <w:spacing w:line="320" w:lineRule="exact"/>
              <w:jc w:val="left"/>
              <w:rPr>
                <w:rFonts w:hAnsi="宋体" w:cs="宋体"/>
                <w:b/>
                <w:bCs/>
                <w:bdr w:val="single" w:color="auto" w:sz="4" w:space="0"/>
              </w:rPr>
            </w:pPr>
            <w:r>
              <w:rPr>
                <w:rFonts w:hint="eastAsia" w:hAnsi="宋体"/>
                <w:position w:val="2"/>
              </w:rPr>
              <w:fldChar w:fldCharType="begin"/>
            </w:r>
            <w:r>
              <w:rPr>
                <w:rFonts w:hint="eastAsia" w:hAnsi="宋体"/>
                <w:position w:val="2"/>
              </w:rPr>
              <w:instrText xml:space="preserve">eq \o\ac(□</w:instrText>
            </w:r>
            <w:r>
              <w:rPr>
                <w:rFonts w:hAnsi="宋体"/>
                <w:position w:val="2"/>
              </w:rPr>
              <w:instrText xml:space="preserve">,√)</w:instrText>
            </w:r>
            <w:r>
              <w:rPr>
                <w:rFonts w:hint="eastAsia" w:hAnsi="宋体"/>
                <w:position w:val="2"/>
              </w:rPr>
              <w:fldChar w:fldCharType="end"/>
            </w:r>
            <w:r>
              <w:rPr>
                <w:rFonts w:hAnsi="宋体"/>
                <w:position w:val="2"/>
              </w:rPr>
              <w:t xml:space="preserve"> </w:t>
            </w:r>
            <w:r>
              <w:rPr>
                <w:rFonts w:hint="eastAsia" w:hAnsi="宋体" w:cs="宋体"/>
              </w:rPr>
              <w:t>本采购项目拒绝进口产品参加投标</w:t>
            </w:r>
          </w:p>
          <w:p>
            <w:pPr>
              <w:pStyle w:val="25"/>
              <w:spacing w:line="320" w:lineRule="exact"/>
              <w:jc w:val="left"/>
              <w:rPr>
                <w:rFonts w:hAnsi="宋体" w:cs="宋体"/>
              </w:rPr>
            </w:pPr>
            <w:r>
              <w:rPr>
                <w:rFonts w:hint="eastAsia" w:hAnsi="宋体" w:cs="宋体"/>
              </w:rPr>
              <w:t>□ 本采购项目已经财政部审核同意购买的进口产品为：____________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89" w:type="dxa"/>
            <w:vMerge w:val="restart"/>
            <w:vAlign w:val="center"/>
          </w:tcPr>
          <w:p>
            <w:pPr>
              <w:pStyle w:val="25"/>
              <w:spacing w:line="320" w:lineRule="exact"/>
              <w:jc w:val="center"/>
              <w:rPr>
                <w:rFonts w:hAnsi="宋体" w:cs="宋体"/>
              </w:rPr>
            </w:pPr>
            <w:r>
              <w:rPr>
                <w:rFonts w:hint="eastAsia" w:hAnsi="宋体" w:cs="宋体"/>
              </w:rPr>
              <w:t>9</w:t>
            </w:r>
          </w:p>
        </w:tc>
        <w:tc>
          <w:tcPr>
            <w:tcW w:w="1863" w:type="dxa"/>
            <w:vAlign w:val="center"/>
          </w:tcPr>
          <w:p>
            <w:pPr>
              <w:pStyle w:val="25"/>
              <w:spacing w:line="320" w:lineRule="exact"/>
              <w:jc w:val="center"/>
              <w:rPr>
                <w:rFonts w:hAnsi="宋体" w:cs="宋体"/>
              </w:rPr>
            </w:pPr>
            <w:r>
              <w:rPr>
                <w:rFonts w:hint="eastAsia" w:hAnsi="宋体" w:cs="宋体"/>
              </w:rPr>
              <w:t>政府采购强制采购：节能产品</w:t>
            </w:r>
          </w:p>
        </w:tc>
        <w:tc>
          <w:tcPr>
            <w:tcW w:w="6931" w:type="dxa"/>
            <w:vAlign w:val="center"/>
          </w:tcPr>
          <w:p>
            <w:pPr>
              <w:pStyle w:val="25"/>
              <w:spacing w:line="320" w:lineRule="exact"/>
              <w:jc w:val="left"/>
              <w:rPr>
                <w:rFonts w:hAnsi="宋体" w:cs="宋体"/>
                <w:b/>
                <w:bCs/>
                <w:bdr w:val="single" w:color="auto" w:sz="4" w:space="0"/>
              </w:rPr>
            </w:pPr>
            <w:r>
              <w:rPr>
                <w:rFonts w:hint="eastAsia" w:hAnsi="宋体"/>
                <w:color w:val="000000"/>
                <w:position w:val="2"/>
              </w:rPr>
              <w:fldChar w:fldCharType="begin"/>
            </w:r>
            <w:r>
              <w:rPr>
                <w:rFonts w:hint="eastAsia" w:hAnsi="宋体"/>
                <w:color w:val="000000"/>
                <w:position w:val="2"/>
              </w:rPr>
              <w:instrText xml:space="preserve">eq \o\ac(□</w:instrText>
            </w:r>
            <w:r>
              <w:rPr>
                <w:rFonts w:hAnsi="宋体"/>
                <w:color w:val="000000"/>
                <w:position w:val="2"/>
              </w:rPr>
              <w:instrText xml:space="preserve">,√)</w:instrText>
            </w:r>
            <w:r>
              <w:rPr>
                <w:rFonts w:hint="eastAsia" w:hAnsi="宋体"/>
                <w:color w:val="000000"/>
                <w:position w:val="2"/>
              </w:rPr>
              <w:fldChar w:fldCharType="end"/>
            </w:r>
            <w:r>
              <w:rPr>
                <w:rFonts w:hint="eastAsia" w:hAnsi="宋体" w:cs="宋体"/>
              </w:rPr>
              <w:t xml:space="preserve"> 否</w:t>
            </w:r>
          </w:p>
          <w:p>
            <w:pPr>
              <w:pStyle w:val="25"/>
              <w:spacing w:line="320" w:lineRule="exact"/>
              <w:jc w:val="left"/>
              <w:rPr>
                <w:rFonts w:hAnsi="宋体" w:cs="宋体"/>
                <w:color w:val="000000"/>
              </w:rPr>
            </w:pPr>
            <w:r>
              <w:rPr>
                <w:rFonts w:hint="eastAsia" w:hAnsi="宋体" w:cs="宋体"/>
              </w:rPr>
              <w:t xml:space="preserve">□ </w:t>
            </w:r>
            <w:r>
              <w:rPr>
                <w:rFonts w:hint="eastAsia" w:hAnsi="宋体" w:cs="宋体"/>
                <w:color w:val="000000"/>
              </w:rPr>
              <w:t>是，详见“第六章 项目采购需求”的具体规定。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9" w:type="dxa"/>
            <w:vMerge w:val="continue"/>
            <w:vAlign w:val="center"/>
          </w:tcPr>
          <w:p>
            <w:pPr>
              <w:pStyle w:val="25"/>
              <w:spacing w:line="320" w:lineRule="exact"/>
              <w:jc w:val="center"/>
              <w:rPr>
                <w:rFonts w:hAnsi="宋体" w:cs="宋体"/>
              </w:rPr>
            </w:pPr>
          </w:p>
        </w:tc>
        <w:tc>
          <w:tcPr>
            <w:tcW w:w="1863" w:type="dxa"/>
            <w:vAlign w:val="center"/>
          </w:tcPr>
          <w:p>
            <w:pPr>
              <w:pStyle w:val="25"/>
              <w:spacing w:line="320" w:lineRule="exact"/>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政府采购强制采购：信息安全认证</w:t>
            </w:r>
          </w:p>
        </w:tc>
        <w:tc>
          <w:tcPr>
            <w:tcW w:w="6931" w:type="dxa"/>
            <w:vAlign w:val="center"/>
          </w:tcPr>
          <w:p>
            <w:pPr>
              <w:pStyle w:val="25"/>
              <w:spacing w:line="320" w:lineRule="exact"/>
              <w:jc w:val="left"/>
              <w:rPr>
                <w:rFonts w:hAnsi="宋体" w:cs="宋体"/>
                <w:b/>
                <w:bCs/>
                <w:color w:val="000000" w:themeColor="text1"/>
                <w:bdr w:val="single" w:color="auto" w:sz="4" w:space="0"/>
                <w14:textFill>
                  <w14:solidFill>
                    <w14:schemeClr w14:val="tx1"/>
                  </w14:solidFill>
                </w14:textFill>
              </w:rPr>
            </w:pPr>
            <w:r>
              <w:rPr>
                <w:rFonts w:hint="eastAsia" w:hAnsi="宋体"/>
                <w:color w:val="000000" w:themeColor="text1"/>
                <w:position w:val="2"/>
                <w14:textFill>
                  <w14:solidFill>
                    <w14:schemeClr w14:val="tx1"/>
                  </w14:solidFill>
                </w14:textFill>
              </w:rPr>
              <w:fldChar w:fldCharType="begin"/>
            </w:r>
            <w:r>
              <w:rPr>
                <w:rFonts w:hint="eastAsia" w:hAnsi="宋体"/>
                <w:color w:val="000000" w:themeColor="text1"/>
                <w:position w:val="2"/>
                <w14:textFill>
                  <w14:solidFill>
                    <w14:schemeClr w14:val="tx1"/>
                  </w14:solidFill>
                </w14:textFill>
              </w:rPr>
              <w:instrText xml:space="preserve">eq \o\ac(□</w:instrText>
            </w:r>
            <w:r>
              <w:rPr>
                <w:rFonts w:hAnsi="宋体"/>
                <w:color w:val="000000" w:themeColor="text1"/>
                <w:position w:val="2"/>
                <w14:textFill>
                  <w14:solidFill>
                    <w14:schemeClr w14:val="tx1"/>
                  </w14:solidFill>
                </w14:textFill>
              </w:rPr>
              <w:instrText xml:space="preserve">,√)</w:instrText>
            </w:r>
            <w:r>
              <w:rPr>
                <w:rFonts w:hint="eastAsia" w:hAnsi="宋体"/>
                <w:color w:val="000000" w:themeColor="text1"/>
                <w:position w:val="2"/>
                <w14:textFill>
                  <w14:solidFill>
                    <w14:schemeClr w14:val="tx1"/>
                  </w14:solidFill>
                </w14:textFill>
              </w:rPr>
              <w:fldChar w:fldCharType="end"/>
            </w:r>
            <w:r>
              <w:rPr>
                <w:rFonts w:hAnsi="宋体"/>
                <w:color w:val="000000" w:themeColor="text1"/>
                <w:position w:val="2"/>
                <w14:textFill>
                  <w14:solidFill>
                    <w14:schemeClr w14:val="tx1"/>
                  </w14:solidFill>
                </w14:textFill>
              </w:rPr>
              <w:t xml:space="preserve"> </w:t>
            </w:r>
            <w:r>
              <w:rPr>
                <w:rFonts w:hint="eastAsia" w:hAnsi="宋体" w:cs="宋体"/>
                <w:color w:val="000000" w:themeColor="text1"/>
                <w14:textFill>
                  <w14:solidFill>
                    <w14:schemeClr w14:val="tx1"/>
                  </w14:solidFill>
                </w14:textFill>
              </w:rPr>
              <w:t>否</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pStyle w:val="25"/>
              <w:spacing w:line="320" w:lineRule="exact"/>
              <w:jc w:val="center"/>
              <w:rPr>
                <w:rFonts w:hAnsi="宋体" w:cs="宋体"/>
              </w:rPr>
            </w:pPr>
            <w:r>
              <w:rPr>
                <w:rFonts w:hint="eastAsia" w:hAnsi="宋体" w:cs="宋体"/>
              </w:rPr>
              <w:t>10</w:t>
            </w:r>
          </w:p>
        </w:tc>
        <w:tc>
          <w:tcPr>
            <w:tcW w:w="1863" w:type="dxa"/>
            <w:vAlign w:val="center"/>
          </w:tcPr>
          <w:p>
            <w:pPr>
              <w:pStyle w:val="25"/>
              <w:spacing w:line="320" w:lineRule="exact"/>
              <w:jc w:val="center"/>
              <w:rPr>
                <w:rFonts w:hAnsi="宋体" w:cs="宋体"/>
              </w:rPr>
            </w:pPr>
            <w:r>
              <w:rPr>
                <w:rFonts w:hint="eastAsia" w:hAnsi="宋体" w:cs="宋体"/>
              </w:rPr>
              <w:t>政府采购优先采购：节能产品</w:t>
            </w:r>
          </w:p>
        </w:tc>
        <w:tc>
          <w:tcPr>
            <w:tcW w:w="6931" w:type="dxa"/>
            <w:vAlign w:val="center"/>
          </w:tcPr>
          <w:p>
            <w:pPr>
              <w:spacing w:line="320" w:lineRule="exact"/>
              <w:rPr>
                <w:rFonts w:ascii="宋体" w:hAnsi="宋体"/>
                <w:color w:val="000000"/>
                <w:szCs w:val="21"/>
              </w:rPr>
            </w:pPr>
            <w:r>
              <w:rPr>
                <w:rFonts w:hint="eastAsia" w:ascii="宋体" w:hAnsi="宋体"/>
                <w:color w:val="000000"/>
                <w:szCs w:val="21"/>
              </w:rPr>
              <w:t>产品属于“节能产品政府采购品目清单”范围的，依据国家确定的认证机构出具的、处于有效期之内的节能产品认证证书，实施优先采购，在评审时予以价格扣除，用扣除后的价格参与评审，本项目的扣除比例为：</w:t>
            </w:r>
            <w:r>
              <w:rPr>
                <w:rFonts w:ascii="宋体" w:hAnsi="宋体"/>
                <w:color w:val="000000"/>
                <w:szCs w:val="21"/>
                <w:u w:val="single"/>
              </w:rPr>
              <w:t xml:space="preserve">4 </w:t>
            </w:r>
            <w:r>
              <w:rPr>
                <w:rFonts w:hint="eastAsia" w:ascii="宋体" w:hAnsi="宋体"/>
                <w:color w:val="000000"/>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5"/>
              <w:spacing w:line="320" w:lineRule="exact"/>
              <w:jc w:val="center"/>
              <w:rPr>
                <w:rFonts w:hAnsi="宋体" w:cs="宋体"/>
              </w:rPr>
            </w:pPr>
          </w:p>
        </w:tc>
        <w:tc>
          <w:tcPr>
            <w:tcW w:w="1863" w:type="dxa"/>
            <w:vAlign w:val="center"/>
          </w:tcPr>
          <w:p>
            <w:pPr>
              <w:pStyle w:val="25"/>
              <w:spacing w:line="320" w:lineRule="exact"/>
              <w:jc w:val="center"/>
              <w:rPr>
                <w:rFonts w:hAnsi="宋体" w:cs="宋体"/>
              </w:rPr>
            </w:pPr>
            <w:r>
              <w:rPr>
                <w:rFonts w:hint="eastAsia" w:hAnsi="宋体" w:cs="宋体"/>
              </w:rPr>
              <w:t>政府采购优先采购：环境标志产品</w:t>
            </w:r>
          </w:p>
        </w:tc>
        <w:tc>
          <w:tcPr>
            <w:tcW w:w="6931" w:type="dxa"/>
            <w:vAlign w:val="center"/>
          </w:tcPr>
          <w:p>
            <w:pPr>
              <w:spacing w:line="320" w:lineRule="exact"/>
              <w:rPr>
                <w:rFonts w:ascii="宋体" w:hAnsi="宋体"/>
                <w:color w:val="000000"/>
                <w:szCs w:val="21"/>
              </w:rPr>
            </w:pPr>
            <w:r>
              <w:rPr>
                <w:rFonts w:hint="eastAsia" w:ascii="宋体" w:hAnsi="宋体"/>
                <w:color w:val="000000"/>
                <w:szCs w:val="21"/>
              </w:rPr>
              <w:t>产品属于“环境标志产品政府采购品目清单”范围的，依据国家确定的认证机构出具的、处于有效期之内的环境标志产品认证证书，实施优先采购，在评审时予以价格扣除，用扣除后的价格参与评审，本项目的扣除比例为：</w:t>
            </w:r>
            <w:r>
              <w:rPr>
                <w:rFonts w:ascii="宋体" w:hAnsi="宋体"/>
                <w:color w:val="000000"/>
                <w:szCs w:val="21"/>
                <w:u w:val="single"/>
              </w:rPr>
              <w:t>4</w:t>
            </w:r>
            <w:r>
              <w:rPr>
                <w:rFonts w:hint="eastAsia" w:ascii="宋体" w:hAnsi="宋体"/>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pStyle w:val="25"/>
              <w:spacing w:line="320" w:lineRule="exact"/>
              <w:jc w:val="center"/>
              <w:rPr>
                <w:rFonts w:hAnsi="宋体" w:cs="宋体"/>
              </w:rPr>
            </w:pPr>
            <w:r>
              <w:rPr>
                <w:rFonts w:hint="eastAsia" w:hAnsi="宋体" w:cs="宋体"/>
              </w:rPr>
              <w:t>11</w:t>
            </w:r>
          </w:p>
        </w:tc>
        <w:tc>
          <w:tcPr>
            <w:tcW w:w="1863" w:type="dxa"/>
            <w:vAlign w:val="center"/>
          </w:tcPr>
          <w:p>
            <w:pPr>
              <w:pStyle w:val="25"/>
              <w:spacing w:line="320" w:lineRule="exact"/>
              <w:jc w:val="center"/>
              <w:rPr>
                <w:rFonts w:hAnsi="宋体" w:cs="宋体"/>
                <w:color w:val="000000"/>
              </w:rPr>
            </w:pPr>
            <w:r>
              <w:rPr>
                <w:rFonts w:hint="eastAsia" w:hAnsi="宋体" w:cs="宋体"/>
                <w:color w:val="000000"/>
              </w:rPr>
              <w:t>支持中小企业发展</w:t>
            </w:r>
          </w:p>
        </w:tc>
        <w:tc>
          <w:tcPr>
            <w:tcW w:w="6931" w:type="dxa"/>
            <w:vAlign w:val="center"/>
          </w:tcPr>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rPr>
              <w:t>本项目采购标的对应的中小企业划分标准所属行业为：</w:t>
            </w:r>
            <w:r>
              <w:rPr>
                <w:rFonts w:hAnsi="宋体" w:cs="宋体"/>
                <w:b/>
                <w:bCs/>
                <w:color w:val="000000" w:themeColor="text1"/>
                <w:u w:val="single"/>
                <w14:textFill>
                  <w14:solidFill>
                    <w14:schemeClr w14:val="tx1"/>
                  </w14:solidFill>
                </w14:textFill>
              </w:rPr>
              <w:t>_</w:t>
            </w:r>
            <w:r>
              <w:rPr>
                <w:rFonts w:hint="eastAsia" w:hAnsi="宋体" w:cs="宋体"/>
                <w:b/>
                <w:bCs/>
                <w:color w:val="000000" w:themeColor="text1"/>
                <w:u w:val="single"/>
                <w14:textFill>
                  <w14:solidFill>
                    <w14:schemeClr w14:val="tx1"/>
                  </w14:solidFill>
                </w14:textFill>
              </w:rPr>
              <w:t>软件和信息技术服务业</w:t>
            </w:r>
            <w:r>
              <w:rPr>
                <w:rFonts w:hAnsi="宋体" w:cs="宋体"/>
                <w:b/>
                <w:bCs/>
                <w:color w:val="000000" w:themeColor="text1"/>
                <w:u w:val="single"/>
                <w14:textFill>
                  <w14:solidFill>
                    <w14:schemeClr w14:val="tx1"/>
                  </w14:solidFill>
                </w14:textFill>
              </w:rPr>
              <w:t>_</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专门面向中小企业采购项目</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fldChar w:fldCharType="begin"/>
            </w:r>
            <w:r>
              <w:rPr>
                <w:rFonts w:hint="eastAsia" w:hAnsi="宋体" w:cs="宋体"/>
                <w:color w:val="000000" w:themeColor="text1"/>
                <w14:textFill>
                  <w14:solidFill>
                    <w14:schemeClr w14:val="tx1"/>
                  </w14:solidFill>
                </w14:textFill>
              </w:rPr>
              <w:instrText xml:space="preserve">eq \o\ac(□</w:instrText>
            </w:r>
            <w:r>
              <w:rPr>
                <w:rFonts w:hAnsi="宋体" w:cs="宋体"/>
                <w:color w:val="000000" w:themeColor="text1"/>
                <w14:textFill>
                  <w14:solidFill>
                    <w14:schemeClr w14:val="tx1"/>
                  </w14:solidFill>
                </w14:textFill>
              </w:rPr>
              <w:instrText xml:space="preserve">,√)</w:instrText>
            </w:r>
            <w:r>
              <w:rPr>
                <w:rFonts w:hint="eastAsia" w:hAnsi="宋体" w:cs="宋体"/>
                <w:color w:val="000000" w:themeColor="text1"/>
                <w14:textFill>
                  <w14:solidFill>
                    <w14:schemeClr w14:val="tx1"/>
                  </w14:solidFill>
                </w14:textFill>
              </w:rPr>
              <w:fldChar w:fldCharType="end"/>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非专门面向中小企业采购项目（价格扣除）：</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（1）对小型和微型企业的价格给予</w:t>
            </w:r>
            <w:r>
              <w:rPr>
                <w:rFonts w:hint="eastAsia" w:hAnsi="宋体" w:cs="宋体"/>
                <w:color w:val="000000" w:themeColor="text1"/>
                <w:lang w:val="en-US" w:eastAsia="zh-CN"/>
                <w14:textFill>
                  <w14:solidFill>
                    <w14:schemeClr w14:val="tx1"/>
                  </w14:solidFill>
                </w14:textFill>
              </w:rPr>
              <w:t>10</w:t>
            </w: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2</w:t>
            </w:r>
            <w:r>
              <w:rPr>
                <w:rFonts w:hint="eastAsia" w:hAnsi="宋体" w:cs="宋体"/>
                <w:color w:val="000000" w:themeColor="text1"/>
                <w14:textFill>
                  <w14:solidFill>
                    <w14:schemeClr w14:val="tx1"/>
                  </w14:solidFill>
                </w14:textFill>
              </w:rPr>
              <w:t>0%的扣除，用扣除后的价格参与评审。本项目的扣除比例为：小型企业扣除</w:t>
            </w:r>
            <w:r>
              <w:rPr>
                <w:rFonts w:hAnsi="宋体" w:cs="宋体"/>
                <w:color w:val="000000" w:themeColor="text1"/>
                <w:u w:val="single"/>
                <w14:textFill>
                  <w14:solidFill>
                    <w14:schemeClr w14:val="tx1"/>
                  </w14:solidFill>
                </w14:textFill>
              </w:rPr>
              <w:t>10</w:t>
            </w:r>
            <w:r>
              <w:rPr>
                <w:rFonts w:hint="eastAsia" w:hAnsi="宋体" w:cs="宋体"/>
                <w:color w:val="000000" w:themeColor="text1"/>
                <w14:textFill>
                  <w14:solidFill>
                    <w14:schemeClr w14:val="tx1"/>
                  </w14:solidFill>
                </w14:textFill>
              </w:rPr>
              <w:t>%，微型企业扣除</w:t>
            </w:r>
            <w:r>
              <w:rPr>
                <w:rFonts w:hAnsi="宋体" w:cs="宋体"/>
                <w:color w:val="000000" w:themeColor="text1"/>
                <w:u w:val="single"/>
                <w14:textFill>
                  <w14:solidFill>
                    <w14:schemeClr w14:val="tx1"/>
                  </w14:solidFill>
                </w14:textFill>
              </w:rPr>
              <w:t>10</w:t>
            </w:r>
            <w:r>
              <w:rPr>
                <w:rFonts w:hint="eastAsia" w:hAnsi="宋体" w:cs="宋体"/>
                <w:color w:val="000000" w:themeColor="text1"/>
                <w14:textFill>
                  <w14:solidFill>
                    <w14:schemeClr w14:val="tx1"/>
                  </w14:solidFill>
                </w14:textFill>
              </w:rPr>
              <w:t>%。</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（2）本项目接受联合体投标的，若小型和微型企业的协议合同金额占到联合体协议合同总金额30%以上的，可给予联合体2%～3%的扣除，用扣除后的价格参与评审。本项目的扣除比例为：</w:t>
            </w:r>
            <w:r>
              <w:rPr>
                <w:rFonts w:hint="eastAsia" w:hAnsi="宋体" w:cs="宋体"/>
                <w:color w:val="000000" w:themeColor="text1"/>
                <w:u w:val="single"/>
                <w14:textFill>
                  <w14:solidFill>
                    <w14:schemeClr w14:val="tx1"/>
                  </w14:solidFill>
                </w14:textFill>
              </w:rPr>
              <w:t xml:space="preserve"> / </w:t>
            </w:r>
            <w:r>
              <w:rPr>
                <w:rFonts w:hint="eastAsia" w:hAnsi="宋体" w:cs="宋体"/>
                <w:color w:val="000000" w:themeColor="text1"/>
                <w14:textFill>
                  <w14:solidFill>
                    <w14:schemeClr w14:val="tx1"/>
                  </w14:solidFill>
                </w14:textFill>
              </w:rPr>
              <w:t>%。</w:t>
            </w:r>
          </w:p>
          <w:p>
            <w:pPr>
              <w:pStyle w:val="25"/>
              <w:spacing w:line="320" w:lineRule="exact"/>
              <w:jc w:val="left"/>
              <w:rPr>
                <w:rFonts w:hAnsi="宋体" w:cs="宋体"/>
                <w:color w:val="000000"/>
              </w:rPr>
            </w:pPr>
            <w:r>
              <w:rPr>
                <w:rFonts w:hint="eastAsia" w:hAnsi="宋体" w:cs="宋体"/>
                <w:color w:val="000000" w:themeColor="text1"/>
                <w14:textFill>
                  <w14:solidFill>
                    <w14:schemeClr w14:val="tx1"/>
                  </w14:solidFill>
                </w14:textFill>
              </w:rPr>
              <w:t>□ 非专门面向中小企业采购项目（其他优惠）：</w:t>
            </w:r>
            <w:r>
              <w:rPr>
                <w:rFonts w:hAnsi="宋体" w:cs="宋体"/>
                <w:color w:val="000000" w:themeColor="text1"/>
                <w14:textFill>
                  <w14:solidFill>
                    <w14:schemeClr w14:val="tx1"/>
                  </w14:solidFill>
                </w14:textFill>
              </w:rPr>
              <w:t>_</w:t>
            </w:r>
            <w:r>
              <w:rPr>
                <w:rFonts w:hAnsi="宋体" w:cs="宋体"/>
                <w:color w:val="000000" w:themeColor="text1"/>
                <w:u w:val="single"/>
                <w14:textFill>
                  <w14:solidFill>
                    <w14:schemeClr w14:val="tx1"/>
                  </w14:solidFill>
                </w14:textFill>
              </w:rPr>
              <w:t>/</w:t>
            </w:r>
            <w:r>
              <w:rPr>
                <w:rFonts w:hAnsi="宋体" w:cs="宋体"/>
                <w:color w:val="000000" w:themeColor="text1"/>
                <w14:textFill>
                  <w14:solidFill>
                    <w14:schemeClr w14:val="tx1"/>
                  </w14:solidFill>
                </w14:textFill>
              </w:rPr>
              <w:t>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689" w:type="dxa"/>
            <w:vMerge w:val="continue"/>
            <w:vAlign w:val="center"/>
          </w:tcPr>
          <w:p>
            <w:pPr>
              <w:pStyle w:val="25"/>
              <w:spacing w:line="320" w:lineRule="exact"/>
              <w:jc w:val="center"/>
              <w:rPr>
                <w:rFonts w:hAnsi="宋体" w:cs="宋体"/>
              </w:rPr>
            </w:pPr>
          </w:p>
        </w:tc>
        <w:tc>
          <w:tcPr>
            <w:tcW w:w="1863" w:type="dxa"/>
            <w:vAlign w:val="center"/>
          </w:tcPr>
          <w:p>
            <w:pPr>
              <w:pStyle w:val="25"/>
              <w:spacing w:line="320" w:lineRule="exact"/>
              <w:jc w:val="center"/>
              <w:rPr>
                <w:rFonts w:hAnsi="宋体" w:cs="宋体"/>
              </w:rPr>
            </w:pPr>
            <w:r>
              <w:rPr>
                <w:rFonts w:hint="eastAsia"/>
                <w:highlight w:val="white"/>
              </w:rPr>
              <w:t>监狱企业、残疾人福利性单位</w:t>
            </w:r>
          </w:p>
        </w:tc>
        <w:tc>
          <w:tcPr>
            <w:tcW w:w="6931" w:type="dxa"/>
            <w:vAlign w:val="center"/>
          </w:tcPr>
          <w:p>
            <w:pPr>
              <w:adjustRightInd w:val="0"/>
              <w:snapToGrid w:val="0"/>
              <w:spacing w:line="340" w:lineRule="exact"/>
              <w:rPr>
                <w:rFonts w:ascii="宋体" w:hAnsi="宋体" w:cs="宋体"/>
                <w:kern w:val="0"/>
              </w:rPr>
            </w:pPr>
            <w:r>
              <w:rPr>
                <w:rFonts w:hint="eastAsia" w:ascii="宋体" w:hAnsi="宋体" w:cs="宋体"/>
                <w:kern w:val="0"/>
                <w:highlight w:val="white"/>
              </w:rPr>
              <w:t>监狱企业、残疾人福利性单位视同小微企业。投标人如提供监狱企业、残疾人福利性单位生产的产品，投标文件必须按招标文件要求提供“享受政府采购政策优惠的证明材料”，否则评审时不予以考虑。</w:t>
            </w:r>
          </w:p>
          <w:p>
            <w:pPr>
              <w:pStyle w:val="25"/>
              <w:spacing w:line="320" w:lineRule="exact"/>
              <w:jc w:val="left"/>
              <w:rPr>
                <w:rFonts w:hAnsi="宋体" w:cs="宋体"/>
              </w:rPr>
            </w:pPr>
            <w:r>
              <w:rPr>
                <w:rFonts w:hint="eastAsia" w:hAnsi="宋体" w:cs="宋体"/>
                <w:kern w:val="0"/>
                <w:highlight w:val="white"/>
              </w:rPr>
              <w:t>监狱企业、残疾人福利性单位生产的产品的价格给予6%-10%的扣除，用扣除后的价格参与评审，本项目具体扣除比例为：价格部分</w:t>
            </w:r>
            <w:bookmarkStart w:id="19" w:name="EB7533d9a537944b1d9e06d32182feb747"/>
            <w:bookmarkEnd w:id="19"/>
            <w:r>
              <w:rPr>
                <w:bCs/>
                <w:color w:val="0000CC"/>
                <w:u w:val="single"/>
              </w:rPr>
              <w:t>/</w:t>
            </w:r>
            <w:r>
              <w:rPr>
                <w:rFonts w:hint="eastAsia" w:hAnsi="宋体" w:cs="宋体"/>
                <w:kern w:val="0"/>
                <w:highlight w:val="whit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89" w:type="dxa"/>
            <w:vMerge w:val="continue"/>
            <w:vAlign w:val="center"/>
          </w:tcPr>
          <w:p>
            <w:pPr>
              <w:pStyle w:val="25"/>
              <w:spacing w:line="320" w:lineRule="exact"/>
              <w:jc w:val="center"/>
              <w:rPr>
                <w:rFonts w:hAnsi="宋体" w:cs="宋体"/>
              </w:rPr>
            </w:pPr>
          </w:p>
        </w:tc>
        <w:tc>
          <w:tcPr>
            <w:tcW w:w="1863" w:type="dxa"/>
            <w:vAlign w:val="center"/>
          </w:tcPr>
          <w:p>
            <w:pPr>
              <w:widowControl/>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政策规定说明</w:t>
            </w:r>
          </w:p>
        </w:tc>
        <w:tc>
          <w:tcPr>
            <w:tcW w:w="6931"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）投标产品取得两个及以上优先采购产品认证的，评审时只有其中一项能享受优先采购优惠（投标人自行选择，并在投标文件中填报相关信息及数据）。</w:t>
            </w:r>
          </w:p>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）投标人同时符合小型、微型企业及监狱企业、残疾人福利性单位要求的，评审时只有一种类型享受价格评审优惠政策。</w:t>
            </w:r>
          </w:p>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）小型和微型企业的价格评审优惠可以与同时属于“节能产品”、“环境标志产品”中的一项优先采购优惠累加计算。</w:t>
            </w:r>
          </w:p>
          <w:p>
            <w:pPr>
              <w:widowControl/>
              <w:spacing w:line="32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）投标人提供的投标产品只有部分属于小型、微型企业制造的产品，</w:t>
            </w:r>
            <w:r>
              <w:rPr>
                <w:rFonts w:hint="eastAsia"/>
                <w:color w:val="000000" w:themeColor="text1"/>
                <w:szCs w:val="21"/>
                <w14:textFill>
                  <w14:solidFill>
                    <w14:schemeClr w14:val="tx1"/>
                  </w14:solidFill>
                </w14:textFill>
              </w:rPr>
              <w:t>评审时不予对投标报价实行价格扣除。</w:t>
            </w:r>
          </w:p>
          <w:p>
            <w:pPr>
              <w:widowControl/>
              <w:spacing w:line="320" w:lineRule="exact"/>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）投标人提供的投标产品只有部分</w:t>
            </w:r>
            <w:r>
              <w:rPr>
                <w:rFonts w:hint="eastAsia"/>
                <w:color w:val="000000" w:themeColor="text1"/>
                <w:szCs w:val="21"/>
                <w14:textFill>
                  <w14:solidFill>
                    <w14:schemeClr w14:val="tx1"/>
                  </w14:solidFill>
                </w14:textFill>
              </w:rPr>
              <w:t>属于优先采购的，评审时只对该部分产品的报价实行价格扣除。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9" w:type="dxa"/>
            <w:vAlign w:val="center"/>
          </w:tcPr>
          <w:p>
            <w:pPr>
              <w:pStyle w:val="25"/>
              <w:spacing w:line="320" w:lineRule="exact"/>
              <w:jc w:val="center"/>
              <w:rPr>
                <w:rFonts w:hAnsi="宋体" w:cs="宋体"/>
              </w:rPr>
            </w:pPr>
            <w:r>
              <w:rPr>
                <w:rFonts w:hint="eastAsia" w:hAnsi="宋体" w:cs="宋体"/>
              </w:rPr>
              <w:t>12</w:t>
            </w:r>
          </w:p>
        </w:tc>
        <w:tc>
          <w:tcPr>
            <w:tcW w:w="1863" w:type="dxa"/>
            <w:vAlign w:val="center"/>
          </w:tcPr>
          <w:p>
            <w:pPr>
              <w:pStyle w:val="25"/>
              <w:spacing w:line="320" w:lineRule="exact"/>
              <w:jc w:val="center"/>
              <w:rPr>
                <w:rFonts w:hAnsi="宋体" w:cs="宋体"/>
              </w:rPr>
            </w:pPr>
            <w:r>
              <w:rPr>
                <w:rFonts w:hint="eastAsia" w:hAnsi="宋体" w:cs="宋体"/>
              </w:rPr>
              <w:t>其他法律法规强制性规定或扶持政策</w:t>
            </w:r>
          </w:p>
        </w:tc>
        <w:tc>
          <w:tcPr>
            <w:tcW w:w="6931" w:type="dxa"/>
            <w:vAlign w:val="center"/>
          </w:tcPr>
          <w:p>
            <w:pPr>
              <w:pStyle w:val="25"/>
              <w:spacing w:line="320" w:lineRule="exact"/>
              <w:jc w:val="left"/>
              <w:rPr>
                <w:rFonts w:hAnsi="宋体" w:cs="宋体"/>
              </w:rPr>
            </w:pPr>
            <w:r>
              <w:rPr>
                <w:rFonts w:hint="eastAsia" w:hAnsi="宋体" w:cs="宋体"/>
              </w:rPr>
              <w:t>政府采购支持中小企业融资：有融资需求的，可向本附表附页1所列银行咨询或登陆中国政府采购网查询。</w:t>
            </w:r>
          </w:p>
          <w:p>
            <w:pPr>
              <w:pStyle w:val="25"/>
              <w:spacing w:line="320" w:lineRule="exact"/>
              <w:jc w:val="left"/>
              <w:rPr>
                <w:rFonts w:hAnsi="宋体" w:cs="宋体"/>
              </w:rPr>
            </w:pPr>
            <w:r>
              <w:rPr>
                <w:rFonts w:hint="eastAsia" w:hAnsi="宋体" w:cs="宋体"/>
              </w:rPr>
              <w:t>政府采购信用担保：有履约担保或融资担保需求的，可向本附表附页2所列担保机构咨询或登陆中国政府采购网查询，格式见附页3。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13</w:t>
            </w:r>
          </w:p>
        </w:tc>
        <w:tc>
          <w:tcPr>
            <w:tcW w:w="1863" w:type="dxa"/>
            <w:vAlign w:val="center"/>
          </w:tcPr>
          <w:p>
            <w:pPr>
              <w:pStyle w:val="25"/>
              <w:spacing w:line="320" w:lineRule="exact"/>
              <w:jc w:val="center"/>
              <w:rPr>
                <w:rFonts w:hAnsi="宋体" w:cs="宋体"/>
              </w:rPr>
            </w:pPr>
            <w:r>
              <w:rPr>
                <w:rFonts w:hint="eastAsia" w:hAnsi="宋体" w:cs="宋体"/>
              </w:rPr>
              <w:t>投标人须提供的</w:t>
            </w:r>
          </w:p>
          <w:p>
            <w:pPr>
              <w:pStyle w:val="25"/>
              <w:spacing w:line="320" w:lineRule="exact"/>
              <w:jc w:val="center"/>
              <w:rPr>
                <w:rFonts w:hAnsi="宋体" w:cs="宋体"/>
              </w:rPr>
            </w:pPr>
            <w:r>
              <w:rPr>
                <w:rFonts w:hint="eastAsia" w:hAnsi="宋体" w:cs="宋体"/>
              </w:rPr>
              <w:t>其他资料</w:t>
            </w:r>
          </w:p>
        </w:tc>
        <w:tc>
          <w:tcPr>
            <w:tcW w:w="6931" w:type="dxa"/>
            <w:vAlign w:val="center"/>
          </w:tcPr>
          <w:p>
            <w:pPr>
              <w:pStyle w:val="25"/>
              <w:spacing w:line="320" w:lineRule="exact"/>
              <w:jc w:val="left"/>
              <w:rPr>
                <w:rFonts w:hAnsi="宋体" w:cs="宋体"/>
              </w:rPr>
            </w:pPr>
            <w:r>
              <w:rPr>
                <w:rFonts w:hint="eastAsia" w:hAnsi="宋体" w:cs="宋体"/>
              </w:rPr>
              <w:t>详见“</w:t>
            </w:r>
            <w:r>
              <w:rPr>
                <w:rFonts w:hint="eastAsia" w:hAnsi="宋体" w:cs="宋体"/>
                <w:b/>
                <w:bCs/>
              </w:rPr>
              <w:t>第五章 投标文件格式</w:t>
            </w:r>
            <w:r>
              <w:rPr>
                <w:rFonts w:hint="eastAsia" w:hAnsi="宋体" w:cs="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14</w:t>
            </w:r>
          </w:p>
        </w:tc>
        <w:tc>
          <w:tcPr>
            <w:tcW w:w="1863" w:type="dxa"/>
            <w:vAlign w:val="center"/>
          </w:tcPr>
          <w:p>
            <w:pPr>
              <w:pStyle w:val="25"/>
              <w:spacing w:line="320" w:lineRule="exact"/>
              <w:jc w:val="center"/>
              <w:rPr>
                <w:rFonts w:hAnsi="宋体" w:cs="宋体"/>
              </w:rPr>
            </w:pPr>
            <w:r>
              <w:rPr>
                <w:rFonts w:hint="eastAsia" w:hAnsi="宋体" w:cs="宋体"/>
              </w:rPr>
              <w:t>澄清或者修改时间</w:t>
            </w:r>
          </w:p>
        </w:tc>
        <w:tc>
          <w:tcPr>
            <w:tcW w:w="6931" w:type="dxa"/>
            <w:vAlign w:val="center"/>
          </w:tcPr>
          <w:p>
            <w:pPr>
              <w:pStyle w:val="25"/>
              <w:spacing w:line="320" w:lineRule="exact"/>
              <w:jc w:val="left"/>
              <w:rPr>
                <w:rFonts w:hAnsi="宋体" w:cs="宋体"/>
              </w:rPr>
            </w:pPr>
            <w:r>
              <w:rPr>
                <w:rFonts w:hint="eastAsia" w:hAnsi="宋体" w:cs="宋体"/>
              </w:rPr>
              <w:t>澄清或者修改的内容可能影响投标文件编制的，将在投标截止时间至少15日前，以书面形式通知所有获取招标文件的潜在投标人；不足15日的，将顺延提交投标文件的截止时间。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15</w:t>
            </w:r>
          </w:p>
        </w:tc>
        <w:tc>
          <w:tcPr>
            <w:tcW w:w="1863" w:type="dxa"/>
            <w:vAlign w:val="center"/>
          </w:tcPr>
          <w:p>
            <w:pPr>
              <w:pStyle w:val="25"/>
              <w:spacing w:line="320" w:lineRule="exact"/>
              <w:jc w:val="center"/>
              <w:rPr>
                <w:rFonts w:hAnsi="宋体" w:cs="宋体"/>
              </w:rPr>
            </w:pPr>
            <w:r>
              <w:rPr>
                <w:rFonts w:hint="eastAsia" w:hAnsi="宋体" w:cs="宋体"/>
              </w:rPr>
              <w:t>项目特殊要求</w:t>
            </w:r>
          </w:p>
        </w:tc>
        <w:tc>
          <w:tcPr>
            <w:tcW w:w="6931" w:type="dxa"/>
            <w:vAlign w:val="center"/>
          </w:tcPr>
          <w:p>
            <w:pPr>
              <w:pStyle w:val="25"/>
              <w:spacing w:line="320" w:lineRule="exact"/>
              <w:jc w:val="left"/>
              <w:rPr>
                <w:rFonts w:hAnsi="宋体" w:cs="宋体"/>
              </w:rPr>
            </w:pPr>
            <w:r>
              <w:rPr>
                <w:rFonts w:hint="eastAsia" w:hAnsi="宋体" w:cs="宋体"/>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16</w:t>
            </w:r>
          </w:p>
        </w:tc>
        <w:tc>
          <w:tcPr>
            <w:tcW w:w="1863" w:type="dxa"/>
            <w:vAlign w:val="center"/>
          </w:tcPr>
          <w:p>
            <w:pPr>
              <w:pStyle w:val="25"/>
              <w:spacing w:line="320" w:lineRule="exact"/>
              <w:jc w:val="center"/>
              <w:rPr>
                <w:rFonts w:hAnsi="宋体" w:cs="宋体"/>
              </w:rPr>
            </w:pPr>
            <w:r>
              <w:rPr>
                <w:rFonts w:hint="eastAsia" w:hAnsi="宋体" w:cs="宋体"/>
              </w:rPr>
              <w:t>提交投标文件的截止时间、地点</w:t>
            </w:r>
          </w:p>
        </w:tc>
        <w:tc>
          <w:tcPr>
            <w:tcW w:w="6931" w:type="dxa"/>
            <w:vAlign w:val="center"/>
          </w:tcPr>
          <w:p>
            <w:pPr>
              <w:pStyle w:val="25"/>
              <w:spacing w:line="320" w:lineRule="exact"/>
              <w:jc w:val="left"/>
              <w:rPr>
                <w:rFonts w:hAnsi="宋体" w:cs="宋体"/>
              </w:rPr>
            </w:pPr>
            <w:r>
              <w:rPr>
                <w:rFonts w:hint="eastAsia" w:hAnsi="宋体" w:cs="宋体"/>
              </w:rPr>
              <w:t>时间：</w:t>
            </w:r>
            <w:r>
              <w:rPr>
                <w:rFonts w:hint="eastAsia" w:ascii="宋体" w:hAnsi="宋体" w:cs="宋体"/>
                <w:b/>
                <w:bCs/>
                <w:color w:val="0000CC"/>
                <w:kern w:val="0"/>
                <w:szCs w:val="21"/>
              </w:rPr>
              <w:t>202</w:t>
            </w:r>
            <w:r>
              <w:rPr>
                <w:rFonts w:ascii="宋体" w:hAnsi="宋体" w:cs="宋体"/>
                <w:b/>
                <w:bCs/>
                <w:color w:val="0000CC"/>
                <w:kern w:val="0"/>
                <w:szCs w:val="21"/>
              </w:rPr>
              <w:t>2</w:t>
            </w:r>
            <w:r>
              <w:rPr>
                <w:rFonts w:hint="eastAsia" w:ascii="宋体" w:hAnsi="宋体" w:cs="宋体"/>
                <w:b/>
                <w:bCs/>
                <w:color w:val="0000CC"/>
                <w:kern w:val="0"/>
                <w:szCs w:val="21"/>
              </w:rPr>
              <w:t>年</w:t>
            </w:r>
            <w:r>
              <w:rPr>
                <w:rFonts w:hint="eastAsia" w:ascii="宋体" w:hAnsi="宋体" w:cs="宋体"/>
                <w:b/>
                <w:bCs/>
                <w:color w:val="0000CC"/>
                <w:kern w:val="0"/>
                <w:szCs w:val="21"/>
                <w:lang w:val="en-US" w:eastAsia="zh-CN"/>
              </w:rPr>
              <w:t>8</w:t>
            </w:r>
            <w:r>
              <w:rPr>
                <w:rFonts w:hint="eastAsia" w:ascii="宋体" w:hAnsi="宋体" w:cs="宋体"/>
                <w:b/>
                <w:bCs/>
                <w:color w:val="0000CC"/>
                <w:kern w:val="0"/>
                <w:szCs w:val="21"/>
              </w:rPr>
              <w:t>月</w:t>
            </w:r>
            <w:r>
              <w:rPr>
                <w:rFonts w:hint="eastAsia" w:ascii="宋体" w:hAnsi="宋体" w:cs="宋体"/>
                <w:b/>
                <w:bCs/>
                <w:color w:val="0000CC"/>
                <w:kern w:val="0"/>
                <w:szCs w:val="21"/>
                <w:u w:val="none"/>
                <w:lang w:val="en-US" w:eastAsia="zh-CN"/>
              </w:rPr>
              <w:t>15</w:t>
            </w:r>
            <w:r>
              <w:rPr>
                <w:rFonts w:hint="eastAsia" w:ascii="宋体" w:hAnsi="宋体" w:cs="宋体"/>
                <w:b/>
                <w:bCs/>
                <w:color w:val="0000CC"/>
                <w:kern w:val="0"/>
                <w:szCs w:val="21"/>
              </w:rPr>
              <w:t>日</w:t>
            </w:r>
            <w:r>
              <w:rPr>
                <w:rFonts w:hAnsi="宋体" w:cs="宋体"/>
                <w:b/>
                <w:bCs/>
                <w:color w:val="0000CC"/>
              </w:rPr>
              <w:t>10</w:t>
            </w:r>
            <w:r>
              <w:rPr>
                <w:rFonts w:hint="eastAsia" w:hAnsi="宋体" w:cs="宋体"/>
                <w:b/>
                <w:bCs/>
                <w:color w:val="0000CC"/>
              </w:rPr>
              <w:t>时</w:t>
            </w:r>
            <w:r>
              <w:rPr>
                <w:rFonts w:hAnsi="宋体" w:cs="宋体"/>
                <w:b/>
                <w:bCs/>
                <w:color w:val="0000CC"/>
              </w:rPr>
              <w:t>0</w:t>
            </w:r>
            <w:r>
              <w:rPr>
                <w:rFonts w:hint="eastAsia" w:hAnsi="宋体" w:cs="宋体"/>
                <w:b/>
                <w:bCs/>
                <w:color w:val="0000CC"/>
              </w:rPr>
              <w:t>0分</w:t>
            </w:r>
            <w:r>
              <w:rPr>
                <w:rFonts w:hint="eastAsia" w:hAnsi="宋体" w:cs="宋体"/>
              </w:rPr>
              <w:t>（北京时间）</w:t>
            </w:r>
          </w:p>
          <w:p>
            <w:pPr>
              <w:pStyle w:val="25"/>
              <w:spacing w:line="320" w:lineRule="exact"/>
              <w:jc w:val="left"/>
              <w:rPr>
                <w:rFonts w:hAnsi="宋体" w:cs="宋体"/>
              </w:rPr>
            </w:pPr>
            <w:r>
              <w:rPr>
                <w:rFonts w:hint="eastAsia" w:hAnsi="宋体" w:cs="宋体"/>
              </w:rPr>
              <w:t>地点：采购代理机构开标室（长沙市芙蓉中路一段319号绿地中心T2栋1109室）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17</w:t>
            </w:r>
          </w:p>
        </w:tc>
        <w:tc>
          <w:tcPr>
            <w:tcW w:w="1863" w:type="dxa"/>
            <w:vAlign w:val="center"/>
          </w:tcPr>
          <w:p>
            <w:pPr>
              <w:pStyle w:val="25"/>
              <w:spacing w:line="320" w:lineRule="exact"/>
              <w:jc w:val="center"/>
              <w:rPr>
                <w:rFonts w:hAnsi="宋体" w:cs="宋体"/>
              </w:rPr>
            </w:pPr>
            <w:r>
              <w:rPr>
                <w:rFonts w:hint="eastAsia" w:hAnsi="宋体" w:cs="宋体"/>
              </w:rPr>
              <w:t>开标时间、地点</w:t>
            </w:r>
          </w:p>
        </w:tc>
        <w:tc>
          <w:tcPr>
            <w:tcW w:w="6931" w:type="dxa"/>
            <w:vAlign w:val="center"/>
          </w:tcPr>
          <w:p>
            <w:pPr>
              <w:pStyle w:val="25"/>
              <w:spacing w:line="320" w:lineRule="exact"/>
              <w:jc w:val="left"/>
              <w:rPr>
                <w:rFonts w:hAnsi="宋体" w:cs="宋体"/>
              </w:rPr>
            </w:pPr>
            <w:r>
              <w:rPr>
                <w:rFonts w:hint="eastAsia" w:hAnsi="宋体" w:cs="宋体"/>
              </w:rPr>
              <w:t>时间：</w:t>
            </w:r>
            <w:r>
              <w:rPr>
                <w:rFonts w:hint="eastAsia" w:ascii="宋体" w:hAnsi="宋体" w:cs="宋体"/>
                <w:b/>
                <w:bCs/>
                <w:color w:val="0000CC"/>
                <w:kern w:val="0"/>
                <w:szCs w:val="21"/>
              </w:rPr>
              <w:t>202</w:t>
            </w:r>
            <w:r>
              <w:rPr>
                <w:rFonts w:ascii="宋体" w:hAnsi="宋体" w:cs="宋体"/>
                <w:b/>
                <w:bCs/>
                <w:color w:val="0000CC"/>
                <w:kern w:val="0"/>
                <w:szCs w:val="21"/>
              </w:rPr>
              <w:t>2</w:t>
            </w:r>
            <w:r>
              <w:rPr>
                <w:rFonts w:hint="eastAsia" w:ascii="宋体" w:hAnsi="宋体" w:cs="宋体"/>
                <w:b/>
                <w:bCs/>
                <w:color w:val="0000CC"/>
                <w:kern w:val="0"/>
                <w:szCs w:val="21"/>
              </w:rPr>
              <w:t>年</w:t>
            </w:r>
            <w:r>
              <w:rPr>
                <w:rFonts w:hint="eastAsia" w:ascii="宋体" w:hAnsi="宋体" w:cs="宋体"/>
                <w:b/>
                <w:bCs/>
                <w:color w:val="0000CC"/>
                <w:kern w:val="0"/>
                <w:szCs w:val="21"/>
                <w:lang w:val="en-US" w:eastAsia="zh-CN"/>
              </w:rPr>
              <w:t>8</w:t>
            </w:r>
            <w:r>
              <w:rPr>
                <w:rFonts w:hint="eastAsia" w:ascii="宋体" w:hAnsi="宋体" w:cs="宋体"/>
                <w:b/>
                <w:bCs/>
                <w:color w:val="0000CC"/>
                <w:kern w:val="0"/>
                <w:szCs w:val="21"/>
              </w:rPr>
              <w:t>月</w:t>
            </w:r>
            <w:r>
              <w:rPr>
                <w:rFonts w:hint="eastAsia" w:ascii="宋体" w:hAnsi="宋体" w:cs="宋体"/>
                <w:b/>
                <w:bCs/>
                <w:color w:val="0000CC"/>
                <w:kern w:val="0"/>
                <w:szCs w:val="21"/>
                <w:u w:val="none"/>
                <w:lang w:val="en-US" w:eastAsia="zh-CN"/>
              </w:rPr>
              <w:t>15</w:t>
            </w:r>
            <w:r>
              <w:rPr>
                <w:rFonts w:hint="eastAsia" w:ascii="宋体" w:hAnsi="宋体" w:cs="宋体"/>
                <w:b/>
                <w:bCs/>
                <w:color w:val="0000CC"/>
                <w:kern w:val="0"/>
                <w:szCs w:val="21"/>
              </w:rPr>
              <w:t>日</w:t>
            </w:r>
            <w:r>
              <w:rPr>
                <w:rFonts w:hAnsi="宋体" w:cs="宋体"/>
                <w:b/>
                <w:bCs/>
                <w:color w:val="0000CC"/>
              </w:rPr>
              <w:t>10</w:t>
            </w:r>
            <w:r>
              <w:rPr>
                <w:rFonts w:hint="eastAsia" w:hAnsi="宋体" w:cs="宋体"/>
                <w:b/>
                <w:bCs/>
                <w:color w:val="0000CC"/>
              </w:rPr>
              <w:t>时</w:t>
            </w:r>
            <w:r>
              <w:rPr>
                <w:rFonts w:hAnsi="宋体" w:cs="宋体"/>
                <w:b/>
                <w:bCs/>
                <w:color w:val="0000CC"/>
              </w:rPr>
              <w:t>0</w:t>
            </w:r>
            <w:r>
              <w:rPr>
                <w:rFonts w:hint="eastAsia" w:hAnsi="宋体" w:cs="宋体"/>
                <w:b/>
                <w:bCs/>
                <w:color w:val="0000CC"/>
              </w:rPr>
              <w:t>0分</w:t>
            </w:r>
            <w:r>
              <w:rPr>
                <w:rFonts w:hint="eastAsia" w:hAnsi="宋体" w:cs="宋体"/>
              </w:rPr>
              <w:t>（北京时间）</w:t>
            </w:r>
          </w:p>
          <w:p>
            <w:pPr>
              <w:pStyle w:val="25"/>
              <w:spacing w:line="320" w:lineRule="exact"/>
              <w:jc w:val="left"/>
              <w:rPr>
                <w:rFonts w:hAnsi="宋体" w:cs="宋体"/>
              </w:rPr>
            </w:pPr>
            <w:r>
              <w:rPr>
                <w:rFonts w:hint="eastAsia" w:hAnsi="宋体" w:cs="宋体"/>
              </w:rPr>
              <w:t>地点：采购代理机构开标室（长沙市芙蓉中路一段319号绿地中心T2栋1109室）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9" w:type="dxa"/>
            <w:vAlign w:val="center"/>
          </w:tcPr>
          <w:p>
            <w:pPr>
              <w:pStyle w:val="25"/>
              <w:spacing w:line="320" w:lineRule="exact"/>
              <w:jc w:val="center"/>
              <w:rPr>
                <w:rFonts w:hAnsi="宋体" w:cs="宋体"/>
              </w:rPr>
            </w:pPr>
            <w:r>
              <w:rPr>
                <w:rFonts w:hint="eastAsia" w:hAnsi="宋体" w:cs="宋体"/>
              </w:rPr>
              <w:t>18</w:t>
            </w:r>
          </w:p>
        </w:tc>
        <w:tc>
          <w:tcPr>
            <w:tcW w:w="1863" w:type="dxa"/>
            <w:vAlign w:val="center"/>
          </w:tcPr>
          <w:p>
            <w:pPr>
              <w:pStyle w:val="25"/>
              <w:spacing w:line="320" w:lineRule="exact"/>
              <w:jc w:val="center"/>
              <w:rPr>
                <w:rFonts w:hAnsi="宋体" w:cs="宋体"/>
              </w:rPr>
            </w:pPr>
            <w:r>
              <w:rPr>
                <w:rFonts w:hint="eastAsia" w:hAnsi="宋体" w:cs="宋体"/>
              </w:rPr>
              <w:t>其他唱标内容</w:t>
            </w:r>
          </w:p>
        </w:tc>
        <w:tc>
          <w:tcPr>
            <w:tcW w:w="6931" w:type="dxa"/>
            <w:vAlign w:val="center"/>
          </w:tcPr>
          <w:p>
            <w:pPr>
              <w:pStyle w:val="25"/>
              <w:spacing w:line="320" w:lineRule="exact"/>
              <w:jc w:val="left"/>
              <w:rPr>
                <w:rFonts w:hAnsi="宋体" w:cs="宋体"/>
              </w:rPr>
            </w:pPr>
            <w:r>
              <w:rPr>
                <w:rFonts w:hint="eastAsia" w:hAnsi="宋体" w:cs="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19</w:t>
            </w:r>
          </w:p>
        </w:tc>
        <w:tc>
          <w:tcPr>
            <w:tcW w:w="1863" w:type="dxa"/>
            <w:vAlign w:val="center"/>
          </w:tcPr>
          <w:p>
            <w:pPr>
              <w:pStyle w:val="25"/>
              <w:spacing w:line="320" w:lineRule="exact"/>
              <w:jc w:val="center"/>
              <w:rPr>
                <w:rFonts w:hAnsi="宋体" w:cs="宋体"/>
              </w:rPr>
            </w:pPr>
            <w:r>
              <w:rPr>
                <w:rFonts w:hint="eastAsia" w:hAnsi="宋体" w:cs="宋体"/>
              </w:rPr>
              <w:t>投标保证金</w:t>
            </w:r>
          </w:p>
        </w:tc>
        <w:tc>
          <w:tcPr>
            <w:tcW w:w="6931" w:type="dxa"/>
            <w:vAlign w:val="center"/>
          </w:tcPr>
          <w:p>
            <w:pPr>
              <w:pStyle w:val="25"/>
              <w:spacing w:line="320" w:lineRule="exact"/>
              <w:jc w:val="left"/>
              <w:rPr>
                <w:rFonts w:hAnsi="宋体" w:cs="宋体"/>
              </w:rPr>
            </w:pPr>
            <w:r>
              <w:rPr>
                <w:rFonts w:hint="eastAsia" w:hAnsi="宋体"/>
                <w:position w:val="2"/>
              </w:rPr>
              <w:fldChar w:fldCharType="begin"/>
            </w:r>
            <w:r>
              <w:rPr>
                <w:rFonts w:hint="eastAsia" w:hAnsi="宋体"/>
                <w:position w:val="2"/>
              </w:rPr>
              <w:instrText xml:space="preserve">eq \o\ac(□</w:instrText>
            </w:r>
            <w:r>
              <w:rPr>
                <w:rFonts w:hAnsi="宋体"/>
                <w:position w:val="2"/>
              </w:rPr>
              <w:instrText xml:space="preserve">,√)</w:instrText>
            </w:r>
            <w:r>
              <w:rPr>
                <w:rFonts w:hint="eastAsia" w:hAnsi="宋体"/>
                <w:position w:val="2"/>
              </w:rPr>
              <w:fldChar w:fldCharType="end"/>
            </w:r>
            <w:r>
              <w:rPr>
                <w:rFonts w:hAnsi="宋体"/>
                <w:position w:val="2"/>
              </w:rPr>
              <w:t xml:space="preserve"> </w:t>
            </w:r>
            <w:r>
              <w:rPr>
                <w:rFonts w:hint="eastAsia" w:hAnsi="宋体" w:cs="宋体"/>
              </w:rPr>
              <w:t>不要求提供</w:t>
            </w:r>
          </w:p>
          <w:p>
            <w:pPr>
              <w:pStyle w:val="25"/>
              <w:spacing w:line="320" w:lineRule="exact"/>
              <w:jc w:val="left"/>
              <w:rPr>
                <w:rFonts w:hAnsi="宋体" w:cs="宋体"/>
              </w:rPr>
            </w:pPr>
            <w:r>
              <w:rPr>
                <w:rFonts w:hint="eastAsia" w:hAnsi="宋体" w:cs="宋体"/>
              </w:rPr>
              <w:t>□ 要求提供，数额不得超过采购项目预算金额的</w:t>
            </w:r>
            <w:r>
              <w:rPr>
                <w:rFonts w:hint="eastAsia" w:hAnsi="宋体" w:cs="宋体"/>
                <w:u w:val="single"/>
              </w:rPr>
              <w:t>/</w:t>
            </w:r>
            <w:r>
              <w:rPr>
                <w:rFonts w:hint="eastAsia" w:hAnsi="宋体" w:cs="宋体"/>
              </w:rPr>
              <w:t>%，本项目的投标保证金为人民币：</w:t>
            </w:r>
            <w:r>
              <w:rPr>
                <w:rFonts w:hint="eastAsia" w:hAnsi="宋体" w:cs="宋体"/>
                <w:b/>
                <w:bCs/>
                <w:u w:val="single"/>
              </w:rPr>
              <w:t>/</w:t>
            </w:r>
            <w:r>
              <w:rPr>
                <w:rFonts w:hint="eastAsia" w:hAnsi="宋体" w:cs="宋体"/>
                <w:b/>
                <w:bCs/>
              </w:rPr>
              <w:t>元整</w:t>
            </w:r>
            <w:r>
              <w:rPr>
                <w:rFonts w:hint="eastAsia" w:hAnsi="宋体" w:cs="宋体"/>
              </w:rPr>
              <w:t>，提交方式为</w:t>
            </w:r>
            <w:r>
              <w:rPr>
                <w:rFonts w:hint="eastAsia" w:hAnsi="宋体" w:cs="宋体"/>
                <w:b/>
                <w:bCs/>
                <w:u w:val="single"/>
              </w:rPr>
              <w:t>支票、汇票、本票、网上银行或金融机构、担保机构出具的保函等非现金形式，查询已经到账，视为已缴纳。</w:t>
            </w:r>
          </w:p>
          <w:p>
            <w:pPr>
              <w:adjustRightInd w:val="0"/>
              <w:snapToGrid w:val="0"/>
              <w:spacing w:line="320" w:lineRule="exact"/>
              <w:rPr>
                <w:rFonts w:ascii="宋体" w:hAnsi="宋体"/>
                <w:szCs w:val="21"/>
              </w:rPr>
            </w:pPr>
            <w:r>
              <w:rPr>
                <w:rFonts w:hint="eastAsia" w:ascii="宋体" w:hAnsi="宋体"/>
                <w:szCs w:val="21"/>
              </w:rPr>
              <w:t>账户名称：</w:t>
            </w:r>
            <w:r>
              <w:rPr>
                <w:rFonts w:hint="eastAsia" w:ascii="宋体" w:hAnsi="宋体"/>
                <w:szCs w:val="21"/>
                <w:u w:val="single"/>
              </w:rPr>
              <w:t xml:space="preserve"> /</w:t>
            </w:r>
          </w:p>
          <w:p>
            <w:pPr>
              <w:adjustRightInd w:val="0"/>
              <w:snapToGrid w:val="0"/>
              <w:spacing w:line="320" w:lineRule="exact"/>
              <w:rPr>
                <w:rFonts w:ascii="宋体" w:hAnsi="宋体"/>
                <w:szCs w:val="21"/>
              </w:rPr>
            </w:pPr>
            <w:r>
              <w:rPr>
                <w:rFonts w:hint="eastAsia" w:ascii="宋体" w:hAnsi="宋体"/>
                <w:szCs w:val="21"/>
              </w:rPr>
              <w:t>开户行：</w:t>
            </w:r>
            <w:r>
              <w:rPr>
                <w:rFonts w:hint="eastAsia" w:ascii="宋体" w:hAnsi="宋体"/>
                <w:szCs w:val="21"/>
                <w:u w:val="single"/>
              </w:rPr>
              <w:t xml:space="preserve"> / </w:t>
            </w:r>
          </w:p>
          <w:p>
            <w:pPr>
              <w:pStyle w:val="25"/>
              <w:spacing w:line="320" w:lineRule="exact"/>
              <w:jc w:val="left"/>
              <w:rPr>
                <w:rFonts w:hAnsi="宋体" w:cs="Courier New"/>
              </w:rPr>
            </w:pPr>
            <w:r>
              <w:rPr>
                <w:rFonts w:hint="eastAsia" w:hAnsi="宋体" w:cs="Courier New"/>
              </w:rPr>
              <w:t>银行账号：</w:t>
            </w:r>
            <w:r>
              <w:rPr>
                <w:rFonts w:hint="eastAsia" w:hAnsi="宋体" w:cs="Courier New"/>
                <w:u w:val="single"/>
              </w:rPr>
              <w:t xml:space="preserve"> /</w:t>
            </w:r>
          </w:p>
          <w:p>
            <w:pPr>
              <w:pStyle w:val="25"/>
              <w:spacing w:line="320" w:lineRule="exact"/>
              <w:jc w:val="left"/>
              <w:rPr>
                <w:rFonts w:hAnsi="宋体" w:cs="宋体"/>
              </w:rPr>
            </w:pPr>
            <w:r>
              <w:rPr>
                <w:rFonts w:hint="eastAsia" w:hAnsi="宋体" w:cs="宋体"/>
                <w:b/>
                <w:bCs/>
              </w:rPr>
              <w:t>注：以电汇方式递交投标保证金须在电汇凭据附言栏中写明项目编号、及用途（投标保证金）。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9" w:type="dxa"/>
            <w:vAlign w:val="center"/>
          </w:tcPr>
          <w:p>
            <w:pPr>
              <w:pStyle w:val="25"/>
              <w:spacing w:line="320" w:lineRule="exact"/>
              <w:jc w:val="center"/>
              <w:rPr>
                <w:rFonts w:hAnsi="宋体" w:cs="宋体"/>
              </w:rPr>
            </w:pPr>
            <w:r>
              <w:rPr>
                <w:rFonts w:hint="eastAsia" w:hAnsi="宋体" w:cs="宋体"/>
              </w:rPr>
              <w:t>20</w:t>
            </w:r>
          </w:p>
        </w:tc>
        <w:tc>
          <w:tcPr>
            <w:tcW w:w="1863" w:type="dxa"/>
            <w:vAlign w:val="center"/>
          </w:tcPr>
          <w:p>
            <w:pPr>
              <w:pStyle w:val="25"/>
              <w:spacing w:line="320" w:lineRule="exact"/>
              <w:jc w:val="center"/>
              <w:rPr>
                <w:rFonts w:hAnsi="宋体" w:cs="宋体"/>
              </w:rPr>
            </w:pPr>
            <w:r>
              <w:rPr>
                <w:rFonts w:hint="eastAsia" w:hAnsi="宋体" w:cs="宋体"/>
              </w:rPr>
              <w:t>投标有效期</w:t>
            </w:r>
          </w:p>
        </w:tc>
        <w:tc>
          <w:tcPr>
            <w:tcW w:w="6931" w:type="dxa"/>
            <w:vAlign w:val="center"/>
          </w:tcPr>
          <w:p>
            <w:pPr>
              <w:pStyle w:val="25"/>
              <w:spacing w:line="320" w:lineRule="exact"/>
              <w:jc w:val="left"/>
              <w:rPr>
                <w:rFonts w:hAnsi="宋体" w:cs="宋体"/>
              </w:rPr>
            </w:pPr>
            <w:r>
              <w:rPr>
                <w:rFonts w:hint="eastAsia" w:hAnsi="宋体" w:cs="宋体"/>
              </w:rPr>
              <w:t>自投标文件截止时间起90日（日历日）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21</w:t>
            </w:r>
          </w:p>
        </w:tc>
        <w:tc>
          <w:tcPr>
            <w:tcW w:w="1863" w:type="dxa"/>
            <w:vAlign w:val="center"/>
          </w:tcPr>
          <w:p>
            <w:pPr>
              <w:pStyle w:val="25"/>
              <w:spacing w:line="320" w:lineRule="exact"/>
              <w:jc w:val="center"/>
              <w:rPr>
                <w:rFonts w:hAnsi="宋体" w:cs="宋体"/>
              </w:rPr>
            </w:pPr>
            <w:r>
              <w:rPr>
                <w:rFonts w:hint="eastAsia" w:hAnsi="宋体" w:cs="宋体"/>
              </w:rPr>
              <w:t>投标文件份数</w:t>
            </w:r>
          </w:p>
        </w:tc>
        <w:tc>
          <w:tcPr>
            <w:tcW w:w="6931" w:type="dxa"/>
            <w:vAlign w:val="center"/>
          </w:tcPr>
          <w:p>
            <w:pPr>
              <w:pStyle w:val="25"/>
              <w:spacing w:line="320" w:lineRule="exact"/>
              <w:jc w:val="left"/>
              <w:rPr>
                <w:rFonts w:hAnsi="宋体" w:cs="宋体"/>
              </w:rPr>
            </w:pPr>
            <w:r>
              <w:rPr>
                <w:rFonts w:hint="eastAsia" w:hAnsi="宋体" w:cs="宋体"/>
              </w:rPr>
              <w:t>正本</w:t>
            </w:r>
            <w:r>
              <w:rPr>
                <w:rFonts w:hint="eastAsia" w:hAnsi="宋体" w:cs="宋体"/>
                <w:b/>
                <w:bCs/>
                <w:u w:val="single"/>
              </w:rPr>
              <w:t>壹</w:t>
            </w:r>
            <w:r>
              <w:rPr>
                <w:rFonts w:hint="eastAsia" w:hAnsi="宋体" w:cs="宋体"/>
              </w:rPr>
              <w:t>份</w:t>
            </w:r>
          </w:p>
          <w:p>
            <w:pPr>
              <w:pStyle w:val="25"/>
              <w:spacing w:line="320" w:lineRule="exact"/>
              <w:jc w:val="left"/>
              <w:rPr>
                <w:rFonts w:hAnsi="宋体" w:cs="宋体"/>
              </w:rPr>
            </w:pPr>
            <w:r>
              <w:rPr>
                <w:rFonts w:hint="eastAsia" w:hAnsi="宋体" w:cs="宋体"/>
              </w:rPr>
              <w:t>副本</w:t>
            </w:r>
            <w:r>
              <w:rPr>
                <w:rFonts w:hint="eastAsia" w:hAnsi="宋体" w:cs="宋体"/>
                <w:b/>
                <w:bCs/>
                <w:u w:val="single"/>
              </w:rPr>
              <w:t>肆</w:t>
            </w:r>
            <w:r>
              <w:rPr>
                <w:rFonts w:hint="eastAsia" w:hAnsi="宋体" w:cs="宋体"/>
              </w:rPr>
              <w:t>份</w:t>
            </w:r>
          </w:p>
          <w:p>
            <w:pPr>
              <w:pStyle w:val="25"/>
              <w:spacing w:line="320" w:lineRule="exact"/>
              <w:jc w:val="left"/>
              <w:rPr>
                <w:rFonts w:hAnsi="宋体" w:cs="宋体"/>
              </w:rPr>
            </w:pPr>
            <w:r>
              <w:rPr>
                <w:rFonts w:hint="eastAsia" w:hAnsi="宋体" w:cs="宋体"/>
              </w:rPr>
              <w:t>电子文件</w:t>
            </w:r>
            <w:r>
              <w:rPr>
                <w:rFonts w:hint="eastAsia" w:hAnsi="宋体" w:cs="宋体"/>
                <w:u w:val="single"/>
              </w:rPr>
              <w:t xml:space="preserve"> 壹 </w:t>
            </w:r>
            <w:r>
              <w:rPr>
                <w:rFonts w:hint="eastAsia" w:hAnsi="宋体" w:cs="宋体"/>
              </w:rPr>
              <w:t>份（每份含</w:t>
            </w:r>
            <w:r>
              <w:rPr>
                <w:rFonts w:hint="eastAsia" w:hAnsi="宋体"/>
                <w:position w:val="2"/>
              </w:rPr>
              <w:fldChar w:fldCharType="begin"/>
            </w:r>
            <w:r>
              <w:rPr>
                <w:rFonts w:hint="eastAsia" w:hAnsi="宋体"/>
                <w:position w:val="2"/>
              </w:rPr>
              <w:instrText xml:space="preserve">eq \o\ac(□</w:instrText>
            </w:r>
            <w:r>
              <w:rPr>
                <w:rFonts w:hAnsi="宋体"/>
                <w:position w:val="2"/>
              </w:rPr>
              <w:instrText xml:space="preserve">,√)</w:instrText>
            </w:r>
            <w:r>
              <w:rPr>
                <w:rFonts w:hint="eastAsia" w:hAnsi="宋体"/>
                <w:position w:val="2"/>
              </w:rPr>
              <w:fldChar w:fldCharType="end"/>
            </w:r>
            <w:r>
              <w:rPr>
                <w:rFonts w:hint="eastAsia" w:hAnsi="宋体" w:cs="宋体"/>
              </w:rPr>
              <w:t>盖章后扫描件，</w:t>
            </w:r>
            <w:r>
              <w:rPr>
                <w:rFonts w:hint="eastAsia" w:hAnsi="宋体" w:cs="宋体"/>
                <w:b/>
                <w:bCs/>
              </w:rPr>
              <w:t>扫描件版本应当为投标文件正本签字盖章后的彩色扫描件，格式为JPG或PDF</w:t>
            </w:r>
            <w:r>
              <w:rPr>
                <w:rFonts w:hint="eastAsia" w:hAnsi="宋体" w:cs="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89" w:type="dxa"/>
            <w:vAlign w:val="center"/>
          </w:tcPr>
          <w:p>
            <w:pPr>
              <w:pStyle w:val="25"/>
              <w:spacing w:line="320" w:lineRule="exact"/>
              <w:jc w:val="center"/>
              <w:rPr>
                <w:rFonts w:hAnsi="宋体" w:cs="宋体"/>
              </w:rPr>
            </w:pPr>
            <w:r>
              <w:rPr>
                <w:rFonts w:hint="eastAsia" w:hAnsi="宋体" w:cs="宋体"/>
              </w:rPr>
              <w:t>22</w:t>
            </w:r>
          </w:p>
        </w:tc>
        <w:tc>
          <w:tcPr>
            <w:tcW w:w="1863" w:type="dxa"/>
            <w:vAlign w:val="center"/>
          </w:tcPr>
          <w:p>
            <w:pPr>
              <w:pStyle w:val="25"/>
              <w:spacing w:line="320" w:lineRule="exact"/>
              <w:jc w:val="center"/>
              <w:rPr>
                <w:rFonts w:hAnsi="宋体" w:cs="宋体"/>
              </w:rPr>
            </w:pPr>
            <w:r>
              <w:rPr>
                <w:rFonts w:hint="eastAsia" w:hAnsi="宋体" w:cs="宋体"/>
              </w:rPr>
              <w:t>封套上应当载明的信息</w:t>
            </w:r>
          </w:p>
        </w:tc>
        <w:tc>
          <w:tcPr>
            <w:tcW w:w="6931" w:type="dxa"/>
            <w:vAlign w:val="center"/>
          </w:tcPr>
          <w:p>
            <w:pPr>
              <w:pStyle w:val="25"/>
              <w:spacing w:line="320" w:lineRule="exact"/>
              <w:jc w:val="left"/>
              <w:rPr>
                <w:rFonts w:hAnsi="宋体" w:cs="宋体"/>
              </w:rPr>
            </w:pPr>
            <w:r>
              <w:rPr>
                <w:rFonts w:hint="eastAsia" w:hAnsi="宋体" w:cs="宋体"/>
              </w:rPr>
              <w:t>____________________（项目名称）投标文件</w:t>
            </w:r>
          </w:p>
          <w:p>
            <w:pPr>
              <w:pStyle w:val="25"/>
              <w:spacing w:line="320" w:lineRule="exact"/>
              <w:jc w:val="left"/>
              <w:rPr>
                <w:rFonts w:hAnsi="宋体" w:cs="宋体"/>
              </w:rPr>
            </w:pPr>
            <w:r>
              <w:rPr>
                <w:rFonts w:hint="eastAsia" w:hAnsi="宋体" w:cs="宋体"/>
              </w:rPr>
              <w:t>项目编号：____________________</w:t>
            </w:r>
          </w:p>
          <w:p>
            <w:pPr>
              <w:pStyle w:val="25"/>
              <w:spacing w:line="320" w:lineRule="exact"/>
              <w:jc w:val="left"/>
              <w:rPr>
                <w:rFonts w:hAnsi="宋体" w:cs="宋体"/>
              </w:rPr>
            </w:pPr>
            <w:r>
              <w:rPr>
                <w:rFonts w:hint="eastAsia" w:hAnsi="宋体" w:cs="宋体"/>
              </w:rPr>
              <w:t>在______年____月____日____时____分之前不得启封</w:t>
            </w:r>
          </w:p>
          <w:p>
            <w:pPr>
              <w:pStyle w:val="25"/>
              <w:spacing w:line="320" w:lineRule="exact"/>
              <w:jc w:val="left"/>
              <w:rPr>
                <w:rFonts w:hAnsi="宋体" w:cs="宋体"/>
              </w:rPr>
            </w:pPr>
            <w:r>
              <w:rPr>
                <w:rFonts w:hint="eastAsia" w:hAnsi="宋体" w:cs="宋体"/>
              </w:rPr>
              <w:t>投标人名称：____________________</w:t>
            </w:r>
          </w:p>
          <w:p>
            <w:pPr>
              <w:pStyle w:val="25"/>
              <w:spacing w:line="320" w:lineRule="exact"/>
              <w:jc w:val="left"/>
              <w:rPr>
                <w:rFonts w:hAnsi="宋体" w:cs="宋体"/>
              </w:rPr>
            </w:pPr>
            <w:r>
              <w:rPr>
                <w:rFonts w:hint="eastAsia" w:hAnsi="宋体" w:cs="宋体"/>
              </w:rPr>
              <w:t>其他____________________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23</w:t>
            </w:r>
          </w:p>
        </w:tc>
        <w:tc>
          <w:tcPr>
            <w:tcW w:w="1863" w:type="dxa"/>
            <w:vAlign w:val="center"/>
          </w:tcPr>
          <w:p>
            <w:pPr>
              <w:pStyle w:val="25"/>
              <w:spacing w:line="320" w:lineRule="exact"/>
              <w:jc w:val="center"/>
              <w:rPr>
                <w:rFonts w:hAnsi="宋体" w:cs="宋体"/>
              </w:rPr>
            </w:pPr>
            <w:r>
              <w:rPr>
                <w:rFonts w:hint="eastAsia" w:hAnsi="宋体" w:cs="宋体"/>
              </w:rPr>
              <w:t>信用查询</w:t>
            </w:r>
          </w:p>
        </w:tc>
        <w:tc>
          <w:tcPr>
            <w:tcW w:w="6931" w:type="dxa"/>
            <w:vAlign w:val="center"/>
          </w:tcPr>
          <w:p>
            <w:pPr>
              <w:pStyle w:val="25"/>
              <w:spacing w:line="320" w:lineRule="exact"/>
              <w:jc w:val="left"/>
              <w:rPr>
                <w:rFonts w:hAnsi="宋体" w:cs="宋体"/>
              </w:rPr>
            </w:pPr>
            <w:r>
              <w:rPr>
                <w:rFonts w:hint="eastAsia" w:hAnsi="宋体" w:cs="宋体"/>
              </w:rPr>
              <w:t>采购人或采购代理机构将通过“信用中国”网站（www.creditchina.gov.cn）、中国政府采购网（www.ccgp.gov.cn）查询相关主体信用记录。本次查询的信用记录打印的网页版将留存在评标报告中。本项目信用记录查询截止时点为：</w:t>
            </w:r>
            <w:r>
              <w:rPr>
                <w:rFonts w:hint="eastAsia" w:hAnsi="宋体" w:cs="宋体"/>
                <w:b/>
                <w:bCs/>
                <w:u w:val="single"/>
              </w:rPr>
              <w:t>提交投标文件截止时间后1小时的期间内。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24</w:t>
            </w:r>
          </w:p>
        </w:tc>
        <w:tc>
          <w:tcPr>
            <w:tcW w:w="1863" w:type="dxa"/>
            <w:vAlign w:val="center"/>
          </w:tcPr>
          <w:p>
            <w:pPr>
              <w:pStyle w:val="25"/>
              <w:spacing w:line="320" w:lineRule="exact"/>
              <w:jc w:val="center"/>
              <w:rPr>
                <w:rFonts w:hAnsi="宋体" w:cs="宋体"/>
              </w:rPr>
            </w:pPr>
            <w:r>
              <w:rPr>
                <w:rFonts w:hint="eastAsia" w:hAnsi="宋体" w:cs="宋体"/>
              </w:rPr>
              <w:t>同品牌多家投标人处理原则</w:t>
            </w:r>
          </w:p>
        </w:tc>
        <w:tc>
          <w:tcPr>
            <w:tcW w:w="6931" w:type="dxa"/>
            <w:vAlign w:val="center"/>
          </w:tcPr>
          <w:p>
            <w:pPr>
              <w:pStyle w:val="25"/>
              <w:spacing w:line="320" w:lineRule="exact"/>
              <w:jc w:val="left"/>
              <w:rPr>
                <w:rFonts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89" w:type="dxa"/>
            <w:vAlign w:val="center"/>
          </w:tcPr>
          <w:p>
            <w:pPr>
              <w:pStyle w:val="25"/>
              <w:spacing w:line="320" w:lineRule="exact"/>
              <w:jc w:val="center"/>
              <w:rPr>
                <w:rFonts w:hAnsi="宋体" w:cs="宋体"/>
              </w:rPr>
            </w:pPr>
            <w:r>
              <w:rPr>
                <w:rFonts w:hint="eastAsia" w:hAnsi="宋体" w:cs="宋体"/>
              </w:rPr>
              <w:t>25</w:t>
            </w:r>
          </w:p>
        </w:tc>
        <w:tc>
          <w:tcPr>
            <w:tcW w:w="1863" w:type="dxa"/>
            <w:vAlign w:val="center"/>
          </w:tcPr>
          <w:p>
            <w:pPr>
              <w:pStyle w:val="25"/>
              <w:spacing w:line="320" w:lineRule="exact"/>
              <w:jc w:val="center"/>
              <w:rPr>
                <w:rFonts w:hAnsi="宋体" w:cs="宋体"/>
              </w:rPr>
            </w:pPr>
            <w:r>
              <w:rPr>
                <w:rFonts w:hint="eastAsia" w:hAnsi="宋体" w:cs="宋体"/>
              </w:rPr>
              <w:t>定标原则</w:t>
            </w:r>
          </w:p>
        </w:tc>
        <w:tc>
          <w:tcPr>
            <w:tcW w:w="6931" w:type="dxa"/>
            <w:vAlign w:val="center"/>
          </w:tcPr>
          <w:p>
            <w:pPr>
              <w:pStyle w:val="25"/>
              <w:spacing w:line="320" w:lineRule="exact"/>
              <w:jc w:val="left"/>
              <w:rPr>
                <w:rFonts w:hAnsi="宋体" w:cs="宋体"/>
                <w:color w:val="000000"/>
              </w:rPr>
            </w:pPr>
            <w:r>
              <w:rPr>
                <w:rFonts w:hint="eastAsia" w:hAnsi="宋体" w:cs="宋体"/>
                <w:color w:val="000000"/>
              </w:rPr>
              <w:t>采购人在评标报告确定的中标候选人名单中按得分由高到低的“排名”顺序确定中标人。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5"/>
              <w:spacing w:line="320" w:lineRule="exact"/>
              <w:jc w:val="center"/>
              <w:rPr>
                <w:rFonts w:hAnsi="宋体" w:cs="宋体"/>
              </w:rPr>
            </w:pPr>
            <w:r>
              <w:rPr>
                <w:rFonts w:hint="eastAsia" w:hAnsi="宋体" w:cs="宋体"/>
              </w:rPr>
              <w:t>26</w:t>
            </w:r>
          </w:p>
        </w:tc>
        <w:tc>
          <w:tcPr>
            <w:tcW w:w="1863" w:type="dxa"/>
            <w:vAlign w:val="center"/>
          </w:tcPr>
          <w:p>
            <w:pPr>
              <w:pStyle w:val="25"/>
              <w:spacing w:line="320" w:lineRule="exact"/>
              <w:jc w:val="center"/>
              <w:rPr>
                <w:rFonts w:hAnsi="宋体" w:cs="宋体"/>
              </w:rPr>
            </w:pPr>
            <w:r>
              <w:rPr>
                <w:rFonts w:hint="eastAsia" w:hAnsi="宋体" w:cs="宋体"/>
              </w:rPr>
              <w:t>交货和提供服务的时间、地点、方式、项目服务期限</w:t>
            </w:r>
          </w:p>
        </w:tc>
        <w:tc>
          <w:tcPr>
            <w:tcW w:w="6931" w:type="dxa"/>
            <w:vAlign w:val="center"/>
          </w:tcPr>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提供服务的时间：从合同生效之日起</w:t>
            </w:r>
            <w:r>
              <w:rPr>
                <w:rFonts w:hAnsi="宋体" w:cs="宋体"/>
                <w:color w:val="000000" w:themeColor="text1"/>
                <w14:textFill>
                  <w14:solidFill>
                    <w14:schemeClr w14:val="tx1"/>
                  </w14:solidFill>
                </w14:textFill>
              </w:rPr>
              <w:t>12</w:t>
            </w:r>
            <w:r>
              <w:rPr>
                <w:rFonts w:hint="eastAsia" w:hAnsi="宋体" w:cs="宋体"/>
                <w:color w:val="000000" w:themeColor="text1"/>
                <w14:textFill>
                  <w14:solidFill>
                    <w14:schemeClr w14:val="tx1"/>
                  </w14:solidFill>
                </w14:textFill>
              </w:rPr>
              <w:t>个月内完成设备部署、平台开发及试运行工作，进行第一次验收。</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提供服务的地点：采购人指定地点。</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提供服务的方式：现场服务。</w:t>
            </w:r>
          </w:p>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项目服务期限：验收合格之日起，整体提供3年免费质保，对所供第三方产品提供原厂商</w:t>
            </w: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年免费软件升级、硬件维保和远程支持服务。其中湖南省税务局态势感知驻场运维服务期限为2年，从合同签订之日起计算。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bottom w:val="single" w:color="auto" w:sz="4" w:space="0"/>
            </w:tcBorders>
            <w:vAlign w:val="center"/>
          </w:tcPr>
          <w:p>
            <w:pPr>
              <w:pStyle w:val="25"/>
              <w:spacing w:line="320" w:lineRule="exact"/>
              <w:jc w:val="center"/>
              <w:rPr>
                <w:rFonts w:hAnsi="宋体" w:cs="宋体"/>
              </w:rPr>
            </w:pPr>
            <w:r>
              <w:rPr>
                <w:rFonts w:hint="eastAsia" w:hAnsi="宋体" w:cs="宋体"/>
              </w:rPr>
              <w:t>27</w:t>
            </w:r>
          </w:p>
        </w:tc>
        <w:tc>
          <w:tcPr>
            <w:tcW w:w="1863" w:type="dxa"/>
            <w:tcBorders>
              <w:bottom w:val="single" w:color="auto" w:sz="4" w:space="0"/>
            </w:tcBorders>
            <w:vAlign w:val="center"/>
          </w:tcPr>
          <w:p>
            <w:pPr>
              <w:pStyle w:val="25"/>
              <w:spacing w:line="320" w:lineRule="exact"/>
              <w:jc w:val="center"/>
              <w:rPr>
                <w:rFonts w:hAnsi="宋体" w:cs="宋体"/>
              </w:rPr>
            </w:pPr>
            <w:r>
              <w:rPr>
                <w:rFonts w:hint="eastAsia" w:hAnsi="宋体" w:cs="宋体"/>
              </w:rPr>
              <w:t>采购资金的支付方式及时间</w:t>
            </w:r>
          </w:p>
        </w:tc>
        <w:tc>
          <w:tcPr>
            <w:tcW w:w="6931" w:type="dxa"/>
            <w:tcBorders>
              <w:bottom w:val="single" w:color="auto" w:sz="4" w:space="0"/>
            </w:tcBorders>
            <w:vAlign w:val="center"/>
          </w:tcPr>
          <w:p>
            <w:pPr>
              <w:pStyle w:val="25"/>
              <w:spacing w:line="320" w:lineRule="exact"/>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付款单位：国家税务总局湖南省税务局</w:t>
            </w:r>
          </w:p>
          <w:p>
            <w:pPr>
              <w:pStyle w:val="18"/>
              <w:spacing w:line="32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付款方式：</w:t>
            </w:r>
            <w:r>
              <w:rPr>
                <w:rFonts w:hint="eastAsia" w:ascii="宋体" w:hAnsi="宋体" w:cs="宋体"/>
                <w:color w:val="000000" w:themeColor="text1"/>
                <w14:textFill>
                  <w14:solidFill>
                    <w14:schemeClr w14:val="tx1"/>
                  </w14:solidFill>
                </w14:textFill>
              </w:rPr>
              <w:t>合同签订后30个日历日内，支付合同总金额的40%作为预付款，项目验收合格后30个日历日内支付合同总金额的50％；运维服务期满（系统运转正常，无质量、售后及其他经济法律纠纷等问题），于30个日历日内根据考核结果支付合同总金额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bottom w:val="single" w:color="auto" w:sz="4" w:space="0"/>
            </w:tcBorders>
            <w:vAlign w:val="center"/>
          </w:tcPr>
          <w:p>
            <w:pPr>
              <w:pStyle w:val="25"/>
              <w:spacing w:line="320" w:lineRule="exact"/>
              <w:jc w:val="center"/>
              <w:rPr>
                <w:rFonts w:hAnsi="宋体" w:cs="宋体"/>
              </w:rPr>
            </w:pPr>
            <w:r>
              <w:rPr>
                <w:rFonts w:hint="eastAsia" w:hAnsi="宋体" w:cs="宋体"/>
              </w:rPr>
              <w:t>28</w:t>
            </w:r>
          </w:p>
        </w:tc>
        <w:tc>
          <w:tcPr>
            <w:tcW w:w="1863" w:type="dxa"/>
            <w:tcBorders>
              <w:top w:val="single" w:color="auto" w:sz="4" w:space="0"/>
              <w:bottom w:val="single" w:color="auto" w:sz="4" w:space="0"/>
            </w:tcBorders>
            <w:vAlign w:val="center"/>
          </w:tcPr>
          <w:p>
            <w:pPr>
              <w:pStyle w:val="25"/>
              <w:spacing w:line="320" w:lineRule="exact"/>
              <w:jc w:val="center"/>
              <w:rPr>
                <w:rFonts w:hAnsi="宋体" w:cs="宋体"/>
              </w:rPr>
            </w:pPr>
            <w:r>
              <w:rPr>
                <w:rFonts w:hint="eastAsia" w:hAnsi="宋体" w:cs="宋体"/>
              </w:rPr>
              <w:t>履约保证金</w:t>
            </w:r>
          </w:p>
        </w:tc>
        <w:tc>
          <w:tcPr>
            <w:tcW w:w="6931" w:type="dxa"/>
            <w:tcBorders>
              <w:top w:val="single" w:color="auto" w:sz="4" w:space="0"/>
              <w:bottom w:val="single" w:color="auto" w:sz="4" w:space="0"/>
            </w:tcBorders>
            <w:vAlign w:val="center"/>
          </w:tcPr>
          <w:p>
            <w:pPr>
              <w:pStyle w:val="25"/>
              <w:spacing w:line="320" w:lineRule="exact"/>
              <w:jc w:val="left"/>
              <w:rPr>
                <w:rFonts w:hAnsi="宋体" w:cs="宋体"/>
                <w:color w:val="000000"/>
              </w:rPr>
            </w:pPr>
            <w:r>
              <w:rPr>
                <w:rFonts w:hint="eastAsia" w:hAnsi="宋体" w:cs="宋体"/>
                <w:color w:val="000000"/>
              </w:rPr>
              <w:t>□ 不要求提供</w:t>
            </w:r>
          </w:p>
          <w:p>
            <w:pPr>
              <w:pStyle w:val="25"/>
              <w:spacing w:line="320" w:lineRule="exact"/>
              <w:jc w:val="left"/>
              <w:rPr>
                <w:rFonts w:hAnsi="宋体" w:cs="宋体"/>
                <w:color w:val="000000"/>
              </w:rPr>
            </w:pPr>
            <w:r>
              <w:rPr>
                <w:rFonts w:hint="eastAsia" w:hAnsi="宋体"/>
                <w:color w:val="000000"/>
                <w:position w:val="2"/>
              </w:rPr>
              <w:fldChar w:fldCharType="begin"/>
            </w:r>
            <w:r>
              <w:rPr>
                <w:rFonts w:hint="eastAsia" w:hAnsi="宋体"/>
                <w:color w:val="000000"/>
                <w:position w:val="2"/>
              </w:rPr>
              <w:instrText xml:space="preserve">eq \o\ac(□</w:instrText>
            </w:r>
            <w:r>
              <w:rPr>
                <w:rFonts w:hAnsi="宋体"/>
                <w:color w:val="000000"/>
                <w:position w:val="2"/>
              </w:rPr>
              <w:instrText xml:space="preserve">,√)</w:instrText>
            </w:r>
            <w:r>
              <w:rPr>
                <w:rFonts w:hint="eastAsia" w:hAnsi="宋体"/>
                <w:color w:val="000000"/>
                <w:position w:val="2"/>
              </w:rPr>
              <w:fldChar w:fldCharType="end"/>
            </w:r>
            <w:r>
              <w:rPr>
                <w:rFonts w:hint="eastAsia" w:hAnsi="宋体" w:cs="宋体"/>
                <w:color w:val="000000"/>
              </w:rPr>
              <w:t xml:space="preserve"> 要求提供，履约保证金的数额为人民币1</w:t>
            </w:r>
            <w:r>
              <w:rPr>
                <w:rFonts w:hAnsi="宋体" w:cs="宋体"/>
                <w:color w:val="000000"/>
              </w:rPr>
              <w:t>5.00</w:t>
            </w:r>
            <w:r>
              <w:rPr>
                <w:rFonts w:hint="eastAsia" w:hAnsi="宋体" w:cs="宋体"/>
                <w:color w:val="000000"/>
              </w:rPr>
              <w:t>万元，提交方式为转账，于中标通知书下达后15个日历日内支付至采购人下列账号。履约保证金正常履约后全部无息退还。</w:t>
            </w:r>
          </w:p>
          <w:p>
            <w:pPr>
              <w:pStyle w:val="25"/>
              <w:spacing w:line="320" w:lineRule="exact"/>
              <w:jc w:val="left"/>
              <w:rPr>
                <w:rFonts w:hAnsi="宋体" w:cs="宋体"/>
                <w:b/>
                <w:bCs/>
                <w:color w:val="000000"/>
              </w:rPr>
            </w:pPr>
            <w:r>
              <w:rPr>
                <w:rFonts w:hint="eastAsia" w:hAnsi="宋体" w:cs="宋体"/>
                <w:b/>
                <w:bCs/>
                <w:color w:val="000000"/>
              </w:rPr>
              <w:t>履约保证金账户信息：</w:t>
            </w:r>
          </w:p>
          <w:p>
            <w:pPr>
              <w:spacing w:line="320" w:lineRule="exact"/>
              <w:rPr>
                <w:rFonts w:ascii="宋体" w:hAnsi="宋体" w:cs="宋体"/>
                <w:szCs w:val="21"/>
              </w:rPr>
            </w:pPr>
            <w:r>
              <w:rPr>
                <w:rFonts w:hint="eastAsia" w:ascii="宋体" w:hAnsi="宋体" w:cs="宋体"/>
                <w:szCs w:val="21"/>
              </w:rPr>
              <w:t>收款人户名：国家税务总局湖南省税务局</w:t>
            </w:r>
          </w:p>
          <w:p>
            <w:pPr>
              <w:spacing w:line="320" w:lineRule="exact"/>
              <w:rPr>
                <w:rFonts w:ascii="宋体" w:hAnsi="宋体" w:cs="宋体"/>
                <w:szCs w:val="21"/>
              </w:rPr>
            </w:pPr>
            <w:r>
              <w:rPr>
                <w:rFonts w:hint="eastAsia" w:ascii="宋体" w:hAnsi="宋体" w:cs="宋体"/>
                <w:szCs w:val="21"/>
              </w:rPr>
              <w:t>开户银行：中国银行长沙市圭塘支行</w:t>
            </w:r>
          </w:p>
          <w:p>
            <w:pPr>
              <w:spacing w:line="320" w:lineRule="exact"/>
            </w:pPr>
            <w:r>
              <w:rPr>
                <w:rFonts w:hint="eastAsia" w:ascii="宋体" w:hAnsi="宋体" w:cs="宋体"/>
                <w:szCs w:val="21"/>
              </w:rPr>
              <w:t>银行账号：5989 6218 2255</w:t>
            </w:r>
          </w:p>
          <w:p>
            <w:pPr>
              <w:pStyle w:val="25"/>
              <w:spacing w:line="320" w:lineRule="exact"/>
              <w:jc w:val="left"/>
              <w:rPr>
                <w:rFonts w:hAnsi="宋体" w:cs="宋体"/>
              </w:rPr>
            </w:pPr>
            <w:r>
              <w:rPr>
                <w:rFonts w:hint="eastAsia" w:hAnsi="宋体" w:cs="宋体"/>
                <w:color w:val="000000"/>
              </w:rPr>
              <w:t>注：以电汇方式递交履约保证金须在电汇凭据附言栏中写明项目编号及用途（履约保证金）。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bottom w:val="single" w:color="auto" w:sz="4" w:space="0"/>
            </w:tcBorders>
            <w:vAlign w:val="center"/>
          </w:tcPr>
          <w:p>
            <w:pPr>
              <w:pStyle w:val="25"/>
              <w:spacing w:line="320" w:lineRule="exact"/>
              <w:jc w:val="center"/>
              <w:rPr>
                <w:rFonts w:hAnsi="宋体" w:cs="宋体"/>
              </w:rPr>
            </w:pPr>
            <w:r>
              <w:rPr>
                <w:rFonts w:hint="eastAsia" w:hAnsi="宋体" w:cs="宋体"/>
              </w:rPr>
              <w:t>29</w:t>
            </w:r>
          </w:p>
        </w:tc>
        <w:tc>
          <w:tcPr>
            <w:tcW w:w="1863" w:type="dxa"/>
            <w:tcBorders>
              <w:top w:val="single" w:color="auto" w:sz="4" w:space="0"/>
              <w:bottom w:val="single" w:color="auto" w:sz="4" w:space="0"/>
            </w:tcBorders>
            <w:vAlign w:val="center"/>
          </w:tcPr>
          <w:p>
            <w:pPr>
              <w:pStyle w:val="25"/>
              <w:spacing w:line="320" w:lineRule="exact"/>
              <w:jc w:val="center"/>
              <w:rPr>
                <w:rFonts w:hAnsi="宋体" w:cs="宋体"/>
              </w:rPr>
            </w:pPr>
            <w:r>
              <w:rPr>
                <w:rFonts w:hint="eastAsia" w:hAnsi="宋体" w:cs="宋体"/>
              </w:rPr>
              <w:t>招标代理服务费</w:t>
            </w:r>
          </w:p>
        </w:tc>
        <w:tc>
          <w:tcPr>
            <w:tcW w:w="6931" w:type="dxa"/>
            <w:tcBorders>
              <w:top w:val="single" w:color="auto" w:sz="4" w:space="0"/>
              <w:bottom w:val="single" w:color="auto" w:sz="4" w:space="0"/>
            </w:tcBorders>
            <w:vAlign w:val="center"/>
          </w:tcPr>
          <w:p>
            <w:pPr>
              <w:pStyle w:val="25"/>
              <w:spacing w:line="320" w:lineRule="exact"/>
              <w:jc w:val="left"/>
              <w:rPr>
                <w:rFonts w:hAnsi="宋体" w:cs="宋体"/>
              </w:rPr>
            </w:pPr>
            <w:r>
              <w:rPr>
                <w:rFonts w:hint="eastAsia" w:hAnsi="宋体" w:cs="宋体"/>
              </w:rPr>
              <w:t>采购人同意采购代理机构</w:t>
            </w:r>
            <w:r>
              <w:rPr>
                <w:rFonts w:hint="eastAsia" w:hAnsi="宋体" w:cs="Courier New"/>
                <w:color w:val="000000"/>
              </w:rPr>
              <w:t>参考原</w:t>
            </w:r>
            <w:r>
              <w:rPr>
                <w:rFonts w:hAnsi="宋体" w:cs="Courier New"/>
                <w:color w:val="000000"/>
              </w:rPr>
              <w:t>国家</w:t>
            </w:r>
            <w:r>
              <w:rPr>
                <w:rFonts w:hint="eastAsia" w:hAnsi="宋体" w:cs="Courier New"/>
                <w:color w:val="000000"/>
              </w:rPr>
              <w:t>有关标准</w:t>
            </w:r>
            <w:r>
              <w:rPr>
                <w:rFonts w:hint="eastAsia" w:hAnsi="宋体" w:cs="宋体"/>
              </w:rPr>
              <w:t>向本项目的中标人</w:t>
            </w:r>
            <w:r>
              <w:rPr>
                <w:rFonts w:hint="eastAsia" w:hAnsi="宋体" w:cs="Courier New"/>
                <w:color w:val="000000"/>
              </w:rPr>
              <w:t>收取</w:t>
            </w:r>
            <w:r>
              <w:rPr>
                <w:rFonts w:hint="eastAsia" w:hAnsi="宋体"/>
                <w:color w:val="000000"/>
              </w:rPr>
              <w:t>招标</w:t>
            </w:r>
            <w:r>
              <w:rPr>
                <w:rFonts w:hint="eastAsia" w:hAnsi="宋体" w:cs="Courier New"/>
                <w:color w:val="000000"/>
              </w:rPr>
              <w:t>代理服务费</w:t>
            </w:r>
            <w:r>
              <w:rPr>
                <w:rFonts w:hint="eastAsia" w:hAnsi="宋体" w:cs="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bottom w:val="double" w:color="auto" w:sz="4" w:space="0"/>
            </w:tcBorders>
            <w:vAlign w:val="center"/>
          </w:tcPr>
          <w:p>
            <w:pPr>
              <w:pStyle w:val="25"/>
              <w:spacing w:line="320" w:lineRule="exact"/>
              <w:jc w:val="center"/>
              <w:rPr>
                <w:rFonts w:hAnsi="宋体" w:cs="宋体"/>
              </w:rPr>
            </w:pPr>
            <w:r>
              <w:rPr>
                <w:rFonts w:hint="eastAsia" w:hAnsi="宋体" w:cs="宋体"/>
              </w:rPr>
              <w:t>30</w:t>
            </w:r>
          </w:p>
        </w:tc>
        <w:tc>
          <w:tcPr>
            <w:tcW w:w="1863" w:type="dxa"/>
            <w:tcBorders>
              <w:top w:val="single" w:color="auto" w:sz="4" w:space="0"/>
              <w:bottom w:val="double" w:color="auto" w:sz="4" w:space="0"/>
            </w:tcBorders>
            <w:vAlign w:val="center"/>
          </w:tcPr>
          <w:p>
            <w:pPr>
              <w:pStyle w:val="25"/>
              <w:spacing w:line="320" w:lineRule="exact"/>
              <w:jc w:val="center"/>
              <w:rPr>
                <w:rFonts w:hAnsi="宋体" w:cs="宋体"/>
              </w:rPr>
            </w:pPr>
            <w:r>
              <w:rPr>
                <w:rFonts w:hint="eastAsia" w:hAnsi="宋体" w:cs="宋体"/>
              </w:rPr>
              <w:t>其他规定</w:t>
            </w:r>
          </w:p>
        </w:tc>
        <w:tc>
          <w:tcPr>
            <w:tcW w:w="6931" w:type="dxa"/>
            <w:tcBorders>
              <w:top w:val="single" w:color="auto" w:sz="4" w:space="0"/>
              <w:bottom w:val="double" w:color="auto" w:sz="4" w:space="0"/>
            </w:tcBorders>
            <w:vAlign w:val="center"/>
          </w:tcPr>
          <w:p>
            <w:pPr>
              <w:pStyle w:val="25"/>
              <w:spacing w:line="320" w:lineRule="exact"/>
              <w:rPr>
                <w:rFonts w:hAnsi="宋体"/>
              </w:rPr>
            </w:pPr>
            <w:r>
              <w:rPr>
                <w:rFonts w:hint="eastAsia" w:hAnsi="宋体"/>
              </w:rPr>
              <w:t>本采购项目接收质疑函方式、联系部门及联系电话、通讯地址：</w:t>
            </w:r>
          </w:p>
          <w:p>
            <w:pPr>
              <w:pStyle w:val="25"/>
              <w:spacing w:line="320" w:lineRule="exact"/>
              <w:rPr>
                <w:rFonts w:hAnsi="宋体"/>
              </w:rPr>
            </w:pPr>
            <w:r>
              <w:rPr>
                <w:rFonts w:hint="eastAsia" w:hAnsi="宋体"/>
              </w:rPr>
              <w:t>接收质疑函的方式：供应商应当按国家相关规定向采购人和采购代理机构一并当面提交书面质疑函及相关证明材料。</w:t>
            </w:r>
          </w:p>
          <w:p>
            <w:pPr>
              <w:pStyle w:val="25"/>
              <w:spacing w:line="320" w:lineRule="exact"/>
              <w:rPr>
                <w:rFonts w:hAnsi="宋体"/>
              </w:rPr>
            </w:pPr>
            <w:r>
              <w:rPr>
                <w:rFonts w:hint="eastAsia" w:hAnsi="宋体"/>
                <w:b/>
              </w:rPr>
              <w:t>采购人联系部门：</w:t>
            </w:r>
            <w:r>
              <w:rPr>
                <w:rFonts w:hint="eastAsia" w:hAnsi="宋体" w:cs="宋体"/>
              </w:rPr>
              <w:t>国家税务总局湖南省税务局</w:t>
            </w:r>
          </w:p>
          <w:p>
            <w:pPr>
              <w:pStyle w:val="25"/>
              <w:spacing w:line="320" w:lineRule="exact"/>
              <w:rPr>
                <w:rFonts w:hAnsi="宋体"/>
                <w:highlight w:val="green"/>
              </w:rPr>
            </w:pPr>
            <w:r>
              <w:rPr>
                <w:rFonts w:hint="eastAsia" w:hAnsi="宋体"/>
              </w:rPr>
              <w:t>联系电话：</w:t>
            </w:r>
            <w:r>
              <w:rPr>
                <w:rFonts w:hAnsi="宋体" w:cs="宋体"/>
              </w:rPr>
              <w:t>0731-85384488</w:t>
            </w:r>
            <w:r>
              <w:rPr>
                <w:rFonts w:hint="eastAsia" w:hAnsi="宋体" w:cs="宋体"/>
              </w:rPr>
              <w:t>，8</w:t>
            </w:r>
            <w:r>
              <w:rPr>
                <w:rFonts w:hAnsi="宋体" w:cs="宋体"/>
              </w:rPr>
              <w:t>4111767</w:t>
            </w:r>
          </w:p>
          <w:p>
            <w:pPr>
              <w:pStyle w:val="25"/>
              <w:spacing w:line="320" w:lineRule="exact"/>
              <w:rPr>
                <w:rFonts w:hAnsi="宋体"/>
              </w:rPr>
            </w:pPr>
            <w:r>
              <w:rPr>
                <w:rFonts w:hint="eastAsia" w:hAnsi="宋体"/>
              </w:rPr>
              <w:t>通讯地址：</w:t>
            </w:r>
            <w:r>
              <w:rPr>
                <w:rFonts w:hint="eastAsia" w:hAnsi="宋体" w:cs="宋体"/>
              </w:rPr>
              <w:t>长沙市环保西路</w:t>
            </w:r>
            <w:r>
              <w:rPr>
                <w:rFonts w:hAnsi="宋体" w:cs="宋体"/>
              </w:rPr>
              <w:t>6</w:t>
            </w:r>
            <w:r>
              <w:rPr>
                <w:rFonts w:hint="eastAsia" w:hAnsi="宋体" w:cs="宋体"/>
              </w:rPr>
              <w:t>号</w:t>
            </w:r>
          </w:p>
          <w:p>
            <w:pPr>
              <w:pStyle w:val="25"/>
              <w:spacing w:line="320" w:lineRule="exact"/>
              <w:rPr>
                <w:rFonts w:hAnsi="宋体"/>
                <w:b/>
              </w:rPr>
            </w:pPr>
            <w:r>
              <w:rPr>
                <w:rFonts w:hint="eastAsia" w:hAnsi="宋体"/>
                <w:b/>
              </w:rPr>
              <w:t>采购代理机构联系部门</w:t>
            </w:r>
            <w:r>
              <w:rPr>
                <w:rFonts w:hint="eastAsia" w:hAnsi="宋体"/>
              </w:rPr>
              <w:t>：</w:t>
            </w:r>
            <w:r>
              <w:rPr>
                <w:rFonts w:hint="eastAsia" w:hAnsi="宋体"/>
                <w:b/>
              </w:rPr>
              <w:t>湖南正兴项目管理有限公司</w:t>
            </w:r>
          </w:p>
          <w:p>
            <w:pPr>
              <w:pStyle w:val="25"/>
              <w:spacing w:line="320" w:lineRule="exact"/>
              <w:rPr>
                <w:rFonts w:hAnsi="宋体"/>
              </w:rPr>
            </w:pPr>
            <w:r>
              <w:rPr>
                <w:rFonts w:hint="eastAsia" w:hAnsi="宋体"/>
              </w:rPr>
              <w:t>联系电话：0731-</w:t>
            </w:r>
            <w:r>
              <w:rPr>
                <w:rFonts w:hAnsi="宋体"/>
              </w:rPr>
              <w:t>89913056</w:t>
            </w:r>
          </w:p>
          <w:p>
            <w:pPr>
              <w:pStyle w:val="25"/>
              <w:spacing w:line="320" w:lineRule="exact"/>
              <w:jc w:val="left"/>
              <w:rPr>
                <w:rFonts w:hAnsi="宋体"/>
              </w:rPr>
            </w:pPr>
            <w:r>
              <w:rPr>
                <w:rFonts w:hint="eastAsia" w:hAnsi="宋体"/>
              </w:rPr>
              <w:t>通讯地址：</w:t>
            </w:r>
            <w:r>
              <w:rPr>
                <w:rFonts w:hint="eastAsia" w:hAnsi="宋体" w:cs="宋体"/>
              </w:rPr>
              <w:t>长沙市芙蓉中路一段319号绿地中心T2栋1109室</w:t>
            </w:r>
          </w:p>
          <w:p>
            <w:pPr>
              <w:pStyle w:val="25"/>
              <w:spacing w:line="320" w:lineRule="exact"/>
              <w:jc w:val="left"/>
              <w:rPr>
                <w:rFonts w:hAnsi="宋体"/>
                <w:spacing w:val="-4"/>
              </w:rPr>
            </w:pPr>
            <w:r>
              <w:rPr>
                <w:rFonts w:hint="eastAsia" w:hAnsi="宋体"/>
                <w:b/>
                <w:bCs/>
                <w:spacing w:val="-4"/>
              </w:rPr>
              <w:t>注：供应商在法定质疑期内针对同一采购程序环节的质疑须一次性提出。</w:t>
            </w:r>
          </w:p>
        </w:tc>
      </w:tr>
      <w:bookmarkEnd w:id="18"/>
    </w:tbl>
    <w:p>
      <w:pPr>
        <w:pStyle w:val="25"/>
        <w:spacing w:line="360" w:lineRule="auto"/>
        <w:rPr>
          <w:rFonts w:hAnsi="宋体" w:cs="宋体"/>
          <w:b/>
          <w:bCs/>
          <w:kern w:val="44"/>
          <w:sz w:val="28"/>
          <w:szCs w:val="28"/>
        </w:rPr>
        <w:sectPr>
          <w:pgSz w:w="11906" w:h="16838"/>
          <w:pgMar w:top="1304" w:right="1247" w:bottom="1134" w:left="1304" w:header="850" w:footer="850" w:gutter="0"/>
          <w:cols w:space="720" w:num="1"/>
          <w:titlePg/>
          <w:docGrid w:linePitch="319" w:charSpace="0"/>
        </w:sectPr>
      </w:pPr>
    </w:p>
    <w:p>
      <w:pPr>
        <w:pStyle w:val="25"/>
        <w:spacing w:line="360" w:lineRule="auto"/>
        <w:rPr>
          <w:rFonts w:hAnsi="宋体" w:cs="宋体"/>
          <w:b/>
          <w:bCs/>
          <w:kern w:val="44"/>
          <w:sz w:val="28"/>
          <w:szCs w:val="28"/>
        </w:rPr>
      </w:pPr>
    </w:p>
    <w:p>
      <w:pPr>
        <w:pStyle w:val="25"/>
        <w:jc w:val="center"/>
        <w:outlineLvl w:val="2"/>
        <w:rPr>
          <w:rFonts w:hAnsi="宋体"/>
          <w:b/>
          <w:kern w:val="44"/>
          <w:sz w:val="36"/>
          <w:szCs w:val="44"/>
        </w:rPr>
      </w:pPr>
      <w:bookmarkStart w:id="20" w:name="_Toc21647438"/>
      <w:bookmarkStart w:id="21" w:name="_Toc529050583"/>
      <w:bookmarkStart w:id="22" w:name="_Toc5601"/>
      <w:r>
        <w:rPr>
          <w:rFonts w:hint="eastAsia" w:hAnsi="宋体"/>
          <w:b/>
          <w:kern w:val="44"/>
          <w:sz w:val="36"/>
          <w:szCs w:val="44"/>
        </w:rPr>
        <w:t>投标人须知正文</w:t>
      </w:r>
      <w:bookmarkEnd w:id="20"/>
      <w:bookmarkEnd w:id="21"/>
      <w:bookmarkEnd w:id="22"/>
    </w:p>
    <w:p>
      <w:pPr>
        <w:pStyle w:val="7"/>
        <w:spacing w:after="120"/>
        <w:ind w:firstLine="0" w:firstLineChars="0"/>
        <w:jc w:val="center"/>
        <w:rPr>
          <w:rFonts w:ascii="宋体" w:hAnsi="宋体" w:cs="宋体"/>
        </w:rPr>
      </w:pPr>
      <w:r>
        <w:rPr>
          <w:rFonts w:hint="eastAsia" w:ascii="宋体" w:hAnsi="宋体" w:cs="宋体"/>
        </w:rPr>
        <w:t>一、总  则</w:t>
      </w:r>
    </w:p>
    <w:p>
      <w:pPr>
        <w:adjustRightInd w:val="0"/>
        <w:snapToGrid w:val="0"/>
        <w:spacing w:line="360" w:lineRule="auto"/>
        <w:rPr>
          <w:rFonts w:ascii="宋体" w:hAnsi="宋体"/>
          <w:b/>
          <w:bCs/>
          <w:szCs w:val="21"/>
        </w:rPr>
      </w:pPr>
      <w:r>
        <w:rPr>
          <w:rFonts w:hint="eastAsia" w:ascii="宋体" w:hAnsi="宋体"/>
          <w:b/>
          <w:bCs/>
          <w:szCs w:val="21"/>
        </w:rPr>
        <w:t>1.定义</w:t>
      </w:r>
    </w:p>
    <w:p>
      <w:pPr>
        <w:adjustRightInd w:val="0"/>
        <w:snapToGrid w:val="0"/>
        <w:spacing w:line="360" w:lineRule="auto"/>
        <w:rPr>
          <w:rFonts w:ascii="宋体" w:hAnsi="宋体"/>
          <w:szCs w:val="21"/>
        </w:rPr>
      </w:pPr>
      <w:r>
        <w:rPr>
          <w:rFonts w:hint="eastAsia" w:ascii="宋体" w:hAnsi="宋体"/>
          <w:szCs w:val="21"/>
        </w:rPr>
        <w:t>1.1　“采购人”是指依法进行政府采购的国家机关、事业单位、团体组织。本次政府采购的采购人名称、地址、电话、联系人见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1.2　“采购代理机构”是指集中采购机构和集中采购机构以外的采购代理机构。本次政府采购的采购代理机构名称、地址、电话、联系人见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1.3　“投标人”是响应招标文件并且符合招标文件规定资格条件和参加投标竞争的法人、其他组织或者自然人。</w:t>
      </w:r>
    </w:p>
    <w:p>
      <w:pPr>
        <w:adjustRightInd w:val="0"/>
        <w:snapToGrid w:val="0"/>
        <w:spacing w:line="360" w:lineRule="auto"/>
        <w:rPr>
          <w:rFonts w:ascii="宋体" w:hAnsi="宋体"/>
          <w:szCs w:val="21"/>
        </w:rPr>
      </w:pPr>
      <w:r>
        <w:rPr>
          <w:rFonts w:hint="eastAsia" w:ascii="宋体" w:hAnsi="宋体"/>
          <w:szCs w:val="21"/>
        </w:rPr>
        <w:t>1.4　“供应商”是指向采购人提供货物、工程或者服务的法人、其他组织或者自然人。</w:t>
      </w:r>
    </w:p>
    <w:p>
      <w:pPr>
        <w:adjustRightInd w:val="0"/>
        <w:snapToGrid w:val="0"/>
        <w:spacing w:line="360" w:lineRule="auto"/>
        <w:rPr>
          <w:rFonts w:ascii="宋体" w:hAnsi="宋体"/>
          <w:szCs w:val="21"/>
        </w:rPr>
      </w:pPr>
      <w:r>
        <w:rPr>
          <w:rFonts w:hint="eastAsia" w:ascii="宋体" w:hAnsi="宋体"/>
          <w:szCs w:val="21"/>
        </w:rPr>
        <w:t>1.5　“评标委员会”是依据《政府采购货物和服务招标投标管理办法》有关规定组建，依法履行评审采购活动职责的评审成员。</w:t>
      </w:r>
    </w:p>
    <w:p>
      <w:pPr>
        <w:adjustRightInd w:val="0"/>
        <w:snapToGrid w:val="0"/>
        <w:spacing w:line="360" w:lineRule="auto"/>
        <w:rPr>
          <w:rFonts w:ascii="宋体" w:hAnsi="宋体"/>
          <w:szCs w:val="21"/>
        </w:rPr>
      </w:pPr>
      <w:r>
        <w:rPr>
          <w:rFonts w:hint="eastAsia" w:ascii="宋体" w:hAnsi="宋体"/>
          <w:szCs w:val="21"/>
        </w:rPr>
        <w:t>1.6　“货物”是指各种形态和种类的物品，包括原材料、燃料、设备、产品等。</w:t>
      </w:r>
    </w:p>
    <w:p>
      <w:pPr>
        <w:adjustRightInd w:val="0"/>
        <w:snapToGrid w:val="0"/>
        <w:spacing w:line="360" w:lineRule="auto"/>
        <w:rPr>
          <w:rFonts w:ascii="宋体" w:hAnsi="宋体"/>
          <w:szCs w:val="21"/>
        </w:rPr>
      </w:pPr>
      <w:r>
        <w:rPr>
          <w:rFonts w:hint="eastAsia" w:ascii="宋体" w:hAnsi="宋体"/>
          <w:szCs w:val="21"/>
        </w:rPr>
        <w:t>1.7　“服务”是指除货物和工程以外的其他政府采购对象。</w:t>
      </w:r>
    </w:p>
    <w:p>
      <w:pPr>
        <w:adjustRightInd w:val="0"/>
        <w:snapToGrid w:val="0"/>
        <w:spacing w:line="360" w:lineRule="auto"/>
        <w:rPr>
          <w:rFonts w:ascii="宋体" w:hAnsi="宋体"/>
          <w:szCs w:val="21"/>
        </w:rPr>
      </w:pPr>
      <w:r>
        <w:rPr>
          <w:rFonts w:hint="eastAsia" w:ascii="宋体" w:hAnsi="宋体"/>
          <w:szCs w:val="21"/>
        </w:rPr>
        <w:t>1.8　“节能产品”或者“环保产品”是指属于国务院有关部门发布的“节能产品政府采购品目清单”或者“环境标志产品政府采购品目清单”范围，具有国家确定的认证机构出具的、处于有效期之内的节能产品认证证书或者环境标志产品认证证书的产品。</w:t>
      </w:r>
    </w:p>
    <w:p>
      <w:pPr>
        <w:adjustRightInd w:val="0"/>
        <w:snapToGrid w:val="0"/>
        <w:spacing w:line="360" w:lineRule="auto"/>
        <w:rPr>
          <w:rFonts w:ascii="宋体" w:hAnsi="宋体"/>
          <w:szCs w:val="21"/>
        </w:rPr>
      </w:pPr>
      <w:r>
        <w:rPr>
          <w:rFonts w:hint="eastAsia" w:ascii="宋体" w:hAnsi="宋体"/>
          <w:szCs w:val="21"/>
        </w:rPr>
        <w:t>1.9　“进口产品”是指通过中国海关报关验放进入中国境内且产自关境外的产品。</w:t>
      </w:r>
    </w:p>
    <w:p>
      <w:pPr>
        <w:adjustRightInd w:val="0"/>
        <w:snapToGrid w:val="0"/>
        <w:spacing w:line="360" w:lineRule="auto"/>
        <w:rPr>
          <w:rFonts w:ascii="宋体" w:hAnsi="宋体"/>
          <w:b/>
          <w:bCs/>
          <w:szCs w:val="21"/>
        </w:rPr>
      </w:pPr>
      <w:r>
        <w:rPr>
          <w:rFonts w:hint="eastAsia" w:ascii="宋体" w:hAnsi="宋体"/>
          <w:b/>
          <w:bCs/>
          <w:szCs w:val="21"/>
        </w:rPr>
        <w:t>2.采购项目预算及最高限价</w:t>
      </w:r>
    </w:p>
    <w:p>
      <w:pPr>
        <w:adjustRightInd w:val="0"/>
        <w:snapToGrid w:val="0"/>
        <w:spacing w:line="360" w:lineRule="auto"/>
        <w:rPr>
          <w:rFonts w:ascii="宋体" w:hAnsi="宋体"/>
          <w:szCs w:val="21"/>
        </w:rPr>
      </w:pPr>
      <w:r>
        <w:rPr>
          <w:rFonts w:hint="eastAsia" w:ascii="宋体" w:hAnsi="宋体"/>
          <w:szCs w:val="21"/>
        </w:rPr>
        <w:t>2.1　本项目采购资金已列入政府采购预算，预算金额见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2.2　本项目最高限价要求见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b/>
          <w:bCs/>
          <w:szCs w:val="21"/>
        </w:rPr>
      </w:pPr>
      <w:r>
        <w:rPr>
          <w:rFonts w:hint="eastAsia" w:ascii="宋体" w:hAnsi="宋体"/>
          <w:b/>
          <w:bCs/>
          <w:szCs w:val="21"/>
        </w:rPr>
        <w:t>★3.供应商的资格要求</w:t>
      </w:r>
    </w:p>
    <w:p>
      <w:pPr>
        <w:adjustRightInd w:val="0"/>
        <w:snapToGrid w:val="0"/>
        <w:spacing w:line="360" w:lineRule="auto"/>
        <w:rPr>
          <w:rFonts w:ascii="宋体" w:hAnsi="宋体"/>
          <w:szCs w:val="21"/>
        </w:rPr>
      </w:pPr>
      <w:r>
        <w:rPr>
          <w:rFonts w:hint="eastAsia" w:ascii="宋体" w:hAnsi="宋体"/>
          <w:szCs w:val="21"/>
        </w:rPr>
        <w:t>3.1　供应商应当符合</w:t>
      </w:r>
      <w:r>
        <w:rPr>
          <w:rFonts w:hint="eastAsia" w:ascii="宋体" w:hAnsi="宋体"/>
          <w:b/>
          <w:bCs/>
          <w:szCs w:val="21"/>
        </w:rPr>
        <w:t>投标人须知前附表</w:t>
      </w:r>
      <w:r>
        <w:rPr>
          <w:rFonts w:hint="eastAsia" w:ascii="宋体" w:hAnsi="宋体"/>
          <w:szCs w:val="21"/>
        </w:rPr>
        <w:t>中规定的下列资格条件要求：</w:t>
      </w:r>
    </w:p>
    <w:p>
      <w:pPr>
        <w:adjustRightInd w:val="0"/>
        <w:snapToGrid w:val="0"/>
        <w:spacing w:line="360" w:lineRule="auto"/>
        <w:rPr>
          <w:rFonts w:ascii="宋体" w:hAnsi="宋体"/>
          <w:szCs w:val="21"/>
        </w:rPr>
      </w:pPr>
      <w:r>
        <w:rPr>
          <w:rFonts w:hint="eastAsia" w:ascii="宋体" w:hAnsi="宋体"/>
          <w:szCs w:val="21"/>
        </w:rPr>
        <w:t>3.1.1　符合《政府采购法》第二十二条规定的供应商条件：</w:t>
      </w:r>
    </w:p>
    <w:p>
      <w:pPr>
        <w:adjustRightInd w:val="0"/>
        <w:snapToGrid w:val="0"/>
        <w:spacing w:line="360" w:lineRule="auto"/>
        <w:rPr>
          <w:rFonts w:ascii="宋体" w:hAnsi="宋体"/>
          <w:szCs w:val="21"/>
        </w:rPr>
      </w:pPr>
      <w:r>
        <w:rPr>
          <w:rFonts w:hint="eastAsia" w:ascii="宋体" w:hAnsi="宋体"/>
          <w:szCs w:val="21"/>
        </w:rPr>
        <w:t>（1）具有独立承担民事责任的能力；</w:t>
      </w:r>
    </w:p>
    <w:p>
      <w:pPr>
        <w:adjustRightInd w:val="0"/>
        <w:snapToGrid w:val="0"/>
        <w:spacing w:line="360" w:lineRule="auto"/>
        <w:rPr>
          <w:rFonts w:ascii="宋体" w:hAnsi="宋体"/>
          <w:szCs w:val="21"/>
        </w:rPr>
      </w:pPr>
      <w:r>
        <w:rPr>
          <w:rFonts w:hint="eastAsia" w:ascii="宋体" w:hAnsi="宋体"/>
          <w:szCs w:val="21"/>
        </w:rPr>
        <w:t>（2）具有良好的商业信誉和健全的财务会计制度；</w:t>
      </w:r>
    </w:p>
    <w:p>
      <w:pPr>
        <w:adjustRightInd w:val="0"/>
        <w:snapToGrid w:val="0"/>
        <w:spacing w:line="360" w:lineRule="auto"/>
        <w:rPr>
          <w:rFonts w:ascii="宋体" w:hAnsi="宋体"/>
          <w:szCs w:val="21"/>
        </w:rPr>
      </w:pPr>
      <w:r>
        <w:rPr>
          <w:rFonts w:hint="eastAsia" w:ascii="宋体" w:hAnsi="宋体"/>
          <w:szCs w:val="21"/>
        </w:rPr>
        <w:t>（3）具有履行合同所必需的设备和专业技术能力；</w:t>
      </w:r>
    </w:p>
    <w:p>
      <w:pPr>
        <w:adjustRightInd w:val="0"/>
        <w:snapToGrid w:val="0"/>
        <w:spacing w:line="360" w:lineRule="auto"/>
        <w:rPr>
          <w:rFonts w:ascii="宋体" w:hAnsi="宋体"/>
          <w:szCs w:val="21"/>
        </w:rPr>
      </w:pPr>
      <w:r>
        <w:rPr>
          <w:rFonts w:hint="eastAsia" w:ascii="宋体" w:hAnsi="宋体"/>
          <w:szCs w:val="21"/>
        </w:rPr>
        <w:t>（4）有依法缴纳税收和社会保障资金的良好记录；</w:t>
      </w:r>
    </w:p>
    <w:p>
      <w:pPr>
        <w:adjustRightInd w:val="0"/>
        <w:snapToGrid w:val="0"/>
        <w:spacing w:line="360" w:lineRule="auto"/>
        <w:rPr>
          <w:rFonts w:ascii="宋体" w:hAnsi="宋体"/>
          <w:szCs w:val="21"/>
        </w:rPr>
      </w:pPr>
      <w:r>
        <w:rPr>
          <w:rFonts w:hint="eastAsia" w:ascii="宋体" w:hAnsi="宋体"/>
          <w:szCs w:val="21"/>
        </w:rPr>
        <w:t>（5）参加政府采购活动前三年内，在经营活动中没有重大违法记录；</w:t>
      </w:r>
    </w:p>
    <w:p>
      <w:pPr>
        <w:adjustRightInd w:val="0"/>
        <w:snapToGrid w:val="0"/>
        <w:spacing w:line="360" w:lineRule="auto"/>
        <w:rPr>
          <w:rFonts w:ascii="宋体" w:hAnsi="宋体"/>
          <w:szCs w:val="21"/>
        </w:rPr>
      </w:pPr>
      <w:r>
        <w:rPr>
          <w:rFonts w:hint="eastAsia" w:ascii="宋体" w:hAnsi="宋体"/>
          <w:szCs w:val="21"/>
        </w:rPr>
        <w:t>（6）政府采购法律法规相关规定的其他条件。</w:t>
      </w:r>
    </w:p>
    <w:p>
      <w:pPr>
        <w:adjustRightInd w:val="0"/>
        <w:snapToGrid w:val="0"/>
        <w:spacing w:line="360" w:lineRule="auto"/>
        <w:rPr>
          <w:rFonts w:ascii="宋体" w:hAnsi="宋体"/>
          <w:szCs w:val="21"/>
        </w:rPr>
      </w:pPr>
      <w:r>
        <w:rPr>
          <w:rFonts w:hint="eastAsia" w:ascii="宋体" w:hAnsi="宋体"/>
          <w:szCs w:val="21"/>
        </w:rPr>
        <w:t>3.1.2　其他特定资格条件：详见</w:t>
      </w:r>
      <w:r>
        <w:rPr>
          <w:rFonts w:hint="eastAsia" w:ascii="宋体" w:hAnsi="宋体"/>
          <w:b/>
          <w:bCs/>
          <w:szCs w:val="21"/>
        </w:rPr>
        <w:t>投标人须知前附表</w:t>
      </w:r>
    </w:p>
    <w:p>
      <w:pPr>
        <w:adjustRightInd w:val="0"/>
        <w:snapToGrid w:val="0"/>
        <w:spacing w:line="360" w:lineRule="auto"/>
        <w:rPr>
          <w:rFonts w:ascii="宋体" w:hAnsi="宋体"/>
          <w:szCs w:val="21"/>
        </w:rPr>
      </w:pPr>
      <w:r>
        <w:rPr>
          <w:rFonts w:hint="eastAsia" w:ascii="宋体" w:hAnsi="宋体"/>
          <w:szCs w:val="21"/>
        </w:rPr>
        <w:t>3.2　供应商存在下列情形之一的不得参加投标：</w:t>
      </w:r>
    </w:p>
    <w:p>
      <w:pPr>
        <w:adjustRightInd w:val="0"/>
        <w:snapToGrid w:val="0"/>
        <w:spacing w:line="360" w:lineRule="auto"/>
        <w:rPr>
          <w:rFonts w:ascii="宋体" w:hAnsi="宋体"/>
          <w:szCs w:val="21"/>
        </w:rPr>
      </w:pPr>
      <w:r>
        <w:rPr>
          <w:rFonts w:hint="eastAsia" w:ascii="宋体" w:hAnsi="宋体"/>
          <w:szCs w:val="21"/>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djustRightInd w:val="0"/>
        <w:snapToGrid w:val="0"/>
        <w:spacing w:line="360" w:lineRule="auto"/>
        <w:rPr>
          <w:rFonts w:ascii="宋体" w:hAnsi="宋体"/>
          <w:szCs w:val="21"/>
        </w:rPr>
      </w:pPr>
      <w:r>
        <w:rPr>
          <w:rFonts w:hint="eastAsia" w:ascii="宋体" w:hAnsi="宋体"/>
          <w:szCs w:val="21"/>
        </w:rPr>
        <w:t>3.2.2  因违法经营受到刑事处罚或者责令停产停业、吊销许可证或者执照、较大数额罚款等行政处罚，或者存在财政部门认定的其他重大违法记录，以及在财政部门禁止参加政府采购活动期限以内的。</w:t>
      </w:r>
    </w:p>
    <w:p>
      <w:pPr>
        <w:adjustRightInd w:val="0"/>
        <w:snapToGrid w:val="0"/>
        <w:spacing w:line="360" w:lineRule="auto"/>
        <w:rPr>
          <w:rFonts w:ascii="宋体" w:hAnsi="宋体"/>
          <w:b/>
          <w:bCs/>
          <w:szCs w:val="21"/>
        </w:rPr>
      </w:pPr>
      <w:r>
        <w:rPr>
          <w:rFonts w:hint="eastAsia" w:ascii="宋体" w:hAnsi="宋体"/>
          <w:b/>
          <w:bCs/>
          <w:szCs w:val="21"/>
        </w:rPr>
        <w:t>4.投标费用</w:t>
      </w:r>
    </w:p>
    <w:p>
      <w:pPr>
        <w:adjustRightInd w:val="0"/>
        <w:snapToGrid w:val="0"/>
        <w:spacing w:line="360" w:lineRule="auto"/>
        <w:rPr>
          <w:rFonts w:ascii="宋体" w:hAnsi="宋体"/>
          <w:szCs w:val="21"/>
        </w:rPr>
      </w:pPr>
      <w:r>
        <w:rPr>
          <w:rFonts w:hint="eastAsia" w:ascii="宋体" w:hAnsi="宋体"/>
          <w:szCs w:val="21"/>
        </w:rPr>
        <w:t>4.1　投标人应当自行承担所有参与投标的相关费用，不论投标的结果如何，采购人或者采购代理机构均无义务和责任承担这些费用。</w:t>
      </w:r>
    </w:p>
    <w:p>
      <w:pPr>
        <w:adjustRightInd w:val="0"/>
        <w:snapToGrid w:val="0"/>
        <w:spacing w:line="360" w:lineRule="auto"/>
        <w:rPr>
          <w:rFonts w:ascii="宋体" w:hAnsi="宋体"/>
          <w:b/>
          <w:bCs/>
          <w:szCs w:val="21"/>
        </w:rPr>
      </w:pPr>
      <w:r>
        <w:rPr>
          <w:rFonts w:hint="eastAsia" w:ascii="宋体" w:hAnsi="宋体"/>
          <w:b/>
          <w:bCs/>
          <w:szCs w:val="21"/>
        </w:rPr>
        <w:t>★5.授权委托</w:t>
      </w:r>
    </w:p>
    <w:p>
      <w:pPr>
        <w:adjustRightInd w:val="0"/>
        <w:snapToGrid w:val="0"/>
        <w:spacing w:line="360" w:lineRule="auto"/>
        <w:rPr>
          <w:rFonts w:ascii="宋体" w:hAnsi="宋体"/>
          <w:szCs w:val="21"/>
        </w:rPr>
      </w:pPr>
      <w:r>
        <w:rPr>
          <w:rFonts w:hint="eastAsia" w:ascii="宋体" w:hAnsi="宋体"/>
          <w:szCs w:val="21"/>
        </w:rPr>
        <w:t>投标人代表不是投标人的法定代表人的，应当持有法定代表人的授权委托书，同时提供法定代表人的身份证明及本人身份证。</w:t>
      </w:r>
    </w:p>
    <w:p>
      <w:pPr>
        <w:adjustRightInd w:val="0"/>
        <w:snapToGrid w:val="0"/>
        <w:spacing w:line="360" w:lineRule="auto"/>
        <w:rPr>
          <w:rFonts w:ascii="宋体" w:hAnsi="宋体"/>
          <w:b/>
          <w:bCs/>
          <w:szCs w:val="21"/>
        </w:rPr>
      </w:pPr>
      <w:r>
        <w:rPr>
          <w:rFonts w:hint="eastAsia" w:ascii="宋体" w:hAnsi="宋体"/>
          <w:b/>
          <w:bCs/>
          <w:szCs w:val="21"/>
        </w:rPr>
        <w:t>6.联合体投标</w:t>
      </w:r>
    </w:p>
    <w:p>
      <w:pPr>
        <w:adjustRightInd w:val="0"/>
        <w:snapToGrid w:val="0"/>
        <w:spacing w:line="360" w:lineRule="auto"/>
        <w:rPr>
          <w:rFonts w:ascii="宋体" w:hAnsi="宋体"/>
          <w:szCs w:val="21"/>
        </w:rPr>
      </w:pPr>
      <w:r>
        <w:rPr>
          <w:rFonts w:hint="eastAsia" w:ascii="宋体" w:hAnsi="宋体"/>
          <w:szCs w:val="21"/>
        </w:rPr>
        <w:t>6.1　本项目是否接受联合体形式参与详见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★6.2　供应商为联合体形式的，应当遵守以下规定：</w:t>
      </w:r>
    </w:p>
    <w:p>
      <w:pPr>
        <w:adjustRightInd w:val="0"/>
        <w:snapToGrid w:val="0"/>
        <w:spacing w:line="360" w:lineRule="auto"/>
        <w:rPr>
          <w:rFonts w:ascii="宋体" w:hAnsi="宋体"/>
          <w:szCs w:val="21"/>
        </w:rPr>
      </w:pPr>
      <w:r>
        <w:rPr>
          <w:rFonts w:hint="eastAsia" w:ascii="宋体" w:hAnsi="宋体"/>
          <w:szCs w:val="21"/>
        </w:rPr>
        <w:t>（1）联合体各方必须签订联合体协议书，明确联合体牵头人和各方权利、义务及分工、合同工作量比例；</w:t>
      </w:r>
    </w:p>
    <w:p>
      <w:pPr>
        <w:adjustRightInd w:val="0"/>
        <w:snapToGrid w:val="0"/>
        <w:spacing w:line="360" w:lineRule="auto"/>
        <w:rPr>
          <w:rFonts w:ascii="宋体" w:hAnsi="宋体"/>
          <w:szCs w:val="21"/>
        </w:rPr>
      </w:pPr>
      <w:r>
        <w:rPr>
          <w:rFonts w:hint="eastAsia" w:ascii="宋体" w:hAnsi="宋体"/>
          <w:szCs w:val="21"/>
        </w:rPr>
        <w:t>（2）联合体各方均应当符合</w:t>
      </w:r>
      <w:r>
        <w:rPr>
          <w:rFonts w:hint="eastAsia" w:ascii="宋体" w:hAnsi="宋体"/>
          <w:b/>
          <w:bCs/>
          <w:szCs w:val="21"/>
        </w:rPr>
        <w:t>投标人须知前附表</w:t>
      </w:r>
      <w:r>
        <w:rPr>
          <w:rFonts w:hint="eastAsia" w:ascii="宋体" w:hAnsi="宋体"/>
          <w:szCs w:val="21"/>
        </w:rPr>
        <w:t>规定的供应商基本资格条件；</w:t>
      </w:r>
    </w:p>
    <w:p>
      <w:pPr>
        <w:adjustRightInd w:val="0"/>
        <w:snapToGrid w:val="0"/>
        <w:spacing w:line="360" w:lineRule="auto"/>
        <w:rPr>
          <w:rFonts w:ascii="宋体" w:hAnsi="宋体"/>
          <w:szCs w:val="21"/>
        </w:rPr>
      </w:pPr>
      <w:r>
        <w:rPr>
          <w:rFonts w:hint="eastAsia" w:ascii="宋体" w:hAnsi="宋体"/>
          <w:szCs w:val="21"/>
        </w:rPr>
        <w:t>（3）除另有规定外，联合体各方中至少有一方应当符合</w:t>
      </w:r>
      <w:r>
        <w:rPr>
          <w:rFonts w:hint="eastAsia" w:ascii="宋体" w:hAnsi="宋体"/>
          <w:b/>
          <w:bCs/>
          <w:szCs w:val="21"/>
        </w:rPr>
        <w:t>投标人须知前附表</w:t>
      </w:r>
      <w:r>
        <w:rPr>
          <w:rFonts w:hint="eastAsia" w:ascii="宋体" w:hAnsi="宋体"/>
          <w:szCs w:val="21"/>
        </w:rPr>
        <w:t>规定的供应商特定资格条件；</w:t>
      </w:r>
    </w:p>
    <w:p>
      <w:pPr>
        <w:adjustRightInd w:val="0"/>
        <w:snapToGrid w:val="0"/>
        <w:spacing w:line="360" w:lineRule="auto"/>
        <w:rPr>
          <w:rFonts w:ascii="宋体" w:hAnsi="宋体"/>
          <w:szCs w:val="21"/>
        </w:rPr>
      </w:pPr>
      <w:r>
        <w:rPr>
          <w:rFonts w:hint="eastAsia" w:ascii="宋体" w:hAnsi="宋体"/>
          <w:szCs w:val="21"/>
        </w:rPr>
        <w:t>（4）联合体中有同类资质的供应商按照联合体分工承担相同工作的，应当按照资质等级较低的供应商确定资质等级；</w:t>
      </w:r>
    </w:p>
    <w:p>
      <w:pPr>
        <w:adjustRightInd w:val="0"/>
        <w:snapToGrid w:val="0"/>
        <w:spacing w:line="360" w:lineRule="auto"/>
        <w:rPr>
          <w:rFonts w:ascii="宋体" w:hAnsi="宋体"/>
          <w:szCs w:val="21"/>
        </w:rPr>
      </w:pPr>
      <w:r>
        <w:rPr>
          <w:rFonts w:hint="eastAsia" w:ascii="宋体" w:hAnsi="宋体"/>
          <w:szCs w:val="21"/>
        </w:rPr>
        <w:t>（5）联合体各方不得再单独或与其他供应商组成新的联合体参加同一项目的采购活动。</w:t>
      </w:r>
    </w:p>
    <w:p>
      <w:pPr>
        <w:adjustRightInd w:val="0"/>
        <w:snapToGrid w:val="0"/>
        <w:spacing w:line="360" w:lineRule="auto"/>
        <w:rPr>
          <w:rFonts w:ascii="宋体" w:hAnsi="宋体"/>
          <w:b/>
          <w:bCs/>
          <w:szCs w:val="21"/>
        </w:rPr>
      </w:pPr>
      <w:r>
        <w:rPr>
          <w:rFonts w:hint="eastAsia" w:ascii="宋体" w:hAnsi="宋体"/>
          <w:b/>
          <w:bCs/>
          <w:szCs w:val="21"/>
        </w:rPr>
        <w:t>7.项目现场考察</w:t>
      </w:r>
    </w:p>
    <w:p>
      <w:pPr>
        <w:adjustRightInd w:val="0"/>
        <w:snapToGrid w:val="0"/>
        <w:spacing w:line="360" w:lineRule="auto"/>
        <w:rPr>
          <w:rFonts w:ascii="宋体" w:hAnsi="宋体"/>
          <w:szCs w:val="21"/>
        </w:rPr>
      </w:pPr>
      <w:r>
        <w:rPr>
          <w:rFonts w:hint="eastAsia" w:ascii="宋体" w:hAnsi="宋体"/>
          <w:szCs w:val="21"/>
        </w:rPr>
        <w:t>7.1　本项目是否组织现场考察详见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7.2　供应商应当按</w:t>
      </w:r>
      <w:r>
        <w:rPr>
          <w:rFonts w:hint="eastAsia" w:ascii="宋体" w:hAnsi="宋体"/>
          <w:b/>
          <w:bCs/>
          <w:szCs w:val="21"/>
        </w:rPr>
        <w:t>投标人须知前附表</w:t>
      </w:r>
      <w:r>
        <w:rPr>
          <w:rFonts w:hint="eastAsia" w:ascii="宋体" w:hAnsi="宋体"/>
          <w:szCs w:val="21"/>
        </w:rPr>
        <w:t>中规定的时间及地点，对采购项目现场和周围环境进行考察。供应商未在指定时间进行考察的，采购人不再另行组织。</w:t>
      </w:r>
    </w:p>
    <w:p>
      <w:pPr>
        <w:adjustRightInd w:val="0"/>
        <w:snapToGrid w:val="0"/>
        <w:spacing w:line="360" w:lineRule="auto"/>
        <w:rPr>
          <w:rFonts w:ascii="宋体" w:hAnsi="宋体"/>
          <w:szCs w:val="21"/>
        </w:rPr>
      </w:pPr>
      <w:r>
        <w:rPr>
          <w:rFonts w:hint="eastAsia" w:ascii="宋体" w:hAnsi="宋体"/>
          <w:szCs w:val="21"/>
        </w:rPr>
        <w:t>7.3　考察现场的费用由供应商自己承担，考察期间所发生的人身伤害及财产损失由供应商自己负责。</w:t>
      </w:r>
    </w:p>
    <w:p>
      <w:pPr>
        <w:adjustRightInd w:val="0"/>
        <w:snapToGrid w:val="0"/>
        <w:spacing w:line="360" w:lineRule="auto"/>
        <w:rPr>
          <w:rFonts w:ascii="宋体" w:hAnsi="宋体"/>
          <w:szCs w:val="21"/>
        </w:rPr>
      </w:pPr>
      <w:r>
        <w:rPr>
          <w:rFonts w:hint="eastAsia" w:ascii="宋体" w:hAnsi="宋体"/>
          <w:szCs w:val="21"/>
        </w:rPr>
        <w:t>7.4　采购人不对供应商据此而做出的推论、理解和结论负责。一旦中标，供应商不得以任何借口，提出额外补偿，或延长合同期限的要求。</w:t>
      </w:r>
    </w:p>
    <w:p>
      <w:pPr>
        <w:adjustRightInd w:val="0"/>
        <w:snapToGrid w:val="0"/>
        <w:spacing w:line="360" w:lineRule="auto"/>
        <w:rPr>
          <w:rFonts w:ascii="宋体" w:hAnsi="宋体"/>
          <w:b/>
          <w:bCs/>
          <w:szCs w:val="21"/>
        </w:rPr>
      </w:pPr>
      <w:r>
        <w:rPr>
          <w:rFonts w:hint="eastAsia" w:ascii="宋体" w:hAnsi="宋体"/>
          <w:b/>
          <w:bCs/>
          <w:szCs w:val="21"/>
        </w:rPr>
        <w:t>8.采购进口产品</w:t>
      </w:r>
    </w:p>
    <w:p>
      <w:pPr>
        <w:adjustRightInd w:val="0"/>
        <w:snapToGrid w:val="0"/>
        <w:spacing w:line="360" w:lineRule="auto"/>
        <w:rPr>
          <w:rFonts w:ascii="宋体" w:hAnsi="宋体"/>
          <w:szCs w:val="21"/>
        </w:rPr>
      </w:pPr>
      <w:r>
        <w:rPr>
          <w:rFonts w:hint="eastAsia" w:ascii="宋体" w:hAnsi="宋体"/>
          <w:szCs w:val="21"/>
        </w:rPr>
        <w:t>8.1　本项目是否采购进口产品及相关要求见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b/>
          <w:bCs/>
          <w:szCs w:val="21"/>
        </w:rPr>
      </w:pPr>
      <w:r>
        <w:rPr>
          <w:rFonts w:hint="eastAsia" w:ascii="宋体" w:hAnsi="宋体"/>
          <w:b/>
          <w:bCs/>
          <w:szCs w:val="21"/>
        </w:rPr>
        <w:t>9.政策与其他规定</w:t>
      </w:r>
    </w:p>
    <w:p>
      <w:pPr>
        <w:adjustRightInd w:val="0"/>
        <w:snapToGrid w:val="0"/>
        <w:spacing w:line="360" w:lineRule="auto"/>
        <w:rPr>
          <w:rFonts w:ascii="宋体" w:hAnsi="宋体"/>
          <w:szCs w:val="21"/>
        </w:rPr>
      </w:pPr>
      <w:r>
        <w:rPr>
          <w:rFonts w:hint="eastAsia" w:ascii="宋体" w:hAnsi="宋体"/>
          <w:szCs w:val="21"/>
        </w:rPr>
        <w:t>★9.1　对列入《节能产品政府采购品目清单》，并</w:t>
      </w:r>
      <w:r>
        <w:rPr>
          <w:rFonts w:ascii="宋体" w:hAnsi="宋体"/>
          <w:szCs w:val="21"/>
        </w:rPr>
        <w:t>以“★”标注的</w:t>
      </w:r>
      <w:r>
        <w:rPr>
          <w:rFonts w:hint="eastAsia" w:ascii="宋体" w:hAnsi="宋体"/>
          <w:szCs w:val="21"/>
        </w:rPr>
        <w:t>产品实行</w:t>
      </w:r>
      <w:r>
        <w:rPr>
          <w:rFonts w:ascii="宋体" w:hAnsi="宋体"/>
          <w:szCs w:val="21"/>
        </w:rPr>
        <w:t>强制采购</w:t>
      </w:r>
      <w:r>
        <w:rPr>
          <w:rFonts w:hint="eastAsia" w:ascii="宋体" w:hAnsi="宋体"/>
          <w:szCs w:val="21"/>
        </w:rPr>
        <w:t>。本项目的详细要求见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9.2　对列入《节能产品政府采购品目清单》（非强制类）、《</w:t>
      </w:r>
      <w:r>
        <w:rPr>
          <w:rFonts w:ascii="宋体" w:hAnsi="宋体"/>
          <w:szCs w:val="21"/>
        </w:rPr>
        <w:t>环境标志产品政府采购品目清单</w:t>
      </w:r>
      <w:r>
        <w:rPr>
          <w:rFonts w:hint="eastAsia" w:ascii="宋体" w:hAnsi="宋体"/>
          <w:szCs w:val="21"/>
        </w:rPr>
        <w:t>》，依据国家确定的认证机构出具的、处于有效期之内的节能产品认证证书、环境标志产品认证证书，实施优先采购，分别予以相应的加分或价格扣除；对于同时列入“两个清单”的产品，优先于只获得其中一项认证的产品。本项目的详细要求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9.3　供应商享受支持中小企业发展政策优惠的，可用扣除后的最后报价参与价格比较。本项目价格扣除比例及相关要求见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9.4　监狱企业、符合条件的残疾人福利性单位视同小型、微型企业，享受促进中小企业发展政策优惠，可用扣除后的最后报价参与价格比较。本项目价格扣除比例及相关要求见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★9.5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9.6　其他法律法规强制性规定或扶持政策。本项目的详细要求见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b/>
          <w:bCs/>
          <w:szCs w:val="21"/>
        </w:rPr>
      </w:pPr>
      <w:r>
        <w:rPr>
          <w:rFonts w:hint="eastAsia" w:ascii="宋体" w:hAnsi="宋体"/>
          <w:b/>
          <w:bCs/>
          <w:szCs w:val="21"/>
        </w:rPr>
        <w:t>二、招标文件</w:t>
      </w:r>
    </w:p>
    <w:p>
      <w:pPr>
        <w:adjustRightInd w:val="0"/>
        <w:snapToGrid w:val="0"/>
        <w:spacing w:line="360" w:lineRule="auto"/>
        <w:rPr>
          <w:rFonts w:ascii="宋体" w:hAnsi="宋体"/>
          <w:b/>
          <w:bCs/>
          <w:szCs w:val="21"/>
        </w:rPr>
      </w:pPr>
      <w:r>
        <w:rPr>
          <w:rFonts w:hint="eastAsia" w:ascii="宋体" w:hAnsi="宋体"/>
          <w:b/>
          <w:bCs/>
          <w:szCs w:val="21"/>
        </w:rPr>
        <w:t>10.招标文件的构成</w:t>
      </w:r>
    </w:p>
    <w:p>
      <w:pPr>
        <w:adjustRightInd w:val="0"/>
        <w:snapToGrid w:val="0"/>
        <w:spacing w:line="360" w:lineRule="auto"/>
        <w:rPr>
          <w:rFonts w:ascii="宋体" w:hAnsi="宋体"/>
          <w:szCs w:val="21"/>
        </w:rPr>
      </w:pPr>
      <w:r>
        <w:rPr>
          <w:rFonts w:hint="eastAsia" w:ascii="宋体" w:hAnsi="宋体"/>
          <w:szCs w:val="21"/>
        </w:rPr>
        <w:t>10.1　招标文件各章节的内容如下：</w:t>
      </w:r>
    </w:p>
    <w:p>
      <w:pPr>
        <w:adjustRightInd w:val="0"/>
        <w:snapToGrid w:val="0"/>
        <w:spacing w:line="360" w:lineRule="auto"/>
        <w:rPr>
          <w:rFonts w:ascii="宋体" w:hAnsi="宋体"/>
          <w:szCs w:val="21"/>
        </w:rPr>
      </w:pPr>
      <w:r>
        <w:rPr>
          <w:rFonts w:hint="eastAsia" w:ascii="宋体" w:hAnsi="宋体"/>
          <w:szCs w:val="21"/>
        </w:rPr>
        <w:t>第一卷　商务部分</w:t>
      </w:r>
    </w:p>
    <w:p>
      <w:pPr>
        <w:adjustRightInd w:val="0"/>
        <w:snapToGrid w:val="0"/>
        <w:spacing w:line="360" w:lineRule="auto"/>
        <w:rPr>
          <w:rFonts w:ascii="宋体" w:hAnsi="宋体"/>
          <w:szCs w:val="21"/>
        </w:rPr>
      </w:pPr>
      <w:r>
        <w:rPr>
          <w:rFonts w:hint="eastAsia" w:ascii="宋体" w:hAnsi="宋体"/>
          <w:szCs w:val="21"/>
        </w:rPr>
        <w:t>第一章　投标邀请</w:t>
      </w:r>
    </w:p>
    <w:p>
      <w:pPr>
        <w:adjustRightInd w:val="0"/>
        <w:snapToGrid w:val="0"/>
        <w:spacing w:line="360" w:lineRule="auto"/>
        <w:rPr>
          <w:rFonts w:ascii="宋体" w:hAnsi="宋体"/>
          <w:szCs w:val="21"/>
        </w:rPr>
      </w:pPr>
      <w:r>
        <w:rPr>
          <w:rFonts w:hint="eastAsia" w:ascii="宋体" w:hAnsi="宋体"/>
          <w:szCs w:val="21"/>
        </w:rPr>
        <w:t>第二章　投标人须知</w:t>
      </w:r>
    </w:p>
    <w:p>
      <w:pPr>
        <w:adjustRightInd w:val="0"/>
        <w:snapToGrid w:val="0"/>
        <w:spacing w:line="360" w:lineRule="auto"/>
        <w:rPr>
          <w:rFonts w:ascii="宋体" w:hAnsi="宋体"/>
          <w:szCs w:val="21"/>
        </w:rPr>
      </w:pPr>
      <w:r>
        <w:rPr>
          <w:rFonts w:hint="eastAsia" w:ascii="宋体" w:hAnsi="宋体"/>
          <w:szCs w:val="21"/>
        </w:rPr>
        <w:t>第三章　评标方法及标准</w:t>
      </w:r>
    </w:p>
    <w:p>
      <w:pPr>
        <w:adjustRightInd w:val="0"/>
        <w:snapToGrid w:val="0"/>
        <w:spacing w:line="360" w:lineRule="auto"/>
        <w:rPr>
          <w:rFonts w:ascii="宋体" w:hAnsi="宋体"/>
          <w:szCs w:val="21"/>
        </w:rPr>
      </w:pPr>
      <w:r>
        <w:rPr>
          <w:rFonts w:hint="eastAsia" w:ascii="宋体" w:hAnsi="宋体"/>
          <w:szCs w:val="21"/>
        </w:rPr>
        <w:t>第四章　拟签订的合同文本</w:t>
      </w:r>
    </w:p>
    <w:p>
      <w:pPr>
        <w:adjustRightInd w:val="0"/>
        <w:snapToGrid w:val="0"/>
        <w:spacing w:line="360" w:lineRule="auto"/>
        <w:rPr>
          <w:rFonts w:ascii="宋体" w:hAnsi="宋体"/>
          <w:szCs w:val="21"/>
        </w:rPr>
      </w:pPr>
      <w:r>
        <w:rPr>
          <w:rFonts w:hint="eastAsia" w:ascii="宋体" w:hAnsi="宋体"/>
          <w:szCs w:val="21"/>
        </w:rPr>
        <w:t>第五章　投标文件格式</w:t>
      </w:r>
    </w:p>
    <w:p>
      <w:pPr>
        <w:adjustRightInd w:val="0"/>
        <w:snapToGrid w:val="0"/>
        <w:spacing w:line="360" w:lineRule="auto"/>
        <w:rPr>
          <w:rFonts w:ascii="宋体" w:hAnsi="宋体"/>
          <w:szCs w:val="21"/>
        </w:rPr>
      </w:pPr>
      <w:r>
        <w:rPr>
          <w:rFonts w:hint="eastAsia" w:ascii="宋体" w:hAnsi="宋体"/>
          <w:szCs w:val="21"/>
        </w:rPr>
        <w:t>第二卷　技术部分</w:t>
      </w:r>
    </w:p>
    <w:p>
      <w:pPr>
        <w:adjustRightInd w:val="0"/>
        <w:snapToGrid w:val="0"/>
        <w:spacing w:line="360" w:lineRule="auto"/>
        <w:rPr>
          <w:rFonts w:ascii="宋体" w:hAnsi="宋体"/>
          <w:szCs w:val="21"/>
        </w:rPr>
      </w:pPr>
      <w:r>
        <w:rPr>
          <w:rFonts w:hint="eastAsia" w:ascii="宋体" w:hAnsi="宋体"/>
          <w:szCs w:val="21"/>
        </w:rPr>
        <w:t>第六章　项目采购需求</w:t>
      </w:r>
    </w:p>
    <w:p>
      <w:pPr>
        <w:adjustRightInd w:val="0"/>
        <w:snapToGrid w:val="0"/>
        <w:spacing w:line="360" w:lineRule="auto"/>
        <w:rPr>
          <w:rFonts w:ascii="宋体" w:hAnsi="宋体"/>
          <w:szCs w:val="21"/>
        </w:rPr>
      </w:pPr>
      <w:r>
        <w:rPr>
          <w:rFonts w:hint="eastAsia" w:ascii="宋体" w:hAnsi="宋体"/>
          <w:szCs w:val="21"/>
        </w:rPr>
        <w:t>10.2　投标人应当仔细阅读招标文件的全部内容，按照招标文件要求编制投标文件。任何对招标文件的忽略或误解，不能作为投标文件存在缺陷或瑕疵的理由，其风险由投标人承担。</w:t>
      </w:r>
    </w:p>
    <w:p>
      <w:pPr>
        <w:adjustRightInd w:val="0"/>
        <w:snapToGrid w:val="0"/>
        <w:spacing w:line="360" w:lineRule="auto"/>
        <w:rPr>
          <w:rFonts w:ascii="宋体" w:hAnsi="宋体"/>
          <w:b/>
          <w:bCs/>
          <w:szCs w:val="21"/>
        </w:rPr>
      </w:pPr>
      <w:r>
        <w:rPr>
          <w:rFonts w:hint="eastAsia" w:ascii="宋体" w:hAnsi="宋体"/>
          <w:b/>
          <w:bCs/>
          <w:szCs w:val="21"/>
        </w:rPr>
        <w:t>11.招标文件的澄清与修改</w:t>
      </w:r>
    </w:p>
    <w:p>
      <w:pPr>
        <w:adjustRightInd w:val="0"/>
        <w:snapToGrid w:val="0"/>
        <w:spacing w:line="360" w:lineRule="auto"/>
        <w:rPr>
          <w:rFonts w:ascii="宋体" w:hAnsi="宋体"/>
          <w:szCs w:val="21"/>
        </w:rPr>
      </w:pPr>
      <w:r>
        <w:rPr>
          <w:rFonts w:hint="eastAsia" w:ascii="宋体" w:hAnsi="宋体"/>
          <w:szCs w:val="21"/>
        </w:rPr>
        <w:t>11.1　采购人或采购代理机构对已发出的招标文件进行必要澄清或者修改的，应当在</w:t>
      </w:r>
      <w:r>
        <w:rPr>
          <w:rFonts w:hint="eastAsia" w:ascii="宋体" w:hAnsi="宋体"/>
          <w:b/>
          <w:bCs/>
          <w:szCs w:val="21"/>
        </w:rPr>
        <w:t>投标人须知前附表</w:t>
      </w:r>
      <w:r>
        <w:rPr>
          <w:rFonts w:hint="eastAsia" w:ascii="宋体" w:hAnsi="宋体"/>
          <w:szCs w:val="21"/>
        </w:rPr>
        <w:t>规定的提交投标文件截止时间15日前，在原刊登招标公告的媒体上发布更正公告，并以书面形式通知所有招标文件收受人。</w:t>
      </w:r>
    </w:p>
    <w:p>
      <w:pPr>
        <w:adjustRightInd w:val="0"/>
        <w:snapToGrid w:val="0"/>
        <w:spacing w:line="360" w:lineRule="auto"/>
        <w:rPr>
          <w:rFonts w:ascii="宋体" w:hAnsi="宋体"/>
          <w:szCs w:val="21"/>
        </w:rPr>
      </w:pPr>
      <w:r>
        <w:rPr>
          <w:rFonts w:hint="eastAsia" w:ascii="宋体" w:hAnsi="宋体"/>
          <w:szCs w:val="21"/>
        </w:rPr>
        <w:t>11.2　如果澄清或者修改时间距本章</w:t>
      </w:r>
      <w:r>
        <w:rPr>
          <w:rFonts w:hint="eastAsia" w:ascii="宋体" w:hAnsi="宋体"/>
          <w:b/>
          <w:bCs/>
          <w:szCs w:val="21"/>
        </w:rPr>
        <w:t>投标人须知前附表</w:t>
      </w:r>
      <w:r>
        <w:rPr>
          <w:rFonts w:hint="eastAsia" w:ascii="宋体" w:hAnsi="宋体"/>
          <w:szCs w:val="21"/>
        </w:rPr>
        <w:t>规定的投标截止时间不足15日，将相应顺延提交投标文件的截止时间，澄清或者修改时间具体见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11.3　澄清或者修改内容为招标文件的组成部分，对所有领取了招标文件的潜在投标人均具有约束力。</w:t>
      </w:r>
    </w:p>
    <w:p>
      <w:pPr>
        <w:adjustRightInd w:val="0"/>
        <w:snapToGrid w:val="0"/>
        <w:spacing w:line="360" w:lineRule="auto"/>
        <w:rPr>
          <w:rFonts w:ascii="宋体" w:hAnsi="宋体"/>
          <w:b/>
          <w:bCs/>
          <w:szCs w:val="21"/>
        </w:rPr>
      </w:pPr>
      <w:r>
        <w:rPr>
          <w:rFonts w:hint="eastAsia" w:ascii="宋体" w:hAnsi="宋体"/>
          <w:b/>
          <w:bCs/>
          <w:szCs w:val="21"/>
        </w:rPr>
        <w:t>12.偏离</w:t>
      </w:r>
    </w:p>
    <w:p>
      <w:pPr>
        <w:adjustRightInd w:val="0"/>
        <w:snapToGrid w:val="0"/>
        <w:spacing w:line="360" w:lineRule="auto"/>
        <w:rPr>
          <w:rFonts w:ascii="宋体" w:hAnsi="宋体"/>
          <w:szCs w:val="21"/>
        </w:rPr>
      </w:pPr>
      <w:r>
        <w:rPr>
          <w:rFonts w:hint="eastAsia" w:ascii="宋体" w:hAnsi="宋体"/>
          <w:szCs w:val="21"/>
        </w:rPr>
        <w:t>12.1　本条所称偏离为投标文件对招标文件的偏离，即不满足或不响应招标文件的要求。</w:t>
      </w:r>
    </w:p>
    <w:p>
      <w:pPr>
        <w:adjustRightInd w:val="0"/>
        <w:snapToGrid w:val="0"/>
        <w:spacing w:line="360" w:lineRule="auto"/>
        <w:rPr>
          <w:rFonts w:ascii="宋体" w:hAnsi="宋体"/>
          <w:szCs w:val="21"/>
        </w:rPr>
      </w:pPr>
      <w:r>
        <w:rPr>
          <w:rFonts w:hint="eastAsia" w:ascii="宋体" w:hAnsi="宋体"/>
          <w:szCs w:val="21"/>
        </w:rPr>
        <w:t>★12.2　除法律、法规和规章规定外，招标文件中用“拒绝”“不接受”“无效”“不得”“必须”“应当”等文字规定或标注“★”符号的条款为实质性要求条款（即重要条款），对其中任何一条的偏离，在评标时将其视为无效投标。</w:t>
      </w:r>
    </w:p>
    <w:p>
      <w:pPr>
        <w:adjustRightInd w:val="0"/>
        <w:snapToGrid w:val="0"/>
        <w:spacing w:line="360" w:lineRule="auto"/>
        <w:rPr>
          <w:rFonts w:ascii="宋体" w:hAnsi="宋体"/>
          <w:b/>
          <w:bCs/>
          <w:szCs w:val="21"/>
        </w:rPr>
      </w:pPr>
      <w:r>
        <w:rPr>
          <w:rFonts w:hint="eastAsia" w:ascii="宋体" w:hAnsi="宋体"/>
          <w:b/>
          <w:bCs/>
          <w:szCs w:val="21"/>
        </w:rPr>
        <w:t>三、投标文件</w:t>
      </w:r>
    </w:p>
    <w:p>
      <w:pPr>
        <w:adjustRightInd w:val="0"/>
        <w:snapToGrid w:val="0"/>
        <w:spacing w:line="360" w:lineRule="auto"/>
        <w:rPr>
          <w:rFonts w:ascii="宋体" w:hAnsi="宋体"/>
          <w:b/>
          <w:bCs/>
          <w:szCs w:val="21"/>
        </w:rPr>
      </w:pPr>
      <w:r>
        <w:rPr>
          <w:rFonts w:hint="eastAsia" w:ascii="宋体" w:hAnsi="宋体"/>
          <w:b/>
          <w:bCs/>
          <w:szCs w:val="21"/>
        </w:rPr>
        <w:t>13.一般要求</w:t>
      </w:r>
    </w:p>
    <w:p>
      <w:pPr>
        <w:adjustRightInd w:val="0"/>
        <w:snapToGrid w:val="0"/>
        <w:spacing w:line="360" w:lineRule="auto"/>
        <w:rPr>
          <w:rFonts w:ascii="宋体" w:hAnsi="宋体"/>
          <w:szCs w:val="21"/>
        </w:rPr>
      </w:pPr>
      <w:r>
        <w:rPr>
          <w:rFonts w:hint="eastAsia" w:ascii="宋体" w:hAnsi="宋体"/>
          <w:szCs w:val="21"/>
        </w:rPr>
        <w:t>13.1　投标人应当仔细阅读招标文件的所有内容，按招标文件的要求编制投标文件，并保证所提供的全部资料的真实性，以使其投标文件对招标文件做出实质性的响应。</w:t>
      </w:r>
    </w:p>
    <w:p>
      <w:pPr>
        <w:adjustRightInd w:val="0"/>
        <w:snapToGrid w:val="0"/>
        <w:spacing w:line="360" w:lineRule="auto"/>
        <w:rPr>
          <w:rFonts w:ascii="宋体" w:hAnsi="宋体"/>
          <w:szCs w:val="21"/>
        </w:rPr>
      </w:pPr>
      <w:r>
        <w:rPr>
          <w:rFonts w:hint="eastAsia" w:ascii="宋体" w:hAnsi="宋体"/>
          <w:szCs w:val="21"/>
        </w:rPr>
        <w:t>13.2　投标人提交的投标文件及投标人与采购人或采购代理机构、评标委员会就有关投标的所有来往函电必须使用中文。投标人可以提交其他语言的资料，但应当附有中文注释，有差异时以中文为准。</w:t>
      </w:r>
    </w:p>
    <w:p>
      <w:pPr>
        <w:adjustRightInd w:val="0"/>
        <w:snapToGrid w:val="0"/>
        <w:spacing w:line="360" w:lineRule="auto"/>
        <w:rPr>
          <w:rFonts w:ascii="宋体" w:hAnsi="宋体"/>
          <w:szCs w:val="21"/>
        </w:rPr>
      </w:pPr>
      <w:r>
        <w:rPr>
          <w:rFonts w:hint="eastAsia" w:ascii="宋体" w:hAnsi="宋体"/>
          <w:szCs w:val="21"/>
        </w:rPr>
        <w:t>13.3　除技术要求另有规定外，本文件所要求使用的计量单位均采用国家法定的度、量、衡标准单位计量。未列明时亦默认为我国法定计量单位。</w:t>
      </w:r>
    </w:p>
    <w:p>
      <w:pPr>
        <w:adjustRightInd w:val="0"/>
        <w:snapToGrid w:val="0"/>
        <w:spacing w:line="360" w:lineRule="auto"/>
        <w:rPr>
          <w:rFonts w:ascii="宋体" w:hAnsi="宋体"/>
          <w:szCs w:val="21"/>
        </w:rPr>
      </w:pPr>
      <w:r>
        <w:rPr>
          <w:rFonts w:hint="eastAsia" w:ascii="宋体" w:hAnsi="宋体"/>
          <w:szCs w:val="21"/>
        </w:rPr>
        <w:t>13.4　供应商应当按招标文件中提供的投标文件格式填写。</w:t>
      </w:r>
    </w:p>
    <w:p>
      <w:pPr>
        <w:adjustRightInd w:val="0"/>
        <w:snapToGrid w:val="0"/>
        <w:spacing w:line="360" w:lineRule="auto"/>
        <w:rPr>
          <w:rFonts w:ascii="宋体" w:hAnsi="宋体"/>
          <w:szCs w:val="21"/>
        </w:rPr>
      </w:pPr>
      <w:r>
        <w:rPr>
          <w:rFonts w:hint="eastAsia" w:ascii="宋体" w:hAnsi="宋体"/>
          <w:szCs w:val="21"/>
        </w:rPr>
        <w:t>13.5　投标文件应当采用书面形式，招标文件中要求提供电子版的，必须按要求提供。</w:t>
      </w:r>
    </w:p>
    <w:p>
      <w:pPr>
        <w:adjustRightInd w:val="0"/>
        <w:snapToGrid w:val="0"/>
        <w:spacing w:line="360" w:lineRule="auto"/>
        <w:rPr>
          <w:rFonts w:ascii="宋体" w:hAnsi="宋体"/>
          <w:b/>
          <w:bCs/>
          <w:szCs w:val="21"/>
        </w:rPr>
      </w:pPr>
      <w:r>
        <w:rPr>
          <w:rFonts w:hint="eastAsia" w:ascii="宋体" w:hAnsi="宋体"/>
          <w:b/>
          <w:bCs/>
          <w:szCs w:val="21"/>
        </w:rPr>
        <w:t>14.投标文件的组成</w:t>
      </w:r>
    </w:p>
    <w:p>
      <w:pPr>
        <w:adjustRightInd w:val="0"/>
        <w:snapToGrid w:val="0"/>
        <w:rPr>
          <w:rFonts w:ascii="宋体" w:hAnsi="宋体"/>
          <w:szCs w:val="21"/>
        </w:rPr>
      </w:pPr>
      <w:bookmarkStart w:id="23" w:name="_Hlk24018845"/>
      <w:r>
        <w:rPr>
          <w:rFonts w:hint="eastAsia" w:ascii="宋体" w:hAnsi="宋体"/>
          <w:szCs w:val="21"/>
        </w:rPr>
        <w:t>14.1　投标文件包括但不限于下列内容</w:t>
      </w:r>
    </w:p>
    <w:bookmarkEnd w:id="23"/>
    <w:p>
      <w:pPr>
        <w:adjustRightInd w:val="0"/>
        <w:snapToGrid w:val="0"/>
        <w:spacing w:before="120" w:beforeLines="50" w:line="360" w:lineRule="auto"/>
        <w:outlineLvl w:val="2"/>
        <w:rPr>
          <w:rFonts w:ascii="黑体" w:hAnsi="Courier New" w:eastAsia="黑体" w:cs="Courier New"/>
          <w:bCs/>
          <w:szCs w:val="21"/>
        </w:rPr>
      </w:pPr>
      <w:r>
        <w:rPr>
          <w:rFonts w:hint="eastAsia" w:ascii="宋体" w:hAnsi="宋体"/>
          <w:szCs w:val="21"/>
        </w:rPr>
        <w:t>★</w:t>
      </w:r>
      <w:r>
        <w:rPr>
          <w:rFonts w:hint="eastAsia" w:ascii="宋体" w:hAnsi="宋体"/>
          <w:b/>
          <w:bCs/>
          <w:szCs w:val="21"/>
        </w:rPr>
        <w:t>1</w:t>
      </w:r>
      <w:r>
        <w:rPr>
          <w:rFonts w:ascii="宋体" w:hAnsi="宋体"/>
          <w:b/>
          <w:bCs/>
          <w:szCs w:val="21"/>
        </w:rPr>
        <w:t>4.1.1</w:t>
      </w:r>
      <w:r>
        <w:rPr>
          <w:rFonts w:hint="eastAsia" w:ascii="宋体" w:hAnsi="宋体"/>
          <w:b/>
          <w:bCs/>
          <w:szCs w:val="21"/>
        </w:rPr>
        <w:t>　第一部分、资格证明文件</w:t>
      </w:r>
    </w:p>
    <w:p>
      <w:pPr>
        <w:adjustRightInd w:val="0"/>
        <w:snapToGrid w:val="0"/>
        <w:spacing w:line="360" w:lineRule="auto"/>
        <w:rPr>
          <w:rFonts w:ascii="宋体" w:hAnsi="宋体"/>
          <w:b/>
          <w:bCs/>
          <w:szCs w:val="21"/>
        </w:rPr>
      </w:pPr>
      <w:r>
        <w:rPr>
          <w:rFonts w:hint="eastAsia" w:ascii="宋体" w:hAnsi="宋体"/>
          <w:b/>
          <w:bCs/>
          <w:szCs w:val="21"/>
        </w:rPr>
        <w:t>14.1.2　第二部分、商务文件</w:t>
      </w:r>
    </w:p>
    <w:p>
      <w:pPr>
        <w:adjustRightInd w:val="0"/>
        <w:snapToGrid w:val="0"/>
        <w:spacing w:line="360" w:lineRule="auto"/>
        <w:rPr>
          <w:rFonts w:ascii="宋体" w:hAnsi="宋体"/>
          <w:szCs w:val="21"/>
        </w:rPr>
      </w:pPr>
      <w:r>
        <w:rPr>
          <w:rFonts w:hint="eastAsia" w:ascii="宋体" w:hAnsi="宋体"/>
          <w:szCs w:val="21"/>
        </w:rPr>
        <w:t>★（1）投标函（含法定代表人身份证明或授权委托书）</w:t>
      </w:r>
    </w:p>
    <w:p>
      <w:pPr>
        <w:adjustRightInd w:val="0"/>
        <w:snapToGrid w:val="0"/>
        <w:spacing w:line="360" w:lineRule="auto"/>
        <w:rPr>
          <w:rFonts w:ascii="宋体" w:hAnsi="宋体"/>
          <w:szCs w:val="21"/>
        </w:rPr>
      </w:pPr>
      <w:r>
        <w:rPr>
          <w:rFonts w:hint="eastAsia" w:ascii="宋体" w:hAnsi="宋体"/>
          <w:szCs w:val="21"/>
        </w:rPr>
        <w:t>★（2）开标一览表</w:t>
      </w:r>
    </w:p>
    <w:p>
      <w:pPr>
        <w:adjustRightInd w:val="0"/>
        <w:snapToGrid w:val="0"/>
        <w:spacing w:line="360" w:lineRule="auto"/>
        <w:rPr>
          <w:rFonts w:ascii="宋体" w:hAnsi="宋体"/>
          <w:szCs w:val="21"/>
        </w:rPr>
      </w:pPr>
      <w:r>
        <w:rPr>
          <w:rFonts w:hint="eastAsia" w:ascii="宋体" w:hAnsi="宋体"/>
          <w:szCs w:val="21"/>
        </w:rPr>
        <w:t>★（3）分项价格表</w:t>
      </w:r>
    </w:p>
    <w:p>
      <w:pPr>
        <w:adjustRightInd w:val="0"/>
        <w:snapToGrid w:val="0"/>
        <w:spacing w:line="360" w:lineRule="auto"/>
        <w:rPr>
          <w:rFonts w:ascii="宋体" w:hAnsi="宋体"/>
          <w:szCs w:val="21"/>
        </w:rPr>
      </w:pPr>
      <w:r>
        <w:rPr>
          <w:rFonts w:hint="eastAsia" w:ascii="宋体" w:hAnsi="宋体"/>
          <w:szCs w:val="21"/>
        </w:rPr>
        <w:t>★（4）商务条款偏离表</w:t>
      </w:r>
    </w:p>
    <w:p>
      <w:pPr>
        <w:adjustRightInd w:val="0"/>
        <w:snapToGrid w:val="0"/>
        <w:spacing w:line="360" w:lineRule="auto"/>
        <w:rPr>
          <w:rFonts w:ascii="宋体" w:hAnsi="宋体"/>
          <w:szCs w:val="21"/>
        </w:rPr>
      </w:pPr>
      <w:r>
        <w:rPr>
          <w:rFonts w:hint="eastAsia" w:ascii="宋体" w:hAnsi="宋体"/>
          <w:b/>
          <w:bCs/>
          <w:szCs w:val="21"/>
        </w:rPr>
        <w:t>★</w:t>
      </w:r>
      <w:r>
        <w:rPr>
          <w:rFonts w:hint="eastAsia" w:ascii="宋体" w:hAnsi="宋体"/>
          <w:szCs w:val="21"/>
        </w:rPr>
        <w:t>（5）投标保证金</w:t>
      </w:r>
    </w:p>
    <w:p>
      <w:pPr>
        <w:adjustRightInd w:val="0"/>
        <w:snapToGrid w:val="0"/>
        <w:spacing w:line="360" w:lineRule="auto"/>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cs="宋体"/>
          <w:szCs w:val="21"/>
        </w:rPr>
        <w:t>提供</w:t>
      </w:r>
      <w:r>
        <w:rPr>
          <w:rFonts w:hint="eastAsia" w:ascii="宋体" w:hAnsi="宋体"/>
          <w:szCs w:val="21"/>
        </w:rPr>
        <w:t>符合政府采购政策的证明材料</w:t>
      </w:r>
    </w:p>
    <w:p>
      <w:pPr>
        <w:adjustRightInd w:val="0"/>
        <w:snapToGrid w:val="0"/>
        <w:spacing w:line="360" w:lineRule="auto"/>
        <w:rPr>
          <w:rFonts w:ascii="宋体" w:hAnsi="宋体"/>
          <w:b/>
          <w:bCs/>
          <w:szCs w:val="21"/>
        </w:rPr>
      </w:pPr>
      <w:r>
        <w:rPr>
          <w:rFonts w:hint="eastAsia" w:ascii="宋体" w:hAnsi="宋体"/>
          <w:b/>
          <w:bCs/>
          <w:szCs w:val="21"/>
        </w:rPr>
        <w:t>14.1.</w:t>
      </w:r>
      <w:r>
        <w:rPr>
          <w:rFonts w:ascii="宋体" w:hAnsi="宋体"/>
          <w:b/>
          <w:bCs/>
          <w:szCs w:val="21"/>
        </w:rPr>
        <w:t>3</w:t>
      </w:r>
      <w:r>
        <w:rPr>
          <w:rFonts w:hint="eastAsia" w:ascii="宋体" w:hAnsi="宋体"/>
          <w:b/>
          <w:bCs/>
          <w:szCs w:val="21"/>
        </w:rPr>
        <w:t>　第三部分、技术文件</w:t>
      </w:r>
    </w:p>
    <w:p>
      <w:pPr>
        <w:adjustRightInd w:val="0"/>
        <w:snapToGrid w:val="0"/>
        <w:spacing w:line="360" w:lineRule="auto"/>
        <w:rPr>
          <w:rFonts w:ascii="宋体" w:hAnsi="宋体"/>
          <w:szCs w:val="21"/>
        </w:rPr>
      </w:pPr>
      <w:r>
        <w:rPr>
          <w:rFonts w:hint="eastAsia" w:ascii="宋体" w:hAnsi="宋体"/>
          <w:szCs w:val="21"/>
        </w:rPr>
        <w:t>（7）技术条款响应与偏离表</w:t>
      </w:r>
    </w:p>
    <w:p>
      <w:pPr>
        <w:adjustRightInd w:val="0"/>
        <w:snapToGrid w:val="0"/>
        <w:spacing w:line="360" w:lineRule="auto"/>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）技术、服务方案及承诺</w:t>
      </w:r>
    </w:p>
    <w:p>
      <w:pPr>
        <w:adjustRightInd w:val="0"/>
        <w:snapToGrid w:val="0"/>
        <w:spacing w:line="360" w:lineRule="auto"/>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w:t>
      </w:r>
      <w:r>
        <w:rPr>
          <w:rFonts w:hint="eastAsia"/>
          <w:szCs w:val="21"/>
        </w:rPr>
        <w:t>投标货物（或服务）符合招标文件规定的证明文件</w:t>
      </w:r>
    </w:p>
    <w:p>
      <w:pPr>
        <w:adjustRightInd w:val="0"/>
        <w:snapToGrid w:val="0"/>
        <w:spacing w:line="360" w:lineRule="auto"/>
        <w:rPr>
          <w:rFonts w:ascii="宋体" w:hAnsi="宋体"/>
          <w:szCs w:val="21"/>
        </w:rPr>
      </w:pPr>
      <w:r>
        <w:rPr>
          <w:rFonts w:hint="eastAsia" w:ascii="宋体" w:hAnsi="宋体"/>
          <w:szCs w:val="21"/>
        </w:rPr>
        <w:t>★14.2　</w:t>
      </w:r>
      <w:r>
        <w:rPr>
          <w:rFonts w:hint="eastAsia" w:ascii="宋体" w:hAnsi="宋体"/>
          <w:b/>
          <w:bCs/>
          <w:szCs w:val="21"/>
        </w:rPr>
        <w:t>投标人须知前附表</w:t>
      </w:r>
      <w:r>
        <w:rPr>
          <w:rFonts w:hint="eastAsia" w:ascii="宋体" w:hAnsi="宋体"/>
          <w:szCs w:val="21"/>
        </w:rPr>
        <w:t>规定供应商在投标时提供样品的，供应商有以下情形之一的，在投标时将其视为无效响应文件。</w:t>
      </w:r>
    </w:p>
    <w:p>
      <w:pPr>
        <w:adjustRightInd w:val="0"/>
        <w:snapToGrid w:val="0"/>
        <w:spacing w:line="360" w:lineRule="auto"/>
        <w:rPr>
          <w:rFonts w:ascii="宋体" w:hAnsi="宋体"/>
          <w:szCs w:val="21"/>
        </w:rPr>
      </w:pPr>
      <w:r>
        <w:rPr>
          <w:rFonts w:hint="eastAsia" w:ascii="宋体" w:hAnsi="宋体"/>
          <w:szCs w:val="21"/>
        </w:rPr>
        <w:t>（1）未在</w:t>
      </w:r>
      <w:r>
        <w:rPr>
          <w:rFonts w:hint="eastAsia" w:ascii="宋体" w:hAnsi="宋体"/>
          <w:b/>
          <w:bCs/>
          <w:szCs w:val="21"/>
        </w:rPr>
        <w:t>投标人须知前附表</w:t>
      </w:r>
      <w:r>
        <w:rPr>
          <w:rFonts w:hint="eastAsia" w:ascii="宋体" w:hAnsi="宋体"/>
          <w:szCs w:val="21"/>
        </w:rPr>
        <w:t>规定的提交时间、地点提交的；</w:t>
      </w:r>
    </w:p>
    <w:p>
      <w:pPr>
        <w:adjustRightInd w:val="0"/>
        <w:snapToGrid w:val="0"/>
        <w:spacing w:line="360" w:lineRule="auto"/>
        <w:rPr>
          <w:rFonts w:ascii="宋体" w:hAnsi="宋体"/>
          <w:szCs w:val="21"/>
        </w:rPr>
      </w:pPr>
      <w:r>
        <w:rPr>
          <w:rFonts w:hint="eastAsia" w:ascii="宋体" w:hAnsi="宋体"/>
          <w:szCs w:val="21"/>
        </w:rPr>
        <w:t>（2）供应商提供的样品与投标文件中型号、规格不一致的。</w:t>
      </w:r>
    </w:p>
    <w:p>
      <w:pPr>
        <w:adjustRightInd w:val="0"/>
        <w:snapToGrid w:val="0"/>
        <w:spacing w:line="360" w:lineRule="auto"/>
        <w:rPr>
          <w:rFonts w:ascii="宋体" w:hAnsi="宋体"/>
          <w:szCs w:val="21"/>
        </w:rPr>
      </w:pPr>
      <w:r>
        <w:rPr>
          <w:rFonts w:hint="eastAsia" w:ascii="宋体" w:hAnsi="宋体"/>
          <w:szCs w:val="21"/>
        </w:rPr>
        <w:t>14.3　在投标过程中，投标人根据评标委员会书面形式要求提供的澄清文件是投标文件的有效组成部分。</w:t>
      </w:r>
    </w:p>
    <w:p>
      <w:pPr>
        <w:adjustRightInd w:val="0"/>
        <w:snapToGrid w:val="0"/>
        <w:spacing w:line="360" w:lineRule="auto"/>
        <w:rPr>
          <w:rFonts w:ascii="宋体" w:hAnsi="宋体"/>
          <w:szCs w:val="21"/>
        </w:rPr>
      </w:pPr>
      <w:r>
        <w:rPr>
          <w:rFonts w:hint="eastAsia" w:ascii="宋体" w:hAnsi="宋体"/>
          <w:szCs w:val="21"/>
        </w:rPr>
        <w:t>14.4　供应商无论中标与否，其投标文件不予退还。</w:t>
      </w:r>
    </w:p>
    <w:p>
      <w:pPr>
        <w:adjustRightInd w:val="0"/>
        <w:snapToGrid w:val="0"/>
        <w:spacing w:line="360" w:lineRule="auto"/>
        <w:rPr>
          <w:rFonts w:ascii="宋体" w:hAnsi="宋体"/>
          <w:b/>
          <w:bCs/>
          <w:szCs w:val="21"/>
        </w:rPr>
      </w:pPr>
      <w:r>
        <w:rPr>
          <w:rFonts w:hint="eastAsia" w:ascii="宋体" w:hAnsi="宋体"/>
          <w:b/>
          <w:bCs/>
          <w:szCs w:val="21"/>
        </w:rPr>
        <w:t>15.投标报价</w:t>
      </w:r>
    </w:p>
    <w:p>
      <w:pPr>
        <w:adjustRightInd w:val="0"/>
        <w:snapToGrid w:val="0"/>
        <w:spacing w:line="360" w:lineRule="auto"/>
        <w:rPr>
          <w:rFonts w:ascii="宋体" w:hAnsi="宋体"/>
          <w:szCs w:val="21"/>
        </w:rPr>
      </w:pPr>
      <w:r>
        <w:rPr>
          <w:rFonts w:hint="eastAsia" w:ascii="宋体" w:hAnsi="宋体"/>
          <w:szCs w:val="21"/>
        </w:rPr>
        <w:t>15.1　投标人应当按招标文件规定的服务要求、责任范围和合同条件以人民币形式进行报价。投标报价应当为完税价。</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　投标人必须按《开标一览表》和《分项价格表》的内容和格式要求填写各种货物及服务的分项价格和总价。《分项价格表》的合计数应当与《开标一览表》的总金额一致。投标人在</w:t>
      </w:r>
      <w:r>
        <w:rPr>
          <w:rFonts w:hint="eastAsia" w:ascii="宋体" w:hAnsi="宋体"/>
          <w:b/>
          <w:bCs/>
          <w:color w:val="000000" w:themeColor="text1"/>
          <w:szCs w:val="21"/>
          <w14:textFill>
            <w14:solidFill>
              <w14:schemeClr w14:val="tx1"/>
            </w14:solidFill>
          </w14:textFill>
        </w:rPr>
        <w:t>投标人须知前附表</w:t>
      </w:r>
      <w:r>
        <w:rPr>
          <w:rFonts w:hint="eastAsia" w:ascii="宋体" w:hAnsi="宋体"/>
          <w:color w:val="000000" w:themeColor="text1"/>
          <w:szCs w:val="21"/>
          <w14:textFill>
            <w14:solidFill>
              <w14:schemeClr w14:val="tx1"/>
            </w14:solidFill>
          </w14:textFill>
        </w:rPr>
        <w:t>规定的投标文件截止之日前修改《开标一览表》中的报价的，应当同时修改其分项价格表中的报价。</w:t>
      </w:r>
    </w:p>
    <w:p>
      <w:pPr>
        <w:adjustRightInd w:val="0"/>
        <w:snapToGrid w:val="0"/>
        <w:spacing w:line="360" w:lineRule="auto"/>
        <w:rPr>
          <w:rFonts w:ascii="宋体" w:hAnsi="宋体"/>
          <w:szCs w:val="21"/>
        </w:rPr>
      </w:pPr>
      <w:r>
        <w:rPr>
          <w:rFonts w:hint="eastAsia" w:ascii="宋体" w:hAnsi="宋体"/>
          <w:szCs w:val="21"/>
        </w:rPr>
        <w:t>★15.3　投标人对每种货物只允许有一个报价，不接受可变动性报价、赠送及“零”报价，否则，在评标时将其视为无效投标。</w:t>
      </w:r>
    </w:p>
    <w:p>
      <w:pPr>
        <w:adjustRightInd w:val="0"/>
        <w:snapToGrid w:val="0"/>
        <w:spacing w:line="360" w:lineRule="auto"/>
        <w:rPr>
          <w:rFonts w:ascii="宋体" w:hAnsi="宋体"/>
          <w:szCs w:val="21"/>
        </w:rPr>
      </w:pPr>
      <w:r>
        <w:rPr>
          <w:rFonts w:hint="eastAsia" w:ascii="宋体" w:hAnsi="宋体"/>
          <w:szCs w:val="21"/>
        </w:rPr>
        <w:t>15.4　项目有特殊要求的见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b/>
          <w:bCs/>
          <w:szCs w:val="21"/>
        </w:rPr>
      </w:pPr>
      <w:r>
        <w:rPr>
          <w:rFonts w:hint="eastAsia" w:ascii="宋体" w:hAnsi="宋体"/>
          <w:b/>
          <w:bCs/>
          <w:szCs w:val="21"/>
        </w:rPr>
        <w:t>16.投标保证金</w:t>
      </w:r>
    </w:p>
    <w:p>
      <w:pPr>
        <w:adjustRightInd w:val="0"/>
        <w:snapToGrid w:val="0"/>
        <w:spacing w:line="360" w:lineRule="auto"/>
        <w:rPr>
          <w:rFonts w:ascii="宋体" w:hAnsi="宋体"/>
          <w:szCs w:val="21"/>
        </w:rPr>
      </w:pPr>
      <w:r>
        <w:rPr>
          <w:rFonts w:hint="eastAsia" w:ascii="宋体" w:hAnsi="宋体"/>
          <w:szCs w:val="21"/>
        </w:rPr>
        <w:t>16.1　本项目是否交纳投标保证金见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16.2　</w:t>
      </w:r>
      <w:r>
        <w:rPr>
          <w:rFonts w:hint="eastAsia" w:ascii="宋体" w:hAnsi="宋体"/>
          <w:b/>
          <w:bCs/>
          <w:szCs w:val="21"/>
        </w:rPr>
        <w:t>投标人须知前附表</w:t>
      </w:r>
      <w:r>
        <w:rPr>
          <w:rFonts w:hint="eastAsia" w:ascii="宋体" w:hAnsi="宋体"/>
          <w:szCs w:val="21"/>
        </w:rPr>
        <w:t>规定交纳投标保证金的，投标人应当以支票、汇票、本票或金融机构、担保机构出具的保函等非现金形式，在本章</w:t>
      </w:r>
      <w:r>
        <w:rPr>
          <w:rFonts w:hint="eastAsia" w:ascii="宋体" w:hAnsi="宋体"/>
          <w:b/>
          <w:bCs/>
          <w:szCs w:val="21"/>
        </w:rPr>
        <w:t>投标人须知前附表</w:t>
      </w:r>
      <w:r>
        <w:rPr>
          <w:rFonts w:hint="eastAsia" w:ascii="宋体" w:hAnsi="宋体"/>
          <w:szCs w:val="21"/>
        </w:rPr>
        <w:t>规定的投标截止时间前，向采购人或采购代理机构提交</w:t>
      </w:r>
      <w:r>
        <w:rPr>
          <w:rFonts w:hint="eastAsia" w:ascii="宋体" w:hAnsi="宋体"/>
          <w:b/>
          <w:bCs/>
          <w:szCs w:val="21"/>
        </w:rPr>
        <w:t>投标人须知前附表</w:t>
      </w:r>
      <w:r>
        <w:rPr>
          <w:rFonts w:hint="eastAsia" w:ascii="宋体" w:hAnsi="宋体"/>
          <w:szCs w:val="21"/>
        </w:rPr>
        <w:t>规定的投标保证金（数额采用四舍五入，计算至元）。投标保证金有效期应当与本章</w:t>
      </w:r>
      <w:r>
        <w:rPr>
          <w:rFonts w:hint="eastAsia" w:ascii="宋体" w:hAnsi="宋体"/>
          <w:b/>
          <w:bCs/>
          <w:szCs w:val="21"/>
        </w:rPr>
        <w:t>投标人须知前附表</w:t>
      </w:r>
      <w:r>
        <w:rPr>
          <w:rFonts w:hint="eastAsia" w:ascii="宋体" w:hAnsi="宋体"/>
          <w:szCs w:val="21"/>
        </w:rPr>
        <w:t>规定的投标有效期一致。投标人未按照招标文件要求提交投标保证金的，采购人或采购代理机构应当拒绝接收投标人的投标文件或评标委员会在评标时将其视为无效投标。</w:t>
      </w:r>
    </w:p>
    <w:p>
      <w:pPr>
        <w:adjustRightInd w:val="0"/>
        <w:snapToGrid w:val="0"/>
        <w:spacing w:line="360" w:lineRule="auto"/>
        <w:rPr>
          <w:rFonts w:ascii="宋体" w:hAnsi="宋体"/>
          <w:szCs w:val="21"/>
        </w:rPr>
      </w:pPr>
      <w:r>
        <w:rPr>
          <w:rFonts w:hint="eastAsia" w:ascii="宋体" w:hAnsi="宋体"/>
          <w:szCs w:val="21"/>
        </w:rPr>
        <w:t>16.3　联合体投标的，可以由联合体中的一方或者共同提交投标保证金。以一方名义提交投标保证金的，对联合体各方均具有约束力。</w:t>
      </w:r>
    </w:p>
    <w:p>
      <w:pPr>
        <w:adjustRightInd w:val="0"/>
        <w:snapToGrid w:val="0"/>
        <w:spacing w:line="360" w:lineRule="auto"/>
        <w:rPr>
          <w:rFonts w:ascii="宋体" w:hAnsi="宋体"/>
          <w:szCs w:val="21"/>
        </w:rPr>
      </w:pPr>
      <w:r>
        <w:rPr>
          <w:rFonts w:hint="eastAsia" w:ascii="宋体" w:hAnsi="宋体"/>
          <w:szCs w:val="21"/>
        </w:rPr>
        <w:t>16.4　未中标的投标人的投标保证金，将在中标通知书发出后5个工作日内退还，但因投标人自身原因导致无法及时退还的除外。</w:t>
      </w:r>
    </w:p>
    <w:p>
      <w:pPr>
        <w:adjustRightInd w:val="0"/>
        <w:snapToGrid w:val="0"/>
        <w:spacing w:line="360" w:lineRule="auto"/>
        <w:rPr>
          <w:rFonts w:ascii="宋体" w:hAnsi="宋体"/>
          <w:szCs w:val="21"/>
        </w:rPr>
      </w:pPr>
      <w:r>
        <w:rPr>
          <w:rFonts w:hint="eastAsia" w:ascii="宋体" w:hAnsi="宋体"/>
          <w:szCs w:val="21"/>
        </w:rPr>
        <w:t>16.5　中标的投标人的投标保证金，将在政府采购合同签订后5个工作日内退还或者转为中标人的履约保证金。</w:t>
      </w:r>
    </w:p>
    <w:p>
      <w:pPr>
        <w:adjustRightInd w:val="0"/>
        <w:snapToGrid w:val="0"/>
        <w:spacing w:line="360" w:lineRule="auto"/>
        <w:rPr>
          <w:rFonts w:ascii="宋体" w:hAnsi="宋体"/>
          <w:szCs w:val="21"/>
        </w:rPr>
      </w:pPr>
      <w:r>
        <w:rPr>
          <w:rFonts w:hint="eastAsia" w:ascii="宋体" w:hAnsi="宋体"/>
          <w:szCs w:val="21"/>
        </w:rPr>
        <w:t>16.6　投标人有以下情形之一的，投标保证金可以不予退还：</w:t>
      </w:r>
    </w:p>
    <w:p>
      <w:pPr>
        <w:adjustRightInd w:val="0"/>
        <w:snapToGrid w:val="0"/>
        <w:spacing w:line="360" w:lineRule="auto"/>
        <w:rPr>
          <w:rFonts w:ascii="宋体" w:hAnsi="宋体"/>
          <w:szCs w:val="21"/>
        </w:rPr>
      </w:pPr>
      <w:r>
        <w:rPr>
          <w:rFonts w:hint="eastAsia" w:ascii="宋体" w:hAnsi="宋体"/>
          <w:szCs w:val="21"/>
        </w:rPr>
        <w:t>（1）在</w:t>
      </w:r>
      <w:r>
        <w:rPr>
          <w:rFonts w:hint="eastAsia" w:ascii="宋体" w:hAnsi="宋体"/>
          <w:b/>
          <w:bCs/>
          <w:szCs w:val="21"/>
        </w:rPr>
        <w:t>投标人须知前附表</w:t>
      </w:r>
      <w:r>
        <w:rPr>
          <w:rFonts w:hint="eastAsia" w:ascii="宋体" w:hAnsi="宋体"/>
          <w:szCs w:val="21"/>
        </w:rPr>
        <w:t>规定的投标有效期内撤销投标文件。</w:t>
      </w:r>
    </w:p>
    <w:p>
      <w:pPr>
        <w:adjustRightInd w:val="0"/>
        <w:snapToGrid w:val="0"/>
        <w:spacing w:line="360" w:lineRule="auto"/>
        <w:rPr>
          <w:rFonts w:ascii="宋体" w:hAnsi="宋体"/>
          <w:szCs w:val="21"/>
        </w:rPr>
      </w:pPr>
      <w:r>
        <w:rPr>
          <w:rFonts w:hint="eastAsia" w:ascii="宋体" w:hAnsi="宋体"/>
          <w:szCs w:val="21"/>
        </w:rPr>
        <w:t>（2）中标后无正当理由不与采购人签订合同的。</w:t>
      </w:r>
    </w:p>
    <w:p>
      <w:pPr>
        <w:adjustRightInd w:val="0"/>
        <w:snapToGrid w:val="0"/>
        <w:spacing w:line="360" w:lineRule="auto"/>
        <w:rPr>
          <w:rFonts w:ascii="宋体" w:hAnsi="宋体"/>
          <w:b/>
          <w:bCs/>
          <w:szCs w:val="21"/>
        </w:rPr>
      </w:pPr>
      <w:r>
        <w:rPr>
          <w:rFonts w:hint="eastAsia" w:ascii="宋体" w:hAnsi="宋体"/>
          <w:b/>
          <w:bCs/>
          <w:szCs w:val="21"/>
        </w:rPr>
        <w:t>17.投标有效期</w:t>
      </w:r>
    </w:p>
    <w:p>
      <w:pPr>
        <w:adjustRightInd w:val="0"/>
        <w:snapToGrid w:val="0"/>
        <w:spacing w:line="360" w:lineRule="auto"/>
        <w:rPr>
          <w:rFonts w:ascii="宋体" w:hAnsi="宋体"/>
          <w:szCs w:val="21"/>
        </w:rPr>
      </w:pPr>
      <w:r>
        <w:rPr>
          <w:rFonts w:hint="eastAsia" w:ascii="宋体" w:hAnsi="宋体"/>
          <w:szCs w:val="21"/>
        </w:rPr>
        <w:t>17.1　投标有效期见</w:t>
      </w:r>
      <w:r>
        <w:rPr>
          <w:rFonts w:hint="eastAsia" w:ascii="宋体" w:hAnsi="宋体"/>
          <w:b/>
          <w:bCs/>
          <w:szCs w:val="21"/>
        </w:rPr>
        <w:t>投标人须知前附表</w:t>
      </w:r>
      <w:r>
        <w:rPr>
          <w:rFonts w:hint="eastAsia" w:ascii="宋体" w:hAnsi="宋体"/>
          <w:szCs w:val="21"/>
        </w:rPr>
        <w:t>，在此期间投标文件对投标人具有法律约束力，以保证采购人有足够的时间完成评标、定标以及签订合同。投标有效期从</w:t>
      </w:r>
      <w:r>
        <w:rPr>
          <w:rFonts w:hint="eastAsia" w:ascii="宋体" w:hAnsi="宋体"/>
          <w:b/>
          <w:bCs/>
          <w:szCs w:val="21"/>
        </w:rPr>
        <w:t>投标人须知前附表</w:t>
      </w:r>
      <w:r>
        <w:rPr>
          <w:rFonts w:hint="eastAsia" w:ascii="宋体" w:hAnsi="宋体"/>
          <w:szCs w:val="21"/>
        </w:rPr>
        <w:t>规定的投标截止之日起计算。投标有效期不足的，在评标时将其视为无效投标。</w:t>
      </w:r>
    </w:p>
    <w:p>
      <w:pPr>
        <w:adjustRightInd w:val="0"/>
        <w:snapToGrid w:val="0"/>
        <w:spacing w:line="360" w:lineRule="auto"/>
        <w:rPr>
          <w:rFonts w:ascii="宋体" w:hAnsi="宋体"/>
          <w:szCs w:val="21"/>
        </w:rPr>
      </w:pPr>
      <w:r>
        <w:rPr>
          <w:rFonts w:hint="eastAsia" w:ascii="宋体" w:hAnsi="宋体"/>
          <w:szCs w:val="21"/>
        </w:rPr>
        <w:t>17.2　特殊情况需延长投标有效期的，采购人或采购代理机构可于投标有效期届满之前，要求投标人同意延长有效期，采购人或采购代理机构的要求与投标人的答复均应当为书面形式。投标人拒绝延长的，其投标在原投标有效期届满后将不再有效，但有权收回其投标保证金；投标人同意延长的，应当相应延长其投标保证金的有效期，但不允许修改或撤回投标文件。</w:t>
      </w:r>
    </w:p>
    <w:p>
      <w:pPr>
        <w:adjustRightInd w:val="0"/>
        <w:snapToGrid w:val="0"/>
        <w:spacing w:line="360" w:lineRule="auto"/>
        <w:rPr>
          <w:rFonts w:ascii="宋体" w:hAnsi="宋体"/>
          <w:b/>
          <w:bCs/>
          <w:szCs w:val="21"/>
        </w:rPr>
      </w:pPr>
      <w:r>
        <w:rPr>
          <w:rFonts w:hint="eastAsia" w:ascii="宋体" w:hAnsi="宋体"/>
          <w:b/>
          <w:bCs/>
          <w:szCs w:val="21"/>
        </w:rPr>
        <w:t>18.投标文件的签署和规定</w:t>
      </w:r>
    </w:p>
    <w:p>
      <w:pPr>
        <w:adjustRightInd w:val="0"/>
        <w:snapToGrid w:val="0"/>
        <w:spacing w:line="360" w:lineRule="auto"/>
        <w:rPr>
          <w:rFonts w:ascii="宋体" w:hAnsi="宋体"/>
          <w:szCs w:val="21"/>
        </w:rPr>
      </w:pPr>
      <w:r>
        <w:rPr>
          <w:rFonts w:hint="eastAsia" w:ascii="宋体" w:hAnsi="宋体"/>
          <w:szCs w:val="21"/>
        </w:rPr>
        <w:t>18.1　投标人应当根据</w:t>
      </w:r>
      <w:r>
        <w:rPr>
          <w:rFonts w:hint="eastAsia" w:ascii="宋体" w:hAnsi="宋体"/>
          <w:b/>
          <w:bCs/>
          <w:szCs w:val="21"/>
        </w:rPr>
        <w:t>投标人须知前附表</w:t>
      </w:r>
      <w:r>
        <w:rPr>
          <w:rFonts w:hint="eastAsia" w:ascii="宋体" w:hAnsi="宋体"/>
          <w:szCs w:val="21"/>
        </w:rPr>
        <w:t>规定提交投标文件。投标文件应当分包制作，纸质文件的正本和副本应当装订成册。正本和副本的封面应当注明“正本”或“副本”的字样，当正本和副本、电子版不一致时，以正本为准。</w:t>
      </w:r>
    </w:p>
    <w:p>
      <w:pPr>
        <w:adjustRightInd w:val="0"/>
        <w:snapToGrid w:val="0"/>
        <w:spacing w:line="360" w:lineRule="auto"/>
        <w:rPr>
          <w:rFonts w:ascii="宋体" w:hAnsi="宋体"/>
          <w:szCs w:val="21"/>
        </w:rPr>
      </w:pPr>
      <w:r>
        <w:rPr>
          <w:rFonts w:hint="eastAsia" w:ascii="宋体" w:hAnsi="宋体"/>
          <w:szCs w:val="21"/>
        </w:rPr>
        <w:t>18.2　投标文件应当用不褪色的材料</w:t>
      </w:r>
      <w:r>
        <w:rPr>
          <w:rFonts w:hint="eastAsia" w:ascii="宋体" w:hAnsi="宋体"/>
          <w:b/>
          <w:bCs/>
          <w:szCs w:val="21"/>
        </w:rPr>
        <w:t>双面</w:t>
      </w:r>
      <w:r>
        <w:rPr>
          <w:rFonts w:hint="eastAsia" w:ascii="宋体" w:hAnsi="宋体"/>
          <w:szCs w:val="21"/>
        </w:rPr>
        <w:t>打印或书写，并按招标文件要求在签字盖章处盖单位章和由法定代表人或其授权代表签字。投标文件中的任何行间插字、涂改和增删，应当加盖单位章或由投标人的法定代表人或其授权的代理人签字确认。否则，在评标时将其视为无效投标。</w:t>
      </w:r>
    </w:p>
    <w:p>
      <w:pPr>
        <w:adjustRightInd w:val="0"/>
        <w:snapToGrid w:val="0"/>
        <w:spacing w:line="360" w:lineRule="auto"/>
        <w:rPr>
          <w:rFonts w:ascii="宋体" w:hAnsi="宋体"/>
          <w:b/>
          <w:bCs/>
          <w:szCs w:val="21"/>
        </w:rPr>
      </w:pPr>
      <w:r>
        <w:rPr>
          <w:rFonts w:hint="eastAsia" w:ascii="宋体" w:hAnsi="宋体"/>
          <w:b/>
          <w:bCs/>
          <w:szCs w:val="21"/>
        </w:rPr>
        <w:t>19.投标文件的密封和标记</w:t>
      </w:r>
    </w:p>
    <w:p>
      <w:pPr>
        <w:adjustRightInd w:val="0"/>
        <w:snapToGrid w:val="0"/>
        <w:spacing w:line="360" w:lineRule="auto"/>
        <w:rPr>
          <w:rFonts w:ascii="宋体" w:hAnsi="宋体"/>
          <w:szCs w:val="21"/>
        </w:rPr>
      </w:pPr>
      <w:r>
        <w:rPr>
          <w:rFonts w:hint="eastAsia" w:ascii="宋体" w:hAnsi="宋体"/>
          <w:szCs w:val="21"/>
        </w:rPr>
        <w:t>19.1　投标文件按正本和副本分别包装，注明“正本”或“副本”，加贴封条，并在封套的封口处加盖投标人单位公章或由法定代表人或其授权的代理人签字。电子文件与正本一同密封。</w:t>
      </w:r>
    </w:p>
    <w:p>
      <w:pPr>
        <w:adjustRightInd w:val="0"/>
        <w:snapToGrid w:val="0"/>
        <w:spacing w:line="360" w:lineRule="auto"/>
        <w:rPr>
          <w:rFonts w:ascii="宋体" w:hAnsi="宋体"/>
          <w:szCs w:val="21"/>
        </w:rPr>
      </w:pPr>
      <w:r>
        <w:rPr>
          <w:rFonts w:hint="eastAsia" w:ascii="宋体" w:hAnsi="宋体"/>
          <w:szCs w:val="21"/>
        </w:rPr>
        <w:t>19.2　投标文件封套或外包装上应当载明的内容见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19.3　投标文件如果未按上述规定密封和标记，采购人或采购代理机构应当拒绝接收。</w:t>
      </w:r>
    </w:p>
    <w:p>
      <w:pPr>
        <w:adjustRightInd w:val="0"/>
        <w:snapToGrid w:val="0"/>
        <w:spacing w:line="360" w:lineRule="auto"/>
        <w:rPr>
          <w:rFonts w:ascii="宋体" w:hAnsi="宋体"/>
          <w:b/>
          <w:bCs/>
          <w:szCs w:val="21"/>
        </w:rPr>
      </w:pPr>
      <w:r>
        <w:rPr>
          <w:rFonts w:hint="eastAsia" w:hAnsi="宋体" w:cs="宋体"/>
        </w:rPr>
        <w:t>★</w:t>
      </w:r>
      <w:r>
        <w:rPr>
          <w:rFonts w:hint="eastAsia" w:ascii="宋体" w:hAnsi="宋体"/>
          <w:szCs w:val="21"/>
        </w:rPr>
        <w:t>19.4　为方便开标唱标，投标人应当单独将《开标一览表》另行封装，并标明《开标一览表》字样，投标时单独递交。</w:t>
      </w:r>
      <w:r>
        <w:rPr>
          <w:rFonts w:hint="eastAsia" w:ascii="宋体" w:hAnsi="宋体"/>
          <w:b/>
          <w:bCs/>
          <w:szCs w:val="21"/>
        </w:rPr>
        <w:t>未单独密封递交《开标一览表》，视为无效投标。</w:t>
      </w:r>
    </w:p>
    <w:p>
      <w:pPr>
        <w:adjustRightInd w:val="0"/>
        <w:snapToGrid w:val="0"/>
        <w:spacing w:line="360" w:lineRule="auto"/>
        <w:rPr>
          <w:rFonts w:ascii="宋体" w:hAnsi="宋体"/>
          <w:b/>
          <w:bCs/>
          <w:szCs w:val="21"/>
        </w:rPr>
      </w:pPr>
      <w:r>
        <w:rPr>
          <w:rFonts w:hint="eastAsia" w:ascii="宋体" w:hAnsi="宋体"/>
          <w:b/>
          <w:bCs/>
          <w:szCs w:val="21"/>
        </w:rPr>
        <w:t>20.投标文件的递交</w:t>
      </w:r>
    </w:p>
    <w:p>
      <w:pPr>
        <w:adjustRightInd w:val="0"/>
        <w:snapToGrid w:val="0"/>
        <w:spacing w:line="360" w:lineRule="auto"/>
        <w:rPr>
          <w:rFonts w:ascii="宋体" w:hAnsi="宋体"/>
          <w:szCs w:val="21"/>
        </w:rPr>
      </w:pPr>
      <w:r>
        <w:rPr>
          <w:rFonts w:hint="eastAsia" w:ascii="宋体" w:hAnsi="宋体"/>
          <w:szCs w:val="21"/>
        </w:rPr>
        <w:t>20.1　投标文件应当在本章</w:t>
      </w:r>
      <w:r>
        <w:rPr>
          <w:rFonts w:hint="eastAsia" w:ascii="宋体" w:hAnsi="宋体"/>
          <w:b/>
          <w:bCs/>
          <w:szCs w:val="21"/>
        </w:rPr>
        <w:t>投标人须知前附表</w:t>
      </w:r>
      <w:r>
        <w:rPr>
          <w:rFonts w:hint="eastAsia" w:ascii="宋体" w:hAnsi="宋体"/>
          <w:szCs w:val="21"/>
        </w:rPr>
        <w:t>规定的投标截止时间之前密封送到</w:t>
      </w:r>
      <w:r>
        <w:rPr>
          <w:rFonts w:hint="eastAsia" w:ascii="宋体" w:hAnsi="宋体"/>
          <w:b/>
          <w:bCs/>
          <w:szCs w:val="21"/>
        </w:rPr>
        <w:t>投标人须知前附表</w:t>
      </w:r>
      <w:r>
        <w:rPr>
          <w:rFonts w:hint="eastAsia" w:ascii="宋体" w:hAnsi="宋体"/>
          <w:szCs w:val="21"/>
        </w:rPr>
        <w:t>指定的地点。</w:t>
      </w:r>
    </w:p>
    <w:p>
      <w:pPr>
        <w:adjustRightInd w:val="0"/>
        <w:snapToGrid w:val="0"/>
        <w:spacing w:line="360" w:lineRule="auto"/>
        <w:rPr>
          <w:rFonts w:ascii="宋体" w:hAnsi="宋体"/>
          <w:szCs w:val="21"/>
        </w:rPr>
      </w:pPr>
      <w:r>
        <w:rPr>
          <w:rFonts w:hint="eastAsia" w:ascii="宋体" w:hAnsi="宋体"/>
          <w:szCs w:val="21"/>
        </w:rPr>
        <w:t>采购人或者采购代理机构收到投标文件后，应当如实记载投标文件的送达时间和密封情况，签收保存，并向投标人出具签收回执。任何单位和个人不得在开标前开启投标文件。</w:t>
      </w:r>
    </w:p>
    <w:p>
      <w:pPr>
        <w:adjustRightInd w:val="0"/>
        <w:snapToGrid w:val="0"/>
        <w:spacing w:line="360" w:lineRule="auto"/>
        <w:rPr>
          <w:rFonts w:ascii="宋体" w:hAnsi="宋体"/>
          <w:szCs w:val="21"/>
        </w:rPr>
      </w:pPr>
      <w:r>
        <w:rPr>
          <w:rFonts w:hint="eastAsia" w:ascii="宋体" w:hAnsi="宋体"/>
          <w:szCs w:val="21"/>
        </w:rPr>
        <w:t>20.2　逾期送达或者未按照招标文件要求密封的投标文件，采购人、采购代理机构应当拒收。</w:t>
      </w:r>
    </w:p>
    <w:p>
      <w:pPr>
        <w:adjustRightInd w:val="0"/>
        <w:snapToGrid w:val="0"/>
        <w:spacing w:line="360" w:lineRule="auto"/>
        <w:rPr>
          <w:rFonts w:ascii="宋体" w:hAnsi="宋体"/>
          <w:b/>
          <w:bCs/>
          <w:szCs w:val="21"/>
        </w:rPr>
      </w:pPr>
      <w:r>
        <w:rPr>
          <w:rFonts w:hint="eastAsia" w:ascii="宋体" w:hAnsi="宋体"/>
          <w:b/>
          <w:bCs/>
          <w:szCs w:val="21"/>
        </w:rPr>
        <w:t>21.投标文件的修改和撤回</w:t>
      </w:r>
    </w:p>
    <w:p>
      <w:pPr>
        <w:adjustRightInd w:val="0"/>
        <w:snapToGrid w:val="0"/>
        <w:spacing w:line="360" w:lineRule="auto"/>
        <w:rPr>
          <w:rFonts w:ascii="宋体" w:hAnsi="宋体"/>
          <w:szCs w:val="21"/>
        </w:rPr>
      </w:pPr>
      <w:r>
        <w:rPr>
          <w:rFonts w:hint="eastAsia" w:ascii="宋体" w:hAnsi="宋体"/>
          <w:szCs w:val="21"/>
        </w:rPr>
        <w:t>21.1　在</w:t>
      </w:r>
      <w:r>
        <w:rPr>
          <w:rFonts w:hint="eastAsia" w:ascii="宋体" w:hAnsi="宋体"/>
          <w:b/>
          <w:bCs/>
          <w:szCs w:val="21"/>
        </w:rPr>
        <w:t>投标人须知前附表</w:t>
      </w:r>
      <w:r>
        <w:rPr>
          <w:rFonts w:hint="eastAsia" w:ascii="宋体" w:hAnsi="宋体"/>
          <w:szCs w:val="21"/>
        </w:rPr>
        <w:t>规定的投标截止时间前，投标人可以书面形式修改、补充或撤回已递交的投标文件，但应当以书面形式通知采购人或采购代理机构。</w:t>
      </w:r>
    </w:p>
    <w:p>
      <w:pPr>
        <w:adjustRightInd w:val="0"/>
        <w:snapToGrid w:val="0"/>
        <w:spacing w:line="360" w:lineRule="auto"/>
        <w:rPr>
          <w:rFonts w:ascii="宋体" w:hAnsi="宋体"/>
          <w:szCs w:val="21"/>
        </w:rPr>
      </w:pPr>
      <w:r>
        <w:rPr>
          <w:rFonts w:hint="eastAsia" w:ascii="宋体" w:hAnsi="宋体"/>
          <w:szCs w:val="21"/>
        </w:rPr>
        <w:t>21.2　修改、补充的内容为投标文件的组成部分。修改、补充的投标文件应当按本章第18、19、20项规定编制、签署、密封、标记和递交，并标明“修改、补充”字样。</w:t>
      </w:r>
    </w:p>
    <w:p>
      <w:pPr>
        <w:adjustRightInd w:val="0"/>
        <w:snapToGrid w:val="0"/>
        <w:spacing w:line="360" w:lineRule="auto"/>
        <w:rPr>
          <w:rFonts w:ascii="宋体" w:hAnsi="宋体"/>
          <w:szCs w:val="21"/>
        </w:rPr>
      </w:pPr>
      <w:r>
        <w:rPr>
          <w:rFonts w:hint="eastAsia" w:ascii="宋体" w:hAnsi="宋体"/>
          <w:szCs w:val="21"/>
        </w:rPr>
        <w:t>21.3　投标人按本章21.1款撤回投标文件的，采购人或采购代理机构自收到投标人书面撤回通知之日起5个工作日内，退还已收取的投标保证金，但因投标人自身原因导致无法及时退还的除外。</w:t>
      </w:r>
    </w:p>
    <w:p>
      <w:pPr>
        <w:adjustRightInd w:val="0"/>
        <w:snapToGrid w:val="0"/>
        <w:spacing w:line="360" w:lineRule="auto"/>
        <w:rPr>
          <w:rFonts w:ascii="宋体" w:hAnsi="宋体"/>
          <w:szCs w:val="21"/>
        </w:rPr>
      </w:pPr>
      <w:r>
        <w:rPr>
          <w:rFonts w:hint="eastAsia" w:ascii="宋体" w:hAnsi="宋体"/>
          <w:szCs w:val="21"/>
        </w:rPr>
        <w:t>21.4　投标人在投标有效期内不得修改、撤销其投标文件。</w:t>
      </w:r>
    </w:p>
    <w:p>
      <w:pPr>
        <w:adjustRightInd w:val="0"/>
        <w:snapToGrid w:val="0"/>
        <w:spacing w:line="360" w:lineRule="auto"/>
        <w:rPr>
          <w:rFonts w:ascii="宋体" w:hAnsi="宋体"/>
          <w:b/>
          <w:bCs/>
          <w:szCs w:val="21"/>
        </w:rPr>
      </w:pPr>
      <w:r>
        <w:rPr>
          <w:rFonts w:hint="eastAsia" w:ascii="宋体" w:hAnsi="宋体"/>
          <w:b/>
          <w:bCs/>
          <w:szCs w:val="21"/>
        </w:rPr>
        <w:t>四、开标和评标</w:t>
      </w:r>
    </w:p>
    <w:p>
      <w:pPr>
        <w:adjustRightInd w:val="0"/>
        <w:snapToGrid w:val="0"/>
        <w:spacing w:line="360" w:lineRule="auto"/>
        <w:rPr>
          <w:rFonts w:ascii="宋体" w:hAnsi="宋体"/>
          <w:b/>
          <w:bCs/>
          <w:szCs w:val="21"/>
        </w:rPr>
      </w:pPr>
      <w:r>
        <w:rPr>
          <w:rFonts w:hint="eastAsia" w:ascii="宋体" w:hAnsi="宋体"/>
          <w:b/>
          <w:bCs/>
          <w:szCs w:val="21"/>
        </w:rPr>
        <w:t>22.开标</w:t>
      </w:r>
    </w:p>
    <w:p>
      <w:pPr>
        <w:adjustRightInd w:val="0"/>
        <w:snapToGrid w:val="0"/>
        <w:spacing w:line="360" w:lineRule="auto"/>
        <w:rPr>
          <w:rFonts w:ascii="宋体" w:hAnsi="宋体"/>
          <w:szCs w:val="21"/>
        </w:rPr>
      </w:pPr>
      <w:r>
        <w:rPr>
          <w:rFonts w:hint="eastAsia" w:ascii="宋体" w:hAnsi="宋体"/>
          <w:szCs w:val="21"/>
        </w:rPr>
        <w:t>22.1　采购人或采购代理机构在</w:t>
      </w:r>
      <w:r>
        <w:rPr>
          <w:rFonts w:hint="eastAsia" w:ascii="宋体" w:hAnsi="宋体"/>
          <w:b/>
          <w:bCs/>
          <w:szCs w:val="21"/>
        </w:rPr>
        <w:t>投标人须知前附表</w:t>
      </w:r>
      <w:r>
        <w:rPr>
          <w:rFonts w:hint="eastAsia" w:ascii="宋体" w:hAnsi="宋体"/>
          <w:szCs w:val="21"/>
        </w:rPr>
        <w:t>规定的开标时间和开标地点组织公开开标，邀请投标人参加。评标委员会成员不得参加开标活动。投标人不足3家的，不得开标。</w:t>
      </w:r>
    </w:p>
    <w:p>
      <w:pPr>
        <w:adjustRightInd w:val="0"/>
        <w:snapToGrid w:val="0"/>
        <w:spacing w:line="360" w:lineRule="auto"/>
        <w:rPr>
          <w:rFonts w:ascii="宋体" w:hAnsi="宋体"/>
          <w:szCs w:val="21"/>
        </w:rPr>
      </w:pPr>
      <w:r>
        <w:rPr>
          <w:rFonts w:hint="eastAsia" w:ascii="宋体" w:hAnsi="宋体"/>
          <w:szCs w:val="21"/>
        </w:rPr>
        <w:t>22.2　开标时，公布在投标截止时间前递交投标文件的投标人名称；由投标人或其推选的代表检查投标文件的密封情况；经确认无误后，由采购人或采购代理机构当众唱标，并记录在案。投标人若有报价和优惠未被唱出，应当在开标时及时声明或提请注意，否则采购代理机构和采购人对此不承担任何责任。</w:t>
      </w:r>
    </w:p>
    <w:p>
      <w:pPr>
        <w:adjustRightInd w:val="0"/>
        <w:snapToGrid w:val="0"/>
        <w:spacing w:line="360" w:lineRule="auto"/>
        <w:rPr>
          <w:rFonts w:ascii="宋体" w:hAnsi="宋体"/>
          <w:szCs w:val="21"/>
        </w:rPr>
      </w:pPr>
      <w:r>
        <w:rPr>
          <w:rFonts w:hint="eastAsia" w:ascii="宋体" w:hAnsi="宋体"/>
          <w:szCs w:val="21"/>
        </w:rPr>
        <w:t>22.3　未宣读的投标价格等实质性内容，评标时不予承认。</w:t>
      </w:r>
    </w:p>
    <w:p>
      <w:pPr>
        <w:adjustRightInd w:val="0"/>
        <w:snapToGrid w:val="0"/>
        <w:spacing w:line="360" w:lineRule="auto"/>
        <w:rPr>
          <w:rFonts w:ascii="宋体" w:hAnsi="宋体"/>
          <w:szCs w:val="21"/>
        </w:rPr>
      </w:pPr>
      <w:r>
        <w:rPr>
          <w:rFonts w:hint="eastAsia" w:ascii="宋体" w:hAnsi="宋体"/>
          <w:szCs w:val="21"/>
        </w:rPr>
        <w:t>22.4　投标人代表及有关人员在开标记录上签字确认。</w:t>
      </w:r>
    </w:p>
    <w:p>
      <w:pPr>
        <w:adjustRightInd w:val="0"/>
        <w:snapToGrid w:val="0"/>
        <w:spacing w:line="360" w:lineRule="auto"/>
        <w:rPr>
          <w:rFonts w:ascii="宋体" w:hAnsi="宋体"/>
          <w:szCs w:val="21"/>
        </w:rPr>
      </w:pPr>
      <w:r>
        <w:rPr>
          <w:rFonts w:hint="eastAsia" w:ascii="宋体" w:hAnsi="宋体"/>
          <w:szCs w:val="21"/>
        </w:rPr>
        <w:t>22.5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360" w:lineRule="auto"/>
        <w:rPr>
          <w:rFonts w:ascii="宋体" w:hAnsi="宋体"/>
          <w:b/>
          <w:bCs/>
          <w:szCs w:val="21"/>
        </w:rPr>
      </w:pPr>
      <w:r>
        <w:rPr>
          <w:rFonts w:hint="eastAsia" w:ascii="宋体" w:hAnsi="宋体"/>
          <w:b/>
          <w:bCs/>
          <w:szCs w:val="21"/>
        </w:rPr>
        <w:t>★23.资格审查</w:t>
      </w:r>
    </w:p>
    <w:p>
      <w:pPr>
        <w:adjustRightInd w:val="0"/>
        <w:snapToGrid w:val="0"/>
        <w:spacing w:line="360" w:lineRule="auto"/>
        <w:rPr>
          <w:rFonts w:ascii="宋体" w:hAnsi="宋体"/>
          <w:szCs w:val="21"/>
        </w:rPr>
      </w:pPr>
      <w:r>
        <w:rPr>
          <w:rFonts w:hint="eastAsia" w:ascii="宋体" w:hAnsi="宋体"/>
          <w:szCs w:val="21"/>
        </w:rPr>
        <w:t>23.1　公开招标采购项目开标结束后，采购人或者采购代理机构应当依法对投标人的资格进行审查。合格投标人不足3家的，不得评标。</w:t>
      </w:r>
    </w:p>
    <w:p>
      <w:pPr>
        <w:adjustRightInd w:val="0"/>
        <w:snapToGrid w:val="0"/>
        <w:spacing w:line="360" w:lineRule="auto"/>
        <w:rPr>
          <w:rFonts w:ascii="宋体" w:hAnsi="宋体"/>
          <w:szCs w:val="21"/>
        </w:rPr>
      </w:pPr>
      <w:r>
        <w:rPr>
          <w:rFonts w:hint="eastAsia" w:ascii="宋体" w:hAnsi="宋体"/>
          <w:szCs w:val="21"/>
        </w:rPr>
        <w:t>有下列情形之一的，应当在资格审查时按照无效投标处理：</w:t>
      </w:r>
    </w:p>
    <w:p>
      <w:pPr>
        <w:adjustRightInd w:val="0"/>
        <w:snapToGrid w:val="0"/>
        <w:spacing w:line="360" w:lineRule="auto"/>
        <w:rPr>
          <w:rFonts w:ascii="宋体" w:hAnsi="宋体"/>
          <w:szCs w:val="21"/>
        </w:rPr>
      </w:pPr>
      <w:r>
        <w:rPr>
          <w:rFonts w:hint="eastAsia" w:ascii="宋体" w:hAnsi="宋体"/>
          <w:szCs w:val="21"/>
        </w:rPr>
        <w:t>（1）投标人未按照招标文件规定提交投标保证金的；</w:t>
      </w:r>
    </w:p>
    <w:p>
      <w:pPr>
        <w:adjustRightInd w:val="0"/>
        <w:snapToGrid w:val="0"/>
        <w:spacing w:line="360" w:lineRule="auto"/>
        <w:rPr>
          <w:rFonts w:ascii="宋体" w:hAnsi="宋体"/>
          <w:szCs w:val="21"/>
        </w:rPr>
      </w:pPr>
      <w:r>
        <w:rPr>
          <w:rFonts w:hint="eastAsia" w:ascii="宋体" w:hAnsi="宋体"/>
          <w:szCs w:val="21"/>
        </w:rPr>
        <w:t>（2）投标人不具备招标文件规定的投标人资格条件的；</w:t>
      </w:r>
    </w:p>
    <w:p>
      <w:pPr>
        <w:adjustRightInd w:val="0"/>
        <w:snapToGrid w:val="0"/>
        <w:spacing w:line="360" w:lineRule="auto"/>
        <w:rPr>
          <w:rFonts w:ascii="宋体" w:hAnsi="宋体"/>
          <w:szCs w:val="21"/>
        </w:rPr>
      </w:pPr>
      <w:r>
        <w:rPr>
          <w:rFonts w:hint="eastAsia" w:ascii="宋体" w:hAnsi="宋体"/>
          <w:szCs w:val="21"/>
        </w:rPr>
        <w:t>（3）报价超过招标文件中规定的预算金额或者最高限价的；</w:t>
      </w:r>
    </w:p>
    <w:p>
      <w:pPr>
        <w:adjustRightInd w:val="0"/>
        <w:snapToGrid w:val="0"/>
        <w:spacing w:line="360" w:lineRule="auto"/>
        <w:rPr>
          <w:rFonts w:ascii="宋体" w:hAnsi="宋体"/>
          <w:szCs w:val="21"/>
        </w:rPr>
      </w:pPr>
      <w:r>
        <w:rPr>
          <w:rFonts w:hint="eastAsia" w:ascii="宋体" w:hAnsi="宋体"/>
          <w:szCs w:val="21"/>
        </w:rPr>
        <w:t>（4）投标人存在失信记录的。</w:t>
      </w:r>
    </w:p>
    <w:p>
      <w:pPr>
        <w:adjustRightInd w:val="0"/>
        <w:snapToGrid w:val="0"/>
        <w:spacing w:line="360" w:lineRule="auto"/>
        <w:rPr>
          <w:rFonts w:ascii="宋体" w:hAnsi="宋体"/>
          <w:szCs w:val="21"/>
        </w:rPr>
      </w:pPr>
      <w:r>
        <w:rPr>
          <w:rFonts w:hint="eastAsia" w:ascii="宋体" w:hAnsi="宋体"/>
          <w:szCs w:val="21"/>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23.2　已经进行资格预审的，可以不再对供应商资格进行审查，资格预审合格的供应商在评审阶段资格发生变化的，应当通知采购人和采购代理机构。</w:t>
      </w:r>
    </w:p>
    <w:p>
      <w:pPr>
        <w:adjustRightInd w:val="0"/>
        <w:snapToGrid w:val="0"/>
        <w:spacing w:line="360" w:lineRule="auto"/>
        <w:rPr>
          <w:rFonts w:ascii="宋体" w:hAnsi="宋体"/>
          <w:b/>
          <w:bCs/>
          <w:szCs w:val="21"/>
        </w:rPr>
      </w:pPr>
      <w:r>
        <w:rPr>
          <w:rFonts w:hint="eastAsia" w:ascii="宋体" w:hAnsi="宋体"/>
          <w:b/>
          <w:bCs/>
          <w:szCs w:val="21"/>
        </w:rPr>
        <w:t>24.评标委员会</w:t>
      </w:r>
    </w:p>
    <w:p>
      <w:pPr>
        <w:adjustRightInd w:val="0"/>
        <w:snapToGrid w:val="0"/>
        <w:spacing w:line="360" w:lineRule="auto"/>
        <w:rPr>
          <w:rFonts w:ascii="宋体" w:hAnsi="宋体"/>
          <w:szCs w:val="21"/>
        </w:rPr>
      </w:pPr>
      <w:r>
        <w:rPr>
          <w:rFonts w:hint="eastAsia" w:ascii="宋体" w:hAnsi="宋体"/>
          <w:szCs w:val="21"/>
        </w:rPr>
        <w:t>评标由采购人或采购代理机构依法组建的评标委员会负责。评标委员会由政府采购评审专家和采购人代表组成。</w:t>
      </w:r>
    </w:p>
    <w:p>
      <w:pPr>
        <w:adjustRightInd w:val="0"/>
        <w:snapToGrid w:val="0"/>
        <w:spacing w:line="360" w:lineRule="auto"/>
        <w:rPr>
          <w:rFonts w:ascii="宋体" w:hAnsi="宋体"/>
          <w:b/>
          <w:bCs/>
          <w:szCs w:val="21"/>
        </w:rPr>
      </w:pPr>
      <w:r>
        <w:rPr>
          <w:rFonts w:hint="eastAsia" w:ascii="宋体" w:hAnsi="宋体"/>
          <w:b/>
          <w:bCs/>
          <w:szCs w:val="21"/>
        </w:rPr>
        <w:t>25.评标方法和标准</w:t>
      </w:r>
    </w:p>
    <w:p>
      <w:pPr>
        <w:adjustRightInd w:val="0"/>
        <w:snapToGrid w:val="0"/>
        <w:spacing w:line="360" w:lineRule="auto"/>
        <w:rPr>
          <w:rFonts w:ascii="宋体" w:hAnsi="宋体"/>
          <w:szCs w:val="21"/>
        </w:rPr>
      </w:pPr>
      <w:r>
        <w:rPr>
          <w:rFonts w:hint="eastAsia" w:ascii="宋体" w:hAnsi="宋体"/>
          <w:szCs w:val="21"/>
        </w:rPr>
        <w:t>本项目评标方法和标准见招标文件第三章。</w:t>
      </w:r>
    </w:p>
    <w:p>
      <w:pPr>
        <w:adjustRightInd w:val="0"/>
        <w:snapToGrid w:val="0"/>
        <w:spacing w:line="360" w:lineRule="auto"/>
        <w:rPr>
          <w:rFonts w:ascii="宋体" w:hAnsi="宋体"/>
          <w:b/>
          <w:bCs/>
          <w:szCs w:val="21"/>
        </w:rPr>
      </w:pPr>
      <w:r>
        <w:rPr>
          <w:rFonts w:hint="eastAsia" w:ascii="宋体" w:hAnsi="宋体"/>
          <w:b/>
          <w:bCs/>
          <w:szCs w:val="21"/>
        </w:rPr>
        <w:t>26.评标程序</w:t>
      </w:r>
    </w:p>
    <w:p>
      <w:pPr>
        <w:adjustRightInd w:val="0"/>
        <w:snapToGrid w:val="0"/>
        <w:spacing w:line="360" w:lineRule="auto"/>
        <w:rPr>
          <w:rFonts w:ascii="宋体" w:hAnsi="宋体"/>
          <w:szCs w:val="21"/>
        </w:rPr>
      </w:pPr>
      <w:r>
        <w:rPr>
          <w:rFonts w:hint="eastAsia" w:ascii="宋体" w:hAnsi="宋体"/>
          <w:szCs w:val="21"/>
        </w:rPr>
        <w:t>★26.1　投标文件的符合性审查。</w:t>
      </w:r>
    </w:p>
    <w:p>
      <w:pPr>
        <w:adjustRightInd w:val="0"/>
        <w:snapToGrid w:val="0"/>
        <w:spacing w:line="360" w:lineRule="auto"/>
        <w:rPr>
          <w:rFonts w:ascii="宋体" w:hAnsi="宋体"/>
          <w:szCs w:val="21"/>
        </w:rPr>
      </w:pPr>
      <w:r>
        <w:rPr>
          <w:rFonts w:hint="eastAsia" w:ascii="宋体" w:hAnsi="宋体"/>
          <w:szCs w:val="21"/>
        </w:rPr>
        <w:t>26.1.1评标委员会应当对符合资格的投标人的投标文件进行符合性审查，以确定其是否满足招标文件的实质性要求。</w:t>
      </w:r>
    </w:p>
    <w:p>
      <w:pPr>
        <w:adjustRightInd w:val="0"/>
        <w:snapToGrid w:val="0"/>
        <w:spacing w:line="360" w:lineRule="auto"/>
        <w:rPr>
          <w:rFonts w:ascii="宋体" w:hAnsi="宋体"/>
          <w:szCs w:val="21"/>
        </w:rPr>
      </w:pPr>
      <w:r>
        <w:rPr>
          <w:rFonts w:hint="eastAsia" w:ascii="宋体" w:hAnsi="宋体"/>
          <w:szCs w:val="21"/>
        </w:rPr>
        <w:t>26.1.2　有下列情形之一的，应当在符合性审查时按照无效投标处理：</w:t>
      </w:r>
    </w:p>
    <w:p>
      <w:pPr>
        <w:adjustRightInd w:val="0"/>
        <w:snapToGrid w:val="0"/>
        <w:spacing w:line="360" w:lineRule="auto"/>
        <w:rPr>
          <w:rFonts w:ascii="宋体" w:hAnsi="宋体"/>
          <w:szCs w:val="21"/>
        </w:rPr>
      </w:pPr>
      <w:r>
        <w:rPr>
          <w:rFonts w:hint="eastAsia" w:ascii="宋体" w:hAnsi="宋体"/>
          <w:szCs w:val="21"/>
        </w:rPr>
        <w:t>（1）投标文件未按照招标文件规定要求密封、签署、盖章的；</w:t>
      </w:r>
    </w:p>
    <w:p>
      <w:pPr>
        <w:adjustRightInd w:val="0"/>
        <w:snapToGrid w:val="0"/>
        <w:spacing w:line="360" w:lineRule="auto"/>
        <w:rPr>
          <w:rFonts w:ascii="宋体" w:hAnsi="宋体"/>
          <w:szCs w:val="21"/>
        </w:rPr>
      </w:pPr>
      <w:r>
        <w:rPr>
          <w:rFonts w:hint="eastAsia" w:ascii="宋体" w:hAnsi="宋体"/>
          <w:szCs w:val="21"/>
        </w:rPr>
        <w:t>（2）不满足本招标文件中标注“★”的实质性条款要求的；</w:t>
      </w:r>
    </w:p>
    <w:p>
      <w:pPr>
        <w:adjustRightInd w:val="0"/>
        <w:snapToGrid w:val="0"/>
        <w:spacing w:line="360" w:lineRule="auto"/>
        <w:rPr>
          <w:rFonts w:ascii="宋体" w:hAnsi="宋体"/>
          <w:szCs w:val="21"/>
        </w:rPr>
      </w:pPr>
      <w:r>
        <w:rPr>
          <w:rFonts w:hint="eastAsia" w:ascii="宋体" w:hAnsi="宋体"/>
          <w:szCs w:val="21"/>
        </w:rPr>
        <w:t>（3）投标有效期不足的，或授权代表期限不足投标有效期的；</w:t>
      </w:r>
    </w:p>
    <w:p>
      <w:pPr>
        <w:adjustRightInd w:val="0"/>
        <w:snapToGrid w:val="0"/>
        <w:spacing w:line="360" w:lineRule="auto"/>
        <w:rPr>
          <w:rFonts w:ascii="宋体" w:hAnsi="宋体"/>
          <w:szCs w:val="21"/>
        </w:rPr>
      </w:pPr>
      <w:r>
        <w:rPr>
          <w:rFonts w:hint="eastAsia" w:ascii="宋体" w:hAnsi="宋体"/>
          <w:szCs w:val="21"/>
        </w:rPr>
        <w:t>（4）投标文件含有采购人不能接受的附加条件的；</w:t>
      </w:r>
    </w:p>
    <w:p>
      <w:pPr>
        <w:adjustRightInd w:val="0"/>
        <w:snapToGrid w:val="0"/>
        <w:spacing w:line="360" w:lineRule="auto"/>
        <w:rPr>
          <w:rFonts w:ascii="宋体" w:hAnsi="宋体"/>
          <w:szCs w:val="21"/>
        </w:rPr>
      </w:pPr>
      <w:r>
        <w:rPr>
          <w:rFonts w:hint="eastAsia" w:ascii="宋体" w:hAnsi="宋体"/>
          <w:szCs w:val="21"/>
        </w:rPr>
        <w:t>（5）不符合法律、法规和招标文件规定的其他无效情形的。</w:t>
      </w:r>
    </w:p>
    <w:p>
      <w:pPr>
        <w:adjustRightInd w:val="0"/>
        <w:snapToGrid w:val="0"/>
        <w:spacing w:line="360" w:lineRule="auto"/>
        <w:rPr>
          <w:rFonts w:ascii="宋体" w:hAnsi="宋体"/>
          <w:szCs w:val="21"/>
        </w:rPr>
      </w:pPr>
      <w:r>
        <w:rPr>
          <w:rFonts w:hint="eastAsia" w:ascii="宋体" w:hAnsi="宋体"/>
          <w:szCs w:val="21"/>
        </w:rPr>
        <w:t>26.2　核价原则</w:t>
      </w:r>
    </w:p>
    <w:p>
      <w:pPr>
        <w:adjustRightInd w:val="0"/>
        <w:snapToGrid w:val="0"/>
        <w:spacing w:line="360" w:lineRule="auto"/>
        <w:rPr>
          <w:rFonts w:ascii="宋体" w:hAnsi="宋体"/>
          <w:szCs w:val="21"/>
        </w:rPr>
      </w:pPr>
      <w:r>
        <w:rPr>
          <w:rFonts w:hint="eastAsia" w:ascii="宋体" w:hAnsi="宋体"/>
          <w:szCs w:val="21"/>
        </w:rPr>
        <w:t>投标文件报价出现前后不一致的，除招标文件另有规定外，按照下列规定修正：</w:t>
      </w:r>
    </w:p>
    <w:p>
      <w:pPr>
        <w:adjustRightInd w:val="0"/>
        <w:snapToGrid w:val="0"/>
        <w:spacing w:line="360" w:lineRule="auto"/>
        <w:rPr>
          <w:rFonts w:ascii="宋体" w:hAnsi="宋体"/>
          <w:szCs w:val="21"/>
        </w:rPr>
      </w:pPr>
      <w:r>
        <w:rPr>
          <w:rFonts w:hint="eastAsia" w:ascii="宋体" w:hAnsi="宋体"/>
          <w:szCs w:val="21"/>
        </w:rPr>
        <w:t>（1）投标文件中《开标一览表》内容与投标文件中相应内容不一致的，以《开标一览表》为准；</w:t>
      </w:r>
    </w:p>
    <w:p>
      <w:pPr>
        <w:adjustRightInd w:val="0"/>
        <w:snapToGrid w:val="0"/>
        <w:spacing w:line="360" w:lineRule="auto"/>
        <w:rPr>
          <w:rFonts w:ascii="宋体" w:hAnsi="宋体"/>
          <w:szCs w:val="21"/>
        </w:rPr>
      </w:pPr>
      <w:r>
        <w:rPr>
          <w:rFonts w:hint="eastAsia" w:ascii="宋体" w:hAnsi="宋体"/>
          <w:szCs w:val="21"/>
        </w:rPr>
        <w:t>（2）大写金额和小写金额不一致的，以大写金额为准；</w:t>
      </w:r>
    </w:p>
    <w:p>
      <w:pPr>
        <w:adjustRightInd w:val="0"/>
        <w:snapToGrid w:val="0"/>
        <w:spacing w:line="360" w:lineRule="auto"/>
        <w:rPr>
          <w:rFonts w:ascii="宋体" w:hAnsi="宋体"/>
          <w:szCs w:val="21"/>
        </w:rPr>
      </w:pPr>
      <w:r>
        <w:rPr>
          <w:rFonts w:hint="eastAsia" w:ascii="宋体" w:hAnsi="宋体"/>
          <w:szCs w:val="21"/>
        </w:rPr>
        <w:t>（3）单价金额小数点或者百分比有明显错位的，以《开标一览表》的总价为准，并修改单价；</w:t>
      </w:r>
    </w:p>
    <w:p>
      <w:pPr>
        <w:adjustRightInd w:val="0"/>
        <w:snapToGrid w:val="0"/>
        <w:spacing w:line="360" w:lineRule="auto"/>
        <w:rPr>
          <w:rFonts w:ascii="宋体" w:hAnsi="宋体"/>
          <w:szCs w:val="21"/>
        </w:rPr>
      </w:pPr>
      <w:r>
        <w:rPr>
          <w:rFonts w:hint="eastAsia" w:ascii="宋体" w:hAnsi="宋体"/>
          <w:szCs w:val="21"/>
        </w:rPr>
        <w:t>（4）总价金额与按单价汇总金额不一致的，以单价金额计算结果为准。</w:t>
      </w:r>
    </w:p>
    <w:p>
      <w:pPr>
        <w:adjustRightInd w:val="0"/>
        <w:snapToGrid w:val="0"/>
        <w:spacing w:line="360" w:lineRule="auto"/>
        <w:rPr>
          <w:rFonts w:ascii="宋体" w:hAnsi="宋体"/>
          <w:szCs w:val="21"/>
        </w:rPr>
      </w:pPr>
      <w:r>
        <w:rPr>
          <w:rFonts w:hint="eastAsia" w:ascii="宋体" w:hAnsi="宋体"/>
          <w:szCs w:val="21"/>
        </w:rPr>
        <w:t>★同时出现两种以上不一致的，按照前款规定的顺序修正。修正后的报价按照上述规定经投标人确认后产生约束力，投标人不确认的，其投标无效。</w:t>
      </w:r>
    </w:p>
    <w:p>
      <w:pPr>
        <w:adjustRightInd w:val="0"/>
        <w:snapToGrid w:val="0"/>
        <w:spacing w:line="360" w:lineRule="auto"/>
        <w:rPr>
          <w:rFonts w:ascii="宋体" w:hAnsi="宋体"/>
          <w:szCs w:val="21"/>
        </w:rPr>
      </w:pPr>
      <w:r>
        <w:rPr>
          <w:rFonts w:hint="eastAsia" w:ascii="宋体" w:hAnsi="宋体"/>
          <w:szCs w:val="21"/>
        </w:rPr>
        <w:t>26.3　投标文件澄清</w:t>
      </w:r>
    </w:p>
    <w:p>
      <w:pPr>
        <w:adjustRightInd w:val="0"/>
        <w:snapToGrid w:val="0"/>
        <w:spacing w:line="360" w:lineRule="auto"/>
        <w:rPr>
          <w:rFonts w:ascii="宋体" w:hAnsi="宋体"/>
          <w:szCs w:val="21"/>
        </w:rPr>
      </w:pPr>
      <w:r>
        <w:rPr>
          <w:rFonts w:hint="eastAsia" w:ascii="宋体" w:hAnsi="宋体"/>
          <w:szCs w:val="21"/>
        </w:rPr>
        <w:t>26.3.1　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rPr>
          <w:rFonts w:ascii="宋体" w:hAnsi="宋体"/>
          <w:szCs w:val="21"/>
        </w:rPr>
      </w:pPr>
      <w:r>
        <w:rPr>
          <w:rFonts w:hint="eastAsia" w:ascii="宋体" w:hAnsi="宋体"/>
          <w:szCs w:val="21"/>
        </w:rPr>
        <w:t>26.3.2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napToGrid w:val="0"/>
        <w:spacing w:line="360" w:lineRule="auto"/>
        <w:rPr>
          <w:rFonts w:ascii="宋体" w:hAnsi="宋体"/>
          <w:szCs w:val="21"/>
        </w:rPr>
      </w:pPr>
      <w:r>
        <w:rPr>
          <w:rFonts w:hint="eastAsia" w:ascii="宋体" w:hAnsi="宋体"/>
          <w:szCs w:val="21"/>
        </w:rPr>
        <w:t>26.3.3　评标委员会不接受投标人主动提出的澄清、说明。</w:t>
      </w:r>
    </w:p>
    <w:p>
      <w:pPr>
        <w:adjustRightInd w:val="0"/>
        <w:snapToGrid w:val="0"/>
        <w:spacing w:line="360" w:lineRule="auto"/>
        <w:rPr>
          <w:rFonts w:ascii="宋体" w:hAnsi="宋体"/>
          <w:szCs w:val="21"/>
        </w:rPr>
      </w:pPr>
      <w:r>
        <w:rPr>
          <w:rFonts w:hint="eastAsia" w:ascii="宋体" w:hAnsi="宋体"/>
          <w:szCs w:val="21"/>
        </w:rPr>
        <w:t>26.3.4　有效的书面澄清材料，是投标文件的补充材料，成为投标文件的组成部分。</w:t>
      </w:r>
    </w:p>
    <w:p>
      <w:pPr>
        <w:adjustRightInd w:val="0"/>
        <w:snapToGrid w:val="0"/>
        <w:spacing w:line="360" w:lineRule="auto"/>
        <w:rPr>
          <w:rFonts w:ascii="宋体" w:hAnsi="宋体"/>
          <w:szCs w:val="21"/>
        </w:rPr>
      </w:pPr>
      <w:r>
        <w:rPr>
          <w:rFonts w:hint="eastAsia" w:ascii="宋体" w:hAnsi="宋体"/>
          <w:szCs w:val="21"/>
        </w:rPr>
        <w:t>26.4　同品牌多家投标人处理原则</w:t>
      </w:r>
    </w:p>
    <w:p>
      <w:pPr>
        <w:adjustRightInd w:val="0"/>
        <w:snapToGrid w:val="0"/>
        <w:spacing w:line="360" w:lineRule="auto"/>
        <w:rPr>
          <w:rFonts w:ascii="宋体" w:hAnsi="宋体"/>
          <w:szCs w:val="21"/>
        </w:rPr>
      </w:pPr>
      <w:r>
        <w:rPr>
          <w:rFonts w:hint="eastAsia" w:ascii="宋体" w:hAnsi="宋体"/>
          <w:szCs w:val="21"/>
        </w:rPr>
        <w:t>26.4.1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djustRightInd w:val="0"/>
        <w:snapToGrid w:val="0"/>
        <w:spacing w:line="360" w:lineRule="auto"/>
        <w:rPr>
          <w:rFonts w:ascii="宋体" w:hAnsi="宋体"/>
          <w:szCs w:val="21"/>
        </w:rPr>
      </w:pPr>
      <w:r>
        <w:rPr>
          <w:rFonts w:hint="eastAsia" w:ascii="宋体" w:hAnsi="宋体"/>
          <w:szCs w:val="21"/>
        </w:rPr>
        <w:t>26.4.2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360" w:lineRule="auto"/>
        <w:rPr>
          <w:rFonts w:ascii="宋体" w:hAnsi="宋体"/>
          <w:szCs w:val="21"/>
        </w:rPr>
      </w:pPr>
      <w:r>
        <w:rPr>
          <w:rFonts w:hint="eastAsia" w:ascii="宋体" w:hAnsi="宋体"/>
          <w:szCs w:val="21"/>
        </w:rPr>
        <w:t>26.4.3　非单一产品采购项目，根据采购项目技术构成、产品价格比重等合理确定核心产品，核心产品见</w:t>
      </w:r>
      <w:r>
        <w:rPr>
          <w:rFonts w:hint="eastAsia" w:ascii="宋体" w:hAnsi="宋体"/>
          <w:b/>
          <w:bCs/>
          <w:szCs w:val="21"/>
        </w:rPr>
        <w:t>投标人须知前附表</w:t>
      </w:r>
      <w:r>
        <w:rPr>
          <w:rFonts w:hint="eastAsia" w:ascii="宋体" w:hAnsi="宋体"/>
          <w:szCs w:val="21"/>
        </w:rPr>
        <w:t>。多家投标人提供的核心产品品牌相同的，按前两款规定处理。</w:t>
      </w:r>
    </w:p>
    <w:p>
      <w:pPr>
        <w:adjustRightInd w:val="0"/>
        <w:snapToGrid w:val="0"/>
        <w:spacing w:line="360" w:lineRule="auto"/>
        <w:rPr>
          <w:rFonts w:ascii="宋体" w:hAnsi="宋体"/>
          <w:szCs w:val="21"/>
        </w:rPr>
      </w:pPr>
      <w:r>
        <w:rPr>
          <w:rFonts w:hint="eastAsia" w:ascii="宋体" w:hAnsi="宋体"/>
          <w:szCs w:val="21"/>
        </w:rPr>
        <w:t>26.5　比较与评价</w:t>
      </w:r>
    </w:p>
    <w:p>
      <w:pPr>
        <w:adjustRightInd w:val="0"/>
        <w:snapToGrid w:val="0"/>
        <w:spacing w:line="360" w:lineRule="auto"/>
        <w:rPr>
          <w:rFonts w:ascii="宋体" w:hAnsi="宋体"/>
          <w:szCs w:val="21"/>
        </w:rPr>
      </w:pPr>
      <w:r>
        <w:rPr>
          <w:rFonts w:hint="eastAsia" w:ascii="宋体" w:hAnsi="宋体"/>
          <w:szCs w:val="21"/>
        </w:rPr>
        <w:t>26.5.1　评标委员会应当按照招标文件中规定的评标方法和标准，对符合性审查合格的投标文件进行商务和技术评估，综合比较与评价。</w:t>
      </w:r>
    </w:p>
    <w:p>
      <w:pPr>
        <w:adjustRightInd w:val="0"/>
        <w:snapToGrid w:val="0"/>
        <w:spacing w:line="360" w:lineRule="auto"/>
        <w:rPr>
          <w:rFonts w:ascii="宋体" w:hAnsi="宋体"/>
          <w:szCs w:val="21"/>
        </w:rPr>
      </w:pPr>
      <w:r>
        <w:rPr>
          <w:rFonts w:hint="eastAsia" w:ascii="宋体" w:hAnsi="宋体"/>
          <w:szCs w:val="21"/>
        </w:rPr>
        <w:t>★26.5.2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60" w:lineRule="auto"/>
        <w:rPr>
          <w:rFonts w:ascii="宋体" w:hAnsi="宋体"/>
          <w:szCs w:val="21"/>
        </w:rPr>
      </w:pPr>
      <w:r>
        <w:rPr>
          <w:rFonts w:hint="eastAsia" w:ascii="宋体" w:hAnsi="宋体"/>
          <w:szCs w:val="21"/>
        </w:rPr>
        <w:t>26.6　推荐中标候选人名单</w:t>
      </w:r>
    </w:p>
    <w:p>
      <w:pPr>
        <w:adjustRightInd w:val="0"/>
        <w:snapToGrid w:val="0"/>
        <w:spacing w:line="360" w:lineRule="auto"/>
        <w:rPr>
          <w:rFonts w:ascii="宋体" w:hAnsi="宋体"/>
          <w:szCs w:val="21"/>
        </w:rPr>
      </w:pPr>
      <w:r>
        <w:rPr>
          <w:rFonts w:hint="eastAsia" w:ascii="宋体" w:hAnsi="宋体"/>
          <w:szCs w:val="21"/>
        </w:rPr>
        <w:t>26.6.1　采用最低评标价法的，评标结果按投标报价由低到高</w:t>
      </w:r>
      <w:r>
        <w:rPr>
          <w:rFonts w:hint="eastAsia" w:hAnsi="宋体" w:cs="宋体"/>
        </w:rPr>
        <w:t>的排名</w:t>
      </w:r>
      <w:r>
        <w:rPr>
          <w:rFonts w:hint="eastAsia" w:ascii="宋体" w:hAnsi="宋体"/>
          <w:szCs w:val="21"/>
        </w:rPr>
        <w:t>顺序排列。投标报价相同的并列。投标文件满足招标文件全部实质性要求且投标报价最低的投标人为排名第一的中标候选人。</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26.6.2　采用综合评分法的，评标结果按评审后得分由高到低</w:t>
      </w:r>
      <w:r>
        <w:rPr>
          <w:rFonts w:hint="eastAsia" w:hAnsi="宋体" w:cs="宋体"/>
          <w:color w:val="000000" w:themeColor="text1"/>
          <w14:textFill>
            <w14:solidFill>
              <w14:schemeClr w14:val="tx1"/>
            </w14:solidFill>
          </w14:textFill>
        </w:rPr>
        <w:t>的排名</w:t>
      </w:r>
      <w:r>
        <w:rPr>
          <w:rFonts w:hint="eastAsia" w:ascii="宋体" w:hAnsi="宋体"/>
          <w:color w:val="000000" w:themeColor="text1"/>
          <w:szCs w:val="21"/>
          <w14:textFill>
            <w14:solidFill>
              <w14:schemeClr w14:val="tx1"/>
            </w14:solidFill>
          </w14:textFill>
        </w:rPr>
        <w:t>顺序排列。得分相同的，按投标报价由低到高</w:t>
      </w:r>
      <w:r>
        <w:rPr>
          <w:rFonts w:hint="eastAsia" w:hAnsi="宋体" w:cs="宋体"/>
          <w:color w:val="000000" w:themeColor="text1"/>
          <w14:textFill>
            <w14:solidFill>
              <w14:schemeClr w14:val="tx1"/>
            </w14:solidFill>
          </w14:textFill>
        </w:rPr>
        <w:t>的排名</w:t>
      </w:r>
      <w:r>
        <w:rPr>
          <w:rFonts w:hint="eastAsia" w:ascii="宋体" w:hAnsi="宋体"/>
          <w:color w:val="000000" w:themeColor="text1"/>
          <w:szCs w:val="21"/>
          <w14:textFill>
            <w14:solidFill>
              <w14:schemeClr w14:val="tx1"/>
            </w14:solidFill>
          </w14:textFill>
        </w:rPr>
        <w:t>顺序排列。得分且投标报价相同的并列，投标文件满足招标文件全部实质性要求，且按照评审因素的量化指标评审得分最高的投标人为排名第一的中标候选人。</w:t>
      </w:r>
    </w:p>
    <w:p>
      <w:pPr>
        <w:adjustRightInd w:val="0"/>
        <w:snapToGrid w:val="0"/>
        <w:spacing w:line="360" w:lineRule="auto"/>
        <w:rPr>
          <w:rFonts w:ascii="宋体" w:hAnsi="宋体"/>
          <w:b/>
          <w:bCs/>
          <w:szCs w:val="21"/>
        </w:rPr>
      </w:pPr>
      <w:r>
        <w:rPr>
          <w:rFonts w:hint="eastAsia" w:ascii="宋体" w:hAnsi="宋体"/>
          <w:b/>
          <w:bCs/>
          <w:szCs w:val="21"/>
        </w:rPr>
        <w:t>27.确定中标供应商</w:t>
      </w:r>
    </w:p>
    <w:p>
      <w:pPr>
        <w:adjustRightInd w:val="0"/>
        <w:snapToGrid w:val="0"/>
        <w:spacing w:line="360" w:lineRule="auto"/>
        <w:rPr>
          <w:rFonts w:ascii="宋体" w:hAnsi="宋体"/>
          <w:szCs w:val="21"/>
        </w:rPr>
      </w:pPr>
      <w:r>
        <w:rPr>
          <w:rFonts w:hint="eastAsia" w:ascii="宋体" w:hAnsi="宋体"/>
          <w:szCs w:val="21"/>
        </w:rPr>
        <w:t>27.1　采购代理机构应当在评标结束之日起2个工作日内将评标报告送采购人。</w:t>
      </w:r>
    </w:p>
    <w:p>
      <w:pPr>
        <w:adjustRightInd w:val="0"/>
        <w:snapToGrid w:val="0"/>
        <w:spacing w:line="360" w:lineRule="auto"/>
        <w:rPr>
          <w:rFonts w:ascii="宋体" w:hAnsi="宋体"/>
          <w:szCs w:val="21"/>
        </w:rPr>
      </w:pPr>
      <w:r>
        <w:rPr>
          <w:rFonts w:hint="eastAsia" w:ascii="宋体" w:hAnsi="宋体"/>
          <w:szCs w:val="21"/>
        </w:rPr>
        <w:t>27.2　采购人应当在收到评标报告之日起5个工作日内，在评标报告确定的中标候选人名单中按顺序确定中标人。中标候选人并列的，由采购人或者采购人委托评标委员会按照</w:t>
      </w:r>
      <w:r>
        <w:rPr>
          <w:rFonts w:hint="eastAsia" w:ascii="宋体" w:hAnsi="宋体"/>
          <w:b/>
          <w:bCs/>
          <w:szCs w:val="21"/>
        </w:rPr>
        <w:t>投标人须知前附表</w:t>
      </w:r>
      <w:r>
        <w:rPr>
          <w:rFonts w:hint="eastAsia" w:ascii="宋体" w:hAnsi="宋体"/>
          <w:szCs w:val="21"/>
        </w:rPr>
        <w:t>规定的方式确定中标人。</w:t>
      </w:r>
    </w:p>
    <w:p>
      <w:pPr>
        <w:adjustRightInd w:val="0"/>
        <w:snapToGrid w:val="0"/>
        <w:spacing w:line="360" w:lineRule="auto"/>
        <w:rPr>
          <w:rFonts w:ascii="宋体" w:hAnsi="宋体"/>
          <w:szCs w:val="21"/>
        </w:rPr>
      </w:pPr>
      <w:r>
        <w:rPr>
          <w:rFonts w:hint="eastAsia" w:ascii="宋体" w:hAnsi="宋体"/>
          <w:szCs w:val="21"/>
        </w:rPr>
        <w:t>27.3　采购人自行组织招标的，应当在评标结束后5个工作日内确定中标人。中标候选人并列的，由采购人或者采购人委托评标委员会按照</w:t>
      </w:r>
      <w:r>
        <w:rPr>
          <w:rFonts w:hint="eastAsia" w:ascii="宋体" w:hAnsi="宋体"/>
          <w:b/>
          <w:bCs/>
          <w:szCs w:val="21"/>
        </w:rPr>
        <w:t>投标人须知前附表</w:t>
      </w:r>
      <w:r>
        <w:rPr>
          <w:rFonts w:hint="eastAsia" w:ascii="宋体" w:hAnsi="宋体"/>
          <w:szCs w:val="21"/>
        </w:rPr>
        <w:t>规定的方式确定中标人。</w:t>
      </w:r>
    </w:p>
    <w:p>
      <w:pPr>
        <w:adjustRightInd w:val="0"/>
        <w:snapToGrid w:val="0"/>
        <w:spacing w:line="360" w:lineRule="auto"/>
        <w:rPr>
          <w:rFonts w:ascii="宋体" w:hAnsi="宋体"/>
          <w:b/>
          <w:bCs/>
          <w:szCs w:val="21"/>
        </w:rPr>
      </w:pPr>
      <w:r>
        <w:rPr>
          <w:rFonts w:hint="eastAsia" w:ascii="宋体" w:hAnsi="宋体"/>
          <w:b/>
          <w:bCs/>
          <w:szCs w:val="21"/>
        </w:rPr>
        <w:t>28.废标</w:t>
      </w:r>
    </w:p>
    <w:p>
      <w:pPr>
        <w:adjustRightInd w:val="0"/>
        <w:snapToGrid w:val="0"/>
        <w:spacing w:line="360" w:lineRule="auto"/>
        <w:rPr>
          <w:rFonts w:ascii="宋体" w:hAnsi="宋体"/>
          <w:color w:val="000000"/>
          <w:szCs w:val="21"/>
        </w:rPr>
      </w:pPr>
      <w:r>
        <w:rPr>
          <w:rFonts w:hint="eastAsia" w:ascii="宋体" w:hAnsi="宋体"/>
          <w:color w:val="000000"/>
          <w:szCs w:val="21"/>
        </w:rPr>
        <w:t>有下列情形之一时，招标采购单位应当予以废标，并将废标理由通知所有投标人：</w:t>
      </w:r>
    </w:p>
    <w:p>
      <w:pPr>
        <w:adjustRightInd w:val="0"/>
        <w:snapToGrid w:val="0"/>
        <w:spacing w:line="360" w:lineRule="auto"/>
        <w:rPr>
          <w:rFonts w:ascii="宋体" w:hAnsi="宋体"/>
          <w:szCs w:val="21"/>
        </w:rPr>
      </w:pPr>
      <w:r>
        <w:rPr>
          <w:rFonts w:hint="eastAsia" w:ascii="宋体" w:hAnsi="宋体"/>
          <w:szCs w:val="21"/>
        </w:rPr>
        <w:t>（1）符合专业条件的投标人或者对招标文件作实质性响应的投标人不足三家的；</w:t>
      </w:r>
    </w:p>
    <w:p>
      <w:pPr>
        <w:adjustRightInd w:val="0"/>
        <w:snapToGrid w:val="0"/>
        <w:spacing w:line="360" w:lineRule="auto"/>
        <w:rPr>
          <w:rFonts w:ascii="宋体" w:hAnsi="宋体"/>
          <w:szCs w:val="21"/>
        </w:rPr>
      </w:pPr>
      <w:r>
        <w:rPr>
          <w:rFonts w:hint="eastAsia" w:ascii="宋体" w:hAnsi="宋体"/>
          <w:szCs w:val="21"/>
        </w:rPr>
        <w:t>（2）出现影响采购公正的违法、违规行为的；</w:t>
      </w:r>
    </w:p>
    <w:p>
      <w:pPr>
        <w:adjustRightInd w:val="0"/>
        <w:snapToGrid w:val="0"/>
        <w:spacing w:line="360" w:lineRule="auto"/>
        <w:rPr>
          <w:rFonts w:ascii="宋体" w:hAnsi="宋体"/>
          <w:szCs w:val="21"/>
        </w:rPr>
      </w:pPr>
      <w:r>
        <w:rPr>
          <w:rFonts w:hint="eastAsia" w:ascii="宋体" w:hAnsi="宋体"/>
          <w:szCs w:val="21"/>
        </w:rPr>
        <w:t>（3）投标人的报价均超过了采购预算，采购人不能支付的；</w:t>
      </w:r>
    </w:p>
    <w:p>
      <w:pPr>
        <w:adjustRightInd w:val="0"/>
        <w:snapToGrid w:val="0"/>
        <w:spacing w:line="360" w:lineRule="auto"/>
        <w:rPr>
          <w:rFonts w:ascii="宋体" w:hAnsi="宋体"/>
          <w:szCs w:val="21"/>
        </w:rPr>
      </w:pPr>
      <w:r>
        <w:rPr>
          <w:rFonts w:hint="eastAsia" w:ascii="宋体" w:hAnsi="宋体"/>
          <w:szCs w:val="21"/>
        </w:rPr>
        <w:t>（4）因重大变故，采购任务取消的。</w:t>
      </w:r>
    </w:p>
    <w:p>
      <w:pPr>
        <w:adjustRightInd w:val="0"/>
        <w:snapToGrid w:val="0"/>
        <w:spacing w:line="360" w:lineRule="auto"/>
        <w:rPr>
          <w:rFonts w:ascii="宋体" w:hAnsi="宋体"/>
          <w:b/>
          <w:bCs/>
          <w:szCs w:val="21"/>
        </w:rPr>
      </w:pPr>
      <w:r>
        <w:rPr>
          <w:rFonts w:hint="eastAsia" w:ascii="宋体" w:hAnsi="宋体"/>
          <w:b/>
          <w:bCs/>
          <w:szCs w:val="21"/>
        </w:rPr>
        <w:t>29.保密</w:t>
      </w:r>
    </w:p>
    <w:p>
      <w:pPr>
        <w:adjustRightInd w:val="0"/>
        <w:snapToGrid w:val="0"/>
        <w:spacing w:line="360" w:lineRule="auto"/>
        <w:rPr>
          <w:rFonts w:ascii="宋体" w:hAnsi="宋体"/>
          <w:szCs w:val="21"/>
        </w:rPr>
      </w:pPr>
      <w:r>
        <w:rPr>
          <w:rFonts w:hint="eastAsia" w:ascii="宋体" w:hAnsi="宋体"/>
          <w:szCs w:val="21"/>
        </w:rPr>
        <w:t>评标委员会成员以及与评标工作有关的人员不得泄露评标情况以及评标过程中获悉的国家秘密、商业秘密。</w:t>
      </w:r>
    </w:p>
    <w:p>
      <w:pPr>
        <w:adjustRightInd w:val="0"/>
        <w:snapToGrid w:val="0"/>
        <w:spacing w:line="360" w:lineRule="auto"/>
        <w:rPr>
          <w:rFonts w:ascii="宋体" w:hAnsi="宋体"/>
          <w:b/>
          <w:bCs/>
          <w:szCs w:val="21"/>
        </w:rPr>
      </w:pPr>
      <w:r>
        <w:rPr>
          <w:rFonts w:hint="eastAsia" w:ascii="宋体" w:hAnsi="宋体"/>
          <w:b/>
          <w:bCs/>
          <w:szCs w:val="21"/>
        </w:rPr>
        <w:t>★30.禁止行为</w:t>
      </w:r>
    </w:p>
    <w:p>
      <w:pPr>
        <w:adjustRightInd w:val="0"/>
        <w:snapToGrid w:val="0"/>
        <w:spacing w:line="360" w:lineRule="auto"/>
        <w:rPr>
          <w:rFonts w:ascii="宋体" w:hAnsi="宋体"/>
          <w:szCs w:val="21"/>
        </w:rPr>
      </w:pPr>
      <w:r>
        <w:rPr>
          <w:rFonts w:hint="eastAsia" w:ascii="宋体" w:hAnsi="宋体"/>
          <w:szCs w:val="21"/>
        </w:rPr>
        <w:t>30.1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依法追究法律责任。</w:t>
      </w:r>
    </w:p>
    <w:p>
      <w:pPr>
        <w:adjustRightInd w:val="0"/>
        <w:snapToGrid w:val="0"/>
        <w:spacing w:line="360" w:lineRule="auto"/>
        <w:rPr>
          <w:rFonts w:ascii="宋体" w:hAnsi="宋体"/>
          <w:szCs w:val="21"/>
        </w:rPr>
      </w:pPr>
      <w:r>
        <w:rPr>
          <w:rFonts w:hint="eastAsia" w:ascii="宋体" w:hAnsi="宋体"/>
          <w:szCs w:val="21"/>
        </w:rPr>
        <w:t>30.2　投标人应当遵循公平竞争的原则，不得恶意串通，不得妨碍其他投标人的竞争行为，不得损害采购人或者其他投标人的合法权益。</w:t>
      </w:r>
    </w:p>
    <w:p>
      <w:pPr>
        <w:adjustRightInd w:val="0"/>
        <w:snapToGrid w:val="0"/>
        <w:spacing w:line="360" w:lineRule="auto"/>
        <w:rPr>
          <w:rFonts w:ascii="宋体" w:hAnsi="宋体"/>
          <w:szCs w:val="21"/>
        </w:rPr>
      </w:pPr>
      <w:r>
        <w:rPr>
          <w:rFonts w:hint="eastAsia" w:ascii="宋体" w:hAnsi="宋体"/>
          <w:szCs w:val="21"/>
        </w:rPr>
        <w:t>有下列情形之一的，视为投标人串通投标，其投标无效：</w:t>
      </w:r>
    </w:p>
    <w:p>
      <w:pPr>
        <w:adjustRightInd w:val="0"/>
        <w:snapToGrid w:val="0"/>
        <w:spacing w:line="360" w:lineRule="auto"/>
        <w:rPr>
          <w:rFonts w:ascii="宋体" w:hAnsi="宋体"/>
          <w:szCs w:val="21"/>
        </w:rPr>
      </w:pPr>
      <w:r>
        <w:rPr>
          <w:rFonts w:hint="eastAsia" w:ascii="宋体" w:hAnsi="宋体"/>
          <w:szCs w:val="21"/>
        </w:rPr>
        <w:t>（1）不同投标人的投标文件由同一单位或者个人编制；</w:t>
      </w:r>
    </w:p>
    <w:p>
      <w:pPr>
        <w:adjustRightInd w:val="0"/>
        <w:snapToGrid w:val="0"/>
        <w:spacing w:line="360" w:lineRule="auto"/>
        <w:rPr>
          <w:rFonts w:ascii="宋体" w:hAnsi="宋体"/>
          <w:szCs w:val="21"/>
        </w:rPr>
      </w:pPr>
      <w:r>
        <w:rPr>
          <w:rFonts w:hint="eastAsia" w:ascii="宋体" w:hAnsi="宋体"/>
          <w:szCs w:val="21"/>
        </w:rPr>
        <w:t>（2）不同投标人委托同一单位或者个人办理投标事宜；</w:t>
      </w:r>
    </w:p>
    <w:p>
      <w:pPr>
        <w:adjustRightInd w:val="0"/>
        <w:snapToGrid w:val="0"/>
        <w:spacing w:line="360" w:lineRule="auto"/>
        <w:rPr>
          <w:rFonts w:ascii="宋体" w:hAnsi="宋体"/>
          <w:szCs w:val="21"/>
        </w:rPr>
      </w:pPr>
      <w:r>
        <w:rPr>
          <w:rFonts w:hint="eastAsia" w:ascii="宋体" w:hAnsi="宋体"/>
          <w:szCs w:val="21"/>
        </w:rPr>
        <w:t>（3）不同投标人的投标文件载明的项目管理成员或者联系人员为同一人；</w:t>
      </w:r>
    </w:p>
    <w:p>
      <w:pPr>
        <w:adjustRightInd w:val="0"/>
        <w:snapToGrid w:val="0"/>
        <w:spacing w:line="360" w:lineRule="auto"/>
        <w:rPr>
          <w:rFonts w:ascii="宋体" w:hAnsi="宋体"/>
          <w:szCs w:val="21"/>
        </w:rPr>
      </w:pPr>
      <w:r>
        <w:rPr>
          <w:rFonts w:hint="eastAsia" w:ascii="宋体" w:hAnsi="宋体"/>
          <w:szCs w:val="21"/>
        </w:rPr>
        <w:t>（4）不同投标人的投标文件异常一致或者投标报价呈规律性差异；</w:t>
      </w:r>
    </w:p>
    <w:p>
      <w:pPr>
        <w:adjustRightInd w:val="0"/>
        <w:snapToGrid w:val="0"/>
        <w:spacing w:line="360" w:lineRule="auto"/>
        <w:rPr>
          <w:rFonts w:ascii="宋体" w:hAnsi="宋体"/>
          <w:szCs w:val="21"/>
        </w:rPr>
      </w:pPr>
      <w:r>
        <w:rPr>
          <w:rFonts w:hint="eastAsia" w:ascii="宋体" w:hAnsi="宋体"/>
          <w:szCs w:val="21"/>
        </w:rPr>
        <w:t>（5）不同投标人的投标文件相互混装；</w:t>
      </w:r>
    </w:p>
    <w:p>
      <w:pPr>
        <w:adjustRightInd w:val="0"/>
        <w:snapToGrid w:val="0"/>
        <w:spacing w:line="360" w:lineRule="auto"/>
        <w:rPr>
          <w:rFonts w:ascii="宋体" w:hAnsi="宋体"/>
          <w:szCs w:val="21"/>
        </w:rPr>
      </w:pPr>
      <w:r>
        <w:rPr>
          <w:rFonts w:hint="eastAsia" w:ascii="宋体" w:hAnsi="宋体"/>
          <w:szCs w:val="21"/>
        </w:rPr>
        <w:t>（6）不同投标人的投标保证金从同一单位或者个人的账户转出。</w:t>
      </w:r>
    </w:p>
    <w:p>
      <w:pPr>
        <w:adjustRightInd w:val="0"/>
        <w:snapToGrid w:val="0"/>
        <w:spacing w:line="360" w:lineRule="auto"/>
        <w:rPr>
          <w:rFonts w:ascii="宋体" w:hAnsi="宋体"/>
          <w:b/>
          <w:bCs/>
          <w:szCs w:val="21"/>
        </w:rPr>
      </w:pPr>
      <w:r>
        <w:rPr>
          <w:rFonts w:hint="eastAsia" w:ascii="宋体" w:hAnsi="宋体"/>
          <w:b/>
          <w:bCs/>
          <w:szCs w:val="21"/>
        </w:rPr>
        <w:t>五、中标信息公告与签订合同</w:t>
      </w:r>
    </w:p>
    <w:p>
      <w:pPr>
        <w:adjustRightInd w:val="0"/>
        <w:snapToGrid w:val="0"/>
        <w:spacing w:line="360" w:lineRule="auto"/>
        <w:rPr>
          <w:rFonts w:ascii="宋体" w:hAnsi="宋体"/>
          <w:b/>
          <w:bCs/>
          <w:szCs w:val="21"/>
        </w:rPr>
      </w:pPr>
      <w:r>
        <w:rPr>
          <w:rFonts w:hint="eastAsia" w:ascii="宋体" w:hAnsi="宋体"/>
          <w:b/>
          <w:bCs/>
          <w:szCs w:val="21"/>
        </w:rPr>
        <w:t>31.中标信息公告</w:t>
      </w:r>
    </w:p>
    <w:p>
      <w:pPr>
        <w:adjustRightInd w:val="0"/>
        <w:snapToGrid w:val="0"/>
        <w:spacing w:line="360" w:lineRule="auto"/>
        <w:rPr>
          <w:rFonts w:ascii="宋体" w:hAnsi="宋体"/>
          <w:szCs w:val="21"/>
        </w:rPr>
      </w:pPr>
      <w:r>
        <w:rPr>
          <w:rFonts w:hint="eastAsia" w:ascii="宋体" w:hAnsi="宋体"/>
          <w:szCs w:val="21"/>
        </w:rPr>
        <w:t>31.1　中标人确定之日起2个工作日内，采购人或者采购代理机构应当将中标结果在</w:t>
      </w:r>
      <w:r>
        <w:rPr>
          <w:rFonts w:hint="eastAsia" w:ascii="宋体" w:hAnsi="宋体"/>
          <w:b/>
          <w:bCs/>
          <w:szCs w:val="21"/>
        </w:rPr>
        <w:t>投标人须知前附表</w:t>
      </w:r>
      <w:r>
        <w:rPr>
          <w:rFonts w:hint="eastAsia" w:ascii="宋体" w:hAnsi="宋体"/>
          <w:szCs w:val="21"/>
        </w:rPr>
        <w:t>中规定的公告媒体上公布。</w:t>
      </w:r>
    </w:p>
    <w:p>
      <w:pPr>
        <w:adjustRightInd w:val="0"/>
        <w:snapToGrid w:val="0"/>
        <w:spacing w:line="360" w:lineRule="auto"/>
        <w:rPr>
          <w:rFonts w:ascii="宋体" w:hAnsi="宋体"/>
          <w:szCs w:val="21"/>
        </w:rPr>
      </w:pPr>
      <w:r>
        <w:rPr>
          <w:rFonts w:hint="eastAsia" w:ascii="宋体" w:hAnsi="宋体"/>
          <w:szCs w:val="21"/>
        </w:rPr>
        <w:t>31.2　招标文件随中标结果同时公告。但中标结果公告前招标文件已公告的，不再重复公告。</w:t>
      </w:r>
    </w:p>
    <w:p>
      <w:pPr>
        <w:adjustRightInd w:val="0"/>
        <w:snapToGrid w:val="0"/>
        <w:spacing w:line="360" w:lineRule="auto"/>
        <w:rPr>
          <w:rFonts w:ascii="宋体" w:hAnsi="宋体"/>
          <w:b/>
          <w:bCs/>
          <w:szCs w:val="21"/>
        </w:rPr>
      </w:pPr>
      <w:r>
        <w:rPr>
          <w:rFonts w:hint="eastAsia" w:ascii="宋体" w:hAnsi="宋体"/>
          <w:b/>
          <w:bCs/>
          <w:szCs w:val="21"/>
        </w:rPr>
        <w:t>32.中标通知</w:t>
      </w:r>
    </w:p>
    <w:p>
      <w:pPr>
        <w:adjustRightInd w:val="0"/>
        <w:snapToGrid w:val="0"/>
        <w:spacing w:line="360" w:lineRule="auto"/>
        <w:rPr>
          <w:rFonts w:ascii="宋体" w:hAnsi="宋体"/>
          <w:szCs w:val="21"/>
        </w:rPr>
      </w:pPr>
      <w:r>
        <w:rPr>
          <w:rFonts w:hint="eastAsia" w:ascii="宋体" w:hAnsi="宋体"/>
          <w:szCs w:val="21"/>
        </w:rPr>
        <w:t>32.1  采购人或者采购代理机构应当自发布中标公告的同时，发出中标通知书，中标通知书对采购人和中标人具有同等法律效力。</w:t>
      </w:r>
    </w:p>
    <w:p>
      <w:pPr>
        <w:adjustRightInd w:val="0"/>
        <w:snapToGrid w:val="0"/>
        <w:spacing w:line="360" w:lineRule="auto"/>
        <w:rPr>
          <w:rFonts w:ascii="宋体" w:hAnsi="宋体"/>
          <w:szCs w:val="21"/>
        </w:rPr>
      </w:pPr>
      <w:r>
        <w:rPr>
          <w:rFonts w:hint="eastAsia" w:ascii="宋体" w:hAnsi="宋体"/>
          <w:szCs w:val="21"/>
        </w:rPr>
        <w:t>32.2  中标通知书发出后，中标人无正当理由不得放弃中标。</w:t>
      </w:r>
    </w:p>
    <w:p>
      <w:pPr>
        <w:adjustRightInd w:val="0"/>
        <w:snapToGrid w:val="0"/>
        <w:spacing w:line="360" w:lineRule="auto"/>
        <w:rPr>
          <w:rFonts w:ascii="宋体" w:hAnsi="宋体"/>
          <w:b/>
          <w:bCs/>
          <w:szCs w:val="21"/>
        </w:rPr>
      </w:pPr>
      <w:r>
        <w:rPr>
          <w:rFonts w:hint="eastAsia" w:ascii="宋体" w:hAnsi="宋体"/>
          <w:b/>
          <w:bCs/>
          <w:szCs w:val="21"/>
        </w:rPr>
        <w:t>33.履约保证金</w:t>
      </w:r>
    </w:p>
    <w:p>
      <w:pPr>
        <w:adjustRightInd w:val="0"/>
        <w:snapToGrid w:val="0"/>
        <w:spacing w:line="360" w:lineRule="auto"/>
        <w:rPr>
          <w:rFonts w:ascii="宋体" w:hAnsi="宋体"/>
          <w:szCs w:val="21"/>
        </w:rPr>
      </w:pPr>
      <w:r>
        <w:rPr>
          <w:rFonts w:hint="eastAsia" w:ascii="宋体" w:hAnsi="宋体"/>
          <w:szCs w:val="21"/>
        </w:rPr>
        <w:t>33.1　本项目是否缴纳履约保证金见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 xml:space="preserve">33.2  </w:t>
      </w:r>
      <w:r>
        <w:rPr>
          <w:rFonts w:hint="eastAsia" w:ascii="宋体" w:hAnsi="宋体"/>
          <w:b/>
          <w:bCs/>
          <w:szCs w:val="21"/>
        </w:rPr>
        <w:t>投标人须知前附表</w:t>
      </w:r>
      <w:r>
        <w:rPr>
          <w:rFonts w:hint="eastAsia" w:ascii="宋体" w:hAnsi="宋体"/>
          <w:szCs w:val="21"/>
        </w:rPr>
        <w:t>规定交纳履约保证金的，中标人在签订采购合同前，向采购人提交履约保证金。联合体成交的，履约保证金以联合体各方或联合体中牵头人的名义提交。</w:t>
      </w:r>
    </w:p>
    <w:p>
      <w:pPr>
        <w:adjustRightInd w:val="0"/>
        <w:snapToGrid w:val="0"/>
        <w:spacing w:line="360" w:lineRule="auto"/>
        <w:rPr>
          <w:rFonts w:ascii="宋体" w:hAnsi="宋体"/>
          <w:szCs w:val="21"/>
        </w:rPr>
      </w:pPr>
      <w:r>
        <w:rPr>
          <w:rFonts w:hint="eastAsia" w:ascii="宋体" w:hAnsi="宋体"/>
          <w:szCs w:val="21"/>
        </w:rPr>
        <w:t>33.3　中标人没有按照</w:t>
      </w:r>
      <w:r>
        <w:rPr>
          <w:rFonts w:hint="eastAsia" w:ascii="宋体" w:hAnsi="宋体"/>
          <w:b/>
          <w:bCs/>
          <w:szCs w:val="21"/>
        </w:rPr>
        <w:t>投标人须知前附表</w:t>
      </w:r>
      <w:r>
        <w:rPr>
          <w:rFonts w:hint="eastAsia" w:ascii="宋体" w:hAnsi="宋体"/>
          <w:szCs w:val="21"/>
        </w:rPr>
        <w:t>的规定提交履约保证金的，视为放弃中标，其投标保证金不予退还。</w:t>
      </w:r>
    </w:p>
    <w:p>
      <w:pPr>
        <w:adjustRightInd w:val="0"/>
        <w:snapToGrid w:val="0"/>
        <w:spacing w:line="360" w:lineRule="auto"/>
        <w:rPr>
          <w:rFonts w:ascii="宋体" w:hAnsi="宋体"/>
          <w:b/>
          <w:bCs/>
          <w:szCs w:val="21"/>
        </w:rPr>
      </w:pPr>
      <w:r>
        <w:rPr>
          <w:rFonts w:hint="eastAsia" w:ascii="宋体" w:hAnsi="宋体"/>
          <w:b/>
          <w:bCs/>
          <w:szCs w:val="21"/>
        </w:rPr>
        <w:t>34.签订合同</w:t>
      </w:r>
    </w:p>
    <w:p>
      <w:pPr>
        <w:adjustRightInd w:val="0"/>
        <w:snapToGrid w:val="0"/>
        <w:spacing w:line="360" w:lineRule="auto"/>
        <w:rPr>
          <w:rFonts w:ascii="宋体" w:hAnsi="宋体"/>
          <w:szCs w:val="21"/>
        </w:rPr>
      </w:pPr>
      <w:r>
        <w:rPr>
          <w:rFonts w:hint="eastAsia" w:ascii="宋体" w:hAnsi="宋体"/>
          <w:szCs w:val="21"/>
        </w:rPr>
        <w:t>34.1　招标文件和中标供应商的投标文件均为签订政府采购合同的依据。</w:t>
      </w:r>
    </w:p>
    <w:p>
      <w:pPr>
        <w:adjustRightInd w:val="0"/>
        <w:snapToGrid w:val="0"/>
        <w:spacing w:line="360" w:lineRule="auto"/>
        <w:rPr>
          <w:rFonts w:ascii="宋体" w:hAnsi="宋体"/>
          <w:szCs w:val="21"/>
        </w:rPr>
      </w:pPr>
      <w:r>
        <w:rPr>
          <w:rFonts w:hint="eastAsia" w:ascii="宋体" w:hAnsi="宋体"/>
          <w:szCs w:val="21"/>
        </w:rPr>
        <w:t>34.2　中标供应商应当在中标通知书发出之日起30日内，与采购人签订政府采购合同。</w:t>
      </w:r>
    </w:p>
    <w:p>
      <w:pPr>
        <w:adjustRightInd w:val="0"/>
        <w:snapToGrid w:val="0"/>
        <w:spacing w:line="360" w:lineRule="auto"/>
        <w:rPr>
          <w:rFonts w:ascii="宋体" w:hAnsi="宋体"/>
          <w:szCs w:val="21"/>
        </w:rPr>
      </w:pPr>
      <w:r>
        <w:rPr>
          <w:rFonts w:hint="eastAsia" w:ascii="宋体" w:hAnsi="宋体"/>
          <w:szCs w:val="21"/>
        </w:rPr>
        <w:t>34.3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pPr>
        <w:adjustRightInd w:val="0"/>
        <w:snapToGrid w:val="0"/>
        <w:spacing w:line="360" w:lineRule="auto"/>
        <w:rPr>
          <w:rFonts w:ascii="宋体" w:hAnsi="宋体"/>
          <w:szCs w:val="21"/>
        </w:rPr>
      </w:pPr>
      <w:r>
        <w:rPr>
          <w:rFonts w:hint="eastAsia" w:ascii="宋体" w:hAnsi="宋体"/>
          <w:szCs w:val="21"/>
        </w:rPr>
        <w:t>34.4　自政府采购合同签订之日起2个工作日内，本项目政府采购合同在</w:t>
      </w:r>
      <w:r>
        <w:rPr>
          <w:rFonts w:hint="eastAsia" w:ascii="宋体" w:hAnsi="宋体"/>
          <w:b/>
          <w:bCs/>
          <w:szCs w:val="21"/>
        </w:rPr>
        <w:t>投标人须知前附表</w:t>
      </w:r>
      <w:r>
        <w:rPr>
          <w:rFonts w:hint="eastAsia" w:ascii="宋体" w:hAnsi="宋体"/>
          <w:szCs w:val="21"/>
        </w:rPr>
        <w:t>规定的媒体上公告，但政府采购合同中涉及国家秘密、商业秘密的内容除外。</w:t>
      </w:r>
    </w:p>
    <w:p>
      <w:pPr>
        <w:adjustRightInd w:val="0"/>
        <w:snapToGrid w:val="0"/>
        <w:spacing w:line="360" w:lineRule="auto"/>
        <w:rPr>
          <w:rFonts w:ascii="宋体" w:hAnsi="宋体"/>
          <w:b/>
          <w:bCs/>
          <w:szCs w:val="21"/>
        </w:rPr>
      </w:pPr>
      <w:r>
        <w:rPr>
          <w:rFonts w:hint="eastAsia" w:ascii="宋体" w:hAnsi="宋体"/>
          <w:b/>
          <w:bCs/>
          <w:szCs w:val="21"/>
        </w:rPr>
        <w:t>六、其他规定</w:t>
      </w:r>
    </w:p>
    <w:p>
      <w:pPr>
        <w:adjustRightInd w:val="0"/>
        <w:snapToGrid w:val="0"/>
        <w:spacing w:line="360" w:lineRule="auto"/>
        <w:rPr>
          <w:rFonts w:ascii="宋体" w:hAnsi="宋体"/>
          <w:szCs w:val="21"/>
        </w:rPr>
      </w:pPr>
      <w:r>
        <w:rPr>
          <w:rFonts w:hint="eastAsia" w:ascii="宋体" w:hAnsi="宋体"/>
          <w:b/>
          <w:bCs/>
          <w:szCs w:val="21"/>
        </w:rPr>
        <w:t>35.招标代理服务费。</w:t>
      </w:r>
    </w:p>
    <w:p>
      <w:pPr>
        <w:adjustRightInd w:val="0"/>
        <w:snapToGrid w:val="0"/>
        <w:spacing w:line="360" w:lineRule="auto"/>
        <w:rPr>
          <w:rFonts w:ascii="宋体" w:hAnsi="宋体"/>
          <w:szCs w:val="21"/>
        </w:rPr>
      </w:pPr>
      <w:r>
        <w:rPr>
          <w:rFonts w:hint="eastAsia" w:ascii="宋体" w:hAnsi="宋体"/>
          <w:szCs w:val="21"/>
        </w:rPr>
        <w:t>35.1　中标人是否交纳投招标代理服务费及相关要求见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b/>
          <w:bCs/>
          <w:szCs w:val="21"/>
        </w:rPr>
        <w:t>36.询问、质疑、投诉</w:t>
      </w:r>
    </w:p>
    <w:p>
      <w:pPr>
        <w:adjustRightInd w:val="0"/>
        <w:snapToGrid w:val="0"/>
        <w:spacing w:line="360" w:lineRule="auto"/>
        <w:rPr>
          <w:rFonts w:ascii="宋体" w:hAnsi="宋体"/>
          <w:szCs w:val="21"/>
        </w:rPr>
      </w:pPr>
      <w:r>
        <w:rPr>
          <w:rFonts w:hint="eastAsia" w:ascii="宋体" w:hAnsi="宋体"/>
          <w:szCs w:val="21"/>
        </w:rPr>
        <w:t>36.1　供应商对政府采购活动事项有疑问的，可以向采购人或采购代理机构提出询问</w:t>
      </w:r>
    </w:p>
    <w:p>
      <w:pPr>
        <w:adjustRightInd w:val="0"/>
        <w:snapToGrid w:val="0"/>
        <w:spacing w:line="360" w:lineRule="auto"/>
        <w:rPr>
          <w:rFonts w:ascii="宋体" w:hAnsi="宋体"/>
          <w:szCs w:val="21"/>
        </w:rPr>
      </w:pPr>
      <w:r>
        <w:rPr>
          <w:rFonts w:hint="eastAsia" w:ascii="宋体" w:hAnsi="宋体"/>
          <w:szCs w:val="21"/>
        </w:rPr>
        <w:t>36.2　供应商认为招标文件、招标过程和中标结果使自己的权益受到损害的，可以在知道或者应当知其权益受到损害之日起7个工作日内，以书面形式向采购人或采购代理机构提出质疑。</w:t>
      </w:r>
    </w:p>
    <w:p>
      <w:pPr>
        <w:adjustRightInd w:val="0"/>
        <w:snapToGrid w:val="0"/>
        <w:spacing w:line="360" w:lineRule="auto"/>
        <w:rPr>
          <w:rFonts w:ascii="宋体" w:hAnsi="宋体"/>
          <w:szCs w:val="21"/>
        </w:rPr>
      </w:pPr>
      <w:r>
        <w:rPr>
          <w:rFonts w:hint="eastAsia" w:ascii="宋体" w:hAnsi="宋体"/>
          <w:szCs w:val="21"/>
        </w:rPr>
        <w:t>36.3　供应商提出质疑的，应当提供质疑书原件。</w:t>
      </w:r>
    </w:p>
    <w:p>
      <w:pPr>
        <w:adjustRightInd w:val="0"/>
        <w:snapToGrid w:val="0"/>
        <w:spacing w:line="360" w:lineRule="auto"/>
        <w:rPr>
          <w:rFonts w:ascii="宋体" w:hAnsi="宋体"/>
          <w:szCs w:val="21"/>
        </w:rPr>
      </w:pPr>
      <w:r>
        <w:rPr>
          <w:rFonts w:hint="eastAsia" w:ascii="宋体" w:hAnsi="宋体"/>
          <w:szCs w:val="21"/>
        </w:rPr>
        <w:t>36.4　质疑书应当由投标人法定代表人或其授权的投标代表签字并加盖投标人单位章，质疑书由授权的投标代表签字的应当附投标人法定代表人委托授权书。</w:t>
      </w:r>
    </w:p>
    <w:p>
      <w:pPr>
        <w:adjustRightInd w:val="0"/>
        <w:snapToGrid w:val="0"/>
        <w:spacing w:line="360" w:lineRule="auto"/>
        <w:rPr>
          <w:rFonts w:ascii="宋体" w:hAnsi="宋体"/>
          <w:szCs w:val="21"/>
        </w:rPr>
      </w:pPr>
      <w:r>
        <w:rPr>
          <w:rFonts w:hint="eastAsia" w:ascii="宋体" w:hAnsi="宋体"/>
          <w:szCs w:val="21"/>
        </w:rPr>
        <w:t>36.5　投标人对采购人或采购代理机构的答复不满意，或采购人或采购代理机构未在规定的期限作出答复的，可在答复期满后15个工作日内，按政府采购法律法规规定及程序，向财政部提出投诉。</w:t>
      </w:r>
    </w:p>
    <w:p>
      <w:pPr>
        <w:adjustRightInd w:val="0"/>
        <w:snapToGrid w:val="0"/>
        <w:spacing w:line="360" w:lineRule="auto"/>
        <w:rPr>
          <w:rFonts w:ascii="宋体" w:hAnsi="宋体"/>
          <w:szCs w:val="21"/>
        </w:rPr>
      </w:pPr>
      <w:r>
        <w:rPr>
          <w:rFonts w:hint="eastAsia" w:ascii="宋体" w:hAnsi="宋体"/>
          <w:szCs w:val="21"/>
        </w:rPr>
        <w:t>37.发生下列情况之一，投标人将被列入不良记录名单，在1～3年内禁止参加政府采购活动，并予以公告：</w:t>
      </w:r>
    </w:p>
    <w:p>
      <w:pPr>
        <w:adjustRightInd w:val="0"/>
        <w:snapToGrid w:val="0"/>
        <w:spacing w:line="360" w:lineRule="auto"/>
        <w:rPr>
          <w:rFonts w:ascii="宋体" w:hAnsi="宋体"/>
          <w:szCs w:val="21"/>
        </w:rPr>
      </w:pPr>
      <w:r>
        <w:rPr>
          <w:rFonts w:hint="eastAsia" w:ascii="宋体" w:hAnsi="宋体"/>
          <w:szCs w:val="21"/>
        </w:rPr>
        <w:t>（1）开标后在投标有效期内，投标人撤回其投标；</w:t>
      </w:r>
    </w:p>
    <w:p>
      <w:pPr>
        <w:adjustRightInd w:val="0"/>
        <w:snapToGrid w:val="0"/>
        <w:spacing w:line="360" w:lineRule="auto"/>
        <w:rPr>
          <w:rFonts w:ascii="宋体" w:hAnsi="宋体"/>
          <w:szCs w:val="21"/>
        </w:rPr>
      </w:pPr>
      <w:r>
        <w:rPr>
          <w:rFonts w:hint="eastAsia" w:ascii="宋体" w:hAnsi="宋体"/>
          <w:szCs w:val="21"/>
        </w:rPr>
        <w:t>（2）中标后无正当理由不与采购人签订政府采购合同；</w:t>
      </w:r>
    </w:p>
    <w:p>
      <w:pPr>
        <w:adjustRightInd w:val="0"/>
        <w:snapToGrid w:val="0"/>
        <w:spacing w:line="360" w:lineRule="auto"/>
        <w:rPr>
          <w:rFonts w:ascii="宋体" w:hAnsi="宋体"/>
          <w:szCs w:val="21"/>
        </w:rPr>
      </w:pPr>
      <w:r>
        <w:rPr>
          <w:rFonts w:hint="eastAsia" w:ascii="宋体" w:hAnsi="宋体"/>
          <w:szCs w:val="21"/>
        </w:rPr>
        <w:t>（3）中标后未按照招标文件和中标供应商的投标文件订立政府采购合同，或者与采购人另行订立背离合同实质性内容的协议的；</w:t>
      </w:r>
    </w:p>
    <w:p>
      <w:pPr>
        <w:adjustRightInd w:val="0"/>
        <w:snapToGrid w:val="0"/>
        <w:spacing w:line="360" w:lineRule="auto"/>
        <w:rPr>
          <w:rFonts w:ascii="宋体" w:hAnsi="宋体"/>
          <w:szCs w:val="21"/>
        </w:rPr>
      </w:pPr>
      <w:r>
        <w:rPr>
          <w:rFonts w:hint="eastAsia" w:ascii="宋体" w:hAnsi="宋体"/>
          <w:szCs w:val="21"/>
        </w:rPr>
        <w:t>（4）将中标项目转让给他人，或者在投标文件中未说明，且未经采购招标机构同意，将中标项目分包给他人；</w:t>
      </w:r>
    </w:p>
    <w:p>
      <w:pPr>
        <w:adjustRightInd w:val="0"/>
        <w:snapToGrid w:val="0"/>
        <w:spacing w:line="360" w:lineRule="auto"/>
        <w:rPr>
          <w:rFonts w:ascii="宋体" w:hAnsi="宋体"/>
          <w:szCs w:val="21"/>
        </w:rPr>
      </w:pPr>
      <w:r>
        <w:rPr>
          <w:rFonts w:hint="eastAsia" w:ascii="宋体" w:hAnsi="宋体"/>
          <w:szCs w:val="21"/>
        </w:rPr>
        <w:t>（5）拒绝履行合同义务的；</w:t>
      </w:r>
    </w:p>
    <w:p>
      <w:pPr>
        <w:adjustRightInd w:val="0"/>
        <w:snapToGrid w:val="0"/>
        <w:spacing w:line="360" w:lineRule="auto"/>
        <w:rPr>
          <w:rFonts w:ascii="宋体" w:hAnsi="宋体"/>
          <w:szCs w:val="21"/>
        </w:rPr>
      </w:pPr>
      <w:r>
        <w:rPr>
          <w:rFonts w:hint="eastAsia" w:ascii="宋体" w:hAnsi="宋体"/>
          <w:szCs w:val="21"/>
        </w:rPr>
        <w:t>（6）《政府采购法》第七十七条和《政府采购法实施条例》第七十二条规定的其他情形；</w:t>
      </w:r>
    </w:p>
    <w:p>
      <w:pPr>
        <w:adjustRightInd w:val="0"/>
        <w:snapToGrid w:val="0"/>
        <w:spacing w:line="360" w:lineRule="auto"/>
        <w:rPr>
          <w:rFonts w:ascii="宋体" w:hAnsi="宋体"/>
          <w:szCs w:val="21"/>
        </w:rPr>
      </w:pPr>
      <w:r>
        <w:rPr>
          <w:rFonts w:hint="eastAsia" w:ascii="宋体" w:hAnsi="宋体"/>
          <w:szCs w:val="21"/>
        </w:rPr>
        <w:t>（7）其他违反法律法规相关规定的情形。</w:t>
      </w:r>
    </w:p>
    <w:p>
      <w:pPr>
        <w:adjustRightInd w:val="0"/>
        <w:snapToGrid w:val="0"/>
        <w:spacing w:line="360" w:lineRule="auto"/>
        <w:rPr>
          <w:rFonts w:ascii="宋体" w:hAnsi="宋体"/>
          <w:b/>
          <w:bCs/>
          <w:szCs w:val="21"/>
        </w:rPr>
      </w:pPr>
      <w:r>
        <w:rPr>
          <w:rFonts w:hint="eastAsia" w:ascii="宋体" w:hAnsi="宋体"/>
          <w:b/>
          <w:bCs/>
          <w:szCs w:val="21"/>
        </w:rPr>
        <w:t>38.其他规定。</w:t>
      </w:r>
    </w:p>
    <w:p>
      <w:pPr>
        <w:adjustRightInd w:val="0"/>
        <w:snapToGrid w:val="0"/>
        <w:spacing w:line="360" w:lineRule="auto"/>
        <w:rPr>
          <w:rFonts w:ascii="宋体" w:hAnsi="宋体"/>
          <w:szCs w:val="21"/>
        </w:rPr>
      </w:pPr>
      <w:r>
        <w:rPr>
          <w:rFonts w:hint="eastAsia" w:ascii="宋体" w:hAnsi="宋体"/>
          <w:szCs w:val="21"/>
        </w:rPr>
        <w:t>38.1　投标文件的其他规定见</w:t>
      </w:r>
      <w:r>
        <w:rPr>
          <w:rFonts w:hint="eastAsia" w:ascii="宋体" w:hAnsi="宋体"/>
          <w:b/>
          <w:bCs/>
          <w:szCs w:val="21"/>
        </w:rPr>
        <w:t>投标人须知前附表</w:t>
      </w:r>
      <w:r>
        <w:rPr>
          <w:rFonts w:hint="eastAsia" w:ascii="宋体" w:hAnsi="宋体"/>
          <w:szCs w:val="21"/>
        </w:rPr>
        <w:t>。</w:t>
      </w:r>
    </w:p>
    <w:p>
      <w:pPr>
        <w:adjustRightInd w:val="0"/>
        <w:snapToGrid w:val="0"/>
        <w:spacing w:line="360" w:lineRule="auto"/>
        <w:rPr>
          <w:rFonts w:ascii="宋体" w:hAnsi="宋体"/>
          <w:b/>
          <w:bCs/>
          <w:szCs w:val="21"/>
        </w:rPr>
      </w:pPr>
      <w:r>
        <w:rPr>
          <w:rFonts w:hint="eastAsia" w:ascii="宋体" w:hAnsi="宋体"/>
          <w:b/>
          <w:bCs/>
          <w:szCs w:val="21"/>
        </w:rPr>
        <w:t>39.未尽事宜</w:t>
      </w:r>
    </w:p>
    <w:p>
      <w:pPr>
        <w:adjustRightInd w:val="0"/>
        <w:snapToGrid w:val="0"/>
        <w:spacing w:line="360" w:lineRule="auto"/>
        <w:rPr>
          <w:rFonts w:ascii="宋体" w:hAnsi="宋体"/>
          <w:szCs w:val="21"/>
        </w:rPr>
      </w:pPr>
      <w:r>
        <w:rPr>
          <w:rFonts w:hint="eastAsia" w:ascii="宋体" w:hAnsi="宋体"/>
          <w:szCs w:val="21"/>
        </w:rPr>
        <w:t>39.1　其他未尽事宜按政府采购法律法规的规定执行。</w:t>
      </w:r>
    </w:p>
    <w:p>
      <w:pPr>
        <w:adjustRightInd w:val="0"/>
        <w:snapToGrid w:val="0"/>
        <w:spacing w:line="360" w:lineRule="auto"/>
        <w:rPr>
          <w:rFonts w:ascii="宋体" w:hAnsi="宋体"/>
          <w:b/>
          <w:bCs/>
          <w:szCs w:val="21"/>
        </w:rPr>
      </w:pPr>
      <w:r>
        <w:rPr>
          <w:rFonts w:hint="eastAsia" w:ascii="宋体" w:hAnsi="宋体"/>
          <w:b/>
          <w:bCs/>
          <w:szCs w:val="21"/>
        </w:rPr>
        <w:t>40.文件解释权</w:t>
      </w:r>
    </w:p>
    <w:p>
      <w:pPr>
        <w:adjustRightInd w:val="0"/>
        <w:snapToGrid w:val="0"/>
        <w:spacing w:line="360" w:lineRule="auto"/>
        <w:rPr>
          <w:rFonts w:ascii="宋体" w:hAnsi="宋体"/>
          <w:bCs/>
          <w:szCs w:val="21"/>
        </w:rPr>
      </w:pPr>
      <w:r>
        <w:rPr>
          <w:rFonts w:hint="eastAsia" w:ascii="宋体" w:hAnsi="宋体"/>
          <w:szCs w:val="21"/>
        </w:rPr>
        <w:t>40.1　本招标文件的解释权归采购人和采购代理机构所有。</w:t>
      </w:r>
    </w:p>
    <w:p>
      <w:pPr>
        <w:adjustRightInd w:val="0"/>
        <w:snapToGrid w:val="0"/>
        <w:spacing w:line="360" w:lineRule="auto"/>
        <w:rPr>
          <w:rFonts w:ascii="宋体" w:hAnsi="宋体"/>
          <w:bCs/>
          <w:szCs w:val="21"/>
        </w:rPr>
      </w:pPr>
    </w:p>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r>
        <w:rPr>
          <w:rFonts w:ascii="黑体" w:hAnsi="宋体" w:eastAsia="黑体"/>
          <w:bCs/>
          <w:szCs w:val="21"/>
        </w:rPr>
        <w:br w:type="page"/>
      </w:r>
      <w:r>
        <w:rPr>
          <w:rFonts w:hint="eastAsia" w:ascii="黑体" w:hAnsi="宋体" w:eastAsia="黑体"/>
          <w:bCs/>
          <w:szCs w:val="21"/>
        </w:rPr>
        <w:t>附页1</w:t>
      </w:r>
    </w:p>
    <w:p>
      <w:pPr>
        <w:adjustRightInd w:val="0"/>
        <w:snapToGrid w:val="0"/>
        <w:spacing w:line="360" w:lineRule="auto"/>
        <w:jc w:val="center"/>
        <w:rPr>
          <w:rFonts w:ascii="黑体" w:hAnsi="宋体" w:eastAsia="黑体" w:cs="宋体"/>
          <w:b/>
          <w:bCs/>
          <w:kern w:val="0"/>
          <w:sz w:val="30"/>
          <w:szCs w:val="30"/>
        </w:rPr>
      </w:pPr>
      <w:r>
        <w:rPr>
          <w:rFonts w:hint="eastAsia" w:ascii="黑体" w:hAnsi="宋体" w:eastAsia="黑体" w:cs="宋体"/>
          <w:b/>
          <w:bCs/>
          <w:kern w:val="0"/>
          <w:sz w:val="30"/>
          <w:szCs w:val="30"/>
        </w:rPr>
        <w:t>湖南省政府采购支持中小企业融资合作银行及联系人名单</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134"/>
        <w:gridCol w:w="2834"/>
        <w:gridCol w:w="20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bCs/>
                <w:kern w:val="0"/>
                <w:szCs w:val="21"/>
              </w:rPr>
              <w:t>银行名称</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bCs/>
                <w:kern w:val="0"/>
                <w:szCs w:val="21"/>
              </w:rPr>
              <w:t>联系人</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bCs/>
                <w:kern w:val="0"/>
                <w:szCs w:val="21"/>
              </w:rPr>
              <w:t>职 务</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bCs/>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交通银行湖南省分行</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刘 波</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名城支行客户经理</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13874998873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交通银行湖南省分行</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肖勇光</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分行高级经理</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13755192647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中国民生银行长沙分行</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黄飞燕</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营业部总经理</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13308463468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中国民生银行长沙分行</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蒋寒奇</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营业部中小企业客户经理</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13548982975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兴业银行长沙分行</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刘栅延</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支行行长</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13337316405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兴业银行长沙分行</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蒋修远</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支行客户经理</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18607310422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中国光大银行长沙分行</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邓永胜</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岳麓支行副行长</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13617319650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中信银行长沙分行</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蔡学军</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公司银行部负责人</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13055167195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652"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中信银行长沙分行</w:t>
            </w:r>
          </w:p>
        </w:tc>
        <w:tc>
          <w:tcPr>
            <w:tcW w:w="11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宋学农</w:t>
            </w:r>
          </w:p>
        </w:tc>
        <w:tc>
          <w:tcPr>
            <w:tcW w:w="2834"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银行部综合管理部副总经理</w:t>
            </w:r>
          </w:p>
        </w:tc>
        <w:tc>
          <w:tcPr>
            <w:tcW w:w="2065" w:type="dxa"/>
            <w:vAlign w:val="center"/>
          </w:tcPr>
          <w:p>
            <w:pPr>
              <w:adjustRightInd w:val="0"/>
              <w:snapToGrid w:val="0"/>
              <w:spacing w:before="120" w:beforeLines="50" w:line="360" w:lineRule="auto"/>
              <w:jc w:val="center"/>
              <w:rPr>
                <w:rFonts w:ascii="宋体" w:hAnsi="宋体"/>
                <w:szCs w:val="21"/>
              </w:rPr>
            </w:pPr>
            <w:r>
              <w:rPr>
                <w:rFonts w:hint="eastAsia" w:ascii="宋体" w:hAnsi="宋体" w:cs="宋体"/>
                <w:kern w:val="0"/>
                <w:szCs w:val="21"/>
              </w:rPr>
              <w:t>0731-845822141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652" w:type="dxa"/>
            <w:vAlign w:val="center"/>
          </w:tcPr>
          <w:p>
            <w:pPr>
              <w:adjustRightInd w:val="0"/>
              <w:snapToGrid w:val="0"/>
              <w:spacing w:before="120" w:beforeLines="50" w:line="360" w:lineRule="auto"/>
              <w:jc w:val="center"/>
              <w:rPr>
                <w:rFonts w:ascii="宋体" w:hAnsi="宋体" w:cs="宋体"/>
                <w:kern w:val="0"/>
                <w:szCs w:val="21"/>
              </w:rPr>
            </w:pPr>
            <w:r>
              <w:rPr>
                <w:rFonts w:hint="eastAsia" w:ascii="宋体" w:hAnsi="宋体" w:cs="宋体"/>
                <w:kern w:val="0"/>
                <w:szCs w:val="21"/>
              </w:rPr>
              <w:t>招商银行长沙分行大河西先导区支行</w:t>
            </w:r>
          </w:p>
        </w:tc>
        <w:tc>
          <w:tcPr>
            <w:tcW w:w="1134" w:type="dxa"/>
            <w:vAlign w:val="center"/>
          </w:tcPr>
          <w:p>
            <w:pPr>
              <w:adjustRightInd w:val="0"/>
              <w:snapToGrid w:val="0"/>
              <w:spacing w:before="120" w:beforeLines="50" w:line="360" w:lineRule="auto"/>
              <w:jc w:val="center"/>
              <w:rPr>
                <w:rFonts w:ascii="宋体" w:hAnsi="宋体" w:cs="宋体"/>
                <w:kern w:val="0"/>
                <w:szCs w:val="21"/>
              </w:rPr>
            </w:pPr>
            <w:r>
              <w:rPr>
                <w:rFonts w:hint="eastAsia" w:ascii="宋体" w:hAnsi="宋体" w:cs="宋体"/>
                <w:kern w:val="0"/>
                <w:szCs w:val="21"/>
              </w:rPr>
              <w:t>伍超</w:t>
            </w:r>
          </w:p>
        </w:tc>
        <w:tc>
          <w:tcPr>
            <w:tcW w:w="2834" w:type="dxa"/>
            <w:vAlign w:val="center"/>
          </w:tcPr>
          <w:p>
            <w:pPr>
              <w:adjustRightInd w:val="0"/>
              <w:snapToGrid w:val="0"/>
              <w:spacing w:before="120" w:beforeLines="50" w:line="360" w:lineRule="auto"/>
              <w:jc w:val="center"/>
              <w:rPr>
                <w:rFonts w:ascii="宋体" w:hAnsi="宋体" w:cs="宋体"/>
                <w:kern w:val="0"/>
                <w:szCs w:val="21"/>
              </w:rPr>
            </w:pPr>
            <w:r>
              <w:rPr>
                <w:rFonts w:hint="eastAsia" w:ascii="宋体" w:hAnsi="宋体" w:cs="宋体"/>
                <w:kern w:val="0"/>
                <w:szCs w:val="21"/>
              </w:rPr>
              <w:t>公司部主管</w:t>
            </w:r>
          </w:p>
        </w:tc>
        <w:tc>
          <w:tcPr>
            <w:tcW w:w="2065" w:type="dxa"/>
            <w:vAlign w:val="center"/>
          </w:tcPr>
          <w:p>
            <w:pPr>
              <w:adjustRightInd w:val="0"/>
              <w:snapToGrid w:val="0"/>
              <w:jc w:val="center"/>
              <w:rPr>
                <w:rFonts w:ascii="宋体" w:hAnsi="宋体" w:cs="宋体"/>
                <w:kern w:val="0"/>
                <w:szCs w:val="21"/>
              </w:rPr>
            </w:pPr>
            <w:r>
              <w:rPr>
                <w:rFonts w:ascii="宋体" w:hAnsi="宋体" w:cs="宋体"/>
                <w:kern w:val="0"/>
                <w:szCs w:val="21"/>
              </w:rPr>
              <w:t>13574102790</w:t>
            </w:r>
          </w:p>
        </w:tc>
      </w:tr>
    </w:tbl>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r>
        <w:rPr>
          <w:rFonts w:hint="eastAsia" w:ascii="黑体" w:hAnsi="宋体" w:eastAsia="黑体"/>
          <w:bCs/>
          <w:szCs w:val="21"/>
        </w:rPr>
        <w:t>附页2</w:t>
      </w:r>
    </w:p>
    <w:p>
      <w:pPr>
        <w:adjustRightInd w:val="0"/>
        <w:snapToGrid w:val="0"/>
        <w:spacing w:line="360" w:lineRule="auto"/>
        <w:jc w:val="center"/>
        <w:rPr>
          <w:rFonts w:ascii="黑体" w:hAnsi="宋体" w:eastAsia="黑体"/>
          <w:b/>
          <w:bCs/>
          <w:sz w:val="30"/>
          <w:szCs w:val="30"/>
        </w:rPr>
      </w:pPr>
      <w:r>
        <w:rPr>
          <w:rFonts w:hint="eastAsia" w:ascii="黑体" w:hAnsi="宋体" w:eastAsia="黑体" w:cs="宋体"/>
          <w:b/>
          <w:bCs/>
          <w:kern w:val="0"/>
          <w:sz w:val="30"/>
          <w:szCs w:val="30"/>
        </w:rPr>
        <w:t>湖南省政府采购信用担保试点工作的</w:t>
      </w:r>
      <w:r>
        <w:rPr>
          <w:rFonts w:hint="eastAsia" w:ascii="黑体" w:hAnsi="宋体" w:eastAsia="黑体"/>
          <w:b/>
          <w:sz w:val="30"/>
          <w:szCs w:val="30"/>
        </w:rPr>
        <w:t>信用担保机构名单</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558"/>
        <w:gridCol w:w="1139"/>
        <w:gridCol w:w="398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4558" w:type="dxa"/>
            <w:vAlign w:val="center"/>
          </w:tcPr>
          <w:p>
            <w:pPr>
              <w:adjustRightInd w:val="0"/>
              <w:snapToGrid w:val="0"/>
              <w:jc w:val="center"/>
              <w:rPr>
                <w:rFonts w:ascii="宋体" w:hAnsi="宋体" w:cs="宋体"/>
                <w:bCs/>
                <w:kern w:val="0"/>
                <w:szCs w:val="21"/>
              </w:rPr>
            </w:pPr>
            <w:r>
              <w:rPr>
                <w:rFonts w:hint="eastAsia" w:ascii="宋体" w:hAnsi="宋体"/>
                <w:szCs w:val="21"/>
              </w:rPr>
              <w:t>信用担保机构</w:t>
            </w:r>
          </w:p>
        </w:tc>
        <w:tc>
          <w:tcPr>
            <w:tcW w:w="1139" w:type="dxa"/>
            <w:vAlign w:val="center"/>
          </w:tcPr>
          <w:p>
            <w:pPr>
              <w:adjustRightInd w:val="0"/>
              <w:snapToGrid w:val="0"/>
              <w:jc w:val="center"/>
              <w:rPr>
                <w:rFonts w:ascii="宋体" w:hAnsi="宋体" w:cs="宋体"/>
                <w:bCs/>
                <w:kern w:val="0"/>
                <w:szCs w:val="21"/>
              </w:rPr>
            </w:pPr>
            <w:r>
              <w:rPr>
                <w:rFonts w:hint="eastAsia" w:ascii="宋体" w:hAnsi="宋体"/>
                <w:szCs w:val="21"/>
              </w:rPr>
              <w:t>联系人</w:t>
            </w:r>
          </w:p>
        </w:tc>
        <w:tc>
          <w:tcPr>
            <w:tcW w:w="3988" w:type="dxa"/>
            <w:vAlign w:val="center"/>
          </w:tcPr>
          <w:p>
            <w:pPr>
              <w:adjustRightInd w:val="0"/>
              <w:snapToGrid w:val="0"/>
              <w:jc w:val="center"/>
              <w:rPr>
                <w:rFonts w:ascii="宋体" w:hAnsi="宋体" w:cs="宋体"/>
                <w:bCs/>
                <w:kern w:val="0"/>
                <w:szCs w:val="21"/>
              </w:rPr>
            </w:pPr>
            <w:r>
              <w:rPr>
                <w:rFonts w:hint="eastAsia" w:ascii="宋体" w:hAnsi="宋体"/>
                <w:szCs w:val="21"/>
              </w:rPr>
              <w:t>联系电话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558" w:type="dxa"/>
            <w:vAlign w:val="center"/>
          </w:tcPr>
          <w:p>
            <w:pPr>
              <w:adjustRightInd w:val="0"/>
              <w:snapToGrid w:val="0"/>
              <w:jc w:val="left"/>
              <w:rPr>
                <w:rFonts w:ascii="宋体" w:hAnsi="宋体" w:cs="宋体"/>
                <w:bCs/>
                <w:kern w:val="0"/>
                <w:szCs w:val="21"/>
              </w:rPr>
            </w:pPr>
            <w:r>
              <w:rPr>
                <w:rFonts w:hint="eastAsia" w:ascii="宋体" w:hAnsi="宋体"/>
                <w:szCs w:val="21"/>
              </w:rPr>
              <w:t>中国投资担保公司</w:t>
            </w:r>
          </w:p>
        </w:tc>
        <w:tc>
          <w:tcPr>
            <w:tcW w:w="1139" w:type="dxa"/>
            <w:vAlign w:val="center"/>
          </w:tcPr>
          <w:p>
            <w:pPr>
              <w:adjustRightInd w:val="0"/>
              <w:snapToGrid w:val="0"/>
              <w:jc w:val="center"/>
              <w:rPr>
                <w:rFonts w:ascii="宋体" w:hAnsi="宋体" w:cs="宋体"/>
                <w:bCs/>
                <w:kern w:val="0"/>
                <w:szCs w:val="21"/>
              </w:rPr>
            </w:pPr>
            <w:r>
              <w:rPr>
                <w:rFonts w:hint="eastAsia" w:ascii="宋体" w:hAnsi="宋体"/>
                <w:szCs w:val="21"/>
              </w:rPr>
              <w:t>何嘉</w:t>
            </w:r>
          </w:p>
        </w:tc>
        <w:tc>
          <w:tcPr>
            <w:tcW w:w="3988" w:type="dxa"/>
            <w:vAlign w:val="center"/>
          </w:tcPr>
          <w:p>
            <w:pPr>
              <w:adjustRightInd w:val="0"/>
              <w:snapToGrid w:val="0"/>
              <w:jc w:val="left"/>
              <w:rPr>
                <w:rFonts w:ascii="宋体" w:hAnsi="宋体" w:cs="宋体"/>
                <w:bCs/>
                <w:kern w:val="0"/>
                <w:szCs w:val="21"/>
              </w:rPr>
            </w:pPr>
            <w:r>
              <w:rPr>
                <w:rFonts w:hint="eastAsia" w:ascii="宋体" w:hAnsi="宋体"/>
                <w:szCs w:val="21"/>
              </w:rPr>
              <w:t>010-88822659/13718642233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558" w:type="dxa"/>
            <w:vAlign w:val="center"/>
          </w:tcPr>
          <w:p>
            <w:pPr>
              <w:adjustRightInd w:val="0"/>
              <w:snapToGrid w:val="0"/>
              <w:jc w:val="left"/>
              <w:rPr>
                <w:rFonts w:ascii="宋体" w:hAnsi="宋体" w:cs="宋体"/>
                <w:bCs/>
                <w:kern w:val="0"/>
                <w:szCs w:val="21"/>
              </w:rPr>
            </w:pPr>
            <w:r>
              <w:rPr>
                <w:rFonts w:hint="eastAsia" w:ascii="宋体" w:hAnsi="宋体"/>
                <w:szCs w:val="21"/>
              </w:rPr>
              <w:t>湖南省中小企业信用担保有限责任公司</w:t>
            </w:r>
          </w:p>
        </w:tc>
        <w:tc>
          <w:tcPr>
            <w:tcW w:w="1139" w:type="dxa"/>
            <w:vAlign w:val="center"/>
          </w:tcPr>
          <w:p>
            <w:pPr>
              <w:adjustRightInd w:val="0"/>
              <w:snapToGrid w:val="0"/>
              <w:jc w:val="center"/>
              <w:rPr>
                <w:rFonts w:ascii="宋体" w:hAnsi="宋体" w:cs="宋体"/>
                <w:bCs/>
                <w:kern w:val="0"/>
                <w:szCs w:val="21"/>
              </w:rPr>
            </w:pPr>
            <w:r>
              <w:rPr>
                <w:rFonts w:hint="eastAsia" w:ascii="宋体" w:hAnsi="宋体"/>
                <w:szCs w:val="21"/>
              </w:rPr>
              <w:t>蔡建雄</w:t>
            </w:r>
          </w:p>
        </w:tc>
        <w:tc>
          <w:tcPr>
            <w:tcW w:w="3988" w:type="dxa"/>
            <w:vAlign w:val="center"/>
          </w:tcPr>
          <w:p>
            <w:pPr>
              <w:adjustRightInd w:val="0"/>
              <w:snapToGrid w:val="0"/>
              <w:jc w:val="left"/>
              <w:rPr>
                <w:rFonts w:ascii="宋体" w:hAnsi="宋体" w:cs="宋体"/>
                <w:bCs/>
                <w:kern w:val="0"/>
                <w:szCs w:val="21"/>
              </w:rPr>
            </w:pPr>
            <w:r>
              <w:rPr>
                <w:rFonts w:hint="eastAsia" w:ascii="宋体" w:hAnsi="宋体"/>
                <w:szCs w:val="21"/>
              </w:rPr>
              <w:t>0731-84172390-201/15573193555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4558" w:type="dxa"/>
            <w:vAlign w:val="center"/>
          </w:tcPr>
          <w:p>
            <w:pPr>
              <w:rPr>
                <w:rFonts w:ascii="宋体" w:hAnsi="宋体" w:cs="宋体"/>
                <w:szCs w:val="21"/>
              </w:rPr>
            </w:pPr>
            <w:r>
              <w:rPr>
                <w:rFonts w:hint="eastAsia" w:ascii="宋体" w:hAnsi="宋体"/>
                <w:szCs w:val="21"/>
              </w:rPr>
              <w:t>湖南农业信用担保有限公司</w:t>
            </w:r>
          </w:p>
        </w:tc>
        <w:tc>
          <w:tcPr>
            <w:tcW w:w="1139" w:type="dxa"/>
            <w:vAlign w:val="center"/>
          </w:tcPr>
          <w:p>
            <w:pPr>
              <w:adjustRightInd w:val="0"/>
              <w:snapToGrid w:val="0"/>
              <w:jc w:val="center"/>
              <w:rPr>
                <w:rFonts w:ascii="宋体" w:hAnsi="宋体"/>
                <w:szCs w:val="21"/>
              </w:rPr>
            </w:pPr>
            <w:r>
              <w:rPr>
                <w:rFonts w:hint="eastAsia" w:ascii="宋体" w:hAnsi="宋体"/>
                <w:szCs w:val="21"/>
              </w:rPr>
              <w:t>彭球</w:t>
            </w:r>
          </w:p>
          <w:p>
            <w:pPr>
              <w:adjustRightInd w:val="0"/>
              <w:snapToGrid w:val="0"/>
              <w:jc w:val="center"/>
              <w:rPr>
                <w:rFonts w:ascii="宋体" w:hAnsi="宋体" w:cs="宋体"/>
                <w:bCs/>
                <w:kern w:val="0"/>
                <w:szCs w:val="21"/>
              </w:rPr>
            </w:pPr>
            <w:r>
              <w:rPr>
                <w:rFonts w:hint="eastAsia" w:ascii="宋体" w:hAnsi="宋体"/>
                <w:szCs w:val="21"/>
              </w:rPr>
              <w:t>邓霞英</w:t>
            </w:r>
          </w:p>
        </w:tc>
        <w:tc>
          <w:tcPr>
            <w:tcW w:w="3988" w:type="dxa"/>
            <w:vAlign w:val="center"/>
          </w:tcPr>
          <w:p>
            <w:pPr>
              <w:adjustRightInd w:val="0"/>
              <w:snapToGrid w:val="0"/>
              <w:jc w:val="left"/>
              <w:rPr>
                <w:rFonts w:ascii="宋体" w:hAnsi="宋体" w:cs="宋体"/>
                <w:bCs/>
                <w:kern w:val="0"/>
                <w:szCs w:val="21"/>
              </w:rPr>
            </w:pPr>
            <w:r>
              <w:rPr>
                <w:rFonts w:hint="eastAsia" w:ascii="宋体" w:hAnsi="宋体"/>
                <w:szCs w:val="21"/>
              </w:rPr>
              <w:t>0731-89761702/13875980906 0731-89761706/13574125851</w:t>
            </w:r>
          </w:p>
        </w:tc>
      </w:tr>
    </w:tbl>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p>
    <w:p>
      <w:pPr>
        <w:adjustRightInd w:val="0"/>
        <w:snapToGrid w:val="0"/>
        <w:spacing w:line="360" w:lineRule="auto"/>
        <w:rPr>
          <w:rFonts w:ascii="黑体" w:hAnsi="宋体" w:eastAsia="黑体"/>
          <w:bCs/>
          <w:szCs w:val="21"/>
        </w:rPr>
      </w:pPr>
      <w:r>
        <w:rPr>
          <w:rFonts w:ascii="黑体" w:hAnsi="宋体" w:eastAsia="黑体"/>
          <w:bCs/>
          <w:szCs w:val="21"/>
        </w:rPr>
        <w:br w:type="page"/>
      </w:r>
      <w:r>
        <w:rPr>
          <w:rFonts w:hint="eastAsia" w:ascii="黑体" w:hAnsi="宋体" w:eastAsia="黑体"/>
          <w:bCs/>
          <w:szCs w:val="21"/>
        </w:rPr>
        <w:t>附页3</w:t>
      </w:r>
    </w:p>
    <w:p>
      <w:pPr>
        <w:adjustRightInd w:val="0"/>
        <w:snapToGrid w:val="0"/>
        <w:spacing w:line="360" w:lineRule="auto"/>
        <w:jc w:val="center"/>
        <w:rPr>
          <w:rFonts w:ascii="宋体" w:hAnsi="宋体" w:cs="宋体"/>
          <w:b/>
          <w:kern w:val="0"/>
          <w:szCs w:val="21"/>
        </w:rPr>
      </w:pPr>
      <w:r>
        <w:rPr>
          <w:rFonts w:hint="eastAsia" w:ascii="宋体" w:hAnsi="宋体" w:cs="宋体"/>
          <w:b/>
          <w:kern w:val="0"/>
          <w:sz w:val="28"/>
          <w:szCs w:val="28"/>
        </w:rPr>
        <w:t>政府采购履约担保函</w:t>
      </w:r>
    </w:p>
    <w:p>
      <w:pPr>
        <w:adjustRightInd w:val="0"/>
        <w:snapToGrid w:val="0"/>
        <w:spacing w:line="360" w:lineRule="auto"/>
        <w:ind w:firstLine="5040" w:firstLineChars="2400"/>
        <w:rPr>
          <w:rFonts w:ascii="宋体" w:hAnsi="宋体" w:cs="宋体"/>
          <w:b/>
          <w:kern w:val="0"/>
          <w:szCs w:val="21"/>
        </w:rPr>
      </w:pPr>
      <w:r>
        <w:rPr>
          <w:rFonts w:hint="eastAsia" w:ascii="宋体" w:hAnsi="宋体" w:cs="宋体"/>
          <w:kern w:val="0"/>
          <w:szCs w:val="21"/>
        </w:rPr>
        <w:t xml:space="preserve">              编号：</w:t>
      </w:r>
    </w:p>
    <w:p>
      <w:pPr>
        <w:adjustRightInd w:val="0"/>
        <w:snapToGrid w:val="0"/>
        <w:spacing w:line="360" w:lineRule="auto"/>
        <w:rPr>
          <w:rFonts w:ascii="宋体" w:hAnsi="宋体" w:cs="宋体"/>
          <w:kern w:val="0"/>
          <w:szCs w:val="21"/>
        </w:rPr>
      </w:pPr>
      <w:r>
        <w:rPr>
          <w:rFonts w:hint="eastAsia" w:ascii="宋体" w:hAnsi="宋体" w:cs="宋体"/>
          <w:kern w:val="0"/>
          <w:szCs w:val="21"/>
        </w:rPr>
        <w:t xml:space="preserve">（采购人）： </w:t>
      </w:r>
    </w:p>
    <w:p>
      <w:pPr>
        <w:adjustRightInd w:val="0"/>
        <w:snapToGrid w:val="0"/>
        <w:spacing w:line="360" w:lineRule="auto"/>
        <w:ind w:firstLine="420" w:firstLineChars="200"/>
        <w:rPr>
          <w:rFonts w:ascii="宋体" w:hAnsi="宋体" w:cs="宋体"/>
          <w:kern w:val="0"/>
          <w:szCs w:val="21"/>
        </w:rPr>
      </w:pPr>
      <w:bookmarkStart w:id="24" w:name="_Hlk100240747"/>
      <w:r>
        <w:rPr>
          <w:rFonts w:hint="eastAsia" w:ascii="宋体" w:hAnsi="宋体" w:cs="宋体"/>
          <w:kern w:val="0"/>
          <w:szCs w:val="21"/>
        </w:rPr>
        <w:t>鉴于你方与_</w:t>
      </w:r>
      <w:r>
        <w:rPr>
          <w:rFonts w:ascii="宋体" w:hAnsi="宋体" w:cs="宋体"/>
          <w:kern w:val="0"/>
          <w:szCs w:val="21"/>
        </w:rPr>
        <w:t>_______________</w:t>
      </w:r>
      <w:r>
        <w:rPr>
          <w:rFonts w:hint="eastAsia" w:ascii="宋体" w:hAnsi="宋体" w:cs="宋体"/>
          <w:kern w:val="0"/>
          <w:szCs w:val="21"/>
        </w:rPr>
        <w:t>（以下简称供应商）于_</w:t>
      </w:r>
      <w:r>
        <w:rPr>
          <w:rFonts w:ascii="宋体" w:hAnsi="宋体" w:cs="宋体"/>
          <w:kern w:val="0"/>
          <w:szCs w:val="21"/>
        </w:rPr>
        <w:t>_____</w:t>
      </w:r>
      <w:r>
        <w:rPr>
          <w:rFonts w:hint="eastAsia" w:ascii="宋体" w:hAnsi="宋体" w:cs="宋体"/>
          <w:kern w:val="0"/>
          <w:szCs w:val="21"/>
        </w:rPr>
        <w:t>年_</w:t>
      </w:r>
      <w:r>
        <w:rPr>
          <w:rFonts w:ascii="宋体" w:hAnsi="宋体" w:cs="宋体"/>
          <w:kern w:val="0"/>
          <w:szCs w:val="21"/>
        </w:rPr>
        <w:t>__</w:t>
      </w:r>
      <w:r>
        <w:rPr>
          <w:rFonts w:hint="eastAsia" w:ascii="宋体" w:hAnsi="宋体" w:cs="宋体"/>
          <w:kern w:val="0"/>
          <w:szCs w:val="21"/>
        </w:rPr>
        <w:t>月_</w:t>
      </w:r>
      <w:r>
        <w:rPr>
          <w:rFonts w:ascii="宋体" w:hAnsi="宋体" w:cs="宋体"/>
          <w:kern w:val="0"/>
          <w:szCs w:val="21"/>
        </w:rPr>
        <w:t>__</w:t>
      </w:r>
      <w:r>
        <w:rPr>
          <w:rFonts w:hint="eastAsia" w:ascii="宋体" w:hAnsi="宋体" w:cs="宋体"/>
          <w:kern w:val="0"/>
          <w:szCs w:val="21"/>
        </w:rPr>
        <w:t>日签定编号_</w:t>
      </w:r>
      <w:r>
        <w:rPr>
          <w:rFonts w:ascii="宋体" w:hAnsi="宋体" w:cs="宋体"/>
          <w:kern w:val="0"/>
          <w:szCs w:val="21"/>
        </w:rPr>
        <w:t>_______</w:t>
      </w:r>
      <w:r>
        <w:rPr>
          <w:rFonts w:hint="eastAsia" w:ascii="宋体" w:hAnsi="宋体" w:cs="宋体"/>
          <w:kern w:val="0"/>
          <w:szCs w:val="21"/>
        </w:rPr>
        <w:t>为的《政府采购合同》（以下简称主合同），且依据该合同的约定，供应商应当在_</w:t>
      </w:r>
      <w:r>
        <w:rPr>
          <w:rFonts w:ascii="宋体" w:hAnsi="宋体" w:cs="宋体"/>
          <w:kern w:val="0"/>
          <w:szCs w:val="21"/>
        </w:rPr>
        <w:t>___</w:t>
      </w:r>
      <w:r>
        <w:rPr>
          <w:rFonts w:hint="eastAsia" w:ascii="宋体" w:hAnsi="宋体" w:cs="宋体"/>
          <w:kern w:val="0"/>
          <w:szCs w:val="21"/>
        </w:rPr>
        <w:t>_</w:t>
      </w:r>
      <w:r>
        <w:rPr>
          <w:rFonts w:ascii="宋体" w:hAnsi="宋体" w:cs="宋体"/>
          <w:kern w:val="0"/>
          <w:szCs w:val="21"/>
        </w:rPr>
        <w:t>_</w:t>
      </w:r>
      <w:r>
        <w:rPr>
          <w:rFonts w:hint="eastAsia" w:ascii="宋体" w:hAnsi="宋体" w:cs="宋体"/>
          <w:kern w:val="0"/>
          <w:szCs w:val="21"/>
        </w:rPr>
        <w:t>年_</w:t>
      </w:r>
      <w:r>
        <w:rPr>
          <w:rFonts w:ascii="宋体" w:hAnsi="宋体" w:cs="宋体"/>
          <w:kern w:val="0"/>
          <w:szCs w:val="21"/>
        </w:rPr>
        <w:t>__</w:t>
      </w:r>
      <w:r>
        <w:rPr>
          <w:rFonts w:hint="eastAsia" w:ascii="宋体" w:hAnsi="宋体" w:cs="宋体"/>
          <w:kern w:val="0"/>
          <w:szCs w:val="21"/>
        </w:rPr>
        <w:t>月_</w:t>
      </w:r>
      <w:r>
        <w:rPr>
          <w:rFonts w:ascii="宋体" w:hAnsi="宋体" w:cs="宋体"/>
          <w:kern w:val="0"/>
          <w:szCs w:val="21"/>
        </w:rPr>
        <w:t>__</w:t>
      </w:r>
      <w:r>
        <w:rPr>
          <w:rFonts w:hint="eastAsia" w:ascii="宋体" w:hAnsi="宋体" w:cs="宋体"/>
          <w:kern w:val="0"/>
          <w:szCs w:val="21"/>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一、保证责任的情形及保证金额</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（一）在供应商出现下列情形之一时，我方承担保证责任：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1．将中标项目转让给他人，或者在投标文件中未说明，且未经采购人同意，将中标项目分包给他人的；</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2．主合同约定的应当缴纳履约保证金的情形： </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（1）未按主合同约定的质量、数量和期限供应货物/提供服务/完成工程的； </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（2）_</w:t>
      </w:r>
      <w:r>
        <w:rPr>
          <w:rFonts w:ascii="宋体" w:hAnsi="宋体" w:cs="宋体"/>
          <w:kern w:val="0"/>
          <w:szCs w:val="21"/>
        </w:rPr>
        <w:t>_______________________________________________________</w:t>
      </w:r>
      <w:r>
        <w:rPr>
          <w:rFonts w:hint="eastAsia" w:ascii="宋体" w:hAnsi="宋体" w:cs="宋体"/>
          <w:kern w:val="0"/>
          <w:szCs w:val="21"/>
        </w:rPr>
        <w:t>。</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（二）我方的保证范围是主合同约定的合同价款总额的_</w:t>
      </w:r>
      <w:r>
        <w:rPr>
          <w:rFonts w:ascii="宋体" w:hAnsi="宋体" w:cs="宋体"/>
          <w:kern w:val="0"/>
          <w:szCs w:val="21"/>
        </w:rPr>
        <w:t>_</w:t>
      </w:r>
      <w:r>
        <w:rPr>
          <w:rFonts w:hint="eastAsia" w:ascii="宋体" w:hAnsi="宋体" w:cs="宋体"/>
          <w:kern w:val="0"/>
          <w:szCs w:val="21"/>
        </w:rPr>
        <w:t>%数额为_</w:t>
      </w:r>
      <w:r>
        <w:rPr>
          <w:rFonts w:ascii="宋体" w:hAnsi="宋体" w:cs="宋体"/>
          <w:kern w:val="0"/>
          <w:szCs w:val="21"/>
        </w:rPr>
        <w:t>____</w:t>
      </w:r>
      <w:r>
        <w:rPr>
          <w:rFonts w:hint="eastAsia" w:ascii="宋体" w:hAnsi="宋体" w:cs="宋体"/>
          <w:kern w:val="0"/>
          <w:szCs w:val="21"/>
        </w:rPr>
        <w:t>元（大写），币种为_</w:t>
      </w:r>
      <w:r>
        <w:rPr>
          <w:rFonts w:ascii="宋体" w:hAnsi="宋体" w:cs="宋体"/>
          <w:kern w:val="0"/>
          <w:szCs w:val="21"/>
        </w:rPr>
        <w:t>_____</w:t>
      </w:r>
      <w:r>
        <w:rPr>
          <w:rFonts w:hint="eastAsia" w:ascii="宋体" w:hAnsi="宋体" w:cs="宋体"/>
          <w:kern w:val="0"/>
          <w:szCs w:val="21"/>
        </w:rPr>
        <w:t>。（即主合同履约保证金金额）</w:t>
      </w:r>
    </w:p>
    <w:bookmarkEnd w:id="24"/>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二、保证的方式及保证期间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我方保证的方式为：连带责任保证。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我方保证的期间为：自本合同生效之日起至供应商按照主合同约定的供货/完工期限届满后日内。</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三、承担保证责任的程序</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1．你方要求我方承担保证责任的，应当在本保函保证期间内向我方发出书面索赔通知。索赔通知应当写明要求索赔的金额，支付款项应当到达的账号。并附有证明供应商违约事实的证明材料。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2．我方收到你方的书面索赔通知及相应证明材料，在工作日内进行核定后按照本保函的承诺承担保证责任。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四、保证责任的终止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3．按照法律法规的规定或出现应当终止我方保证责任的其它情形的，我方在本保函项下的保证责任亦终止。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五、免责条款</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1．因你方违反主合同约定致使供应商不能履行义务的，我方不承担保证责任。</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2．依照法律法规的规定或你方与供应商的另行约定，全部或者部分免除供应商应当缴纳的保证金义务的，我方亦免除相应的保证责任。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3．因不可抗力造成供应商不能履行供货义务的，我方不承担保证责任。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六、争议的解决</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因本保函发生的纠纷，由你我双方协商解决，协商不成的，通过诉讼程序解决，诉讼管辖地法院为法院。</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七、保函的生效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本保函自我方加盖公章之日起生效。 </w:t>
      </w:r>
    </w:p>
    <w:p>
      <w:pPr>
        <w:adjustRightInd w:val="0"/>
        <w:snapToGrid w:val="0"/>
        <w:spacing w:line="360" w:lineRule="auto"/>
        <w:rPr>
          <w:rFonts w:ascii="宋体" w:hAnsi="宋体" w:cs="宋体"/>
          <w:kern w:val="0"/>
          <w:szCs w:val="21"/>
        </w:rPr>
      </w:pPr>
      <w:r>
        <w:rPr>
          <w:rFonts w:hint="eastAsia" w:ascii="宋体" w:hAnsi="宋体" w:cs="宋体"/>
          <w:kern w:val="0"/>
          <w:szCs w:val="21"/>
        </w:rPr>
        <w:t xml:space="preserve">                                                                   保证人：（公章） </w:t>
      </w:r>
    </w:p>
    <w:p>
      <w:pPr>
        <w:adjustRightInd w:val="0"/>
        <w:snapToGrid w:val="0"/>
        <w:spacing w:line="360" w:lineRule="auto"/>
        <w:rPr>
          <w:rFonts w:ascii="宋体" w:hAnsi="宋体" w:cs="宋体"/>
          <w:kern w:val="0"/>
          <w:szCs w:val="21"/>
        </w:rPr>
      </w:pPr>
      <w:r>
        <w:rPr>
          <w:rFonts w:hint="eastAsia" w:ascii="宋体" w:hAnsi="宋体" w:cs="宋体"/>
          <w:kern w:val="0"/>
          <w:szCs w:val="21"/>
        </w:rPr>
        <w:t xml:space="preserve"> 年月 日</w:t>
      </w:r>
    </w:p>
    <w:p>
      <w:pPr>
        <w:adjustRightInd w:val="0"/>
        <w:snapToGrid w:val="0"/>
        <w:spacing w:line="360" w:lineRule="auto"/>
        <w:rPr>
          <w:rFonts w:ascii="宋体" w:hAnsi="宋体" w:cs="宋体"/>
          <w:kern w:val="0"/>
          <w:szCs w:val="21"/>
        </w:rPr>
      </w:pPr>
    </w:p>
    <w:p>
      <w:pPr>
        <w:pStyle w:val="25"/>
        <w:spacing w:line="360" w:lineRule="auto"/>
        <w:jc w:val="center"/>
        <w:outlineLvl w:val="1"/>
        <w:rPr>
          <w:rFonts w:ascii="Times New Roman" w:hAnsi="Times New Roman"/>
          <w:b/>
        </w:rPr>
        <w:sectPr>
          <w:pgSz w:w="11906" w:h="16838"/>
          <w:pgMar w:top="1304" w:right="1247" w:bottom="1134" w:left="1304" w:header="850" w:footer="850" w:gutter="0"/>
          <w:cols w:space="720" w:num="1"/>
          <w:titlePg/>
          <w:docGrid w:linePitch="319" w:charSpace="0"/>
        </w:sectPr>
      </w:pPr>
    </w:p>
    <w:p>
      <w:pPr>
        <w:pStyle w:val="25"/>
        <w:spacing w:before="240" w:beforeLines="100" w:after="240" w:afterLines="100" w:line="360" w:lineRule="auto"/>
        <w:jc w:val="center"/>
        <w:outlineLvl w:val="1"/>
        <w:rPr>
          <w:rFonts w:hAnsi="宋体" w:cs="宋体"/>
          <w:b/>
          <w:bCs/>
          <w:kern w:val="44"/>
          <w:sz w:val="28"/>
          <w:szCs w:val="28"/>
        </w:rPr>
      </w:pPr>
      <w:bookmarkStart w:id="25" w:name="_Toc529050584"/>
      <w:bookmarkStart w:id="26" w:name="_Toc21647439"/>
      <w:r>
        <w:rPr>
          <w:rFonts w:hint="eastAsia" w:hAnsi="宋体" w:cs="宋体"/>
          <w:b/>
          <w:bCs/>
          <w:kern w:val="44"/>
          <w:sz w:val="28"/>
          <w:szCs w:val="28"/>
        </w:rPr>
        <w:t>第三章　评标方法及标准</w:t>
      </w:r>
      <w:bookmarkEnd w:id="12"/>
      <w:bookmarkEnd w:id="25"/>
      <w:bookmarkEnd w:id="26"/>
    </w:p>
    <w:p>
      <w:pPr>
        <w:pStyle w:val="25"/>
        <w:spacing w:line="380" w:lineRule="exact"/>
        <w:ind w:firstLine="420" w:firstLineChars="200"/>
        <w:rPr>
          <w:rFonts w:hAnsi="宋体" w:cs="宋体"/>
        </w:rPr>
      </w:pPr>
      <w:bookmarkStart w:id="27" w:name="_Toc17987"/>
      <w:r>
        <w:rPr>
          <w:rFonts w:hint="eastAsia" w:hAnsi="宋体" w:cs="宋体"/>
        </w:rPr>
        <w:t>1、本项目评标采用“综合评分法”。</w:t>
      </w:r>
    </w:p>
    <w:p>
      <w:pPr>
        <w:pStyle w:val="25"/>
        <w:spacing w:line="380" w:lineRule="exact"/>
        <w:ind w:firstLine="420" w:firstLineChars="200"/>
        <w:rPr>
          <w:rFonts w:hAnsi="宋体" w:cs="宋体"/>
        </w:rPr>
      </w:pPr>
      <w:r>
        <w:rPr>
          <w:rFonts w:hint="eastAsia" w:hAnsi="宋体" w:cs="宋体"/>
        </w:rPr>
        <w:t>2、评审因素见附表1和附表2。</w:t>
      </w:r>
    </w:p>
    <w:p>
      <w:pPr>
        <w:pStyle w:val="25"/>
        <w:spacing w:line="380" w:lineRule="exact"/>
        <w:ind w:firstLine="420" w:firstLineChars="200"/>
        <w:rPr>
          <w:rFonts w:hAnsi="宋体" w:cs="宋体"/>
        </w:rPr>
      </w:pPr>
      <w:r>
        <w:rPr>
          <w:rFonts w:hint="eastAsia" w:hAnsi="宋体" w:cs="宋体"/>
        </w:rPr>
        <w:t>3、计算方法如下：</w:t>
      </w:r>
    </w:p>
    <w:p>
      <w:pPr>
        <w:pStyle w:val="25"/>
        <w:spacing w:line="380" w:lineRule="exact"/>
        <w:ind w:firstLine="420" w:firstLineChars="200"/>
        <w:rPr>
          <w:rFonts w:hAnsi="宋体" w:cs="宋体"/>
        </w:rPr>
      </w:pPr>
      <w:r>
        <w:rPr>
          <w:rFonts w:hint="eastAsia" w:hAnsi="宋体" w:cs="宋体"/>
        </w:rPr>
        <w:t>评标总得分＝</w:t>
      </w:r>
      <w:r>
        <w:rPr>
          <w:rFonts w:hint="eastAsia" w:hAnsi="宋体" w:cs="宋体"/>
          <w:i/>
        </w:rPr>
        <w:t>F</w:t>
      </w:r>
      <w:r>
        <w:rPr>
          <w:rFonts w:hint="eastAsia" w:hAnsi="宋体" w:cs="宋体"/>
          <w:vertAlign w:val="subscript"/>
        </w:rPr>
        <w:t>1</w:t>
      </w:r>
      <w:r>
        <w:rPr>
          <w:rFonts w:hint="eastAsia" w:hAnsi="宋体" w:cs="宋体"/>
        </w:rPr>
        <w:t>＋</w:t>
      </w:r>
      <w:r>
        <w:rPr>
          <w:rFonts w:hint="eastAsia" w:hAnsi="宋体" w:cs="宋体"/>
          <w:i/>
        </w:rPr>
        <w:t>F</w:t>
      </w:r>
      <w:r>
        <w:rPr>
          <w:rFonts w:hint="eastAsia" w:hAnsi="宋体" w:cs="宋体"/>
          <w:vertAlign w:val="subscript"/>
        </w:rPr>
        <w:t>2</w:t>
      </w:r>
      <w:r>
        <w:rPr>
          <w:rFonts w:hint="eastAsia" w:hAnsi="宋体" w:cs="宋体"/>
        </w:rPr>
        <w:t>＋…＋</w:t>
      </w:r>
      <w:r>
        <w:rPr>
          <w:rFonts w:hint="eastAsia" w:hAnsi="宋体" w:cs="宋体"/>
          <w:i/>
        </w:rPr>
        <w:t>F</w:t>
      </w:r>
      <w:r>
        <w:rPr>
          <w:rFonts w:hint="eastAsia" w:hAnsi="宋体" w:cs="宋体"/>
          <w:i/>
          <w:vertAlign w:val="subscript"/>
        </w:rPr>
        <w:t>n</w:t>
      </w:r>
    </w:p>
    <w:p>
      <w:pPr>
        <w:pStyle w:val="25"/>
        <w:spacing w:line="380" w:lineRule="exact"/>
        <w:ind w:firstLine="420" w:firstLineChars="200"/>
        <w:rPr>
          <w:rFonts w:hAnsi="宋体" w:cs="宋体"/>
        </w:rPr>
      </w:pPr>
      <w:r>
        <w:rPr>
          <w:rFonts w:hint="eastAsia" w:hAnsi="宋体" w:cs="宋体"/>
          <w:i/>
        </w:rPr>
        <w:t>F</w:t>
      </w:r>
      <w:r>
        <w:rPr>
          <w:rFonts w:hint="eastAsia" w:hAnsi="宋体" w:cs="宋体"/>
          <w:vertAlign w:val="subscript"/>
        </w:rPr>
        <w:t>1</w:t>
      </w:r>
      <w:r>
        <w:rPr>
          <w:rFonts w:hint="eastAsia" w:hAnsi="宋体" w:cs="宋体"/>
        </w:rPr>
        <w:t>，</w:t>
      </w:r>
      <w:r>
        <w:rPr>
          <w:rFonts w:hint="eastAsia" w:hAnsi="宋体" w:cs="宋体"/>
          <w:i/>
        </w:rPr>
        <w:t>F</w:t>
      </w:r>
      <w:r>
        <w:rPr>
          <w:rFonts w:hint="eastAsia" w:hAnsi="宋体" w:cs="宋体"/>
          <w:vertAlign w:val="subscript"/>
        </w:rPr>
        <w:t>2</w:t>
      </w:r>
      <w:r>
        <w:rPr>
          <w:rFonts w:hint="eastAsia" w:hAnsi="宋体" w:cs="宋体"/>
        </w:rPr>
        <w:t>，…，</w:t>
      </w:r>
      <w:r>
        <w:rPr>
          <w:rFonts w:hint="eastAsia" w:hAnsi="宋体" w:cs="宋体"/>
          <w:i/>
        </w:rPr>
        <w:t>F</w:t>
      </w:r>
      <w:r>
        <w:rPr>
          <w:rFonts w:hint="eastAsia" w:hAnsi="宋体" w:cs="宋体"/>
          <w:i/>
          <w:vertAlign w:val="subscript"/>
        </w:rPr>
        <w:t>n</w:t>
      </w:r>
      <w:r>
        <w:rPr>
          <w:rFonts w:hint="eastAsia" w:hAnsi="宋体" w:cs="宋体"/>
        </w:rPr>
        <w:t>分别为各项评分因素的汇总得分</w:t>
      </w:r>
    </w:p>
    <w:p>
      <w:pPr>
        <w:pStyle w:val="25"/>
        <w:spacing w:line="380" w:lineRule="exact"/>
        <w:ind w:firstLine="420" w:firstLineChars="200"/>
        <w:rPr>
          <w:rFonts w:hAnsi="宋体" w:cs="宋体"/>
        </w:rPr>
      </w:pPr>
      <w:r>
        <w:rPr>
          <w:rFonts w:hint="eastAsia" w:hAnsi="宋体" w:cs="宋体"/>
        </w:rPr>
        <w:t>评审计分计算到小数点后两位</w:t>
      </w:r>
    </w:p>
    <w:p>
      <w:pPr>
        <w:pStyle w:val="25"/>
        <w:spacing w:line="380" w:lineRule="exact"/>
        <w:ind w:firstLine="420" w:firstLineChars="200"/>
        <w:rPr>
          <w:rFonts w:hAnsi="宋体" w:cs="宋体"/>
        </w:rPr>
      </w:pPr>
      <w:r>
        <w:rPr>
          <w:rFonts w:hAnsi="宋体" w:cs="宋体"/>
        </w:rPr>
        <w:t>4</w:t>
      </w:r>
      <w:r>
        <w:rPr>
          <w:rFonts w:hint="eastAsia" w:hAnsi="宋体" w:cs="宋体"/>
        </w:rPr>
        <w:t>、符合性审查相关要求详见投标人须知26.1。</w:t>
      </w:r>
    </w:p>
    <w:p>
      <w:pPr>
        <w:pStyle w:val="25"/>
        <w:spacing w:line="380" w:lineRule="exact"/>
        <w:ind w:firstLine="420" w:firstLineChars="200"/>
        <w:rPr>
          <w:rFonts w:hAnsi="宋体" w:cs="宋体"/>
        </w:rPr>
      </w:pPr>
      <w:r>
        <w:rPr>
          <w:rFonts w:hAnsi="宋体" w:cs="宋体"/>
        </w:rPr>
        <w:t>5</w:t>
      </w:r>
      <w:r>
        <w:rPr>
          <w:rFonts w:hint="eastAsia" w:hAnsi="宋体" w:cs="宋体"/>
        </w:rPr>
        <w:t>、核价原则详见投标人须知26.2。</w:t>
      </w:r>
    </w:p>
    <w:p>
      <w:pPr>
        <w:pStyle w:val="25"/>
        <w:spacing w:line="380" w:lineRule="exact"/>
        <w:ind w:firstLine="420" w:firstLineChars="200"/>
        <w:rPr>
          <w:rFonts w:hAnsi="宋体" w:cs="宋体"/>
        </w:rPr>
      </w:pPr>
      <w:r>
        <w:rPr>
          <w:rFonts w:hAnsi="宋体" w:cs="宋体"/>
        </w:rPr>
        <w:t>6</w:t>
      </w:r>
      <w:r>
        <w:rPr>
          <w:rFonts w:hint="eastAsia" w:hAnsi="宋体" w:cs="宋体"/>
        </w:rPr>
        <w:t>、价格扣除原则：</w:t>
      </w:r>
    </w:p>
    <w:p>
      <w:pPr>
        <w:pStyle w:val="25"/>
        <w:spacing w:line="380" w:lineRule="exact"/>
        <w:ind w:firstLine="420" w:firstLineChars="200"/>
        <w:rPr>
          <w:rFonts w:hAnsi="宋体" w:cs="宋体"/>
        </w:rPr>
      </w:pPr>
      <w:r>
        <w:rPr>
          <w:rFonts w:hint="eastAsia" w:hAnsi="宋体" w:cs="宋体"/>
        </w:rPr>
        <w:t>①节能产品：供应商所投产品中，如有符合政策的节能产品的，对节能产品在评审时按投标人须知前附表的规定对其投标价格给予价格扣除或在评审时予以加分。供应商须在投标文件中同时提供有效期内的“节能产品政府采购品目清单”及国家确定的认证机构出具的、处于有效期之内的节能产品认证证书的复印件</w:t>
      </w:r>
      <w:r>
        <w:rPr>
          <w:rFonts w:hAnsi="宋体" w:cs="宋体"/>
        </w:rPr>
        <w:t>（</w:t>
      </w:r>
      <w:r>
        <w:rPr>
          <w:rFonts w:hint="eastAsia" w:hAnsi="宋体" w:cs="宋体"/>
        </w:rPr>
        <w:t>需要加盖供应商公章</w:t>
      </w:r>
      <w:r>
        <w:rPr>
          <w:rFonts w:hAnsi="宋体" w:cs="宋体"/>
        </w:rPr>
        <w:t>）</w:t>
      </w:r>
      <w:r>
        <w:rPr>
          <w:rFonts w:hint="eastAsia" w:hAnsi="宋体" w:cs="宋体"/>
        </w:rPr>
        <w:t>，否则在评审时将不给予价格扣除或加分。</w:t>
      </w:r>
    </w:p>
    <w:p>
      <w:pPr>
        <w:pStyle w:val="25"/>
        <w:spacing w:line="380" w:lineRule="exact"/>
        <w:ind w:firstLine="420" w:firstLineChars="200"/>
        <w:rPr>
          <w:rFonts w:hAnsi="宋体" w:cs="宋体"/>
        </w:rPr>
      </w:pPr>
      <w:r>
        <w:rPr>
          <w:rFonts w:hint="eastAsia" w:hAnsi="宋体" w:cs="宋体"/>
        </w:rPr>
        <w:t>②环境标志产品：供应商所投产品中，如有符合政策的环境标志产品的，对环境标志产品在评审时按投标人须知前附表的规定对其投标价格给予价格扣除或在评审时予以加分。供应商须在投标文件中同时提供有效期内的“环境标志产品政府采购品目清单”及国家确定的认证机构出具的、处于有效期之内的环境标志产品认证证书的复印件</w:t>
      </w:r>
      <w:r>
        <w:rPr>
          <w:rFonts w:hAnsi="宋体" w:cs="宋体"/>
        </w:rPr>
        <w:t>（</w:t>
      </w:r>
      <w:r>
        <w:rPr>
          <w:rFonts w:hint="eastAsia" w:hAnsi="宋体" w:cs="宋体"/>
        </w:rPr>
        <w:t>需要加盖供应商公章</w:t>
      </w:r>
      <w:r>
        <w:rPr>
          <w:rFonts w:hAnsi="宋体" w:cs="宋体"/>
        </w:rPr>
        <w:t>）</w:t>
      </w:r>
      <w:r>
        <w:rPr>
          <w:rFonts w:hint="eastAsia" w:hAnsi="宋体" w:cs="宋体"/>
        </w:rPr>
        <w:t>，否则在评审时将不给予价格扣除或加分。</w:t>
      </w:r>
    </w:p>
    <w:p>
      <w:pPr>
        <w:pStyle w:val="25"/>
        <w:spacing w:line="380" w:lineRule="exact"/>
        <w:ind w:firstLine="420" w:firstLineChars="200"/>
        <w:rPr>
          <w:rFonts w:hAnsi="宋体" w:cs="宋体"/>
        </w:rPr>
      </w:pPr>
      <w:r>
        <w:rPr>
          <w:rFonts w:hint="eastAsia" w:hAnsi="宋体" w:cs="宋体"/>
        </w:rPr>
        <w:t>③对小型或微型企业以及监狱企业、符合条件的残疾人福利性单位，在评审时按投标人须知前附表的规定对其投标价格给予价格扣除。供应商须在投标文件中提供《中小企业声明函》（格式见“第五章　投标文件格式”）及其要求的证明文件，监狱企业须在投标文件中提供相关证明文件，否则在评审时将不给予价格扣除。</w:t>
      </w:r>
    </w:p>
    <w:p>
      <w:pPr>
        <w:pStyle w:val="25"/>
        <w:spacing w:line="380" w:lineRule="exact"/>
        <w:ind w:firstLine="420" w:firstLineChars="200"/>
        <w:rPr>
          <w:rFonts w:hAnsi="宋体" w:cs="宋体"/>
        </w:rPr>
      </w:pPr>
      <w:r>
        <w:t>对于联合协议</w:t>
      </w:r>
      <w:r>
        <w:rPr>
          <w:rFonts w:hint="eastAsia" w:hAnsi="宋体" w:cs="宋体"/>
        </w:rPr>
        <w:t>（若项目允许联合体报价响应的情况下）</w:t>
      </w:r>
      <w:r>
        <w:t>或者分包意向协议</w:t>
      </w:r>
      <w:r>
        <w:rPr>
          <w:rFonts w:hint="eastAsia" w:hAnsi="宋体" w:cs="宋体"/>
        </w:rPr>
        <w:t>（若项目允许分包的情况下）</w:t>
      </w:r>
      <w:r>
        <w:t>约定小微企业的合同份额占到合同总金额30%以上的，对联合体或者大中型企业的报价给予2%-3%（工程项目为 1%—2%）的扣除，用扣除后的价格参加评审。</w:t>
      </w:r>
    </w:p>
    <w:p>
      <w:pPr>
        <w:pStyle w:val="25"/>
        <w:spacing w:line="380" w:lineRule="exact"/>
        <w:ind w:firstLine="420" w:firstLineChars="200"/>
        <w:rPr>
          <w:rFonts w:hAnsi="宋体" w:cs="宋体"/>
        </w:rPr>
      </w:pPr>
      <w:r>
        <w:rPr>
          <w:rFonts w:hint="eastAsia" w:hAnsi="宋体" w:cs="宋体"/>
        </w:rPr>
        <w:t>小型或微型企业应当符合以下条件：</w:t>
      </w:r>
    </w:p>
    <w:p>
      <w:pPr>
        <w:pStyle w:val="25"/>
        <w:spacing w:line="380" w:lineRule="exact"/>
        <w:ind w:firstLine="420" w:firstLineChars="200"/>
      </w:pPr>
      <w:r>
        <w:t>（</w:t>
      </w:r>
      <w:r>
        <w:rPr>
          <w:rFonts w:hint="eastAsia"/>
        </w:rPr>
        <w:t>1</w:t>
      </w:r>
      <w:r>
        <w:t>）在货物采购项目中，货物由中小企业制造，即货物由中小企业生产且使用该中小企业商号或者注册商标；</w:t>
      </w:r>
    </w:p>
    <w:p>
      <w:pPr>
        <w:pStyle w:val="25"/>
        <w:spacing w:line="380" w:lineRule="exact"/>
        <w:ind w:firstLine="420" w:firstLineChars="200"/>
      </w:pPr>
      <w:r>
        <w:t>（</w:t>
      </w:r>
      <w:r>
        <w:rPr>
          <w:rFonts w:hint="eastAsia"/>
        </w:rPr>
        <w:t>2</w:t>
      </w:r>
      <w:r>
        <w:t>）在工程采购项目中，工程由中小企业承建，即工程施工单位为中小企业；</w:t>
      </w:r>
    </w:p>
    <w:p>
      <w:pPr>
        <w:pStyle w:val="25"/>
        <w:spacing w:line="380" w:lineRule="exact"/>
        <w:ind w:firstLine="420" w:firstLineChars="200"/>
      </w:pPr>
      <w:r>
        <w:t>（</w:t>
      </w:r>
      <w:r>
        <w:rPr>
          <w:rFonts w:hint="eastAsia"/>
        </w:rPr>
        <w:t>3</w:t>
      </w:r>
      <w:r>
        <w:t>）在服务采购项目中，服务由中小企业承接，即提供服务的人员为中小企业依照《中华人民共和国劳动合同法》订立劳动合同的从业人员。</w:t>
      </w:r>
    </w:p>
    <w:p>
      <w:pPr>
        <w:pStyle w:val="25"/>
        <w:spacing w:line="380" w:lineRule="exact"/>
        <w:ind w:firstLine="420" w:firstLineChars="200"/>
      </w:pPr>
      <w:r>
        <w:t>在货物采购项目中，供应商提供的货物既有中小企业制造货物，也有大型企业制造货物的，不享受中小企业扶持政策。</w:t>
      </w:r>
    </w:p>
    <w:p>
      <w:pPr>
        <w:pStyle w:val="25"/>
        <w:spacing w:line="380" w:lineRule="exact"/>
        <w:ind w:firstLine="420" w:firstLineChars="200"/>
        <w:rPr>
          <w:rFonts w:hAnsi="宋体" w:cs="宋体"/>
        </w:rPr>
      </w:pPr>
      <w:r>
        <w:t>以联合体形式</w:t>
      </w:r>
      <w:r>
        <w:rPr>
          <w:rFonts w:hint="eastAsia" w:hAnsi="宋体" w:cs="宋体"/>
        </w:rPr>
        <w:t>（若项目允许联合体报价响应的情况下）</w:t>
      </w:r>
      <w:r>
        <w:t>参加政府采购活动，联合体各方均为中小企业的，联合体视同中小企业。其中，联合体各方均为小微企业的，联合体视同小微企业。</w:t>
      </w:r>
    </w:p>
    <w:p>
      <w:pPr>
        <w:pStyle w:val="25"/>
        <w:spacing w:line="380" w:lineRule="exact"/>
        <w:ind w:left="420"/>
        <w:rPr>
          <w:rFonts w:hAnsi="宋体" w:cs="宋体"/>
        </w:rPr>
      </w:pPr>
      <w:r>
        <w:rPr>
          <w:rFonts w:hint="eastAsia" w:hAnsi="宋体" w:cs="宋体"/>
        </w:rPr>
        <w:t>7、其他</w:t>
      </w:r>
    </w:p>
    <w:p>
      <w:pPr>
        <w:pStyle w:val="25"/>
        <w:spacing w:line="380" w:lineRule="exact"/>
        <w:ind w:firstLine="420" w:firstLineChars="200"/>
        <w:rPr>
          <w:rFonts w:hAnsi="宋体" w:cs="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（1）评分依据评标标准，对照投标文件进行。</w:t>
      </w:r>
      <w:r>
        <w:rPr>
          <w:rFonts w:hint="eastAsia" w:hAnsi="宋体" w:cs="宋体"/>
          <w:b/>
          <w:color w:val="000000" w:themeColor="text1"/>
          <w14:textFill>
            <w14:solidFill>
              <w14:schemeClr w14:val="tx1"/>
            </w14:solidFill>
          </w14:textFill>
        </w:rPr>
        <w:t>《评标因素和标准》如要求“投标时提供原件”的，须单独密封包装（注明项目名称、投标单位名称、列明原件名称及数量）随投标文件一同提交，经评标委员会核对后退还。</w:t>
      </w:r>
    </w:p>
    <w:p>
      <w:pPr>
        <w:pStyle w:val="25"/>
        <w:spacing w:line="380" w:lineRule="exact"/>
        <w:ind w:firstLine="420" w:firstLineChars="200"/>
        <w:rPr>
          <w:rFonts w:hAnsi="宋体" w:cs="宋体"/>
        </w:rPr>
      </w:pPr>
      <w:r>
        <w:rPr>
          <w:rFonts w:hint="eastAsia" w:hAnsi="宋体" w:cs="宋体"/>
        </w:rPr>
        <w:t>（2）投标人参与政府采购应当提供真实有效的证明材料，应当诚信守法、公平竞争。如有以提供虚假材料（包括但不限于虚假技术参数响应、虚假制造商产品样本彩页、虚假业绩、虚假证书等）、隐瞒失信信息等谋取中标的行为，一经发现，将报行政监管部门严肃查处。</w:t>
      </w:r>
    </w:p>
    <w:p>
      <w:pPr>
        <w:pStyle w:val="25"/>
        <w:spacing w:line="380" w:lineRule="exact"/>
        <w:ind w:firstLine="420" w:firstLineChars="200"/>
        <w:rPr>
          <w:rFonts w:hAnsi="宋体" w:cs="宋体"/>
        </w:rPr>
      </w:pPr>
    </w:p>
    <w:p>
      <w:pPr>
        <w:pStyle w:val="25"/>
        <w:spacing w:line="540" w:lineRule="exact"/>
        <w:rPr>
          <w:rFonts w:hAnsi="宋体" w:cs="宋体"/>
          <w:b/>
          <w:bCs/>
          <w:sz w:val="25"/>
          <w:szCs w:val="25"/>
        </w:rPr>
        <w:sectPr>
          <w:headerReference r:id="rId10" w:type="first"/>
          <w:pgSz w:w="11906" w:h="16838"/>
          <w:pgMar w:top="1304" w:right="1247" w:bottom="1134" w:left="1304" w:header="850" w:footer="850" w:gutter="0"/>
          <w:cols w:space="720" w:num="1"/>
          <w:titlePg/>
          <w:docGrid w:linePitch="319" w:charSpace="0"/>
        </w:sectPr>
      </w:pPr>
    </w:p>
    <w:p>
      <w:pPr>
        <w:pStyle w:val="25"/>
        <w:spacing w:line="540" w:lineRule="exact"/>
        <w:rPr>
          <w:rFonts w:hAnsi="宋体" w:cs="宋体"/>
          <w:b/>
          <w:bCs/>
          <w:sz w:val="25"/>
          <w:szCs w:val="25"/>
        </w:rPr>
      </w:pPr>
      <w:r>
        <w:rPr>
          <w:rFonts w:hint="eastAsia" w:hAnsi="宋体" w:cs="宋体"/>
          <w:b/>
          <w:bCs/>
          <w:sz w:val="25"/>
          <w:szCs w:val="25"/>
        </w:rPr>
        <w:t>附1</w:t>
      </w:r>
    </w:p>
    <w:p>
      <w:pPr>
        <w:pStyle w:val="25"/>
        <w:spacing w:line="540" w:lineRule="exact"/>
        <w:ind w:firstLine="502" w:firstLineChars="200"/>
        <w:jc w:val="center"/>
        <w:rPr>
          <w:rFonts w:hAnsi="宋体" w:cs="宋体"/>
          <w:b/>
          <w:bCs/>
          <w:sz w:val="25"/>
          <w:szCs w:val="25"/>
        </w:rPr>
      </w:pPr>
      <w:r>
        <w:rPr>
          <w:rFonts w:hint="eastAsia" w:hAnsi="宋体" w:cs="宋体"/>
          <w:b/>
          <w:bCs/>
          <w:sz w:val="25"/>
          <w:szCs w:val="25"/>
        </w:rPr>
        <w:t>评标因素和标准</w:t>
      </w:r>
    </w:p>
    <w:tbl>
      <w:tblPr>
        <w:tblStyle w:val="45"/>
        <w:tblW w:w="9498"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073"/>
        <w:gridCol w:w="770"/>
        <w:gridCol w:w="680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3" w:hRule="atLeast"/>
          <w:tblHeader/>
        </w:trPr>
        <w:tc>
          <w:tcPr>
            <w:tcW w:w="851" w:type="dxa"/>
            <w:vAlign w:val="center"/>
          </w:tcPr>
          <w:p>
            <w:pPr>
              <w:tabs>
                <w:tab w:val="left" w:pos="1988"/>
              </w:tabs>
              <w:spacing w:line="340" w:lineRule="exact"/>
              <w:contextualSpacing/>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类别</w:t>
            </w:r>
          </w:p>
        </w:tc>
        <w:tc>
          <w:tcPr>
            <w:tcW w:w="1073" w:type="dxa"/>
            <w:vAlign w:val="center"/>
          </w:tcPr>
          <w:p>
            <w:pPr>
              <w:tabs>
                <w:tab w:val="left" w:pos="1988"/>
              </w:tabs>
              <w:spacing w:line="340" w:lineRule="exact"/>
              <w:contextualSpacing/>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计分因素</w:t>
            </w:r>
          </w:p>
        </w:tc>
        <w:tc>
          <w:tcPr>
            <w:tcW w:w="770" w:type="dxa"/>
            <w:vAlign w:val="center"/>
          </w:tcPr>
          <w:p>
            <w:pPr>
              <w:tabs>
                <w:tab w:val="left" w:pos="1988"/>
              </w:tabs>
              <w:spacing w:line="340" w:lineRule="exact"/>
              <w:contextualSpacing/>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c>
          <w:tcPr>
            <w:tcW w:w="6804" w:type="dxa"/>
            <w:vAlign w:val="center"/>
          </w:tcPr>
          <w:p>
            <w:pPr>
              <w:tabs>
                <w:tab w:val="left" w:pos="1988"/>
              </w:tabs>
              <w:spacing w:line="340" w:lineRule="exact"/>
              <w:contextualSpacing/>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评分标准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851"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w:t>
            </w:r>
          </w:p>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投标价格</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p>
        </w:tc>
        <w:tc>
          <w:tcPr>
            <w:tcW w:w="6804" w:type="dxa"/>
          </w:tcPr>
          <w:p>
            <w:pPr>
              <w:spacing w:line="340" w:lineRule="exact"/>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以经评标委员会一致认定满足招标文件要求且投标价格最低的投标报价为评标基准价，其价格得分计满分。其他投标人的价格得分统一按公式计算：报价得分＝（评标基准价÷投标报价）×</w:t>
            </w:r>
            <w:r>
              <w:rPr>
                <w:rFonts w:ascii="宋体" w:hAnsi="宋体" w:cs="宋体"/>
                <w:color w:val="000000" w:themeColor="text1"/>
                <w:szCs w:val="21"/>
                <w14:textFill>
                  <w14:solidFill>
                    <w14:schemeClr w14:val="tx1"/>
                  </w14:solidFill>
                </w14:textFill>
              </w:rPr>
              <w:t>30</w:t>
            </w:r>
          </w:p>
          <w:p>
            <w:pPr>
              <w:spacing w:line="340" w:lineRule="exact"/>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注：中小企业价格分优惠办法详见“投标人须知前附表”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851" w:type="dxa"/>
            <w:vMerge w:val="restart"/>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w:t>
            </w:r>
          </w:p>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val="en-US" w:eastAsia="zh-CN"/>
                <w14:textFill>
                  <w14:solidFill>
                    <w14:schemeClr w14:val="tx1"/>
                  </w14:solidFill>
                </w14:textFill>
              </w:rPr>
              <w:t>6</w:t>
            </w:r>
            <w:bookmarkStart w:id="188" w:name="_GoBack"/>
            <w:bookmarkEnd w:id="188"/>
            <w:r>
              <w:rPr>
                <w:rFonts w:hint="eastAsia" w:ascii="宋体" w:hAnsi="宋体" w:cs="宋体"/>
                <w:color w:val="000000" w:themeColor="text1"/>
                <w:szCs w:val="21"/>
                <w14:textFill>
                  <w14:solidFill>
                    <w14:schemeClr w14:val="tx1"/>
                  </w14:solidFill>
                </w14:textFill>
              </w:rPr>
              <w:t>分）</w:t>
            </w:r>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响应程度</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p>
        </w:tc>
        <w:tc>
          <w:tcPr>
            <w:tcW w:w="6804" w:type="dxa"/>
            <w:vAlign w:val="center"/>
          </w:tcPr>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以招标文件“第六章 项目需求”为基准，完全满足招标文件技术指标的计</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分；缺漏或负偏离的，每项扣1分，扣完6分为止；没有提供《技术条款响应与偏离表》的，不计分。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62"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bookmarkStart w:id="28" w:name="_Hlk52263693"/>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需求理解</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6804" w:type="dxa"/>
            <w:vAlign w:val="center"/>
          </w:tcPr>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对投标人提供的需求分析中对项目系统背景、系统功能需求、系统性能需求、系统安全需求的认识和理解，对系统开发的难点、要点和重点分析及提出的解决方案进行综合评价打分：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对需求的认识理解准确深入，难点、重点分析透彻，提出的解决方案合理、可靠的，计</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对需求认识理解较准确但不够深入，难点、重点分析较透彻，提出的解决方案较合理的，计</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对需求的认识理解欠准确，难点、重点分析欠透彻，提出的解决方案合理性一般的，计</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未提供的，不计分。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403"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整体设计</w:t>
            </w:r>
            <w:r>
              <w:rPr>
                <w:rFonts w:ascii="宋体" w:hAnsi="宋体" w:cs="宋体"/>
                <w:color w:val="000000" w:themeColor="text1"/>
                <w:szCs w:val="21"/>
                <w14:textFill>
                  <w14:solidFill>
                    <w14:schemeClr w14:val="tx1"/>
                  </w14:solidFill>
                </w14:textFill>
              </w:rPr>
              <w:t>方案</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6804" w:type="dxa"/>
            <w:vAlign w:val="center"/>
          </w:tcPr>
          <w:p>
            <w:pPr>
              <w:spacing w:line="340" w:lineRule="exact"/>
              <w:contextualSpacing/>
              <w:rPr>
                <w:rFonts w:ascii="宋体" w:hAnsi="宋体" w:cs="华文中宋"/>
                <w:color w:val="000000" w:themeColor="text1"/>
                <w:szCs w:val="21"/>
                <w14:textFill>
                  <w14:solidFill>
                    <w14:schemeClr w14:val="tx1"/>
                  </w14:solidFill>
                </w14:textFill>
              </w:rPr>
            </w:pPr>
            <w:r>
              <w:rPr>
                <w:rFonts w:hint="eastAsia" w:ascii="宋体" w:hAnsi="宋体" w:cs="华文中宋"/>
                <w:color w:val="000000" w:themeColor="text1"/>
                <w:szCs w:val="21"/>
                <w14:textFill>
                  <w14:solidFill>
                    <w14:schemeClr w14:val="tx1"/>
                  </w14:solidFill>
                </w14:textFill>
              </w:rPr>
              <w:t>根据投标人整体设计方案中平台架构设计、功能设计、接口设计的完整性、合理性，以及关键技术设计的完整性、合规性、可实施性等内容进行综合评审计分：</w:t>
            </w:r>
          </w:p>
          <w:p>
            <w:pPr>
              <w:spacing w:line="340" w:lineRule="exact"/>
              <w:contextualSpacing/>
              <w:rPr>
                <w:rFonts w:ascii="宋体" w:hAnsi="宋体" w:cs="华文中宋"/>
                <w:color w:val="000000" w:themeColor="text1"/>
                <w:szCs w:val="21"/>
                <w14:textFill>
                  <w14:solidFill>
                    <w14:schemeClr w14:val="tx1"/>
                  </w14:solidFill>
                </w14:textFill>
              </w:rPr>
            </w:pPr>
            <w:r>
              <w:rPr>
                <w:rFonts w:hint="eastAsia" w:ascii="宋体" w:hAnsi="宋体" w:cs="华文中宋"/>
                <w:color w:val="000000" w:themeColor="text1"/>
                <w:szCs w:val="21"/>
                <w14:textFill>
                  <w14:solidFill>
                    <w14:schemeClr w14:val="tx1"/>
                  </w14:solidFill>
                </w14:textFill>
              </w:rPr>
              <w:t>方案科学合理、表述完整、可操作性强的，计</w:t>
            </w:r>
            <w:r>
              <w:rPr>
                <w:rFonts w:ascii="宋体" w:hAnsi="宋体" w:cs="华文中宋"/>
                <w:color w:val="000000" w:themeColor="text1"/>
                <w:szCs w:val="21"/>
                <w14:textFill>
                  <w14:solidFill>
                    <w14:schemeClr w14:val="tx1"/>
                  </w14:solidFill>
                </w14:textFill>
              </w:rPr>
              <w:t>5</w:t>
            </w:r>
            <w:r>
              <w:rPr>
                <w:rFonts w:hint="eastAsia" w:ascii="宋体" w:hAnsi="宋体" w:cs="华文中宋"/>
                <w:color w:val="000000" w:themeColor="text1"/>
                <w:szCs w:val="21"/>
                <w14:textFill>
                  <w14:solidFill>
                    <w14:schemeClr w14:val="tx1"/>
                  </w14:solidFill>
                </w14:textFill>
              </w:rPr>
              <w:t>分；</w:t>
            </w:r>
          </w:p>
          <w:p>
            <w:pPr>
              <w:spacing w:line="340" w:lineRule="exact"/>
              <w:contextualSpacing/>
              <w:rPr>
                <w:rFonts w:ascii="宋体" w:hAnsi="宋体" w:cs="华文中宋"/>
                <w:color w:val="000000" w:themeColor="text1"/>
                <w:szCs w:val="21"/>
                <w14:textFill>
                  <w14:solidFill>
                    <w14:schemeClr w14:val="tx1"/>
                  </w14:solidFill>
                </w14:textFill>
              </w:rPr>
            </w:pPr>
            <w:r>
              <w:rPr>
                <w:rFonts w:hint="eastAsia" w:ascii="宋体" w:hAnsi="宋体" w:cs="华文中宋"/>
                <w:color w:val="000000" w:themeColor="text1"/>
                <w:szCs w:val="21"/>
                <w14:textFill>
                  <w14:solidFill>
                    <w14:schemeClr w14:val="tx1"/>
                  </w14:solidFill>
                </w14:textFill>
              </w:rPr>
              <w:t>方案较合理、较完整、可操作性较强的，计</w:t>
            </w:r>
            <w:r>
              <w:rPr>
                <w:rFonts w:ascii="宋体" w:hAnsi="宋体" w:cs="华文中宋"/>
                <w:color w:val="000000" w:themeColor="text1"/>
                <w:szCs w:val="21"/>
                <w14:textFill>
                  <w14:solidFill>
                    <w14:schemeClr w14:val="tx1"/>
                  </w14:solidFill>
                </w14:textFill>
              </w:rPr>
              <w:t>4</w:t>
            </w:r>
            <w:r>
              <w:rPr>
                <w:rFonts w:hint="eastAsia" w:ascii="宋体" w:hAnsi="宋体" w:cs="华文中宋"/>
                <w:color w:val="000000" w:themeColor="text1"/>
                <w:szCs w:val="21"/>
                <w14:textFill>
                  <w14:solidFill>
                    <w14:schemeClr w14:val="tx1"/>
                  </w14:solidFill>
                </w14:textFill>
              </w:rPr>
              <w:t>分；</w:t>
            </w:r>
          </w:p>
          <w:p>
            <w:pPr>
              <w:spacing w:line="340" w:lineRule="exact"/>
              <w:contextualSpacing/>
              <w:rPr>
                <w:rFonts w:ascii="宋体" w:hAnsi="宋体" w:cs="华文中宋"/>
                <w:color w:val="000000" w:themeColor="text1"/>
                <w:szCs w:val="21"/>
                <w14:textFill>
                  <w14:solidFill>
                    <w14:schemeClr w14:val="tx1"/>
                  </w14:solidFill>
                </w14:textFill>
              </w:rPr>
            </w:pPr>
            <w:r>
              <w:rPr>
                <w:rFonts w:hint="eastAsia" w:ascii="宋体" w:hAnsi="宋体" w:cs="华文中宋"/>
                <w:color w:val="000000" w:themeColor="text1"/>
                <w:szCs w:val="21"/>
                <w14:textFill>
                  <w14:solidFill>
                    <w14:schemeClr w14:val="tx1"/>
                  </w14:solidFill>
                </w14:textFill>
              </w:rPr>
              <w:t>方案基本合理但不够完善、欠合理、可操作性一般的，计</w:t>
            </w:r>
            <w:r>
              <w:rPr>
                <w:rFonts w:ascii="宋体" w:hAnsi="宋体" w:cs="华文中宋"/>
                <w:color w:val="000000" w:themeColor="text1"/>
                <w:szCs w:val="21"/>
                <w14:textFill>
                  <w14:solidFill>
                    <w14:schemeClr w14:val="tx1"/>
                  </w14:solidFill>
                </w14:textFill>
              </w:rPr>
              <w:t>3</w:t>
            </w:r>
            <w:r>
              <w:rPr>
                <w:rFonts w:hint="eastAsia" w:ascii="宋体" w:hAnsi="宋体" w:cs="华文中宋"/>
                <w:color w:val="000000" w:themeColor="text1"/>
                <w:szCs w:val="21"/>
                <w14:textFill>
                  <w14:solidFill>
                    <w14:schemeClr w14:val="tx1"/>
                  </w14:solidFill>
                </w14:textFill>
              </w:rPr>
              <w:t>分。</w:t>
            </w:r>
          </w:p>
          <w:p>
            <w:pPr>
              <w:spacing w:line="340" w:lineRule="exact"/>
              <w:contextualSpacing/>
              <w:rPr>
                <w:rFonts w:ascii="宋体" w:hAnsi="宋体" w:cs="华文中宋"/>
                <w:color w:val="000000" w:themeColor="text1"/>
                <w:szCs w:val="21"/>
                <w14:textFill>
                  <w14:solidFill>
                    <w14:schemeClr w14:val="tx1"/>
                  </w14:solidFill>
                </w14:textFill>
              </w:rPr>
            </w:pPr>
            <w:r>
              <w:rPr>
                <w:rFonts w:hint="eastAsia" w:ascii="宋体" w:hAnsi="宋体" w:cs="华文中宋"/>
                <w:color w:val="000000" w:themeColor="text1"/>
                <w:szCs w:val="21"/>
                <w14:textFill>
                  <w14:solidFill>
                    <w14:schemeClr w14:val="tx1"/>
                  </w14:solidFill>
                </w14:textFill>
              </w:rPr>
              <w:t>未提供的不计分。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600"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实施方案</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6804" w:type="dxa"/>
            <w:vAlign w:val="center"/>
          </w:tcPr>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实施方案中的计划进度管理、开发团队组织构架及人员配备、工作管理方案、开发过程中的需求分析、分析设计、开发环境准备、编码规范、代码审核、测试方法、测试流程产品配置参数表、安装部署方案、调优方案、试运行保障、测试方案等进行综合评审计分：</w:t>
            </w:r>
          </w:p>
          <w:p>
            <w:pPr>
              <w:spacing w:line="340" w:lineRule="exact"/>
              <w:contextualSpacing/>
              <w:rPr>
                <w:rFonts w:ascii="宋体" w:hAnsi="宋体" w:cs="华文中宋"/>
                <w:color w:val="000000" w:themeColor="text1"/>
                <w:szCs w:val="21"/>
                <w14:textFill>
                  <w14:solidFill>
                    <w14:schemeClr w14:val="tx1"/>
                  </w14:solidFill>
                </w14:textFill>
              </w:rPr>
            </w:pPr>
            <w:r>
              <w:rPr>
                <w:rFonts w:hint="eastAsia" w:ascii="宋体" w:hAnsi="宋体" w:cs="华文中宋"/>
                <w:color w:val="000000" w:themeColor="text1"/>
                <w:szCs w:val="21"/>
                <w14:textFill>
                  <w14:solidFill>
                    <w14:schemeClr w14:val="tx1"/>
                  </w14:solidFill>
                </w14:textFill>
              </w:rPr>
              <w:t>方案科学合理、表述完整、可操作性强的，计8分；</w:t>
            </w:r>
          </w:p>
          <w:p>
            <w:pPr>
              <w:spacing w:line="340" w:lineRule="exact"/>
              <w:contextualSpacing/>
              <w:rPr>
                <w:rFonts w:ascii="宋体" w:hAnsi="宋体" w:cs="华文中宋"/>
                <w:color w:val="000000" w:themeColor="text1"/>
                <w:szCs w:val="21"/>
                <w14:textFill>
                  <w14:solidFill>
                    <w14:schemeClr w14:val="tx1"/>
                  </w14:solidFill>
                </w14:textFill>
              </w:rPr>
            </w:pPr>
            <w:r>
              <w:rPr>
                <w:rFonts w:hint="eastAsia" w:ascii="宋体" w:hAnsi="宋体" w:cs="华文中宋"/>
                <w:color w:val="000000" w:themeColor="text1"/>
                <w:szCs w:val="21"/>
                <w14:textFill>
                  <w14:solidFill>
                    <w14:schemeClr w14:val="tx1"/>
                  </w14:solidFill>
                </w14:textFill>
              </w:rPr>
              <w:t>方案较合理、较完整、可操作性较强的，计</w:t>
            </w:r>
            <w:r>
              <w:rPr>
                <w:rFonts w:ascii="宋体" w:hAnsi="宋体" w:cs="华文中宋"/>
                <w:color w:val="000000" w:themeColor="text1"/>
                <w:szCs w:val="21"/>
                <w14:textFill>
                  <w14:solidFill>
                    <w14:schemeClr w14:val="tx1"/>
                  </w14:solidFill>
                </w14:textFill>
              </w:rPr>
              <w:t>6.4</w:t>
            </w:r>
            <w:r>
              <w:rPr>
                <w:rFonts w:hint="eastAsia" w:ascii="宋体" w:hAnsi="宋体" w:cs="华文中宋"/>
                <w:color w:val="000000" w:themeColor="text1"/>
                <w:szCs w:val="21"/>
                <w14:textFill>
                  <w14:solidFill>
                    <w14:schemeClr w14:val="tx1"/>
                  </w14:solidFill>
                </w14:textFill>
              </w:rPr>
              <w:t>分；</w:t>
            </w:r>
          </w:p>
          <w:p>
            <w:pPr>
              <w:spacing w:line="340" w:lineRule="exact"/>
              <w:contextualSpacing/>
              <w:rPr>
                <w:rFonts w:ascii="宋体" w:hAnsi="宋体" w:cs="华文中宋"/>
                <w:color w:val="000000" w:themeColor="text1"/>
                <w:szCs w:val="21"/>
                <w14:textFill>
                  <w14:solidFill>
                    <w14:schemeClr w14:val="tx1"/>
                  </w14:solidFill>
                </w14:textFill>
              </w:rPr>
            </w:pPr>
            <w:r>
              <w:rPr>
                <w:rFonts w:hint="eastAsia" w:ascii="宋体" w:hAnsi="宋体" w:cs="华文中宋"/>
                <w:color w:val="000000" w:themeColor="text1"/>
                <w:szCs w:val="21"/>
                <w14:textFill>
                  <w14:solidFill>
                    <w14:schemeClr w14:val="tx1"/>
                  </w14:solidFill>
                </w14:textFill>
              </w:rPr>
              <w:t>方案基本合理但不够具体、可操作性一般的，计</w:t>
            </w:r>
            <w:r>
              <w:rPr>
                <w:rFonts w:ascii="宋体" w:hAnsi="宋体" w:cs="华文中宋"/>
                <w:color w:val="000000" w:themeColor="text1"/>
                <w:szCs w:val="21"/>
                <w14:textFill>
                  <w14:solidFill>
                    <w14:schemeClr w14:val="tx1"/>
                  </w14:solidFill>
                </w14:textFill>
              </w:rPr>
              <w:t>4.8</w:t>
            </w:r>
            <w:r>
              <w:rPr>
                <w:rFonts w:hint="eastAsia" w:ascii="宋体" w:hAnsi="宋体" w:cs="华文中宋"/>
                <w:color w:val="000000" w:themeColor="text1"/>
                <w:szCs w:val="21"/>
                <w14:textFill>
                  <w14:solidFill>
                    <w14:schemeClr w14:val="tx1"/>
                  </w14:solidFill>
                </w14:textFill>
              </w:rPr>
              <w:t>分；</w:t>
            </w:r>
          </w:p>
          <w:p>
            <w:pPr>
              <w:spacing w:line="340" w:lineRule="exact"/>
              <w:contextualSpacing/>
              <w:rPr>
                <w:rFonts w:ascii="宋体" w:hAnsi="宋体" w:cs="华文中宋"/>
                <w:color w:val="000000" w:themeColor="text1"/>
                <w:szCs w:val="21"/>
                <w14:textFill>
                  <w14:solidFill>
                    <w14:schemeClr w14:val="tx1"/>
                  </w14:solidFill>
                </w14:textFill>
              </w:rPr>
            </w:pPr>
            <w:r>
              <w:rPr>
                <w:rFonts w:hint="eastAsia" w:ascii="宋体" w:hAnsi="宋体" w:cs="华文中宋"/>
                <w:color w:val="000000" w:themeColor="text1"/>
                <w:szCs w:val="21"/>
                <w14:textFill>
                  <w14:solidFill>
                    <w14:schemeClr w14:val="tx1"/>
                  </w14:solidFill>
                </w14:textFill>
              </w:rPr>
              <w:t>方案欠完善、欠合理、可操作性较差的，计</w:t>
            </w:r>
            <w:r>
              <w:rPr>
                <w:rFonts w:ascii="宋体" w:hAnsi="宋体" w:cs="华文中宋"/>
                <w:color w:val="000000" w:themeColor="text1"/>
                <w:szCs w:val="21"/>
                <w14:textFill>
                  <w14:solidFill>
                    <w14:schemeClr w14:val="tx1"/>
                  </w14:solidFill>
                </w14:textFill>
              </w:rPr>
              <w:t>3</w:t>
            </w:r>
            <w:r>
              <w:rPr>
                <w:rFonts w:hint="eastAsia" w:ascii="宋体" w:hAnsi="宋体" w:cs="华文中宋"/>
                <w:color w:val="000000" w:themeColor="text1"/>
                <w:szCs w:val="21"/>
                <w14:textFill>
                  <w14:solidFill>
                    <w14:schemeClr w14:val="tx1"/>
                  </w14:solidFill>
                </w14:textFill>
              </w:rPr>
              <w:t>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未提供的不计分。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80"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维保服务方案</w:t>
            </w:r>
          </w:p>
        </w:tc>
        <w:tc>
          <w:tcPr>
            <w:tcW w:w="770" w:type="dxa"/>
            <w:vAlign w:val="center"/>
          </w:tcPr>
          <w:p>
            <w:pPr>
              <w:spacing w:line="340" w:lineRule="exact"/>
              <w:contextualSpacing/>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6804" w:type="dxa"/>
            <w:vAlign w:val="center"/>
          </w:tcPr>
          <w:p>
            <w:pPr>
              <w:spacing w:line="34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根据投标人的维保服务方案中维保</w:t>
            </w:r>
            <w:r>
              <w:rPr>
                <w:rFonts w:ascii="宋体" w:hAnsi="宋体"/>
                <w:color w:val="000000" w:themeColor="text1"/>
                <w:szCs w:val="21"/>
                <w14:textFill>
                  <w14:solidFill>
                    <w14:schemeClr w14:val="tx1"/>
                  </w14:solidFill>
                </w14:textFill>
              </w:rPr>
              <w:t>服务策略</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服务计划、售后服务内容、相关服务指标、售后服务组织机构</w:t>
            </w:r>
            <w:r>
              <w:rPr>
                <w:rFonts w:hint="eastAsia" w:ascii="宋体" w:hAnsi="宋体"/>
                <w:color w:val="000000" w:themeColor="text1"/>
                <w:szCs w:val="21"/>
                <w14:textFill>
                  <w14:solidFill>
                    <w14:schemeClr w14:val="tx1"/>
                  </w14:solidFill>
                </w14:textFill>
              </w:rPr>
              <w:t>、驻场</w:t>
            </w:r>
            <w:r>
              <w:rPr>
                <w:rFonts w:ascii="宋体" w:hAnsi="宋体"/>
                <w:color w:val="000000" w:themeColor="text1"/>
                <w:szCs w:val="21"/>
                <w14:textFill>
                  <w14:solidFill>
                    <w14:schemeClr w14:val="tx1"/>
                  </w14:solidFill>
                </w14:textFill>
              </w:rPr>
              <w:t>人员安排及联络信息</w:t>
            </w:r>
            <w:r>
              <w:rPr>
                <w:rFonts w:hint="eastAsia" w:ascii="宋体" w:hAnsi="宋体"/>
                <w:color w:val="000000" w:themeColor="text1"/>
                <w:szCs w:val="21"/>
                <w14:textFill>
                  <w14:solidFill>
                    <w14:schemeClr w14:val="tx1"/>
                  </w14:solidFill>
                </w14:textFill>
              </w:rPr>
              <w:t>、服务承诺等进行综合评审计分：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方案科学合理、表述完整、可操作性强的，计</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方案较合理、较完整、可操作性较强的，计</w:t>
            </w:r>
            <w:r>
              <w:rPr>
                <w:rFonts w:hint="eastAsia" w:ascii="宋体" w:hAnsi="宋体" w:cs="宋体"/>
                <w:color w:val="000000" w:themeColor="text1"/>
                <w:szCs w:val="21"/>
                <w:lang w:val="en-US" w:eastAsia="zh-CN"/>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分；</w:t>
            </w:r>
          </w:p>
          <w:p>
            <w:pPr>
              <w:pStyle w:val="2"/>
              <w:spacing w:line="340" w:lineRule="exact"/>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方案欠完善、欠合理、可操作性一般的，计</w:t>
            </w:r>
            <w:r>
              <w:rPr>
                <w:rFonts w:hint="eastAsia" w:ascii="宋体" w:hAnsi="宋体" w:cs="宋体"/>
                <w:color w:val="000000" w:themeColor="text1"/>
                <w:lang w:val="en-US" w:eastAsia="zh-CN"/>
                <w14:textFill>
                  <w14:solidFill>
                    <w14:schemeClr w14:val="tx1"/>
                  </w14:solidFill>
                </w14:textFill>
              </w:rPr>
              <w:t>3.6</w:t>
            </w:r>
            <w:r>
              <w:rPr>
                <w:rFonts w:hint="eastAsia" w:ascii="宋体" w:hAnsi="宋体" w:cs="宋体"/>
                <w:color w:val="000000" w:themeColor="text1"/>
                <w14:textFill>
                  <w14:solidFill>
                    <w14:schemeClr w14:val="tx1"/>
                  </w14:solidFill>
                </w14:textFill>
              </w:rPr>
              <w:t>分。</w:t>
            </w:r>
          </w:p>
          <w:p>
            <w:pPr>
              <w:pStyle w:val="2"/>
              <w:spacing w:line="340" w:lineRule="exact"/>
              <w:ind w:firstLine="0" w:firstLineChars="0"/>
              <w:contextualSpacing/>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未提供的不计分。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96"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质量管控方案</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6804" w:type="dxa"/>
            <w:vAlign w:val="center"/>
          </w:tcPr>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根据投标人质量管控方案中质量管理与保障措施、与采购人沟通协调机制，及验收计划、验收内容、前提条件、验收方式、验收标准、验收人员、文档清单等，进行综合评审计分：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方案科学合理、表述完整、可操作性强的，计12分；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方案较合理、较完整、可操作性较强的，计</w:t>
            </w:r>
            <w:r>
              <w:rPr>
                <w:rFonts w:ascii="宋体" w:hAnsi="宋体" w:cs="宋体"/>
                <w:color w:val="000000" w:themeColor="text1"/>
                <w:szCs w:val="21"/>
                <w14:textFill>
                  <w14:solidFill>
                    <w14:schemeClr w14:val="tx1"/>
                  </w14:solidFill>
                </w14:textFill>
              </w:rPr>
              <w:t>9.6</w:t>
            </w:r>
            <w:r>
              <w:rPr>
                <w:rFonts w:hint="eastAsia" w:ascii="宋体" w:hAnsi="宋体" w:cs="宋体"/>
                <w:color w:val="000000" w:themeColor="text1"/>
                <w:szCs w:val="21"/>
                <w14:textFill>
                  <w14:solidFill>
                    <w14:schemeClr w14:val="tx1"/>
                  </w14:solidFill>
                </w14:textFill>
              </w:rPr>
              <w:t>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方案基本合理但不够具体、可操作性一般的，计</w:t>
            </w:r>
            <w:r>
              <w:rPr>
                <w:rFonts w:ascii="宋体" w:hAnsi="宋体" w:cs="宋体"/>
                <w:color w:val="000000" w:themeColor="text1"/>
                <w:szCs w:val="21"/>
                <w14:textFill>
                  <w14:solidFill>
                    <w14:schemeClr w14:val="tx1"/>
                  </w14:solidFill>
                </w14:textFill>
              </w:rPr>
              <w:t>7.2</w:t>
            </w:r>
            <w:r>
              <w:rPr>
                <w:rFonts w:hint="eastAsia" w:ascii="宋体" w:hAnsi="宋体" w:cs="宋体"/>
                <w:color w:val="000000" w:themeColor="text1"/>
                <w:szCs w:val="21"/>
                <w14:textFill>
                  <w14:solidFill>
                    <w14:schemeClr w14:val="tx1"/>
                  </w14:solidFill>
                </w14:textFill>
              </w:rPr>
              <w:t>分；</w:t>
            </w:r>
          </w:p>
          <w:p>
            <w:pPr>
              <w:pStyle w:val="2"/>
              <w:spacing w:line="340" w:lineRule="exact"/>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方案欠完善、欠合理、可操作性较差的，计</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未提供的不计分。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培训方案</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p>
        </w:tc>
        <w:tc>
          <w:tcPr>
            <w:tcW w:w="6804" w:type="dxa"/>
          </w:tcPr>
          <w:p>
            <w:pPr>
              <w:spacing w:line="340" w:lineRule="exact"/>
              <w:contextualSpacing/>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根据供应商提供的针对本项目的培训方案，从培训方式、培训内容、师资力量、培训时间等方面进行综合评定。</w:t>
            </w:r>
          </w:p>
          <w:p>
            <w:pPr>
              <w:spacing w:line="340" w:lineRule="exact"/>
              <w:contextualSpacing/>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方案科学合理、表述完整、可操作性强的，计</w:t>
            </w:r>
            <w:r>
              <w:rPr>
                <w:rFonts w:ascii="宋体" w:hAnsi="宋体" w:cs="仿宋"/>
                <w:color w:val="000000" w:themeColor="text1"/>
                <w:kern w:val="0"/>
                <w:szCs w:val="21"/>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分；</w:t>
            </w:r>
          </w:p>
          <w:p>
            <w:pPr>
              <w:spacing w:line="340" w:lineRule="exact"/>
              <w:contextualSpacing/>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方案较合理、较完整、可操作性较强的，计</w:t>
            </w:r>
            <w:r>
              <w:rPr>
                <w:rFonts w:ascii="宋体" w:hAnsi="宋体" w:cs="仿宋"/>
                <w:color w:val="000000" w:themeColor="text1"/>
                <w:kern w:val="0"/>
                <w:szCs w:val="21"/>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分；</w:t>
            </w:r>
          </w:p>
          <w:p>
            <w:pPr>
              <w:spacing w:line="340" w:lineRule="exact"/>
              <w:contextualSpacing/>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方案欠完善、欠合理、可操作性一般的，计</w:t>
            </w:r>
            <w:r>
              <w:rPr>
                <w:rFonts w:ascii="宋体" w:hAnsi="宋体" w:cs="仿宋"/>
                <w:color w:val="000000" w:themeColor="text1"/>
                <w:kern w:val="0"/>
                <w:szCs w:val="21"/>
                <w14:textFill>
                  <w14:solidFill>
                    <w14:schemeClr w14:val="tx1"/>
                  </w14:solidFill>
                </w14:textFill>
              </w:rPr>
              <w:t>2</w:t>
            </w:r>
            <w:r>
              <w:rPr>
                <w:rFonts w:hint="eastAsia" w:ascii="宋体" w:hAnsi="宋体" w:cs="仿宋"/>
                <w:color w:val="000000" w:themeColor="text1"/>
                <w:kern w:val="0"/>
                <w:szCs w:val="21"/>
                <w14:textFill>
                  <w14:solidFill>
                    <w14:schemeClr w14:val="tx1"/>
                  </w14:solidFill>
                </w14:textFill>
              </w:rPr>
              <w:t>分。</w:t>
            </w:r>
          </w:p>
          <w:p>
            <w:pPr>
              <w:spacing w:line="340" w:lineRule="exact"/>
              <w:contextualSpacing/>
              <w:rPr>
                <w:rFonts w:ascii="宋体" w:hAnsi="宋体" w:cs="宋体"/>
                <w:color w:val="000000" w:themeColor="text1"/>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未提供的不计分。</w:t>
            </w:r>
          </w:p>
        </w:tc>
      </w:tr>
      <w:bookmarkEnd w:id="28"/>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851" w:type="dxa"/>
            <w:vMerge w:val="restart"/>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w:t>
            </w:r>
          </w:p>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1073" w:type="dxa"/>
            <w:vMerge w:val="restart"/>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原厂商服务能力及资质</w:t>
            </w:r>
          </w:p>
        </w:tc>
        <w:tc>
          <w:tcPr>
            <w:tcW w:w="770" w:type="dxa"/>
            <w:vMerge w:val="restart"/>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0</w:t>
            </w:r>
          </w:p>
        </w:tc>
        <w:tc>
          <w:tcPr>
            <w:tcW w:w="6804" w:type="dxa"/>
          </w:tcPr>
          <w:p>
            <w:pPr>
              <w:spacing w:line="3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数据监控大数据分析系统</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w:t>
            </w:r>
          </w:p>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提供第三方测评机构出具的有效产品功能检测报告（也可以用单独的功能项要求用第三方机构检测报告证明），计2分，否则不计分。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Merge w:val="continue"/>
            <w:vAlign w:val="center"/>
          </w:tcPr>
          <w:p>
            <w:pPr>
              <w:spacing w:line="340" w:lineRule="exact"/>
              <w:contextualSpacing/>
              <w:jc w:val="center"/>
              <w:rPr>
                <w:rFonts w:ascii="宋体" w:hAnsi="宋体" w:cs="仿宋"/>
                <w:color w:val="000000" w:themeColor="text1"/>
                <w:kern w:val="0"/>
                <w:szCs w:val="21"/>
                <w14:textFill>
                  <w14:solidFill>
                    <w14:schemeClr w14:val="tx1"/>
                  </w14:solidFill>
                </w14:textFill>
              </w:rPr>
            </w:pPr>
          </w:p>
        </w:tc>
        <w:tc>
          <w:tcPr>
            <w:tcW w:w="770"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6804" w:type="dxa"/>
          </w:tcPr>
          <w:p>
            <w:pPr>
              <w:spacing w:line="3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数据水印标记系统</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w:t>
            </w:r>
          </w:p>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产品获得第三方测评机构测评认证，提供3个及以上测评认证报告，计1分，否则不计分。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53"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Merge w:val="continue"/>
            <w:vAlign w:val="center"/>
          </w:tcPr>
          <w:p>
            <w:pPr>
              <w:spacing w:line="340" w:lineRule="exact"/>
              <w:contextualSpacing/>
              <w:jc w:val="center"/>
              <w:rPr>
                <w:rFonts w:ascii="宋体" w:hAnsi="宋体" w:cs="仿宋"/>
                <w:color w:val="000000" w:themeColor="text1"/>
                <w:kern w:val="0"/>
                <w:szCs w:val="21"/>
                <w14:textFill>
                  <w14:solidFill>
                    <w14:schemeClr w14:val="tx1"/>
                  </w14:solidFill>
                </w14:textFill>
              </w:rPr>
            </w:pPr>
          </w:p>
        </w:tc>
        <w:tc>
          <w:tcPr>
            <w:tcW w:w="770"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6804" w:type="dxa"/>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安全零信用系统原厂商具有以下资质，每证计1分，最多计3分：</w:t>
            </w:r>
          </w:p>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①信息安全服务资质证书（安全开发类一级）；</w:t>
            </w:r>
          </w:p>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②CMMI 成熟度三级及以上证书；</w:t>
            </w:r>
          </w:p>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③国家计算机网络应急技术处理协调中心颁发的省级及以上网络安全应急服务支撑单位证书。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53"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Merge w:val="continue"/>
            <w:vAlign w:val="center"/>
          </w:tcPr>
          <w:p>
            <w:pPr>
              <w:spacing w:line="340" w:lineRule="exact"/>
              <w:contextualSpacing/>
              <w:jc w:val="center"/>
              <w:rPr>
                <w:rFonts w:ascii="宋体" w:hAnsi="宋体" w:cs="仿宋"/>
                <w:color w:val="000000" w:themeColor="text1"/>
                <w:kern w:val="0"/>
                <w:szCs w:val="21"/>
                <w14:textFill>
                  <w14:solidFill>
                    <w14:schemeClr w14:val="tx1"/>
                  </w14:solidFill>
                </w14:textFill>
              </w:rPr>
            </w:pPr>
          </w:p>
        </w:tc>
        <w:tc>
          <w:tcPr>
            <w:tcW w:w="770"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6804" w:type="dxa"/>
          </w:tcPr>
          <w:p>
            <w:pPr>
              <w:spacing w:line="3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应用主机安全防御及安全补丁升级平台原厂商具有以下资质</w:t>
            </w:r>
            <w:r>
              <w:rPr>
                <w:rFonts w:hint="eastAsia" w:ascii="宋体" w:hAnsi="宋体" w:cs="宋体"/>
                <w:color w:val="000000" w:themeColor="text1"/>
                <w:szCs w:val="21"/>
                <w14:textFill>
                  <w14:solidFill>
                    <w14:schemeClr w14:val="tx1"/>
                  </w14:solidFill>
                </w14:textFill>
              </w:rPr>
              <w:t>，每证计1分，最多计</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pPr>
              <w:pStyle w:val="2"/>
              <w:spacing w:line="34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rFonts w:hint="eastAsia" w:ascii="宋体" w:hAnsi="宋体"/>
                <w:color w:val="000000" w:themeColor="text1"/>
                <w14:textFill>
                  <w14:solidFill>
                    <w14:schemeClr w14:val="tx1"/>
                  </w14:solidFill>
                </w14:textFill>
              </w:rPr>
              <w:t>具有CSA CSTR云安全标准认证证书；（提供证书复印件）</w:t>
            </w:r>
          </w:p>
          <w:p>
            <w:pPr>
              <w:pStyle w:val="2"/>
              <w:spacing w:line="34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②中国信息安全评测中心信息安全服务资质证书。（提供证书复印件）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Merge w:val="continue"/>
            <w:vAlign w:val="center"/>
          </w:tcPr>
          <w:p>
            <w:pPr>
              <w:spacing w:line="340" w:lineRule="exact"/>
              <w:contextualSpacing/>
              <w:jc w:val="center"/>
              <w:rPr>
                <w:rFonts w:ascii="宋体" w:hAnsi="宋体" w:cs="仿宋"/>
                <w:color w:val="000000" w:themeColor="text1"/>
                <w:kern w:val="0"/>
                <w:szCs w:val="21"/>
                <w14:textFill>
                  <w14:solidFill>
                    <w14:schemeClr w14:val="tx1"/>
                  </w14:solidFill>
                </w14:textFill>
              </w:rPr>
            </w:pPr>
          </w:p>
        </w:tc>
        <w:tc>
          <w:tcPr>
            <w:tcW w:w="770"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6804" w:type="dxa"/>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数据库操作日志审计设备原厂商具有以下资质，每证计1分，最多计</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①《计算机信息系统安全专用产品销售许可证》，证书类别必须为：数据库安全审计类（增强级）；</w:t>
            </w:r>
            <w:r>
              <w:rPr>
                <w:rFonts w:hint="eastAsia" w:ascii="宋体" w:hAnsi="宋体"/>
                <w:color w:val="000000" w:themeColor="text1"/>
                <w:szCs w:val="21"/>
                <w14:textFill>
                  <w14:solidFill>
                    <w14:schemeClr w14:val="tx1"/>
                  </w14:solidFill>
                </w14:textFill>
              </w:rPr>
              <w:t>（提供证书复印件）</w:t>
            </w:r>
          </w:p>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②中国国家信息安全产品认证证书，增强级。</w:t>
            </w:r>
            <w:r>
              <w:rPr>
                <w:rFonts w:hint="eastAsia" w:ascii="宋体" w:hAnsi="宋体"/>
                <w:color w:val="000000" w:themeColor="text1"/>
                <w:szCs w:val="21"/>
                <w14:textFill>
                  <w14:solidFill>
                    <w14:schemeClr w14:val="tx1"/>
                  </w14:solidFill>
                </w14:textFill>
              </w:rPr>
              <w:t>（提供证书复印件）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p>
        </w:tc>
        <w:tc>
          <w:tcPr>
            <w:tcW w:w="6804" w:type="dxa"/>
          </w:tcPr>
          <w:p>
            <w:pPr>
              <w:pStyle w:val="19"/>
              <w:spacing w:line="340" w:lineRule="exact"/>
              <w:contextualSpacing/>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投</w:t>
            </w:r>
            <w:r>
              <w:rPr>
                <w:rFonts w:hint="eastAsia" w:hAnsi="宋体" w:cs="仿宋"/>
                <w:color w:val="000000" w:themeColor="text1"/>
                <w:sz w:val="21"/>
                <w:szCs w:val="21"/>
                <w14:textFill>
                  <w14:solidFill>
                    <w14:schemeClr w14:val="tx1"/>
                  </w14:solidFill>
                </w14:textFill>
              </w:rPr>
              <w:t>标人提交201</w:t>
            </w:r>
            <w:r>
              <w:rPr>
                <w:rFonts w:hAnsi="宋体" w:cs="仿宋"/>
                <w:color w:val="000000" w:themeColor="text1"/>
                <w:sz w:val="21"/>
                <w:szCs w:val="21"/>
                <w14:textFill>
                  <w14:solidFill>
                    <w14:schemeClr w14:val="tx1"/>
                  </w14:solidFill>
                </w14:textFill>
              </w:rPr>
              <w:t>8</w:t>
            </w:r>
            <w:r>
              <w:rPr>
                <w:rFonts w:hint="eastAsia" w:hAnsi="宋体" w:cs="仿宋"/>
                <w:color w:val="000000" w:themeColor="text1"/>
                <w:sz w:val="21"/>
                <w:szCs w:val="21"/>
                <w14:textFill>
                  <w14:solidFill>
                    <w14:schemeClr w14:val="tx1"/>
                  </w14:solidFill>
                </w14:textFill>
              </w:rPr>
              <w:t>年1</w:t>
            </w:r>
            <w:r>
              <w:rPr>
                <w:rFonts w:hAnsi="宋体" w:cs="仿宋"/>
                <w:color w:val="000000" w:themeColor="text1"/>
                <w:sz w:val="21"/>
                <w:szCs w:val="21"/>
                <w14:textFill>
                  <w14:solidFill>
                    <w14:schemeClr w14:val="tx1"/>
                  </w14:solidFill>
                </w14:textFill>
              </w:rPr>
              <w:t>1</w:t>
            </w:r>
            <w:r>
              <w:rPr>
                <w:rFonts w:hint="eastAsia" w:hAnsi="宋体" w:cs="仿宋"/>
                <w:color w:val="000000" w:themeColor="text1"/>
                <w:sz w:val="21"/>
                <w:szCs w:val="21"/>
                <w14:textFill>
                  <w14:solidFill>
                    <w14:schemeClr w14:val="tx1"/>
                  </w14:solidFill>
                </w14:textFill>
              </w:rPr>
              <w:t>月以来（以</w:t>
            </w:r>
            <w:r>
              <w:rPr>
                <w:rFonts w:hint="eastAsia" w:hAnsi="宋体" w:cs="宋体"/>
                <w:color w:val="000000" w:themeColor="text1"/>
                <w:kern w:val="2"/>
                <w:sz w:val="21"/>
                <w:szCs w:val="21"/>
                <w14:textFill>
                  <w14:solidFill>
                    <w14:schemeClr w14:val="tx1"/>
                  </w14:solidFill>
                </w14:textFill>
              </w:rPr>
              <w:t>合同签订时间为准）具有安全系统集成类已成功实施业绩的，每提供一个合同计2分，最多计</w:t>
            </w:r>
            <w:r>
              <w:rPr>
                <w:rFonts w:hAnsi="宋体" w:cs="宋体"/>
                <w:color w:val="000000" w:themeColor="text1"/>
                <w:kern w:val="2"/>
                <w:sz w:val="21"/>
                <w:szCs w:val="21"/>
                <w14:textFill>
                  <w14:solidFill>
                    <w14:schemeClr w14:val="tx1"/>
                  </w14:solidFill>
                </w14:textFill>
              </w:rPr>
              <w:t>6</w:t>
            </w:r>
            <w:r>
              <w:rPr>
                <w:rFonts w:hint="eastAsia" w:hAnsi="宋体" w:cs="宋体"/>
                <w:color w:val="000000" w:themeColor="text1"/>
                <w:kern w:val="2"/>
                <w:sz w:val="21"/>
                <w:szCs w:val="21"/>
                <w14:textFill>
                  <w14:solidFill>
                    <w14:schemeClr w14:val="tx1"/>
                  </w14:solidFill>
                </w14:textFill>
              </w:rPr>
              <w:t>分。</w:t>
            </w:r>
          </w:p>
          <w:p>
            <w:pPr>
              <w:spacing w:line="340" w:lineRule="exact"/>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（提供合同复印件</w:t>
            </w:r>
            <w:r>
              <w:rPr>
                <w:rFonts w:hint="eastAsia" w:ascii="宋体" w:hAnsi="宋体" w:cs="仿宋"/>
                <w:color w:val="000000" w:themeColor="text1"/>
                <w:kern w:val="0"/>
                <w:szCs w:val="21"/>
                <w14:textFill>
                  <w14:solidFill>
                    <w14:schemeClr w14:val="tx1"/>
                  </w14:solidFill>
                </w14:textFill>
              </w:rPr>
              <w:t>并加盖投标人公章</w:t>
            </w:r>
            <w:r>
              <w:rPr>
                <w:rFonts w:hint="eastAsia" w:ascii="宋体" w:hAnsi="宋体" w:cs="宋体"/>
                <w:color w:val="000000" w:themeColor="text1"/>
                <w:szCs w:val="21"/>
                <w14:textFill>
                  <w14:solidFill>
                    <w14:schemeClr w14:val="tx1"/>
                  </w14:solidFill>
                </w14:textFill>
              </w:rPr>
              <w:t>，投标时提供原件核查，否则不计分）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72" w:hRule="atLeast"/>
        </w:trPr>
        <w:tc>
          <w:tcPr>
            <w:tcW w:w="851" w:type="dxa"/>
            <w:vMerge w:val="continue"/>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6804" w:type="dxa"/>
          </w:tcPr>
          <w:p>
            <w:pPr>
              <w:spacing w:line="340" w:lineRule="exact"/>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投标人具有有效期内的下述证书：</w:t>
            </w:r>
          </w:p>
          <w:p>
            <w:pPr>
              <w:spacing w:line="340" w:lineRule="exact"/>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宋体"/>
                <w:bCs/>
                <w:color w:val="000000" w:themeColor="text1"/>
                <w:szCs w:val="21"/>
                <w:lang w:val="zh-CN"/>
                <w14:textFill>
                  <w14:solidFill>
                    <w14:schemeClr w14:val="tx1"/>
                  </w14:solidFill>
                </w14:textFill>
              </w:rPr>
              <w:t>ISO9001质量管理体系认证的，</w:t>
            </w:r>
            <w:r>
              <w:rPr>
                <w:rFonts w:hint="eastAsia" w:ascii="宋体" w:hAnsi="宋体"/>
                <w:color w:val="000000" w:themeColor="text1"/>
                <w:szCs w:val="21"/>
                <w14:textFill>
                  <w14:solidFill>
                    <w14:schemeClr w14:val="tx1"/>
                  </w14:solidFill>
                </w14:textFill>
              </w:rPr>
              <w:t>计2分。</w:t>
            </w:r>
          </w:p>
          <w:p>
            <w:pPr>
              <w:spacing w:line="340" w:lineRule="exact"/>
              <w:contextualSpacing/>
              <w:jc w:val="left"/>
              <w:rPr>
                <w:rFonts w:ascii="宋体" w:hAnsi="宋体" w:cs="宋体"/>
                <w:bCs/>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ISO27001信息管理体系认证的，计</w:t>
            </w: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分。</w:t>
            </w:r>
          </w:p>
          <w:p>
            <w:pPr>
              <w:spacing w:line="340" w:lineRule="exact"/>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3、ISCCC或CCRC信息安全服务资质-信息安全集成认证的，计</w:t>
            </w:r>
            <w:r>
              <w:rPr>
                <w:rFonts w:hint="eastAsia" w:ascii="宋体" w:hAnsi="宋体" w:cs="宋体"/>
                <w:color w:val="000000" w:themeColor="text1"/>
                <w:szCs w:val="21"/>
                <w14:textFill>
                  <w14:solidFill>
                    <w14:schemeClr w14:val="tx1"/>
                  </w14:solidFill>
                </w14:textFill>
              </w:rPr>
              <w:t>2分。</w:t>
            </w:r>
          </w:p>
          <w:p>
            <w:pPr>
              <w:spacing w:line="340" w:lineRule="exact"/>
              <w:contextualSpacing/>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4、ISCCC或CCRC信息安全服务资质-信息安全风险评估认证的，计</w:t>
            </w:r>
            <w:r>
              <w:rPr>
                <w:rFonts w:hint="eastAsia" w:ascii="宋体" w:hAnsi="宋体" w:cs="宋体"/>
                <w:color w:val="000000" w:themeColor="text1"/>
                <w:szCs w:val="21"/>
                <w14:textFill>
                  <w14:solidFill>
                    <w14:schemeClr w14:val="tx1"/>
                  </w14:solidFill>
                </w14:textFill>
              </w:rPr>
              <w:t>2分。</w:t>
            </w:r>
          </w:p>
          <w:p>
            <w:pPr>
              <w:spacing w:line="340" w:lineRule="exact"/>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（以上须提供相关证书复印件，否则不计分）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924" w:type="dxa"/>
            <w:gridSpan w:val="2"/>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合计</w:t>
            </w:r>
          </w:p>
        </w:tc>
        <w:tc>
          <w:tcPr>
            <w:tcW w:w="770" w:type="dxa"/>
            <w:vAlign w:val="center"/>
          </w:tcPr>
          <w:p>
            <w:pPr>
              <w:spacing w:line="340" w:lineRule="exact"/>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6804" w:type="dxa"/>
          </w:tcPr>
          <w:p>
            <w:pPr>
              <w:spacing w:line="340" w:lineRule="exact"/>
              <w:contextualSpacing/>
              <w:jc w:val="left"/>
              <w:rPr>
                <w:rFonts w:ascii="宋体" w:hAnsi="宋体" w:cs="宋体"/>
                <w:color w:val="000000" w:themeColor="text1"/>
                <w:szCs w:val="21"/>
                <w14:textFill>
                  <w14:solidFill>
                    <w14:schemeClr w14:val="tx1"/>
                  </w14:solidFill>
                </w14:textFill>
              </w:rPr>
            </w:pPr>
          </w:p>
        </w:tc>
      </w:tr>
    </w:tbl>
    <w:p>
      <w:pPr>
        <w:pStyle w:val="25"/>
        <w:spacing w:line="540" w:lineRule="exact"/>
        <w:ind w:firstLine="502" w:firstLineChars="200"/>
        <w:jc w:val="center"/>
        <w:rPr>
          <w:rFonts w:hAnsi="宋体" w:cs="宋体"/>
          <w:b/>
          <w:bCs/>
          <w:sz w:val="25"/>
          <w:szCs w:val="25"/>
        </w:rPr>
      </w:pPr>
    </w:p>
    <w:p>
      <w:pPr>
        <w:pStyle w:val="25"/>
        <w:spacing w:line="540" w:lineRule="exact"/>
        <w:ind w:firstLine="502" w:firstLineChars="200"/>
        <w:jc w:val="center"/>
        <w:rPr>
          <w:rFonts w:hAnsi="宋体" w:cs="宋体"/>
          <w:b/>
          <w:bCs/>
          <w:sz w:val="25"/>
          <w:szCs w:val="25"/>
        </w:rPr>
        <w:sectPr>
          <w:pgSz w:w="11906" w:h="16838"/>
          <w:pgMar w:top="1304" w:right="1247" w:bottom="1134" w:left="1304" w:header="850" w:footer="850" w:gutter="0"/>
          <w:cols w:space="720" w:num="1"/>
          <w:titlePg/>
          <w:docGrid w:linePitch="319" w:charSpace="0"/>
        </w:sectPr>
      </w:pPr>
    </w:p>
    <w:p>
      <w:pPr>
        <w:pStyle w:val="25"/>
        <w:spacing w:line="240" w:lineRule="exact"/>
        <w:ind w:firstLine="562" w:firstLineChars="200"/>
        <w:jc w:val="center"/>
        <w:rPr>
          <w:rFonts w:hAnsi="宋体" w:cs="宋体"/>
          <w:b/>
          <w:bCs/>
          <w:sz w:val="28"/>
          <w:szCs w:val="28"/>
        </w:rPr>
      </w:pPr>
    </w:p>
    <w:p>
      <w:pPr>
        <w:pStyle w:val="25"/>
        <w:spacing w:line="360" w:lineRule="auto"/>
        <w:jc w:val="center"/>
        <w:outlineLvl w:val="1"/>
        <w:rPr>
          <w:rFonts w:hAnsi="宋体" w:cs="宋体"/>
          <w:b/>
          <w:bCs/>
          <w:kern w:val="44"/>
          <w:sz w:val="28"/>
          <w:szCs w:val="28"/>
        </w:rPr>
      </w:pPr>
      <w:bookmarkStart w:id="29" w:name="_Toc529050585"/>
      <w:bookmarkStart w:id="30" w:name="_Toc21647440"/>
      <w:r>
        <w:rPr>
          <w:rFonts w:hint="eastAsia" w:hAnsi="宋体" w:cs="宋体"/>
          <w:b/>
          <w:bCs/>
          <w:kern w:val="44"/>
          <w:sz w:val="28"/>
          <w:szCs w:val="28"/>
        </w:rPr>
        <w:t>第四章　政府采购合同</w:t>
      </w:r>
      <w:bookmarkEnd w:id="27"/>
      <w:bookmarkEnd w:id="29"/>
      <w:bookmarkEnd w:id="30"/>
    </w:p>
    <w:p>
      <w:pPr>
        <w:pStyle w:val="25"/>
        <w:ind w:firstLine="420" w:firstLineChars="200"/>
        <w:rPr>
          <w:rFonts w:ascii="Times New Roman" w:hAnsi="Times New Roman" w:eastAsia="MingLiU_HKSCS"/>
        </w:rPr>
      </w:pPr>
    </w:p>
    <w:p>
      <w:pPr>
        <w:pStyle w:val="25"/>
        <w:ind w:firstLine="420" w:firstLineChars="200"/>
        <w:rPr>
          <w:rFonts w:ascii="Times New Roman" w:hAnsi="Times New Roman" w:eastAsia="MingLiU_HKSCS"/>
        </w:rPr>
      </w:pPr>
    </w:p>
    <w:p>
      <w:pPr>
        <w:pStyle w:val="25"/>
        <w:ind w:firstLine="420" w:firstLineChars="200"/>
        <w:rPr>
          <w:rFonts w:ascii="Times New Roman" w:hAnsi="Times New Roman" w:eastAsia="MingLiU_HKSCS"/>
          <w:color w:val="000000"/>
        </w:rPr>
      </w:pPr>
    </w:p>
    <w:p>
      <w:pPr>
        <w:pStyle w:val="25"/>
        <w:ind w:firstLine="420" w:firstLineChars="200"/>
        <w:rPr>
          <w:rFonts w:ascii="Times New Roman" w:hAnsi="Times New Roman" w:eastAsia="MingLiU_HKSCS"/>
          <w:color w:val="000000"/>
        </w:rPr>
      </w:pPr>
    </w:p>
    <w:p>
      <w:pPr>
        <w:pStyle w:val="25"/>
        <w:ind w:firstLine="420" w:firstLineChars="200"/>
        <w:rPr>
          <w:rFonts w:ascii="Times New Roman" w:hAnsi="Times New Roman" w:eastAsia="MingLiU_HKSCS"/>
          <w:color w:val="000000"/>
        </w:rPr>
      </w:pPr>
    </w:p>
    <w:p>
      <w:pPr>
        <w:pStyle w:val="25"/>
        <w:ind w:firstLine="600" w:firstLineChars="200"/>
        <w:jc w:val="center"/>
        <w:rPr>
          <w:rFonts w:ascii="Times New Roman" w:hAnsi="Times New Roman"/>
          <w:color w:val="000000"/>
          <w:sz w:val="30"/>
          <w:szCs w:val="30"/>
        </w:rPr>
      </w:pPr>
      <w:r>
        <w:rPr>
          <w:rFonts w:ascii="Times New Roman" w:hAnsi="Times New Roman"/>
          <w:color w:val="000000"/>
          <w:sz w:val="30"/>
          <w:szCs w:val="30"/>
        </w:rPr>
        <w:t>____________</w:t>
      </w:r>
      <w:r>
        <w:rPr>
          <w:rFonts w:hint="eastAsia" w:ascii="Times New Roman" w:hAnsi="Times New Roman"/>
          <w:color w:val="000000"/>
          <w:sz w:val="30"/>
          <w:szCs w:val="30"/>
        </w:rPr>
        <w:t>项目</w:t>
      </w:r>
    </w:p>
    <w:p>
      <w:pPr>
        <w:pStyle w:val="25"/>
        <w:ind w:firstLine="600" w:firstLineChars="200"/>
        <w:rPr>
          <w:rFonts w:ascii="Times New Roman" w:hAnsi="Times New Roman" w:eastAsia="MingLiU_HKSCS"/>
          <w:color w:val="000000"/>
          <w:sz w:val="30"/>
          <w:szCs w:val="30"/>
        </w:rPr>
      </w:pPr>
    </w:p>
    <w:p>
      <w:pPr>
        <w:pStyle w:val="25"/>
        <w:ind w:firstLine="600" w:firstLineChars="200"/>
        <w:rPr>
          <w:rFonts w:ascii="Times New Roman" w:hAnsi="Times New Roman" w:eastAsia="MingLiU_HKSCS"/>
          <w:color w:val="000000"/>
          <w:sz w:val="30"/>
          <w:szCs w:val="30"/>
        </w:rPr>
      </w:pPr>
    </w:p>
    <w:p>
      <w:pPr>
        <w:pStyle w:val="25"/>
        <w:jc w:val="center"/>
        <w:rPr>
          <w:rFonts w:ascii="Times New Roman" w:hAnsi="Times New Roman"/>
          <w:color w:val="000000"/>
          <w:sz w:val="30"/>
          <w:szCs w:val="30"/>
        </w:rPr>
      </w:pPr>
      <w:r>
        <w:rPr>
          <w:rFonts w:ascii="Times New Roman" w:hAnsi="Times New Roman"/>
          <w:color w:val="000000"/>
          <w:sz w:val="30"/>
          <w:szCs w:val="30"/>
        </w:rPr>
        <w:t>（</w:t>
      </w:r>
      <w:r>
        <w:rPr>
          <w:rFonts w:hint="eastAsia" w:ascii="Times New Roman" w:hAnsi="Times New Roman"/>
          <w:color w:val="000000"/>
          <w:sz w:val="30"/>
          <w:szCs w:val="30"/>
        </w:rPr>
        <w:t>技术支持服务类</w:t>
      </w:r>
      <w:r>
        <w:rPr>
          <w:rFonts w:ascii="Times New Roman" w:hAnsi="Times New Roman"/>
          <w:color w:val="000000"/>
          <w:sz w:val="30"/>
          <w:szCs w:val="30"/>
        </w:rPr>
        <w:t>）</w:t>
      </w:r>
    </w:p>
    <w:p>
      <w:pPr>
        <w:pStyle w:val="25"/>
        <w:ind w:firstLine="600" w:firstLineChars="200"/>
        <w:rPr>
          <w:rFonts w:ascii="Times New Roman" w:hAnsi="Times New Roman" w:eastAsia="MingLiU_HKSCS"/>
          <w:color w:val="000000"/>
          <w:sz w:val="30"/>
          <w:szCs w:val="30"/>
        </w:rPr>
      </w:pPr>
    </w:p>
    <w:p>
      <w:pPr>
        <w:pStyle w:val="9"/>
        <w:jc w:val="center"/>
        <w:rPr>
          <w:color w:val="000000"/>
          <w:sz w:val="30"/>
          <w:szCs w:val="30"/>
        </w:rPr>
      </w:pPr>
      <w:r>
        <w:rPr>
          <w:rFonts w:hint="eastAsia" w:ascii="Times New Roman" w:hAnsi="Times New Roman"/>
          <w:color w:val="000000"/>
          <w:sz w:val="30"/>
          <w:szCs w:val="30"/>
        </w:rPr>
        <w:t>合　　同</w:t>
      </w:r>
    </w:p>
    <w:p>
      <w:pPr>
        <w:pStyle w:val="25"/>
        <w:ind w:firstLine="420" w:firstLineChars="200"/>
        <w:rPr>
          <w:rFonts w:ascii="Times New Roman" w:hAnsi="Times New Roman" w:eastAsia="MingLiU_HKSCS"/>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Theme="minorEastAsia"/>
          <w:color w:val="000000"/>
        </w:rPr>
      </w:pPr>
    </w:p>
    <w:p>
      <w:pPr>
        <w:pStyle w:val="25"/>
        <w:ind w:firstLine="420" w:firstLineChars="200"/>
        <w:rPr>
          <w:rFonts w:ascii="Times New Roman" w:hAnsi="Times New Roman" w:eastAsia="MingLiU_HKSCS"/>
          <w:color w:val="000000"/>
        </w:rPr>
      </w:pPr>
    </w:p>
    <w:p>
      <w:pPr>
        <w:pStyle w:val="25"/>
        <w:ind w:firstLine="420" w:firstLineChars="200"/>
        <w:rPr>
          <w:rFonts w:ascii="Times New Roman" w:hAnsi="Times New Roman" w:eastAsia="MingLiU_HKSCS"/>
          <w:color w:val="000000"/>
        </w:rPr>
      </w:pPr>
    </w:p>
    <w:p>
      <w:pPr>
        <w:pStyle w:val="25"/>
        <w:ind w:firstLine="420" w:firstLineChars="200"/>
        <w:rPr>
          <w:rFonts w:ascii="Times New Roman" w:hAnsi="Times New Roman" w:eastAsia="MingLiU_HKSCS"/>
          <w:color w:val="000000"/>
        </w:rPr>
      </w:pPr>
    </w:p>
    <w:p>
      <w:pPr>
        <w:pStyle w:val="25"/>
        <w:ind w:firstLine="420" w:firstLineChars="200"/>
        <w:jc w:val="center"/>
        <w:rPr>
          <w:rFonts w:ascii="Times New Roman" w:hAnsi="Times New Roman" w:eastAsia="MingLiU_HKSCS"/>
          <w:color w:val="000000"/>
        </w:rPr>
      </w:pPr>
      <w:r>
        <w:rPr>
          <w:rFonts w:hint="eastAsia" w:ascii="Times New Roman" w:hAnsi="Times New Roman"/>
          <w:color w:val="000000"/>
        </w:rPr>
        <w:t>合同编号：</w:t>
      </w:r>
      <w:r>
        <w:rPr>
          <w:rFonts w:ascii="Times New Roman" w:hAnsi="Times New Roman"/>
          <w:color w:val="000000"/>
        </w:rPr>
        <w:t>____________________</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pPr>
        <w:pStyle w:val="25"/>
        <w:ind w:firstLine="420" w:firstLineChars="200"/>
        <w:jc w:val="center"/>
        <w:rPr>
          <w:rFonts w:ascii="Times New Roman" w:hAnsi="Times New Roman" w:eastAsia="MingLiU_HKSCS"/>
          <w:color w:val="000000"/>
        </w:rPr>
      </w:pPr>
    </w:p>
    <w:p>
      <w:pPr>
        <w:pStyle w:val="25"/>
        <w:ind w:firstLine="420" w:firstLineChars="200"/>
        <w:jc w:val="center"/>
        <w:rPr>
          <w:rFonts w:ascii="Times New Roman" w:hAnsi="Times New Roman" w:eastAsia="MingLiU_HKSCS"/>
          <w:color w:val="000000"/>
        </w:rPr>
      </w:pPr>
    </w:p>
    <w:p>
      <w:pPr>
        <w:pStyle w:val="25"/>
        <w:ind w:firstLine="420" w:firstLineChars="200"/>
        <w:jc w:val="center"/>
        <w:rPr>
          <w:rFonts w:ascii="Times New Roman" w:hAnsi="Times New Roman" w:eastAsia="MingLiU_HKSCS"/>
          <w:color w:val="000000"/>
        </w:rPr>
      </w:pPr>
      <w:r>
        <w:rPr>
          <w:rFonts w:hint="eastAsia" w:ascii="Times New Roman" w:hAnsi="Times New Roman"/>
          <w:color w:val="000000"/>
        </w:rPr>
        <w:t>甲　　方：</w:t>
      </w:r>
      <w:r>
        <w:rPr>
          <w:rFonts w:ascii="Times New Roman" w:hAnsi="Times New Roman"/>
          <w:color w:val="000000"/>
        </w:rPr>
        <w:t>____________________（</w:t>
      </w:r>
      <w:r>
        <w:rPr>
          <w:rFonts w:hint="eastAsia" w:ascii="Times New Roman" w:hAnsi="Times New Roman"/>
          <w:color w:val="000000"/>
        </w:rPr>
        <w:t>采购人名称</w:t>
      </w:r>
      <w:r>
        <w:rPr>
          <w:rFonts w:ascii="Times New Roman" w:hAnsi="Times New Roman"/>
          <w:color w:val="000000"/>
        </w:rPr>
        <w:t>）</w:t>
      </w:r>
    </w:p>
    <w:p>
      <w:pPr>
        <w:pStyle w:val="25"/>
        <w:ind w:firstLine="420" w:firstLineChars="200"/>
        <w:jc w:val="center"/>
        <w:rPr>
          <w:rFonts w:ascii="Times New Roman" w:hAnsi="Times New Roman" w:eastAsia="MingLiU_HKSCS"/>
          <w:color w:val="000000"/>
        </w:rPr>
      </w:pPr>
    </w:p>
    <w:p>
      <w:pPr>
        <w:pStyle w:val="25"/>
        <w:ind w:firstLine="420" w:firstLineChars="200"/>
        <w:jc w:val="center"/>
        <w:rPr>
          <w:rFonts w:ascii="Times New Roman" w:hAnsi="Times New Roman" w:eastAsia="MingLiU_HKSCS"/>
          <w:color w:val="000000"/>
        </w:rPr>
      </w:pPr>
    </w:p>
    <w:p>
      <w:pPr>
        <w:pStyle w:val="25"/>
        <w:ind w:firstLine="420" w:firstLineChars="200"/>
        <w:jc w:val="center"/>
        <w:rPr>
          <w:rFonts w:ascii="Times New Roman" w:hAnsi="Times New Roman" w:eastAsia="MingLiU_HKSCS"/>
          <w:color w:val="000000"/>
        </w:rPr>
      </w:pPr>
      <w:r>
        <w:rPr>
          <w:rFonts w:hint="eastAsia" w:ascii="Times New Roman" w:hAnsi="Times New Roman"/>
          <w:color w:val="000000"/>
        </w:rPr>
        <w:t>乙　　方：</w:t>
      </w:r>
      <w:r>
        <w:rPr>
          <w:rFonts w:ascii="Times New Roman" w:hAnsi="Times New Roman"/>
          <w:color w:val="000000"/>
        </w:rPr>
        <w:t>____________________（</w:t>
      </w:r>
      <w:r>
        <w:rPr>
          <w:rFonts w:hint="eastAsia" w:ascii="Times New Roman" w:hAnsi="Times New Roman"/>
          <w:color w:val="000000"/>
        </w:rPr>
        <w:t>供应商名称</w:t>
      </w:r>
      <w:r>
        <w:rPr>
          <w:rFonts w:ascii="Times New Roman" w:hAnsi="Times New Roman"/>
          <w:color w:val="000000"/>
        </w:rPr>
        <w:t>）</w:t>
      </w:r>
    </w:p>
    <w:p>
      <w:pPr>
        <w:pStyle w:val="25"/>
        <w:spacing w:line="380" w:lineRule="exact"/>
        <w:ind w:firstLine="420" w:firstLineChars="200"/>
        <w:rPr>
          <w:rFonts w:ascii="Times New Roman" w:hAnsi="Times New Roman" w:eastAsia="MingLiU_HKSCS"/>
          <w:color w:val="000000"/>
        </w:rPr>
      </w:pPr>
      <w:r>
        <w:rPr>
          <w:rFonts w:ascii="Times New Roman" w:hAnsi="Times New Roman"/>
          <w:color w:val="000000"/>
        </w:rPr>
        <w:br w:type="page"/>
      </w:r>
      <w:r>
        <w:rPr>
          <w:rFonts w:hint="eastAsia" w:ascii="Times New Roman" w:hAnsi="Times New Roman"/>
          <w:color w:val="000000"/>
        </w:rPr>
        <w:t>根据《中华人民共和国政府采购法》、《中华人民共和国民法典》等有关法律法规规定</w:t>
      </w:r>
      <w:r>
        <w:rPr>
          <w:rFonts w:hint="eastAsia" w:hAnsi="宋体"/>
          <w:color w:val="000000"/>
        </w:rPr>
        <w:t>，</w:t>
      </w:r>
      <w:r>
        <w:rPr>
          <w:rFonts w:ascii="Times New Roman" w:hAnsi="Times New Roman"/>
          <w:color w:val="000000"/>
        </w:rPr>
        <w:t>____________（</w:t>
      </w:r>
      <w:r>
        <w:rPr>
          <w:rFonts w:hint="eastAsia" w:ascii="Times New Roman" w:hAnsi="Times New Roman"/>
          <w:color w:val="000000"/>
        </w:rPr>
        <w:t>采购人名称</w:t>
      </w:r>
      <w:r>
        <w:rPr>
          <w:rFonts w:ascii="Times New Roman" w:hAnsi="Times New Roman"/>
          <w:color w:val="000000"/>
        </w:rPr>
        <w:t>）（</w:t>
      </w:r>
      <w:r>
        <w:rPr>
          <w:rFonts w:hint="eastAsia" w:ascii="Times New Roman" w:hAnsi="Times New Roman"/>
          <w:color w:val="000000"/>
        </w:rPr>
        <w:t>以下简称：</w:t>
      </w:r>
      <w:r>
        <w:rPr>
          <w:rFonts w:hint="eastAsia" w:hAnsi="宋体"/>
          <w:color w:val="000000"/>
        </w:rPr>
        <w:t>“</w:t>
      </w:r>
      <w:r>
        <w:rPr>
          <w:rFonts w:hint="eastAsia" w:ascii="Times New Roman" w:hAnsi="Times New Roman"/>
          <w:color w:val="000000"/>
        </w:rPr>
        <w:t>甲方</w:t>
      </w:r>
      <w:r>
        <w:rPr>
          <w:rFonts w:hint="eastAsia" w:hAnsi="宋体"/>
          <w:color w:val="000000"/>
        </w:rPr>
        <w:t>”</w:t>
      </w:r>
      <w:r>
        <w:rPr>
          <w:rFonts w:ascii="Times New Roman" w:hAnsi="Times New Roman"/>
          <w:color w:val="000000"/>
        </w:rPr>
        <w:t>）</w:t>
      </w:r>
      <w:r>
        <w:rPr>
          <w:rFonts w:hint="eastAsia" w:ascii="Times New Roman" w:hAnsi="Times New Roman"/>
          <w:color w:val="000000"/>
        </w:rPr>
        <w:t>通过</w:t>
      </w:r>
      <w:r>
        <w:rPr>
          <w:rFonts w:ascii="Times New Roman" w:hAnsi="Times New Roman"/>
          <w:color w:val="000000"/>
        </w:rPr>
        <w:t>______</w:t>
      </w:r>
      <w:r>
        <w:rPr>
          <w:rFonts w:hint="eastAsia" w:ascii="Times New Roman" w:hAnsi="Times New Roman"/>
          <w:color w:val="000000"/>
        </w:rPr>
        <w:t>采购</w:t>
      </w:r>
      <w:r>
        <w:rPr>
          <w:rFonts w:ascii="Times New Roman" w:hAnsi="Times New Roman"/>
          <w:color w:val="000000"/>
        </w:rPr>
        <w:t>（</w:t>
      </w:r>
      <w:r>
        <w:rPr>
          <w:rFonts w:hint="eastAsia" w:ascii="Times New Roman" w:hAnsi="Times New Roman"/>
          <w:color w:val="000000"/>
        </w:rPr>
        <w:t>采购人式</w:t>
      </w:r>
      <w:r>
        <w:rPr>
          <w:rFonts w:ascii="Times New Roman" w:hAnsi="Times New Roman"/>
          <w:color w:val="000000"/>
        </w:rPr>
        <w:t>）</w:t>
      </w:r>
      <w:r>
        <w:rPr>
          <w:rFonts w:hint="eastAsia" w:ascii="Times New Roman" w:hAnsi="Times New Roman"/>
          <w:color w:val="000000"/>
        </w:rPr>
        <w:t>确定</w:t>
      </w:r>
      <w:r>
        <w:rPr>
          <w:rFonts w:ascii="Times New Roman" w:hAnsi="Times New Roman"/>
          <w:color w:val="000000"/>
        </w:rPr>
        <w:t>______（</w:t>
      </w:r>
      <w:r>
        <w:rPr>
          <w:rFonts w:hint="eastAsia" w:ascii="Times New Roman" w:hAnsi="Times New Roman"/>
          <w:color w:val="000000"/>
        </w:rPr>
        <w:t>供应商名称</w:t>
      </w:r>
      <w:r>
        <w:rPr>
          <w:rFonts w:ascii="Times New Roman" w:hAnsi="Times New Roman"/>
          <w:color w:val="000000"/>
        </w:rPr>
        <w:t>）（</w:t>
      </w:r>
      <w:r>
        <w:rPr>
          <w:rFonts w:hint="eastAsia" w:ascii="Times New Roman" w:hAnsi="Times New Roman"/>
          <w:color w:val="000000"/>
        </w:rPr>
        <w:t>以下简称：</w:t>
      </w:r>
      <w:r>
        <w:rPr>
          <w:rFonts w:hint="eastAsia" w:hAnsi="宋体"/>
          <w:color w:val="000000"/>
        </w:rPr>
        <w:t>“</w:t>
      </w:r>
      <w:r>
        <w:rPr>
          <w:rFonts w:hint="eastAsia" w:ascii="Times New Roman" w:hAnsi="Times New Roman"/>
          <w:color w:val="000000"/>
        </w:rPr>
        <w:t>乙方</w:t>
      </w:r>
      <w:r>
        <w:rPr>
          <w:rFonts w:hint="eastAsia" w:hAnsi="宋体"/>
          <w:color w:val="000000"/>
        </w:rPr>
        <w:t>”</w:t>
      </w:r>
      <w:r>
        <w:rPr>
          <w:rFonts w:ascii="Times New Roman" w:hAnsi="Times New Roman"/>
          <w:color w:val="000000"/>
        </w:rPr>
        <w:t>）</w:t>
      </w:r>
      <w:r>
        <w:rPr>
          <w:rFonts w:hint="eastAsia" w:ascii="Times New Roman" w:hAnsi="Times New Roman"/>
          <w:color w:val="000000"/>
        </w:rPr>
        <w:t>为</w:t>
      </w:r>
      <w:r>
        <w:rPr>
          <w:rFonts w:ascii="Times New Roman" w:hAnsi="Times New Roman"/>
          <w:color w:val="000000"/>
        </w:rPr>
        <w:t>______</w:t>
      </w:r>
      <w:r>
        <w:rPr>
          <w:rFonts w:hint="eastAsia" w:ascii="Times New Roman" w:hAnsi="Times New Roman"/>
          <w:color w:val="000000"/>
        </w:rPr>
        <w:t>项目</w:t>
      </w:r>
      <w:r>
        <w:rPr>
          <w:rFonts w:ascii="Times New Roman" w:hAnsi="Times New Roman"/>
          <w:color w:val="000000"/>
        </w:rPr>
        <w:t>（</w:t>
      </w:r>
      <w:r>
        <w:rPr>
          <w:rFonts w:hint="eastAsia" w:ascii="Times New Roman" w:hAnsi="Times New Roman"/>
          <w:color w:val="000000"/>
        </w:rPr>
        <w:t>项目名称</w:t>
      </w:r>
      <w:r>
        <w:rPr>
          <w:rFonts w:ascii="Times New Roman" w:hAnsi="Times New Roman"/>
          <w:color w:val="000000"/>
        </w:rPr>
        <w:t>）</w:t>
      </w:r>
      <w:r>
        <w:rPr>
          <w:rFonts w:hint="eastAsia" w:ascii="Times New Roman" w:hAnsi="Times New Roman"/>
          <w:color w:val="000000"/>
        </w:rPr>
        <w:t>的</w:t>
      </w:r>
      <w:r>
        <w:rPr>
          <w:rFonts w:ascii="Times New Roman" w:hAnsi="Times New Roman"/>
          <w:color w:val="000000"/>
        </w:rPr>
        <w:t>______</w:t>
      </w:r>
      <w:r>
        <w:rPr>
          <w:rFonts w:hint="eastAsia" w:ascii="Times New Roman" w:hAnsi="Times New Roman"/>
          <w:color w:val="000000"/>
        </w:rPr>
        <w:t>供应商。甲乙双方同意签署《</w:t>
      </w:r>
      <w:r>
        <w:rPr>
          <w:rFonts w:ascii="Times New Roman" w:hAnsi="Times New Roman"/>
          <w:color w:val="000000"/>
        </w:rPr>
        <w:t>______</w:t>
      </w:r>
      <w:r>
        <w:rPr>
          <w:rFonts w:hint="eastAsia" w:ascii="Times New Roman" w:hAnsi="Times New Roman"/>
          <w:color w:val="000000"/>
        </w:rPr>
        <w:t>项目</w:t>
      </w:r>
      <w:r>
        <w:rPr>
          <w:rFonts w:ascii="Times New Roman" w:hAnsi="Times New Roman"/>
          <w:color w:val="000000"/>
        </w:rPr>
        <w:t>（</w:t>
      </w:r>
      <w:r>
        <w:rPr>
          <w:rFonts w:hint="eastAsia" w:ascii="Times New Roman" w:hAnsi="Times New Roman"/>
          <w:color w:val="000000"/>
        </w:rPr>
        <w:t>项目名称</w:t>
      </w:r>
      <w:r>
        <w:rPr>
          <w:rFonts w:ascii="Times New Roman" w:hAnsi="Times New Roman"/>
          <w:color w:val="000000"/>
        </w:rPr>
        <w:t>）</w:t>
      </w:r>
      <w:r>
        <w:rPr>
          <w:rFonts w:hint="eastAsia" w:ascii="Times New Roman" w:hAnsi="Times New Roman"/>
          <w:color w:val="000000"/>
        </w:rPr>
        <w:t>合同》</w:t>
      </w:r>
      <w:r>
        <w:rPr>
          <w:rFonts w:ascii="Times New Roman" w:hAnsi="Times New Roman"/>
          <w:color w:val="000000"/>
        </w:rPr>
        <w:t>（</w:t>
      </w:r>
      <w:r>
        <w:rPr>
          <w:rFonts w:hint="eastAsia" w:ascii="Times New Roman" w:hAnsi="Times New Roman"/>
          <w:color w:val="000000"/>
        </w:rPr>
        <w:t>合同编号：</w:t>
      </w:r>
      <w:r>
        <w:rPr>
          <w:rFonts w:ascii="Times New Roman" w:hAnsi="Times New Roman"/>
          <w:color w:val="000000"/>
        </w:rPr>
        <w:t>______</w:t>
      </w:r>
      <w:r>
        <w:rPr>
          <w:rFonts w:hint="eastAsia" w:hAnsi="宋体"/>
          <w:color w:val="000000"/>
        </w:rPr>
        <w:t>，</w:t>
      </w:r>
      <w:r>
        <w:rPr>
          <w:rFonts w:hint="eastAsia" w:ascii="Times New Roman" w:hAnsi="Times New Roman"/>
          <w:color w:val="000000"/>
        </w:rPr>
        <w:t>以下简称：</w:t>
      </w:r>
      <w:r>
        <w:rPr>
          <w:rFonts w:hint="eastAsia" w:hAnsi="宋体"/>
          <w:color w:val="000000"/>
        </w:rPr>
        <w:t>“</w:t>
      </w:r>
      <w:r>
        <w:rPr>
          <w:rFonts w:hint="eastAsia" w:ascii="Times New Roman" w:hAnsi="Times New Roman"/>
          <w:color w:val="000000"/>
        </w:rPr>
        <w:t>合同</w:t>
      </w:r>
      <w:r>
        <w:rPr>
          <w:rFonts w:hint="eastAsia" w:hAnsi="宋体"/>
          <w:color w:val="000000"/>
        </w:rPr>
        <w:t>”</w:t>
      </w:r>
      <w:r>
        <w:rPr>
          <w:rFonts w:ascii="Times New Roman" w:hAnsi="Times New Roman"/>
          <w:color w:val="000000"/>
        </w:rPr>
        <w:t>）</w:t>
      </w:r>
      <w:r>
        <w:rPr>
          <w:rFonts w:hint="eastAsia" w:ascii="Times New Roman" w:hAnsi="Times New Roman"/>
          <w:color w:val="000000"/>
        </w:rPr>
        <w:t>。</w:t>
      </w:r>
    </w:p>
    <w:p>
      <w:pPr>
        <w:pStyle w:val="25"/>
        <w:spacing w:line="380" w:lineRule="exact"/>
        <w:ind w:firstLine="420" w:firstLineChars="200"/>
        <w:rPr>
          <w:rFonts w:ascii="Times New Roman" w:hAnsi="Times New Roman" w:eastAsia="MingLiU_HKSCS"/>
          <w:color w:val="000000"/>
        </w:rPr>
      </w:pPr>
      <w:r>
        <w:rPr>
          <w:rFonts w:ascii="Times New Roman" w:hAnsi="Times New Roman"/>
          <w:color w:val="000000"/>
        </w:rPr>
        <w:t>1</w:t>
      </w:r>
      <w:r>
        <w:rPr>
          <w:rFonts w:hint="eastAsia" w:ascii="Times New Roman" w:hAnsi="Times New Roman"/>
          <w:color w:val="000000"/>
        </w:rPr>
        <w:t>、合同文件</w:t>
      </w:r>
    </w:p>
    <w:p>
      <w:pPr>
        <w:pStyle w:val="25"/>
        <w:spacing w:line="380" w:lineRule="exact"/>
        <w:ind w:firstLine="420" w:firstLineChars="200"/>
        <w:rPr>
          <w:rFonts w:ascii="Times New Roman" w:hAnsi="Times New Roman" w:eastAsia="MingLiU_HKSCS"/>
          <w:color w:val="000000"/>
        </w:rPr>
      </w:pPr>
      <w:r>
        <w:rPr>
          <w:rFonts w:hint="eastAsia" w:ascii="Times New Roman" w:hAnsi="Times New Roman"/>
          <w:color w:val="000000"/>
        </w:rPr>
        <w:t>下列文件是构成本合同不可分割的部分：</w:t>
      </w:r>
    </w:p>
    <w:p>
      <w:pPr>
        <w:pStyle w:val="25"/>
        <w:spacing w:line="380" w:lineRule="exact"/>
        <w:ind w:firstLine="420" w:firstLineChars="200"/>
        <w:rPr>
          <w:rFonts w:ascii="Times New Roman" w:hAnsi="Times New Roman" w:eastAsia="MingLiU_HKSCS"/>
          <w:color w:val="000000"/>
        </w:rPr>
      </w:pPr>
      <w:r>
        <w:rPr>
          <w:rFonts w:ascii="Times New Roman" w:hAnsi="Times New Roman"/>
          <w:color w:val="000000"/>
        </w:rPr>
        <w:t>（1）</w:t>
      </w:r>
      <w:r>
        <w:rPr>
          <w:rFonts w:hint="eastAsia" w:ascii="Times New Roman" w:hAnsi="Times New Roman"/>
          <w:color w:val="000000"/>
        </w:rPr>
        <w:t>合同条款；</w:t>
      </w:r>
    </w:p>
    <w:p>
      <w:pPr>
        <w:pStyle w:val="25"/>
        <w:spacing w:line="380" w:lineRule="exact"/>
        <w:ind w:firstLine="420" w:firstLineChars="200"/>
        <w:rPr>
          <w:rFonts w:ascii="Times New Roman" w:hAnsi="Times New Roman" w:eastAsia="MingLiU_HKSCS"/>
          <w:color w:val="000000"/>
        </w:rPr>
      </w:pPr>
      <w:r>
        <w:rPr>
          <w:rFonts w:ascii="Times New Roman" w:hAnsi="Times New Roman"/>
          <w:color w:val="000000"/>
        </w:rPr>
        <w:t>（2）</w:t>
      </w:r>
      <w:r>
        <w:rPr>
          <w:rFonts w:hint="eastAsia" w:ascii="Times New Roman" w:hAnsi="Times New Roman"/>
          <w:color w:val="000000"/>
        </w:rPr>
        <w:t>报价表；</w:t>
      </w:r>
    </w:p>
    <w:p>
      <w:pPr>
        <w:pStyle w:val="25"/>
        <w:spacing w:line="380" w:lineRule="exact"/>
        <w:ind w:firstLine="420" w:firstLineChars="200"/>
        <w:rPr>
          <w:rFonts w:ascii="Times New Roman" w:hAnsi="Times New Roman"/>
          <w:color w:val="000000"/>
        </w:rPr>
      </w:pPr>
      <w:r>
        <w:rPr>
          <w:rFonts w:hint="eastAsia" w:ascii="Times New Roman" w:hAnsi="Times New Roman"/>
          <w:color w:val="000000"/>
        </w:rPr>
        <w:t>（3）招标文件</w:t>
      </w:r>
      <w:r>
        <w:rPr>
          <w:rFonts w:hint="eastAsia" w:hAnsi="宋体" w:cs="宋体"/>
          <w:color w:val="000000"/>
        </w:rPr>
        <w:t>（含补充、修改文件）</w:t>
      </w:r>
      <w:r>
        <w:rPr>
          <w:rFonts w:hint="eastAsia" w:ascii="Times New Roman" w:hAnsi="Times New Roman"/>
          <w:color w:val="000000"/>
        </w:rPr>
        <w:t>；</w:t>
      </w:r>
    </w:p>
    <w:p>
      <w:pPr>
        <w:pStyle w:val="25"/>
        <w:spacing w:line="380" w:lineRule="exact"/>
        <w:ind w:firstLine="420" w:firstLineChars="200"/>
        <w:rPr>
          <w:rFonts w:ascii="Times New Roman" w:hAnsi="Times New Roman" w:eastAsia="MingLiU_HKSCS"/>
          <w:color w:val="000000"/>
        </w:rPr>
      </w:pPr>
      <w:r>
        <w:rPr>
          <w:rFonts w:ascii="Times New Roman" w:hAnsi="Times New Roman"/>
          <w:color w:val="000000"/>
        </w:rPr>
        <w:t>（4）</w:t>
      </w:r>
      <w:r>
        <w:rPr>
          <w:rFonts w:hint="eastAsia" w:ascii="Times New Roman" w:hAnsi="Times New Roman"/>
          <w:color w:val="000000"/>
        </w:rPr>
        <w:t>投标</w:t>
      </w:r>
      <w:r>
        <w:rPr>
          <w:rFonts w:ascii="Times New Roman" w:hAnsi="Times New Roman"/>
          <w:color w:val="000000"/>
        </w:rPr>
        <w:t>（</w:t>
      </w:r>
      <w:r>
        <w:rPr>
          <w:rFonts w:hint="eastAsia" w:ascii="Times New Roman" w:hAnsi="Times New Roman"/>
          <w:color w:val="000000"/>
        </w:rPr>
        <w:t>响应</w:t>
      </w:r>
      <w:r>
        <w:rPr>
          <w:rFonts w:ascii="Times New Roman" w:hAnsi="Times New Roman"/>
          <w:color w:val="000000"/>
        </w:rPr>
        <w:t>）</w:t>
      </w:r>
      <w:r>
        <w:rPr>
          <w:rFonts w:hint="eastAsia" w:ascii="Times New Roman" w:hAnsi="Times New Roman"/>
          <w:color w:val="000000"/>
        </w:rPr>
        <w:t>文件</w:t>
      </w:r>
      <w:r>
        <w:rPr>
          <w:rFonts w:hint="eastAsia" w:hAnsi="宋体" w:cs="宋体"/>
          <w:color w:val="000000"/>
        </w:rPr>
        <w:t>（含澄清、补充文件）</w:t>
      </w:r>
      <w:r>
        <w:rPr>
          <w:rFonts w:hint="eastAsia" w:ascii="Times New Roman" w:hAnsi="Times New Roman"/>
          <w:color w:val="000000"/>
        </w:rPr>
        <w:t>；</w:t>
      </w:r>
    </w:p>
    <w:p>
      <w:pPr>
        <w:pStyle w:val="25"/>
        <w:spacing w:line="380" w:lineRule="exact"/>
        <w:ind w:firstLine="420" w:firstLineChars="200"/>
        <w:rPr>
          <w:rFonts w:ascii="Times New Roman" w:hAnsi="Times New Roman" w:eastAsia="MingLiU_HKSCS"/>
          <w:color w:val="000000"/>
        </w:rPr>
      </w:pPr>
      <w:r>
        <w:rPr>
          <w:rFonts w:ascii="Times New Roman" w:hAnsi="Times New Roman"/>
          <w:color w:val="000000"/>
        </w:rPr>
        <w:t>（5）</w:t>
      </w:r>
      <w:r>
        <w:rPr>
          <w:rFonts w:hint="eastAsia" w:ascii="Times New Roman" w:hAnsi="Times New Roman"/>
          <w:color w:val="000000"/>
        </w:rPr>
        <w:t>其他。</w:t>
      </w:r>
    </w:p>
    <w:p>
      <w:pPr>
        <w:pStyle w:val="25"/>
        <w:spacing w:line="380" w:lineRule="exact"/>
        <w:ind w:firstLine="420" w:firstLineChars="200"/>
        <w:rPr>
          <w:rFonts w:ascii="Times New Roman" w:hAnsi="Times New Roman" w:eastAsia="MingLiU_HKSCS"/>
          <w:color w:val="000000"/>
        </w:rPr>
      </w:pPr>
      <w:r>
        <w:rPr>
          <w:rFonts w:ascii="Times New Roman" w:hAnsi="Times New Roman"/>
          <w:color w:val="000000"/>
        </w:rPr>
        <w:t>2</w:t>
      </w:r>
      <w:r>
        <w:rPr>
          <w:rFonts w:hint="eastAsia" w:ascii="Times New Roman" w:hAnsi="Times New Roman"/>
          <w:color w:val="000000"/>
        </w:rPr>
        <w:t>、合同标的</w:t>
      </w:r>
      <w:r>
        <w:rPr>
          <w:rFonts w:ascii="Times New Roman" w:hAnsi="Times New Roman"/>
          <w:color w:val="000000"/>
        </w:rPr>
        <w:t>（</w:t>
      </w:r>
      <w:r>
        <w:rPr>
          <w:rFonts w:hint="eastAsia" w:ascii="Times New Roman" w:hAnsi="Times New Roman"/>
          <w:color w:val="000000"/>
        </w:rPr>
        <w:t>根据实际情况填写</w:t>
      </w:r>
      <w:r>
        <w:rPr>
          <w:rFonts w:ascii="Times New Roman" w:hAnsi="Times New Roman"/>
          <w:color w:val="000000"/>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819"/>
        <w:gridCol w:w="819"/>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7" w:type="dxa"/>
            <w:vAlign w:val="center"/>
          </w:tcPr>
          <w:p>
            <w:pPr>
              <w:pStyle w:val="25"/>
              <w:jc w:val="center"/>
              <w:rPr>
                <w:rFonts w:ascii="Times New Roman" w:hAnsi="Times New Roman"/>
                <w:color w:val="000000"/>
              </w:rPr>
            </w:pPr>
            <w:r>
              <w:rPr>
                <w:rFonts w:hint="eastAsia" w:ascii="Times New Roman" w:hAnsi="Times New Roman"/>
                <w:color w:val="000000"/>
              </w:rPr>
              <w:t>服务名称</w:t>
            </w:r>
          </w:p>
        </w:tc>
        <w:tc>
          <w:tcPr>
            <w:tcW w:w="819" w:type="dxa"/>
            <w:vAlign w:val="center"/>
          </w:tcPr>
          <w:p>
            <w:pPr>
              <w:pStyle w:val="25"/>
              <w:jc w:val="center"/>
              <w:rPr>
                <w:rFonts w:ascii="Times New Roman" w:hAnsi="Times New Roman"/>
                <w:color w:val="000000"/>
              </w:rPr>
            </w:pPr>
            <w:r>
              <w:rPr>
                <w:rFonts w:hint="eastAsia" w:ascii="Times New Roman" w:hAnsi="Times New Roman"/>
                <w:color w:val="000000"/>
              </w:rPr>
              <w:t>数量</w:t>
            </w:r>
          </w:p>
        </w:tc>
        <w:tc>
          <w:tcPr>
            <w:tcW w:w="819" w:type="dxa"/>
            <w:vAlign w:val="center"/>
          </w:tcPr>
          <w:p>
            <w:pPr>
              <w:pStyle w:val="25"/>
              <w:jc w:val="center"/>
              <w:rPr>
                <w:rFonts w:ascii="Times New Roman" w:hAnsi="Times New Roman"/>
                <w:color w:val="000000"/>
              </w:rPr>
            </w:pPr>
            <w:r>
              <w:rPr>
                <w:rFonts w:hint="eastAsia" w:ascii="Times New Roman" w:hAnsi="Times New Roman"/>
                <w:color w:val="000000"/>
              </w:rPr>
              <w:t>单位</w:t>
            </w:r>
          </w:p>
        </w:tc>
        <w:tc>
          <w:tcPr>
            <w:tcW w:w="5915" w:type="dxa"/>
            <w:vAlign w:val="center"/>
          </w:tcPr>
          <w:p>
            <w:pPr>
              <w:pStyle w:val="25"/>
              <w:jc w:val="center"/>
              <w:rPr>
                <w:rFonts w:ascii="Times New Roman" w:hAnsi="Times New Roman" w:eastAsia="MingLiU_HKSCS"/>
                <w:color w:val="000000"/>
              </w:rPr>
            </w:pPr>
            <w:r>
              <w:rPr>
                <w:rFonts w:hint="eastAsia" w:ascii="Times New Roman" w:hAnsi="Times New Roman"/>
                <w:color w:val="000000"/>
              </w:rPr>
              <w:t>具体服务承诺</w:t>
            </w:r>
            <w:r>
              <w:rPr>
                <w:rFonts w:ascii="Times New Roman" w:hAnsi="Times New Roman"/>
                <w:color w:val="000000"/>
              </w:rPr>
              <w:t>（</w:t>
            </w:r>
            <w:r>
              <w:rPr>
                <w:rFonts w:hint="eastAsia" w:ascii="Times New Roman" w:hAnsi="Times New Roman"/>
                <w:color w:val="000000"/>
              </w:rPr>
              <w:t>包含但不限于服务内容、范围和基本要求</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7" w:type="dxa"/>
            <w:vAlign w:val="center"/>
          </w:tcPr>
          <w:p>
            <w:pPr>
              <w:pStyle w:val="25"/>
              <w:jc w:val="center"/>
              <w:rPr>
                <w:rFonts w:ascii="Times New Roman" w:hAnsi="Times New Roman"/>
                <w:color w:val="000000"/>
              </w:rPr>
            </w:pPr>
          </w:p>
        </w:tc>
        <w:tc>
          <w:tcPr>
            <w:tcW w:w="819" w:type="dxa"/>
            <w:vAlign w:val="center"/>
          </w:tcPr>
          <w:p>
            <w:pPr>
              <w:pStyle w:val="25"/>
              <w:jc w:val="center"/>
              <w:rPr>
                <w:rFonts w:ascii="Times New Roman" w:hAnsi="Times New Roman"/>
                <w:color w:val="000000"/>
              </w:rPr>
            </w:pPr>
          </w:p>
        </w:tc>
        <w:tc>
          <w:tcPr>
            <w:tcW w:w="819" w:type="dxa"/>
            <w:vAlign w:val="center"/>
          </w:tcPr>
          <w:p>
            <w:pPr>
              <w:pStyle w:val="25"/>
              <w:jc w:val="center"/>
              <w:rPr>
                <w:rFonts w:ascii="Times New Roman" w:hAnsi="Times New Roman"/>
                <w:color w:val="000000"/>
              </w:rPr>
            </w:pPr>
            <w:r>
              <w:rPr>
                <w:rFonts w:hint="eastAsia" w:ascii="Times New Roman" w:hAnsi="Times New Roman"/>
                <w:color w:val="000000"/>
              </w:rPr>
              <w:t>项</w:t>
            </w:r>
          </w:p>
        </w:tc>
        <w:tc>
          <w:tcPr>
            <w:tcW w:w="5915" w:type="dxa"/>
            <w:vAlign w:val="center"/>
          </w:tcPr>
          <w:p>
            <w:pPr>
              <w:pStyle w:val="25"/>
              <w:jc w:val="center"/>
              <w:rPr>
                <w:rFonts w:ascii="Times New Roman" w:hAnsi="Times New Roman" w:eastAsia="MingLiU_HKS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27" w:type="dxa"/>
            <w:vAlign w:val="center"/>
          </w:tcPr>
          <w:p>
            <w:pPr>
              <w:pStyle w:val="25"/>
              <w:jc w:val="center"/>
              <w:rPr>
                <w:rFonts w:ascii="Times New Roman" w:hAnsi="Times New Roman" w:eastAsia="MingLiU_HKSCS"/>
                <w:color w:val="000000"/>
              </w:rPr>
            </w:pPr>
            <w:r>
              <w:rPr>
                <w:rFonts w:hint="eastAsia" w:hAnsi="宋体"/>
                <w:color w:val="000000"/>
              </w:rPr>
              <w:t>…</w:t>
            </w:r>
          </w:p>
        </w:tc>
        <w:tc>
          <w:tcPr>
            <w:tcW w:w="819" w:type="dxa"/>
            <w:vAlign w:val="center"/>
          </w:tcPr>
          <w:p>
            <w:pPr>
              <w:pStyle w:val="25"/>
              <w:jc w:val="center"/>
              <w:rPr>
                <w:rFonts w:ascii="Times New Roman" w:hAnsi="Times New Roman" w:eastAsia="MingLiU_HKSCS"/>
                <w:color w:val="000000"/>
              </w:rPr>
            </w:pPr>
          </w:p>
        </w:tc>
        <w:tc>
          <w:tcPr>
            <w:tcW w:w="819" w:type="dxa"/>
            <w:vAlign w:val="center"/>
          </w:tcPr>
          <w:p>
            <w:pPr>
              <w:pStyle w:val="25"/>
              <w:jc w:val="center"/>
              <w:rPr>
                <w:rFonts w:ascii="Times New Roman" w:hAnsi="Times New Roman" w:eastAsia="MingLiU_HKSCS"/>
                <w:color w:val="000000"/>
              </w:rPr>
            </w:pPr>
          </w:p>
        </w:tc>
        <w:tc>
          <w:tcPr>
            <w:tcW w:w="5915" w:type="dxa"/>
            <w:vAlign w:val="center"/>
          </w:tcPr>
          <w:p>
            <w:pPr>
              <w:pStyle w:val="25"/>
              <w:jc w:val="center"/>
              <w:rPr>
                <w:rFonts w:ascii="Times New Roman" w:hAnsi="Times New Roman" w:eastAsia="MingLiU_HKSCS"/>
                <w:color w:val="000000"/>
              </w:rPr>
            </w:pPr>
          </w:p>
        </w:tc>
      </w:tr>
    </w:tbl>
    <w:p>
      <w:pPr>
        <w:pStyle w:val="25"/>
        <w:ind w:firstLine="420" w:firstLineChars="200"/>
        <w:rPr>
          <w:rFonts w:ascii="Times New Roman" w:hAnsi="Times New Roman" w:eastAsia="MingLiU_HKSCS"/>
          <w:color w:val="000000"/>
        </w:rPr>
      </w:pPr>
    </w:p>
    <w:p>
      <w:pPr>
        <w:pStyle w:val="25"/>
        <w:spacing w:line="380" w:lineRule="exact"/>
        <w:ind w:firstLine="420" w:firstLineChars="200"/>
        <w:rPr>
          <w:rFonts w:ascii="Times New Roman" w:hAnsi="Times New Roman"/>
          <w:color w:val="000000"/>
        </w:rPr>
      </w:pPr>
      <w:r>
        <w:rPr>
          <w:rFonts w:ascii="Times New Roman" w:hAnsi="Times New Roman"/>
          <w:color w:val="000000"/>
        </w:rPr>
        <w:t>3</w:t>
      </w:r>
      <w:r>
        <w:rPr>
          <w:rFonts w:hint="eastAsia" w:ascii="Times New Roman" w:hAnsi="Times New Roman"/>
          <w:color w:val="000000"/>
        </w:rPr>
        <w:t>、合同金额</w:t>
      </w:r>
    </w:p>
    <w:p>
      <w:pPr>
        <w:pStyle w:val="25"/>
        <w:spacing w:line="380" w:lineRule="exact"/>
        <w:ind w:firstLine="420" w:firstLineChars="200"/>
        <w:rPr>
          <w:rFonts w:ascii="Times New Roman" w:hAnsi="Times New Roman"/>
          <w:color w:val="000000"/>
        </w:rPr>
      </w:pPr>
      <w:r>
        <w:rPr>
          <w:rFonts w:hint="eastAsia" w:ascii="Times New Roman" w:hAnsi="Times New Roman"/>
          <w:color w:val="000000"/>
        </w:rPr>
        <w:t>本合同总金额为人民币</w:t>
      </w:r>
      <w:r>
        <w:rPr>
          <w:rFonts w:ascii="Times New Roman" w:hAnsi="Times New Roman"/>
          <w:color w:val="000000"/>
        </w:rPr>
        <w:t>______</w:t>
      </w:r>
      <w:r>
        <w:rPr>
          <w:rFonts w:hint="eastAsia" w:ascii="Times New Roman" w:hAnsi="Times New Roman"/>
          <w:color w:val="000000"/>
        </w:rPr>
        <w:t>元</w:t>
      </w:r>
      <w:r>
        <w:rPr>
          <w:rFonts w:ascii="Times New Roman" w:hAnsi="Times New Roman"/>
          <w:color w:val="000000"/>
        </w:rPr>
        <w:t>（</w:t>
      </w:r>
      <w:r>
        <w:rPr>
          <w:rFonts w:hint="eastAsia" w:ascii="Times New Roman" w:hAnsi="Times New Roman"/>
          <w:color w:val="000000"/>
        </w:rPr>
        <w:t>￥</w:t>
      </w:r>
      <w:r>
        <w:rPr>
          <w:rFonts w:ascii="Times New Roman" w:hAnsi="Times New Roman"/>
          <w:color w:val="000000"/>
        </w:rPr>
        <w:t>______）</w:t>
      </w:r>
      <w:r>
        <w:rPr>
          <w:rFonts w:hint="eastAsia" w:ascii="Times New Roman" w:hAnsi="Times New Roman"/>
          <w:color w:val="000000"/>
        </w:rPr>
        <w:t>。本合同项下所有服务的全部税费均已包含于合同价中，甲方不再另行支付。</w:t>
      </w:r>
    </w:p>
    <w:p>
      <w:pPr>
        <w:pStyle w:val="25"/>
        <w:spacing w:line="380" w:lineRule="exact"/>
        <w:ind w:firstLine="420" w:firstLineChars="200"/>
        <w:rPr>
          <w:rFonts w:ascii="Times New Roman" w:hAnsi="Times New Roman"/>
          <w:color w:val="000000"/>
        </w:rPr>
      </w:pPr>
    </w:p>
    <w:p>
      <w:pPr>
        <w:pStyle w:val="25"/>
        <w:spacing w:line="380" w:lineRule="exact"/>
        <w:ind w:firstLine="420" w:firstLineChars="200"/>
        <w:rPr>
          <w:rFonts w:ascii="Times New Roman" w:hAnsi="Times New Roman"/>
          <w:color w:val="000000"/>
        </w:rPr>
      </w:pPr>
      <w:r>
        <w:rPr>
          <w:rFonts w:ascii="Times New Roman" w:hAnsi="Times New Roman"/>
          <w:color w:val="000000"/>
        </w:rPr>
        <w:t>4</w:t>
      </w:r>
      <w:r>
        <w:rPr>
          <w:rFonts w:hint="eastAsia" w:ascii="Times New Roman" w:hAnsi="Times New Roman"/>
          <w:color w:val="000000"/>
        </w:rPr>
        <w:t>、合同签订地</w:t>
      </w:r>
    </w:p>
    <w:p>
      <w:pPr>
        <w:pStyle w:val="25"/>
        <w:spacing w:line="380" w:lineRule="exact"/>
        <w:ind w:firstLine="420" w:firstLineChars="200"/>
        <w:rPr>
          <w:rFonts w:ascii="Times New Roman" w:hAnsi="Times New Roman"/>
          <w:color w:val="000000"/>
        </w:rPr>
      </w:pPr>
      <w:r>
        <w:rPr>
          <w:rFonts w:hint="eastAsia" w:ascii="Times New Roman" w:hAnsi="Times New Roman"/>
          <w:color w:val="000000"/>
        </w:rPr>
        <w:t>根据实际情况填写</w:t>
      </w:r>
    </w:p>
    <w:p>
      <w:pPr>
        <w:pStyle w:val="25"/>
        <w:spacing w:line="380" w:lineRule="exact"/>
        <w:ind w:firstLine="420" w:firstLineChars="200"/>
        <w:rPr>
          <w:rFonts w:ascii="Times New Roman" w:hAnsi="Times New Roman"/>
          <w:color w:val="000000"/>
        </w:rPr>
      </w:pPr>
    </w:p>
    <w:p>
      <w:pPr>
        <w:pStyle w:val="25"/>
        <w:spacing w:line="380" w:lineRule="exact"/>
        <w:ind w:firstLine="420" w:firstLineChars="200"/>
        <w:rPr>
          <w:rFonts w:ascii="Times New Roman" w:hAnsi="Times New Roman"/>
          <w:color w:val="000000"/>
        </w:rPr>
      </w:pPr>
      <w:r>
        <w:rPr>
          <w:rFonts w:ascii="Times New Roman" w:hAnsi="Times New Roman"/>
          <w:color w:val="000000"/>
        </w:rPr>
        <w:t>5</w:t>
      </w:r>
      <w:r>
        <w:rPr>
          <w:rFonts w:hint="eastAsia" w:ascii="Times New Roman" w:hAnsi="Times New Roman"/>
          <w:color w:val="000000"/>
        </w:rPr>
        <w:t>、合同生效</w:t>
      </w:r>
    </w:p>
    <w:p>
      <w:pPr>
        <w:pStyle w:val="25"/>
        <w:spacing w:line="380" w:lineRule="exact"/>
        <w:ind w:firstLine="420" w:firstLineChars="200"/>
        <w:rPr>
          <w:rFonts w:ascii="Times New Roman" w:hAnsi="Times New Roman"/>
          <w:color w:val="000000"/>
        </w:rPr>
      </w:pPr>
      <w:r>
        <w:rPr>
          <w:rFonts w:hint="eastAsia" w:ascii="Times New Roman" w:hAnsi="Times New Roman"/>
          <w:color w:val="000000"/>
        </w:rPr>
        <w:t>本合同一式</w:t>
      </w:r>
      <w:r>
        <w:rPr>
          <w:rFonts w:ascii="Times New Roman" w:hAnsi="Times New Roman"/>
          <w:color w:val="000000"/>
        </w:rPr>
        <w:t>______</w:t>
      </w:r>
      <w:r>
        <w:rPr>
          <w:rFonts w:hint="eastAsia" w:ascii="Times New Roman" w:hAnsi="Times New Roman"/>
          <w:color w:val="000000"/>
        </w:rPr>
        <w:t>份，甲乙双方各执</w:t>
      </w:r>
      <w:r>
        <w:rPr>
          <w:rFonts w:ascii="Times New Roman" w:hAnsi="Times New Roman"/>
          <w:color w:val="000000"/>
        </w:rPr>
        <w:t>______</w:t>
      </w:r>
      <w:r>
        <w:rPr>
          <w:rFonts w:hint="eastAsia" w:ascii="Times New Roman" w:hAnsi="Times New Roman"/>
          <w:color w:val="000000"/>
        </w:rPr>
        <w:t>份，经甲乙双方法定代表人或其授权代表签字（或签章）并加盖公章（或合同章）后生效，均具有同等法律效力。</w:t>
      </w:r>
    </w:p>
    <w:p>
      <w:pPr>
        <w:pStyle w:val="25"/>
        <w:spacing w:line="380" w:lineRule="exact"/>
        <w:ind w:firstLine="420" w:firstLineChars="200"/>
        <w:rPr>
          <w:rFonts w:ascii="Times New Roman" w:hAnsi="Times New Roman"/>
          <w:color w:val="000000"/>
        </w:rPr>
      </w:pPr>
    </w:p>
    <w:p>
      <w:pPr>
        <w:pStyle w:val="25"/>
        <w:spacing w:line="360" w:lineRule="auto"/>
        <w:ind w:firstLine="420" w:firstLineChars="200"/>
        <w:rPr>
          <w:rFonts w:ascii="Times New Roman" w:hAnsi="Times New Roman"/>
          <w:color w:val="000000"/>
        </w:rPr>
      </w:pPr>
      <w:r>
        <w:rPr>
          <w:rFonts w:hint="eastAsia" w:ascii="Times New Roman" w:hAnsi="Times New Roman"/>
          <w:color w:val="000000"/>
        </w:rPr>
        <w:t>甲方：</w:t>
      </w:r>
      <w:r>
        <w:rPr>
          <w:rFonts w:ascii="Times New Roman" w:hAnsi="Times New Roman"/>
          <w:color w:val="000000"/>
        </w:rPr>
        <w:t>（</w:t>
      </w:r>
      <w:r>
        <w:rPr>
          <w:rFonts w:hint="eastAsia" w:ascii="Times New Roman" w:hAnsi="Times New Roman"/>
          <w:color w:val="000000"/>
        </w:rPr>
        <w:t>采购人名称</w:t>
      </w:r>
      <w:r>
        <w:rPr>
          <w:rFonts w:ascii="Times New Roman" w:hAnsi="Times New Roman"/>
          <w:color w:val="000000"/>
        </w:rPr>
        <w:t>）</w:t>
      </w:r>
      <w:r>
        <w:rPr>
          <w:rFonts w:hint="eastAsia" w:ascii="Times New Roman" w:hAnsi="Times New Roman"/>
          <w:color w:val="000000"/>
        </w:rPr>
        <w:t>　　　　　　　　</w:t>
      </w:r>
      <w:r>
        <w:rPr>
          <w:rFonts w:ascii="Times New Roman" w:hAnsi="Times New Roman"/>
          <w:color w:val="000000"/>
        </w:rPr>
        <w:tab/>
      </w:r>
      <w:r>
        <w:rPr>
          <w:rFonts w:ascii="Times New Roman" w:hAnsi="Times New Roman"/>
          <w:color w:val="000000"/>
        </w:rPr>
        <w:tab/>
      </w:r>
      <w:r>
        <w:rPr>
          <w:rFonts w:hint="eastAsia" w:ascii="Times New Roman" w:hAnsi="Times New Roman"/>
          <w:color w:val="000000"/>
        </w:rPr>
        <w:t>乙方：</w:t>
      </w:r>
      <w:r>
        <w:rPr>
          <w:rFonts w:ascii="Times New Roman" w:hAnsi="Times New Roman"/>
          <w:color w:val="000000"/>
        </w:rPr>
        <w:t>（</w:t>
      </w:r>
      <w:r>
        <w:rPr>
          <w:rFonts w:hint="eastAsia" w:ascii="Times New Roman" w:hAnsi="Times New Roman"/>
          <w:color w:val="000000"/>
        </w:rPr>
        <w:t>供应商名称</w:t>
      </w:r>
      <w:r>
        <w:rPr>
          <w:rFonts w:ascii="Times New Roman" w:hAnsi="Times New Roman"/>
          <w:color w:val="000000"/>
        </w:rPr>
        <w:t>）</w:t>
      </w:r>
    </w:p>
    <w:p>
      <w:pPr>
        <w:pStyle w:val="25"/>
        <w:spacing w:line="360" w:lineRule="auto"/>
        <w:ind w:firstLine="420" w:firstLineChars="200"/>
        <w:rPr>
          <w:rFonts w:ascii="Times New Roman" w:hAnsi="Times New Roman"/>
          <w:color w:val="000000"/>
        </w:rPr>
      </w:pPr>
      <w:r>
        <w:rPr>
          <w:rFonts w:hint="eastAsia" w:ascii="Times New Roman" w:hAnsi="Times New Roman"/>
          <w:color w:val="000000"/>
        </w:rPr>
        <w:t>法定代表人或其授权代表签字（或签章）：法定代表人或其授权代表签字（或签章）：</w:t>
      </w:r>
    </w:p>
    <w:p>
      <w:pPr>
        <w:pStyle w:val="25"/>
        <w:spacing w:line="360" w:lineRule="auto"/>
        <w:ind w:firstLine="420" w:firstLineChars="200"/>
        <w:rPr>
          <w:rFonts w:ascii="Times New Roman" w:hAnsi="Times New Roman"/>
          <w:color w:val="000000"/>
        </w:rPr>
      </w:pPr>
    </w:p>
    <w:p>
      <w:pPr>
        <w:pStyle w:val="25"/>
        <w:spacing w:line="360" w:lineRule="auto"/>
        <w:ind w:firstLine="420" w:firstLineChars="200"/>
        <w:rPr>
          <w:rFonts w:ascii="Times New Roman" w:hAnsi="Times New Roman"/>
          <w:color w:val="000000"/>
        </w:rPr>
      </w:pPr>
      <w:r>
        <w:rPr>
          <w:rFonts w:hint="eastAsia" w:ascii="Times New Roman" w:hAnsi="Times New Roman"/>
          <w:color w:val="000000"/>
        </w:rPr>
        <w:t>盖章：</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hint="eastAsia" w:ascii="Times New Roman" w:hAnsi="Times New Roman"/>
          <w:color w:val="000000"/>
        </w:rPr>
        <w:t>盖章：</w:t>
      </w:r>
    </w:p>
    <w:p>
      <w:pPr>
        <w:pStyle w:val="25"/>
        <w:spacing w:line="360" w:lineRule="auto"/>
        <w:ind w:firstLine="420" w:firstLineChars="200"/>
        <w:rPr>
          <w:rFonts w:ascii="Times New Roman" w:hAnsi="Times New Roman"/>
          <w:color w:val="000000"/>
        </w:rPr>
      </w:pPr>
      <w:r>
        <w:rPr>
          <w:rFonts w:hint="eastAsia" w:ascii="Times New Roman" w:hAnsi="Times New Roman"/>
          <w:color w:val="000000"/>
        </w:rPr>
        <w:t>日期：</w:t>
      </w:r>
      <w:r>
        <w:rPr>
          <w:rFonts w:ascii="Times New Roman" w:hAnsi="Times New Roman"/>
          <w:color w:val="000000"/>
        </w:rPr>
        <w:t>______</w:t>
      </w:r>
      <w:r>
        <w:rPr>
          <w:rFonts w:hint="eastAsia" w:ascii="Times New Roman" w:hAnsi="Times New Roman"/>
          <w:color w:val="000000"/>
        </w:rPr>
        <w:t>年</w:t>
      </w:r>
      <w:r>
        <w:rPr>
          <w:rFonts w:ascii="Times New Roman" w:hAnsi="Times New Roman"/>
          <w:color w:val="000000"/>
        </w:rPr>
        <w:t>____</w:t>
      </w:r>
      <w:r>
        <w:rPr>
          <w:rFonts w:hint="eastAsia" w:ascii="Times New Roman" w:hAnsi="Times New Roman"/>
          <w:color w:val="000000"/>
        </w:rPr>
        <w:t>月</w:t>
      </w:r>
      <w:r>
        <w:rPr>
          <w:rFonts w:ascii="Times New Roman" w:hAnsi="Times New Roman"/>
          <w:color w:val="000000"/>
        </w:rPr>
        <w:t>____</w:t>
      </w:r>
      <w:r>
        <w:rPr>
          <w:rFonts w:hint="eastAsia" w:ascii="Times New Roman" w:hAnsi="Times New Roman"/>
          <w:color w:val="000000"/>
        </w:rPr>
        <w:t>日</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hint="eastAsia" w:ascii="Times New Roman" w:hAnsi="Times New Roman"/>
          <w:color w:val="000000"/>
        </w:rPr>
        <w:t>日期：</w:t>
      </w:r>
      <w:r>
        <w:rPr>
          <w:rFonts w:ascii="Times New Roman" w:hAnsi="Times New Roman"/>
          <w:color w:val="000000"/>
        </w:rPr>
        <w:t>______</w:t>
      </w:r>
      <w:r>
        <w:rPr>
          <w:rFonts w:hint="eastAsia" w:ascii="Times New Roman" w:hAnsi="Times New Roman"/>
          <w:color w:val="000000"/>
        </w:rPr>
        <w:t>年</w:t>
      </w:r>
      <w:r>
        <w:rPr>
          <w:rFonts w:ascii="Times New Roman" w:hAnsi="Times New Roman"/>
          <w:color w:val="000000"/>
        </w:rPr>
        <w:t>____</w:t>
      </w:r>
      <w:r>
        <w:rPr>
          <w:rFonts w:hint="eastAsia" w:ascii="Times New Roman" w:hAnsi="Times New Roman"/>
          <w:color w:val="000000"/>
        </w:rPr>
        <w:t>月</w:t>
      </w:r>
      <w:r>
        <w:rPr>
          <w:rFonts w:ascii="Times New Roman" w:hAnsi="Times New Roman"/>
          <w:color w:val="000000"/>
        </w:rPr>
        <w:t>____</w:t>
      </w:r>
      <w:r>
        <w:rPr>
          <w:rFonts w:hint="eastAsia" w:ascii="Times New Roman" w:hAnsi="Times New Roman"/>
          <w:color w:val="000000"/>
        </w:rPr>
        <w:t>日</w:t>
      </w:r>
    </w:p>
    <w:p>
      <w:pPr>
        <w:pStyle w:val="25"/>
        <w:rPr>
          <w:rFonts w:ascii="Times New Roman" w:hAnsi="Times New Roman" w:eastAsia="MingLiU_HKSCS"/>
          <w:b/>
          <w:color w:val="000000"/>
          <w:sz w:val="28"/>
          <w:szCs w:val="28"/>
        </w:rPr>
      </w:pPr>
      <w:r>
        <w:rPr>
          <w:rFonts w:ascii="Times New Roman" w:hAnsi="Times New Roman"/>
          <w:color w:val="000000"/>
        </w:rPr>
        <w:br w:type="page"/>
      </w:r>
      <w:r>
        <w:rPr>
          <w:rFonts w:hint="eastAsia" w:ascii="Times New Roman" w:hAnsi="Times New Roman"/>
          <w:b/>
          <w:color w:val="000000"/>
          <w:sz w:val="28"/>
          <w:szCs w:val="28"/>
        </w:rPr>
        <w:t>一、合同条款</w:t>
      </w:r>
    </w:p>
    <w:p>
      <w:pPr>
        <w:pStyle w:val="25"/>
        <w:ind w:firstLine="480" w:firstLineChars="200"/>
        <w:jc w:val="center"/>
        <w:rPr>
          <w:rFonts w:ascii="MingLiU_HKSCS" w:hAnsi="MingLiU_HKSCS" w:eastAsia="MingLiU_HKSCS" w:cs="MingLiU_HKSCS"/>
          <w:color w:val="000000"/>
          <w:sz w:val="24"/>
          <w:szCs w:val="24"/>
        </w:rPr>
      </w:pPr>
      <w:r>
        <w:rPr>
          <w:rFonts w:hint="eastAsia" w:ascii="Times New Roman" w:hAnsi="Times New Roman" w:eastAsia="黑体"/>
          <w:color w:val="000000"/>
          <w:sz w:val="24"/>
          <w:szCs w:val="24"/>
        </w:rPr>
        <w:t>合同条款前附表</w:t>
      </w:r>
    </w:p>
    <w:p>
      <w:pPr>
        <w:pStyle w:val="25"/>
        <w:ind w:firstLine="420" w:firstLineChars="200"/>
        <w:rPr>
          <w:rFonts w:ascii="Times New Roman" w:hAnsi="Times New Roman"/>
          <w:color w:val="000000"/>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5"/>
              <w:spacing w:line="320" w:lineRule="exact"/>
              <w:jc w:val="center"/>
              <w:rPr>
                <w:rFonts w:ascii="Times New Roman" w:hAnsi="Times New Roman"/>
                <w:color w:val="000000"/>
              </w:rPr>
            </w:pPr>
            <w:r>
              <w:rPr>
                <w:rFonts w:hint="eastAsia" w:ascii="Times New Roman" w:hAnsi="Times New Roman"/>
                <w:color w:val="000000"/>
              </w:rPr>
              <w:t>序号</w:t>
            </w:r>
          </w:p>
        </w:tc>
        <w:tc>
          <w:tcPr>
            <w:tcW w:w="8505" w:type="dxa"/>
            <w:vAlign w:val="center"/>
          </w:tcPr>
          <w:p>
            <w:pPr>
              <w:pStyle w:val="25"/>
              <w:spacing w:line="320" w:lineRule="exact"/>
              <w:jc w:val="center"/>
              <w:rPr>
                <w:rFonts w:ascii="MingLiU_HKSCS" w:hAnsi="MingLiU_HKSCS" w:eastAsia="MingLiU_HKSCS" w:cs="MingLiU_HKSCS"/>
                <w:color w:val="000000"/>
              </w:rPr>
            </w:pPr>
            <w:r>
              <w:rPr>
                <w:rFonts w:hint="eastAsia" w:ascii="Times New Roman" w:hAnsi="Times New Roman"/>
                <w:color w:val="00000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1</w:t>
            </w: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合同名称：</w:t>
            </w:r>
          </w:p>
          <w:p>
            <w:pPr>
              <w:pStyle w:val="25"/>
              <w:spacing w:line="320" w:lineRule="exact"/>
              <w:jc w:val="left"/>
              <w:rPr>
                <w:rFonts w:ascii="Times New Roman" w:hAnsi="Times New Roman" w:eastAsia="MingLiU_HKSCS"/>
                <w:color w:val="000000"/>
              </w:rPr>
            </w:pPr>
            <w:r>
              <w:rPr>
                <w:rFonts w:hint="eastAsia" w:ascii="Times New Roman" w:hAnsi="Times New Roman"/>
                <w:color w:val="000000"/>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pStyle w:val="25"/>
              <w:spacing w:line="320" w:lineRule="exact"/>
              <w:jc w:val="center"/>
              <w:rPr>
                <w:rFonts w:ascii="Times New Roman" w:hAnsi="Times New Roman"/>
                <w:color w:val="000000"/>
              </w:rPr>
            </w:pPr>
            <w:r>
              <w:rPr>
                <w:rFonts w:ascii="Times New Roman" w:hAnsi="Times New Roman"/>
                <w:color w:val="000000"/>
              </w:rPr>
              <w:t>2</w:t>
            </w: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
              <w:spacing w:line="320" w:lineRule="exact"/>
              <w:jc w:val="center"/>
              <w:rPr>
                <w:rFonts w:ascii="Times New Roman" w:hAnsi="Times New Roman" w:eastAsia="MingLiU_HKSCS"/>
                <w:color w:val="000000"/>
              </w:rPr>
            </w:pP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甲方地址：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pStyle w:val="25"/>
              <w:spacing w:line="320" w:lineRule="exact"/>
              <w:jc w:val="center"/>
              <w:rPr>
                <w:rFonts w:ascii="Times New Roman" w:hAnsi="Times New Roman" w:eastAsia="MingLiU_HKSCS"/>
                <w:color w:val="000000"/>
              </w:rPr>
            </w:pPr>
          </w:p>
        </w:tc>
        <w:tc>
          <w:tcPr>
            <w:tcW w:w="8505" w:type="dxa"/>
            <w:vAlign w:val="center"/>
          </w:tcPr>
          <w:p>
            <w:pPr>
              <w:pStyle w:val="25"/>
              <w:spacing w:line="320" w:lineRule="exact"/>
              <w:jc w:val="left"/>
              <w:rPr>
                <w:rFonts w:ascii="MingLiU_HKSCS" w:hAnsi="MingLiU_HKSCS" w:eastAsia="MingLiU_HKSCS" w:cs="MingLiU_HKSCS"/>
                <w:color w:val="000000"/>
              </w:rPr>
            </w:pPr>
            <w:r>
              <w:rPr>
                <w:rFonts w:hint="eastAsia" w:ascii="Times New Roman" w:hAnsi="Times New Roman"/>
                <w:color w:val="000000"/>
              </w:rPr>
              <w:t>甲方联系人：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pStyle w:val="25"/>
              <w:spacing w:line="320" w:lineRule="exact"/>
              <w:jc w:val="center"/>
              <w:rPr>
                <w:rFonts w:ascii="Times New Roman" w:hAnsi="Times New Roman"/>
                <w:color w:val="000000"/>
              </w:rPr>
            </w:pPr>
            <w:r>
              <w:rPr>
                <w:rFonts w:ascii="Times New Roman" w:hAnsi="Times New Roman"/>
                <w:color w:val="000000"/>
              </w:rPr>
              <w:t>3</w:t>
            </w: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
              <w:spacing w:line="320" w:lineRule="exact"/>
              <w:jc w:val="center"/>
              <w:rPr>
                <w:rFonts w:ascii="Times New Roman" w:hAnsi="Times New Roman" w:eastAsia="MingLiU_HKSCS"/>
                <w:color w:val="000000"/>
              </w:rPr>
            </w:pP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
              <w:spacing w:line="320" w:lineRule="exact"/>
              <w:jc w:val="center"/>
              <w:rPr>
                <w:rFonts w:ascii="Times New Roman" w:hAnsi="Times New Roman" w:eastAsia="MingLiU_HKSCS"/>
                <w:color w:val="000000"/>
              </w:rPr>
            </w:pPr>
          </w:p>
        </w:tc>
        <w:tc>
          <w:tcPr>
            <w:tcW w:w="8505" w:type="dxa"/>
            <w:vAlign w:val="center"/>
          </w:tcPr>
          <w:p>
            <w:pPr>
              <w:pStyle w:val="25"/>
              <w:spacing w:line="320" w:lineRule="exact"/>
              <w:jc w:val="left"/>
              <w:rPr>
                <w:rFonts w:ascii="MingLiU_HKSCS" w:hAnsi="MingLiU_HKSCS" w:eastAsia="MingLiU_HKSCS" w:cs="MingLiU_HKSCS"/>
                <w:color w:val="000000"/>
              </w:rPr>
            </w:pPr>
            <w:r>
              <w:rPr>
                <w:rFonts w:hint="eastAsia" w:ascii="Times New Roman" w:hAnsi="Times New Roman"/>
                <w:color w:val="000000"/>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
              <w:spacing w:line="320" w:lineRule="exact"/>
              <w:jc w:val="center"/>
              <w:rPr>
                <w:rFonts w:ascii="MingLiU_HKSCS" w:hAnsi="MingLiU_HKSCS" w:eastAsia="MingLiU_HKSCS" w:cs="MingLiU_HKSCS"/>
                <w:color w:val="000000"/>
              </w:rPr>
            </w:pPr>
          </w:p>
        </w:tc>
        <w:tc>
          <w:tcPr>
            <w:tcW w:w="8505" w:type="dxa"/>
            <w:vAlign w:val="center"/>
          </w:tcPr>
          <w:p>
            <w:pPr>
              <w:pStyle w:val="25"/>
              <w:spacing w:line="320" w:lineRule="exact"/>
              <w:jc w:val="left"/>
              <w:rPr>
                <w:rFonts w:ascii="Times New Roman" w:hAnsi="Times New Roman"/>
                <w:color w:val="000000"/>
              </w:rPr>
            </w:pPr>
            <w:r>
              <w:rPr>
                <w:rFonts w:hint="eastAsia" w:ascii="Times New Roman" w:hAnsi="Times New Roman"/>
                <w:color w:val="000000"/>
              </w:rPr>
              <w:t>乙方开户银行名称：</w:t>
            </w:r>
          </w:p>
          <w:p>
            <w:pPr>
              <w:pStyle w:val="25"/>
              <w:spacing w:line="320" w:lineRule="exact"/>
              <w:jc w:val="left"/>
              <w:rPr>
                <w:rFonts w:ascii="Times New Roman" w:hAnsi="Times New Roman" w:eastAsia="MingLiU_HKSCS"/>
                <w:color w:val="000000"/>
              </w:rPr>
            </w:pPr>
            <w:r>
              <w:rPr>
                <w:rFonts w:hint="eastAsia" w:ascii="Times New Roman" w:hAnsi="Times New Roman"/>
                <w:color w:val="00000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4</w:t>
            </w: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5</w:t>
            </w: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服务时间、地点：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6</w:t>
            </w: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服务履行期：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7</w:t>
            </w: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验收方式及标准：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8</w:t>
            </w:r>
          </w:p>
        </w:tc>
        <w:tc>
          <w:tcPr>
            <w:tcW w:w="8505" w:type="dxa"/>
            <w:vAlign w:val="center"/>
          </w:tcPr>
          <w:p>
            <w:pPr>
              <w:pStyle w:val="25"/>
              <w:spacing w:line="320" w:lineRule="exact"/>
              <w:jc w:val="left"/>
              <w:rPr>
                <w:rFonts w:ascii="Times New Roman" w:hAnsi="Times New Roman" w:eastAsia="MingLiU_HKSCS"/>
                <w:color w:val="FF0000"/>
              </w:rPr>
            </w:pPr>
            <w:r>
              <w:rPr>
                <w:rFonts w:hint="eastAsia" w:ascii="Times New Roman" w:hAnsi="Times New Roman"/>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9</w:t>
            </w:r>
          </w:p>
        </w:tc>
        <w:tc>
          <w:tcPr>
            <w:tcW w:w="8505" w:type="dxa"/>
            <w:vAlign w:val="center"/>
          </w:tcPr>
          <w:p>
            <w:pPr>
              <w:pStyle w:val="25"/>
              <w:spacing w:line="320" w:lineRule="exact"/>
              <w:jc w:val="left"/>
            </w:pPr>
            <w:r>
              <w:rPr>
                <w:rFonts w:hint="eastAsia" w:ascii="Times New Roman" w:hAnsi="Times New Roman"/>
                <w:color w:val="000000"/>
              </w:rPr>
              <w:t>履约保证金及其返还：</w:t>
            </w:r>
            <w:r>
              <w:rPr>
                <w:rFonts w:hint="eastAsia" w:hAnsi="宋体" w:cs="宋体"/>
                <w:color w:val="000000"/>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10</w:t>
            </w:r>
          </w:p>
        </w:tc>
        <w:tc>
          <w:tcPr>
            <w:tcW w:w="8505" w:type="dxa"/>
            <w:vAlign w:val="center"/>
          </w:tcPr>
          <w:p>
            <w:pPr>
              <w:pStyle w:val="25"/>
              <w:spacing w:line="320" w:lineRule="exact"/>
              <w:jc w:val="left"/>
              <w:rPr>
                <w:rFonts w:ascii="Times New Roman" w:hAnsi="Times New Roman" w:eastAsia="MingLiU_HKSCS"/>
                <w:color w:val="000000"/>
              </w:rPr>
            </w:pPr>
            <w:r>
              <w:rPr>
                <w:rFonts w:hint="eastAsia" w:hAnsi="宋体"/>
                <w:color w:val="000000"/>
              </w:rPr>
              <w:t>□</w:t>
            </w:r>
            <w:r>
              <w:rPr>
                <w:rFonts w:hint="eastAsia" w:ascii="Times New Roman" w:hAnsi="Times New Roman"/>
                <w:color w:val="000000"/>
              </w:rPr>
              <w:t>违约金约定：无</w:t>
            </w:r>
          </w:p>
          <w:p>
            <w:pPr>
              <w:pStyle w:val="25"/>
              <w:spacing w:line="320" w:lineRule="exact"/>
              <w:jc w:val="left"/>
              <w:rPr>
                <w:rFonts w:ascii="Times New Roman" w:hAnsi="Times New Roman" w:eastAsia="MingLiU_HKSCS"/>
                <w:color w:val="000000"/>
              </w:rPr>
            </w:pPr>
            <w:r>
              <w:rPr>
                <w:rFonts w:hint="eastAsia" w:hAnsi="宋体"/>
                <w:color w:val="000000"/>
              </w:rPr>
              <w:t>□</w:t>
            </w:r>
            <w:r>
              <w:rPr>
                <w:rFonts w:hint="eastAsia" w:ascii="Times New Roman" w:hAnsi="Times New Roman"/>
                <w:color w:val="000000"/>
              </w:rPr>
              <w:t>损失赔偿约定：按本合同通用条款约定。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11</w:t>
            </w:r>
          </w:p>
        </w:tc>
        <w:tc>
          <w:tcPr>
            <w:tcW w:w="8505" w:type="dxa"/>
            <w:vAlign w:val="center"/>
          </w:tcPr>
          <w:p>
            <w:pPr>
              <w:pStyle w:val="25"/>
              <w:spacing w:line="320" w:lineRule="exact"/>
              <w:jc w:val="left"/>
              <w:rPr>
                <w:rFonts w:ascii="MingLiU_HKSCS" w:hAnsi="MingLiU_HKSCS" w:eastAsia="MingLiU_HKSCS" w:cs="MingLiU_HKSCS"/>
                <w:color w:val="000000"/>
              </w:rPr>
            </w:pPr>
            <w:r>
              <w:rPr>
                <w:rFonts w:hint="eastAsia" w:ascii="Times New Roman" w:hAnsi="Times New Roman"/>
                <w:color w:val="000000"/>
              </w:rPr>
              <w:t>误期赔偿费约定：如果乙方没有按照合同规定的时间交货和提供服务</w:t>
            </w:r>
            <w:r>
              <w:rPr>
                <w:rFonts w:hint="eastAsia" w:hAnsi="宋体"/>
                <w:color w:val="000000"/>
              </w:rPr>
              <w:t>，</w:t>
            </w:r>
            <w:r>
              <w:rPr>
                <w:rFonts w:hint="eastAsia" w:ascii="Times New Roman" w:hAnsi="Times New Roman"/>
                <w:color w:val="000000"/>
              </w:rPr>
              <w:t>甲方有权从货款或履约保证金中扣除误期赔偿费而不影响合同项下的其他补救方法。赔偿费按每日加收合同金额的</w:t>
            </w:r>
            <w:r>
              <w:rPr>
                <w:rFonts w:ascii="Times New Roman" w:hAnsi="Times New Roman"/>
                <w:color w:val="000000"/>
              </w:rPr>
              <w:t>0.5%（</w:t>
            </w:r>
            <w:r>
              <w:rPr>
                <w:rFonts w:hint="eastAsia" w:ascii="Times New Roman" w:hAnsi="Times New Roman"/>
                <w:color w:val="000000"/>
              </w:rPr>
              <w:t>各单位可根据实际情况重新设定</w:t>
            </w:r>
            <w:r>
              <w:rPr>
                <w:rFonts w:ascii="Times New Roman" w:hAnsi="Times New Roman"/>
                <w:color w:val="000000"/>
              </w:rPr>
              <w:t>）</w:t>
            </w:r>
            <w:r>
              <w:rPr>
                <w:rFonts w:hint="eastAsia" w:ascii="Times New Roman" w:hAnsi="Times New Roman"/>
                <w:color w:val="000000"/>
              </w:rPr>
              <w:t>计收</w:t>
            </w:r>
            <w:r>
              <w:rPr>
                <w:rFonts w:hint="eastAsia" w:hAnsi="宋体"/>
                <w:color w:val="000000"/>
              </w:rPr>
              <w:t>，</w:t>
            </w:r>
            <w:r>
              <w:rPr>
                <w:rFonts w:hint="eastAsia" w:ascii="Times New Roman" w:hAnsi="Times New Roman"/>
                <w:color w:val="000000"/>
              </w:rPr>
              <w:t>直至交货或提供服务为止。但误期赔偿费的最高限额不超过合同价的</w:t>
            </w:r>
            <w:r>
              <w:rPr>
                <w:rFonts w:ascii="Times New Roman" w:hAnsi="Times New Roman"/>
                <w:color w:val="000000"/>
              </w:rPr>
              <w:t>15%</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12</w:t>
            </w:r>
          </w:p>
        </w:tc>
        <w:tc>
          <w:tcPr>
            <w:tcW w:w="8505" w:type="dxa"/>
            <w:vAlign w:val="center"/>
          </w:tcPr>
          <w:p>
            <w:pPr>
              <w:pStyle w:val="25"/>
              <w:spacing w:line="320" w:lineRule="exact"/>
              <w:jc w:val="left"/>
              <w:rPr>
                <w:rFonts w:ascii="MingLiU_HKSCS" w:hAnsi="MingLiU_HKSCS" w:eastAsia="MingLiU_HKSCS" w:cs="MingLiU_HKSCS"/>
                <w:color w:val="000000"/>
              </w:rPr>
            </w:pPr>
            <w:r>
              <w:rPr>
                <w:rFonts w:hint="eastAsia" w:ascii="Times New Roman" w:hAnsi="Times New Roman"/>
                <w:color w:val="000000"/>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993" w:type="dxa"/>
            <w:vAlign w:val="center"/>
          </w:tcPr>
          <w:p>
            <w:pPr>
              <w:pStyle w:val="25"/>
              <w:spacing w:line="320" w:lineRule="exact"/>
              <w:jc w:val="center"/>
              <w:rPr>
                <w:rFonts w:ascii="Times New Roman" w:hAnsi="Times New Roman"/>
                <w:color w:val="000000"/>
              </w:rPr>
            </w:pPr>
            <w:r>
              <w:rPr>
                <w:rFonts w:ascii="Times New Roman" w:hAnsi="Times New Roman"/>
                <w:color w:val="000000"/>
              </w:rPr>
              <w:t>13</w:t>
            </w:r>
          </w:p>
        </w:tc>
        <w:tc>
          <w:tcPr>
            <w:tcW w:w="8505" w:type="dxa"/>
            <w:vAlign w:val="center"/>
          </w:tcPr>
          <w:p>
            <w:pPr>
              <w:pStyle w:val="25"/>
              <w:spacing w:line="320" w:lineRule="exact"/>
              <w:jc w:val="left"/>
              <w:rPr>
                <w:rFonts w:ascii="Times New Roman" w:hAnsi="Times New Roman" w:eastAsia="MingLiU_HKSCS"/>
                <w:color w:val="000000"/>
              </w:rPr>
            </w:pPr>
            <w:r>
              <w:rPr>
                <w:rFonts w:hint="eastAsia" w:ascii="Times New Roman" w:hAnsi="Times New Roman"/>
                <w:color w:val="000000"/>
              </w:rPr>
              <w:t>合同纠纷的解决方式：</w:t>
            </w:r>
          </w:p>
          <w:p>
            <w:pPr>
              <w:pStyle w:val="25"/>
              <w:spacing w:line="320" w:lineRule="exact"/>
              <w:jc w:val="left"/>
              <w:rPr>
                <w:rFonts w:ascii="Times New Roman" w:hAnsi="Times New Roman" w:eastAsia="MingLiU_HKSCS"/>
                <w:color w:val="000000"/>
              </w:rPr>
            </w:pPr>
            <w:r>
              <w:rPr>
                <w:rFonts w:hint="eastAsia" w:ascii="Times New Roman" w:hAnsi="Times New Roman"/>
                <w:color w:val="000000"/>
              </w:rPr>
              <w:t>首先通过双方协商解决</w:t>
            </w:r>
            <w:r>
              <w:rPr>
                <w:rFonts w:hint="eastAsia" w:hAnsi="宋体"/>
                <w:color w:val="000000"/>
              </w:rPr>
              <w:t>，</w:t>
            </w:r>
            <w:r>
              <w:rPr>
                <w:rFonts w:hint="eastAsia" w:ascii="Times New Roman" w:hAnsi="Times New Roman"/>
                <w:color w:val="000000"/>
              </w:rPr>
              <w:t>协商解决不成</w:t>
            </w:r>
            <w:r>
              <w:rPr>
                <w:rFonts w:hint="eastAsia" w:hAnsi="宋体"/>
                <w:color w:val="000000"/>
              </w:rPr>
              <w:t>，</w:t>
            </w:r>
            <w:r>
              <w:rPr>
                <w:rFonts w:hint="eastAsia" w:ascii="Times New Roman" w:hAnsi="Times New Roman"/>
                <w:color w:val="000000"/>
              </w:rPr>
              <w:t>则通过以下途径之一解决纠纷</w:t>
            </w:r>
            <w:r>
              <w:rPr>
                <w:rFonts w:ascii="Times New Roman" w:hAnsi="Times New Roman"/>
                <w:color w:val="000000"/>
              </w:rPr>
              <w:t>（</w:t>
            </w:r>
            <w:r>
              <w:rPr>
                <w:rFonts w:hint="eastAsia" w:ascii="Times New Roman" w:hAnsi="Times New Roman"/>
                <w:color w:val="000000"/>
              </w:rPr>
              <w:t>请在方框内画</w:t>
            </w:r>
            <w:r>
              <w:rPr>
                <w:rFonts w:hint="eastAsia" w:hAnsi="宋体"/>
                <w:color w:val="000000"/>
              </w:rPr>
              <w:t>“√”</w:t>
            </w:r>
            <w:r>
              <w:rPr>
                <w:rFonts w:hint="eastAsia" w:ascii="Times New Roman" w:hAnsi="Times New Roman"/>
                <w:color w:val="000000"/>
              </w:rPr>
              <w:t>选择</w:t>
            </w:r>
            <w:r>
              <w:rPr>
                <w:rFonts w:ascii="Times New Roman" w:hAnsi="Times New Roman"/>
                <w:color w:val="000000"/>
              </w:rPr>
              <w:t>）</w:t>
            </w:r>
            <w:r>
              <w:rPr>
                <w:rFonts w:hint="eastAsia" w:ascii="Times New Roman" w:hAnsi="Times New Roman"/>
                <w:color w:val="000000"/>
              </w:rPr>
              <w:t>：</w:t>
            </w:r>
          </w:p>
          <w:p>
            <w:pPr>
              <w:pStyle w:val="25"/>
              <w:spacing w:line="320" w:lineRule="exact"/>
              <w:jc w:val="left"/>
              <w:rPr>
                <w:rFonts w:ascii="Times New Roman" w:hAnsi="Times New Roman" w:eastAsia="MingLiU_HKSCS"/>
                <w:color w:val="000000"/>
              </w:rPr>
            </w:pPr>
            <w:r>
              <w:rPr>
                <w:rFonts w:hint="eastAsia" w:hAnsi="宋体"/>
                <w:color w:val="000000"/>
              </w:rPr>
              <w:t>□</w:t>
            </w:r>
            <w:r>
              <w:rPr>
                <w:rFonts w:hint="eastAsia" w:ascii="Times New Roman" w:hAnsi="Times New Roman"/>
                <w:color w:val="000000"/>
              </w:rPr>
              <w:t>提请</w:t>
            </w:r>
            <w:r>
              <w:rPr>
                <w:rFonts w:ascii="Times New Roman" w:hAnsi="Times New Roman"/>
                <w:color w:val="000000"/>
              </w:rPr>
              <w:t>______</w:t>
            </w:r>
            <w:r>
              <w:rPr>
                <w:rFonts w:hint="eastAsia" w:ascii="Times New Roman" w:hAnsi="Times New Roman"/>
                <w:color w:val="000000"/>
              </w:rPr>
              <w:t>仲裁委员会按照仲裁程序在</w:t>
            </w:r>
            <w:r>
              <w:rPr>
                <w:rFonts w:ascii="Times New Roman" w:hAnsi="Times New Roman"/>
                <w:color w:val="000000"/>
              </w:rPr>
              <w:t>______（</w:t>
            </w:r>
            <w:r>
              <w:rPr>
                <w:rFonts w:hint="eastAsia" w:ascii="Times New Roman" w:hAnsi="Times New Roman"/>
                <w:color w:val="000000"/>
              </w:rPr>
              <w:t>仲裁地</w:t>
            </w:r>
            <w:r>
              <w:rPr>
                <w:rFonts w:ascii="Times New Roman" w:hAnsi="Times New Roman"/>
                <w:color w:val="000000"/>
              </w:rPr>
              <w:t>）</w:t>
            </w:r>
            <w:r>
              <w:rPr>
                <w:rFonts w:hint="eastAsia" w:ascii="Times New Roman" w:hAnsi="Times New Roman"/>
                <w:color w:val="000000"/>
              </w:rPr>
              <w:t>仲裁</w:t>
            </w:r>
          </w:p>
          <w:p>
            <w:pPr>
              <w:pStyle w:val="25"/>
              <w:spacing w:line="320" w:lineRule="exact"/>
              <w:jc w:val="left"/>
              <w:rPr>
                <w:rFonts w:ascii="Times New Roman" w:hAnsi="Times New Roman" w:eastAsia="MingLiU_HKSCS"/>
                <w:color w:val="000000"/>
              </w:rPr>
            </w:pPr>
            <w:r>
              <w:rPr>
                <w:rFonts w:hint="eastAsia" w:hAnsi="宋体"/>
                <w:color w:val="000000"/>
                <w:position w:val="2"/>
              </w:rPr>
              <w:fldChar w:fldCharType="begin"/>
            </w:r>
            <w:r>
              <w:rPr>
                <w:rFonts w:hint="eastAsia" w:hAnsi="宋体"/>
                <w:color w:val="000000"/>
                <w:position w:val="2"/>
              </w:rPr>
              <w:instrText xml:space="preserve">eq \o\ac(□</w:instrText>
            </w:r>
            <w:r>
              <w:rPr>
                <w:rFonts w:hAnsi="宋体"/>
                <w:color w:val="000000"/>
                <w:position w:val="2"/>
              </w:rPr>
              <w:instrText xml:space="preserve">,√)</w:instrText>
            </w:r>
            <w:r>
              <w:rPr>
                <w:rFonts w:hint="eastAsia" w:hAnsi="宋体"/>
                <w:color w:val="000000"/>
                <w:position w:val="2"/>
              </w:rPr>
              <w:fldChar w:fldCharType="end"/>
            </w:r>
            <w:r>
              <w:rPr>
                <w:rFonts w:hint="eastAsia" w:ascii="Times New Roman" w:hAnsi="Times New Roman"/>
                <w:color w:val="000000"/>
              </w:rPr>
              <w:t>向人民法院提起诉讼</w:t>
            </w:r>
          </w:p>
        </w:tc>
      </w:tr>
    </w:tbl>
    <w:p>
      <w:pPr>
        <w:pStyle w:val="25"/>
        <w:ind w:firstLine="420" w:firstLineChars="200"/>
        <w:rPr>
          <w:rFonts w:ascii="Times New Roman" w:hAnsi="Times New Roman" w:eastAsia="MingLiU_HKSCS"/>
          <w:color w:val="000000"/>
        </w:rPr>
      </w:pPr>
    </w:p>
    <w:p>
      <w:pPr>
        <w:pStyle w:val="25"/>
        <w:spacing w:line="370" w:lineRule="exact"/>
        <w:ind w:firstLine="420" w:firstLineChars="200"/>
        <w:rPr>
          <w:rFonts w:hAnsi="宋体"/>
          <w:b/>
          <w:color w:val="000000"/>
        </w:rPr>
      </w:pPr>
      <w:r>
        <w:rPr>
          <w:rFonts w:ascii="Times New Roman" w:hAnsi="Times New Roman"/>
          <w:color w:val="000000"/>
        </w:rPr>
        <w:br w:type="page"/>
      </w:r>
      <w:r>
        <w:rPr>
          <w:rFonts w:hAnsi="宋体"/>
          <w:b/>
          <w:color w:val="000000"/>
        </w:rPr>
        <w:t>1</w:t>
      </w:r>
      <w:r>
        <w:rPr>
          <w:rFonts w:hint="eastAsia" w:hAnsi="宋体"/>
          <w:b/>
          <w:color w:val="000000"/>
        </w:rPr>
        <w:t>、定义</w:t>
      </w:r>
    </w:p>
    <w:p>
      <w:pPr>
        <w:pStyle w:val="25"/>
        <w:spacing w:line="370" w:lineRule="exact"/>
        <w:ind w:firstLine="420" w:firstLineChars="200"/>
        <w:rPr>
          <w:rFonts w:hAnsi="宋体"/>
          <w:color w:val="000000"/>
        </w:rPr>
      </w:pPr>
      <w:r>
        <w:rPr>
          <w:rFonts w:hint="eastAsia" w:hAnsi="宋体"/>
          <w:color w:val="000000"/>
        </w:rPr>
        <w:t>本合同下列术语应解释为：</w:t>
      </w:r>
    </w:p>
    <w:p>
      <w:pPr>
        <w:pStyle w:val="25"/>
        <w:spacing w:line="370" w:lineRule="exact"/>
        <w:ind w:firstLine="420" w:firstLineChars="200"/>
        <w:rPr>
          <w:rFonts w:hAnsi="宋体"/>
          <w:color w:val="000000"/>
        </w:rPr>
      </w:pPr>
      <w:r>
        <w:rPr>
          <w:rFonts w:hAnsi="宋体"/>
          <w:color w:val="000000"/>
        </w:rPr>
        <w:t>1.1</w:t>
      </w:r>
      <w:r>
        <w:rPr>
          <w:rFonts w:hint="eastAsia" w:hAnsi="宋体"/>
          <w:color w:val="000000"/>
        </w:rPr>
        <w:t>　“甲方”是指采购人。</w:t>
      </w:r>
    </w:p>
    <w:p>
      <w:pPr>
        <w:pStyle w:val="25"/>
        <w:spacing w:line="370" w:lineRule="exact"/>
        <w:ind w:firstLine="420" w:firstLineChars="200"/>
        <w:rPr>
          <w:rFonts w:hAnsi="宋体"/>
          <w:color w:val="000000"/>
        </w:rPr>
      </w:pPr>
      <w:r>
        <w:rPr>
          <w:rFonts w:hAnsi="宋体"/>
          <w:color w:val="000000"/>
        </w:rPr>
        <w:t>1.2</w:t>
      </w:r>
      <w:r>
        <w:rPr>
          <w:rFonts w:hint="eastAsia" w:hAnsi="宋体"/>
          <w:color w:val="000000"/>
        </w:rPr>
        <w:t>　“乙方”是指中标</w:t>
      </w:r>
      <w:r>
        <w:rPr>
          <w:rFonts w:hAnsi="宋体"/>
          <w:color w:val="000000"/>
        </w:rPr>
        <w:t>/</w:t>
      </w:r>
      <w:r>
        <w:rPr>
          <w:rFonts w:hint="eastAsia" w:hAnsi="宋体"/>
          <w:color w:val="000000"/>
        </w:rPr>
        <w:t>成交供应商。</w:t>
      </w:r>
    </w:p>
    <w:p>
      <w:pPr>
        <w:pStyle w:val="25"/>
        <w:spacing w:line="370" w:lineRule="exact"/>
        <w:ind w:firstLine="420" w:firstLineChars="200"/>
        <w:rPr>
          <w:rFonts w:hAnsi="宋体"/>
          <w:color w:val="000000"/>
        </w:rPr>
      </w:pPr>
      <w:r>
        <w:rPr>
          <w:rFonts w:hAnsi="宋体"/>
          <w:color w:val="000000"/>
        </w:rPr>
        <w:t>1.3</w:t>
      </w:r>
      <w:r>
        <w:rPr>
          <w:rFonts w:hint="eastAsia" w:hAnsi="宋体"/>
          <w:color w:val="000000"/>
        </w:rPr>
        <w:t>　“合同”系指甲乙双方签署的、合同中载明的甲乙双方所达成的协议，包括所有的附件、附录和上述文件所提到的构成合同的所有文件。</w:t>
      </w:r>
    </w:p>
    <w:p>
      <w:pPr>
        <w:pStyle w:val="25"/>
        <w:spacing w:line="370" w:lineRule="exact"/>
        <w:ind w:firstLine="420" w:firstLineChars="200"/>
        <w:rPr>
          <w:rFonts w:hAnsi="宋体"/>
          <w:color w:val="000000"/>
        </w:rPr>
      </w:pPr>
      <w:r>
        <w:rPr>
          <w:rFonts w:hAnsi="宋体"/>
          <w:color w:val="000000"/>
        </w:rPr>
        <w:t>1.4</w:t>
      </w:r>
      <w:r>
        <w:rPr>
          <w:rFonts w:hint="eastAsia" w:hAnsi="宋体"/>
          <w:color w:val="000000"/>
        </w:rPr>
        <w:t>　“服务”是指乙方按照招标</w:t>
      </w:r>
      <w:r>
        <w:rPr>
          <w:rFonts w:hAnsi="宋体"/>
          <w:color w:val="000000"/>
        </w:rPr>
        <w:t>（</w:t>
      </w:r>
      <w:r>
        <w:rPr>
          <w:rFonts w:hint="eastAsia" w:hAnsi="宋体"/>
          <w:color w:val="000000"/>
        </w:rPr>
        <w:t>采购</w:t>
      </w:r>
      <w:r>
        <w:rPr>
          <w:rFonts w:hAnsi="宋体"/>
          <w:color w:val="000000"/>
        </w:rPr>
        <w:t>）</w:t>
      </w:r>
      <w:r>
        <w:rPr>
          <w:rFonts w:hint="eastAsia" w:hAnsi="宋体"/>
          <w:color w:val="000000"/>
        </w:rPr>
        <w:t>、投标</w:t>
      </w:r>
      <w:r>
        <w:rPr>
          <w:rFonts w:hAnsi="宋体"/>
          <w:color w:val="000000"/>
        </w:rPr>
        <w:t>（</w:t>
      </w:r>
      <w:r>
        <w:rPr>
          <w:rFonts w:hint="eastAsia" w:hAnsi="宋体"/>
          <w:color w:val="000000"/>
        </w:rPr>
        <w:t>响应</w:t>
      </w:r>
      <w:r>
        <w:rPr>
          <w:rFonts w:hAnsi="宋体"/>
          <w:color w:val="000000"/>
        </w:rPr>
        <w:t>）</w:t>
      </w:r>
      <w:r>
        <w:rPr>
          <w:rFonts w:hint="eastAsia" w:hAnsi="宋体"/>
          <w:color w:val="000000"/>
        </w:rPr>
        <w:t>文件要求，向采购人提供的技术支持服务。</w:t>
      </w:r>
    </w:p>
    <w:p>
      <w:pPr>
        <w:pStyle w:val="25"/>
        <w:spacing w:line="370" w:lineRule="exact"/>
        <w:ind w:firstLine="420" w:firstLineChars="200"/>
        <w:rPr>
          <w:rFonts w:hAnsi="宋体"/>
          <w:color w:val="000000"/>
        </w:rPr>
      </w:pPr>
      <w:r>
        <w:rPr>
          <w:rFonts w:hAnsi="宋体"/>
          <w:color w:val="000000"/>
        </w:rPr>
        <w:t>1.5</w:t>
      </w:r>
      <w:r>
        <w:rPr>
          <w:rFonts w:hint="eastAsia" w:hAnsi="宋体"/>
          <w:color w:val="000000"/>
        </w:rPr>
        <w:t>　“项目现场”是指甲方指定的最终服务地点。</w:t>
      </w:r>
    </w:p>
    <w:p>
      <w:pPr>
        <w:pStyle w:val="25"/>
        <w:spacing w:line="370" w:lineRule="exact"/>
        <w:ind w:firstLine="420" w:firstLineChars="200"/>
        <w:rPr>
          <w:rFonts w:hAnsi="宋体"/>
          <w:color w:val="000000"/>
        </w:rPr>
      </w:pPr>
      <w:r>
        <w:rPr>
          <w:rFonts w:hAnsi="宋体"/>
          <w:color w:val="000000"/>
        </w:rPr>
        <w:t>1.6</w:t>
      </w:r>
      <w:r>
        <w:rPr>
          <w:rFonts w:hint="eastAsia" w:hAnsi="宋体"/>
          <w:color w:val="000000"/>
        </w:rPr>
        <w:t>　除非特别指出，“日”均为日历日。</w:t>
      </w:r>
    </w:p>
    <w:p>
      <w:pPr>
        <w:pStyle w:val="25"/>
        <w:spacing w:line="370" w:lineRule="exact"/>
        <w:ind w:firstLine="422" w:firstLineChars="200"/>
        <w:rPr>
          <w:rFonts w:hAnsi="宋体"/>
          <w:b/>
          <w:color w:val="000000"/>
        </w:rPr>
      </w:pPr>
      <w:r>
        <w:rPr>
          <w:rFonts w:hAnsi="宋体"/>
          <w:b/>
          <w:color w:val="000000"/>
        </w:rPr>
        <w:t>2</w:t>
      </w:r>
      <w:r>
        <w:rPr>
          <w:rFonts w:hint="eastAsia" w:hAnsi="宋体"/>
          <w:b/>
          <w:color w:val="000000"/>
        </w:rPr>
        <w:t>、服务标准</w:t>
      </w:r>
    </w:p>
    <w:p>
      <w:pPr>
        <w:pStyle w:val="25"/>
        <w:spacing w:line="370" w:lineRule="exact"/>
        <w:ind w:firstLine="420" w:firstLineChars="200"/>
        <w:rPr>
          <w:rFonts w:hAnsi="宋体"/>
          <w:color w:val="000000"/>
        </w:rPr>
      </w:pPr>
      <w:r>
        <w:rPr>
          <w:rFonts w:hAnsi="宋体"/>
          <w:color w:val="000000"/>
        </w:rPr>
        <w:t>2.1</w:t>
      </w:r>
      <w:r>
        <w:rPr>
          <w:rFonts w:hint="eastAsia" w:hAnsi="宋体"/>
          <w:color w:val="000000"/>
        </w:rPr>
        <w:t>　乙方为甲方交付的服务应符合招标</w:t>
      </w:r>
      <w:r>
        <w:rPr>
          <w:rFonts w:hAnsi="宋体"/>
          <w:color w:val="000000"/>
        </w:rPr>
        <w:t>（</w:t>
      </w:r>
      <w:r>
        <w:rPr>
          <w:rFonts w:hint="eastAsia" w:hAnsi="宋体"/>
          <w:color w:val="000000"/>
        </w:rPr>
        <w:t>采购</w:t>
      </w:r>
      <w:r>
        <w:rPr>
          <w:rFonts w:hAnsi="宋体"/>
          <w:color w:val="000000"/>
        </w:rPr>
        <w:t>）</w:t>
      </w:r>
      <w:r>
        <w:rPr>
          <w:rFonts w:hint="eastAsia" w:hAnsi="宋体"/>
          <w:color w:val="000000"/>
        </w:rPr>
        <w:t>文件所述的内容，如果没有提及适用标准，则应符合相应的国家标准。这些标准必须是有关机构发布的最新版本的标准。</w:t>
      </w:r>
    </w:p>
    <w:p>
      <w:pPr>
        <w:pStyle w:val="25"/>
        <w:spacing w:line="370" w:lineRule="exact"/>
        <w:ind w:firstLine="420" w:firstLineChars="200"/>
        <w:rPr>
          <w:rFonts w:hAnsi="宋体"/>
          <w:color w:val="000000"/>
        </w:rPr>
      </w:pPr>
      <w:r>
        <w:rPr>
          <w:rFonts w:hAnsi="宋体"/>
          <w:color w:val="000000"/>
        </w:rPr>
        <w:t>2.2</w:t>
      </w:r>
      <w:r>
        <w:rPr>
          <w:rFonts w:hint="eastAsia" w:hAnsi="宋体"/>
          <w:color w:val="000000"/>
        </w:rPr>
        <w:t>　除非技术要求中另有规定，计量单位均采用中华人民共和国法定计量单位。</w:t>
      </w:r>
    </w:p>
    <w:p>
      <w:pPr>
        <w:pStyle w:val="25"/>
        <w:spacing w:line="370" w:lineRule="exact"/>
        <w:ind w:firstLine="422" w:firstLineChars="200"/>
        <w:rPr>
          <w:rFonts w:hAnsi="宋体"/>
          <w:b/>
          <w:color w:val="000000"/>
        </w:rPr>
      </w:pPr>
      <w:r>
        <w:rPr>
          <w:rFonts w:hAnsi="宋体"/>
          <w:b/>
          <w:color w:val="000000"/>
        </w:rPr>
        <w:t>3</w:t>
      </w:r>
      <w:r>
        <w:rPr>
          <w:rFonts w:hint="eastAsia" w:hAnsi="宋体"/>
          <w:b/>
          <w:color w:val="000000"/>
        </w:rPr>
        <w:t>、服务</w:t>
      </w:r>
    </w:p>
    <w:p>
      <w:pPr>
        <w:pStyle w:val="25"/>
        <w:spacing w:line="370" w:lineRule="exact"/>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3.1</w:t>
      </w:r>
      <w:r>
        <w:rPr>
          <w:rFonts w:hint="eastAsia" w:hAnsi="宋体"/>
          <w:color w:val="000000" w:themeColor="text1"/>
          <w14:textFill>
            <w14:solidFill>
              <w14:schemeClr w14:val="tx1"/>
            </w14:solidFill>
          </w14:textFill>
        </w:rPr>
        <w:t>　乙方应按照合同的规定，提供符合甲方要求的服务。</w:t>
      </w:r>
    </w:p>
    <w:p>
      <w:pPr>
        <w:pStyle w:val="25"/>
        <w:spacing w:line="370" w:lineRule="exact"/>
        <w:ind w:firstLine="422" w:firstLineChars="200"/>
        <w:rPr>
          <w:rFonts w:hAnsi="宋体"/>
          <w:b/>
          <w:color w:val="000000"/>
        </w:rPr>
      </w:pPr>
      <w:r>
        <w:rPr>
          <w:rFonts w:hAnsi="宋体"/>
          <w:b/>
          <w:color w:val="000000"/>
        </w:rPr>
        <w:t>4</w:t>
      </w:r>
      <w:r>
        <w:rPr>
          <w:rFonts w:hint="eastAsia" w:hAnsi="宋体"/>
          <w:b/>
          <w:color w:val="000000"/>
        </w:rPr>
        <w:t>、知识产权</w:t>
      </w:r>
    </w:p>
    <w:p>
      <w:pPr>
        <w:pStyle w:val="25"/>
        <w:spacing w:line="370" w:lineRule="exact"/>
        <w:ind w:firstLine="420" w:firstLineChars="200"/>
        <w:rPr>
          <w:rFonts w:hAnsi="宋体"/>
          <w:color w:val="000000"/>
        </w:rPr>
      </w:pPr>
      <w:r>
        <w:rPr>
          <w:rFonts w:hAnsi="宋体"/>
          <w:color w:val="000000"/>
        </w:rPr>
        <w:t>4.1</w:t>
      </w:r>
      <w:r>
        <w:rPr>
          <w:rFonts w:hint="eastAsia" w:hAnsi="宋体"/>
          <w:color w:val="000000"/>
        </w:rPr>
        <w:t>　乙方应保证所提供的服务免受第三方提出侵犯其知识产权</w:t>
      </w:r>
      <w:r>
        <w:rPr>
          <w:rFonts w:hAnsi="宋体"/>
          <w:color w:val="000000"/>
        </w:rPr>
        <w:t>（</w:t>
      </w:r>
      <w:r>
        <w:rPr>
          <w:rFonts w:hint="eastAsia" w:hAnsi="宋体"/>
          <w:color w:val="000000"/>
        </w:rPr>
        <w:t>专利权、商标权、版权等</w:t>
      </w:r>
      <w:r>
        <w:rPr>
          <w:rFonts w:hAnsi="宋体"/>
          <w:color w:val="000000"/>
        </w:rPr>
        <w:t>）</w:t>
      </w:r>
      <w:r>
        <w:rPr>
          <w:rFonts w:hint="eastAsia" w:hAnsi="宋体"/>
          <w:color w:val="000000"/>
        </w:rPr>
        <w:t>的起诉。因侵害他人知识产权而产生的法律责任，全部由供应商承担。</w:t>
      </w:r>
    </w:p>
    <w:p>
      <w:pPr>
        <w:pStyle w:val="25"/>
        <w:spacing w:line="370" w:lineRule="exact"/>
        <w:ind w:firstLine="420" w:firstLineChars="200"/>
        <w:rPr>
          <w:rFonts w:hAnsi="宋体"/>
          <w:color w:val="000000"/>
        </w:rPr>
      </w:pPr>
      <w:r>
        <w:rPr>
          <w:rFonts w:hAnsi="宋体"/>
          <w:color w:val="000000"/>
        </w:rPr>
        <w:t>4.2</w:t>
      </w:r>
      <w:r>
        <w:rPr>
          <w:rFonts w:hint="eastAsia" w:hAnsi="宋体"/>
          <w:color w:val="000000"/>
        </w:rPr>
        <w:t>　甲方委托乙方开发的产品，甲方享有知识产权，未经甲方许可不得转让任何第三人。</w:t>
      </w:r>
    </w:p>
    <w:p>
      <w:pPr>
        <w:pStyle w:val="25"/>
        <w:spacing w:line="370" w:lineRule="exact"/>
        <w:ind w:firstLine="422" w:firstLineChars="200"/>
        <w:rPr>
          <w:rFonts w:hAnsi="宋体"/>
          <w:b/>
          <w:color w:val="000000"/>
        </w:rPr>
      </w:pPr>
      <w:r>
        <w:rPr>
          <w:rFonts w:hAnsi="宋体"/>
          <w:b/>
          <w:color w:val="000000"/>
        </w:rPr>
        <w:t>5</w:t>
      </w:r>
      <w:r>
        <w:rPr>
          <w:rFonts w:hint="eastAsia" w:hAnsi="宋体"/>
          <w:b/>
          <w:color w:val="000000"/>
        </w:rPr>
        <w:t>、保密条款</w:t>
      </w:r>
    </w:p>
    <w:p>
      <w:pPr>
        <w:pStyle w:val="25"/>
        <w:spacing w:line="370" w:lineRule="exact"/>
        <w:ind w:firstLine="420" w:firstLineChars="200"/>
        <w:rPr>
          <w:rFonts w:hAnsi="宋体"/>
          <w:color w:val="000000"/>
        </w:rPr>
      </w:pPr>
      <w:r>
        <w:rPr>
          <w:rFonts w:hAnsi="宋体"/>
          <w:color w:val="000000"/>
        </w:rPr>
        <w:t>5.1</w:t>
      </w:r>
      <w:r>
        <w:rPr>
          <w:rFonts w:hint="eastAsia" w:hAnsi="宋体"/>
          <w:color w:val="000000"/>
        </w:rPr>
        <w:t>　甲乙双方应对在本合同签订或履行过程中所接触的对方信息，包括但不限于知识产权、技术资料、技术诀窍、内部管理及其他相关信息，负有保密义务。</w:t>
      </w:r>
    </w:p>
    <w:p>
      <w:pPr>
        <w:pStyle w:val="25"/>
        <w:spacing w:line="370" w:lineRule="exact"/>
        <w:ind w:firstLine="420" w:firstLineChars="200"/>
        <w:rPr>
          <w:rFonts w:hAnsi="宋体"/>
          <w:color w:val="000000"/>
        </w:rPr>
      </w:pPr>
      <w:r>
        <w:rPr>
          <w:rFonts w:hAnsi="宋体"/>
          <w:color w:val="000000"/>
        </w:rPr>
        <w:t>5.2</w:t>
      </w:r>
      <w:r>
        <w:rPr>
          <w:rFonts w:hint="eastAsia" w:hAnsi="宋体"/>
          <w:color w:val="000000"/>
        </w:rPr>
        <w:t>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pStyle w:val="25"/>
        <w:spacing w:line="370" w:lineRule="exact"/>
        <w:ind w:firstLine="420" w:firstLineChars="200"/>
        <w:rPr>
          <w:rFonts w:hAnsi="宋体"/>
          <w:color w:val="000000"/>
        </w:rPr>
      </w:pPr>
      <w:r>
        <w:rPr>
          <w:rFonts w:hAnsi="宋体"/>
          <w:color w:val="000000"/>
        </w:rPr>
        <w:t>（1）</w:t>
      </w:r>
      <w:r>
        <w:rPr>
          <w:rFonts w:hint="eastAsia" w:hAnsi="宋体"/>
          <w:color w:val="000000"/>
        </w:rPr>
        <w:t>应以审慎态度避免泄露、公开或传播甲方的信息；</w:t>
      </w:r>
    </w:p>
    <w:p>
      <w:pPr>
        <w:pStyle w:val="25"/>
        <w:spacing w:line="370" w:lineRule="exact"/>
        <w:ind w:firstLine="420" w:firstLineChars="200"/>
        <w:rPr>
          <w:rFonts w:hAnsi="宋体"/>
          <w:color w:val="000000"/>
        </w:rPr>
      </w:pPr>
      <w:r>
        <w:rPr>
          <w:rFonts w:hAnsi="宋体"/>
          <w:color w:val="000000"/>
        </w:rPr>
        <w:t>（2）</w:t>
      </w:r>
      <w:r>
        <w:rPr>
          <w:rFonts w:hint="eastAsia" w:hAnsi="宋体"/>
          <w:color w:val="000000"/>
        </w:rPr>
        <w:t>未经甲方书面许可，不得对有关信息进行修改、补充、复制；</w:t>
      </w:r>
    </w:p>
    <w:p>
      <w:pPr>
        <w:pStyle w:val="25"/>
        <w:spacing w:line="370" w:lineRule="exact"/>
        <w:ind w:firstLine="420" w:firstLineChars="200"/>
        <w:rPr>
          <w:rFonts w:hAnsi="宋体"/>
          <w:color w:val="000000"/>
        </w:rPr>
      </w:pPr>
      <w:r>
        <w:rPr>
          <w:rFonts w:hAnsi="宋体"/>
          <w:color w:val="000000"/>
        </w:rPr>
        <w:t>（3）</w:t>
      </w:r>
      <w:r>
        <w:rPr>
          <w:rFonts w:hint="eastAsia" w:hAnsi="宋体"/>
          <w:color w:val="000000"/>
        </w:rPr>
        <w:t>未经甲方书面许可，不得将信息以任何方式</w:t>
      </w:r>
      <w:r>
        <w:rPr>
          <w:rFonts w:hAnsi="宋体"/>
          <w:color w:val="000000"/>
        </w:rPr>
        <w:t>（</w:t>
      </w:r>
      <w:r>
        <w:rPr>
          <w:rFonts w:hint="eastAsia" w:hAnsi="宋体"/>
          <w:color w:val="000000"/>
        </w:rPr>
        <w:t>如</w:t>
      </w:r>
      <w:r>
        <w:rPr>
          <w:rFonts w:hAnsi="宋体"/>
          <w:color w:val="000000"/>
        </w:rPr>
        <w:t>E</w:t>
      </w:r>
      <w:r>
        <w:rPr>
          <w:rFonts w:hint="eastAsia" w:hAnsi="宋体"/>
          <w:color w:val="000000"/>
        </w:rPr>
        <w:t>－</w:t>
      </w:r>
      <w:r>
        <w:rPr>
          <w:rFonts w:hAnsi="宋体"/>
          <w:color w:val="000000"/>
        </w:rPr>
        <w:t>mail）</w:t>
      </w:r>
      <w:r>
        <w:rPr>
          <w:rFonts w:hint="eastAsia" w:hAnsi="宋体"/>
          <w:color w:val="000000"/>
        </w:rPr>
        <w:t>携带出甲方场所；</w:t>
      </w:r>
    </w:p>
    <w:p>
      <w:pPr>
        <w:pStyle w:val="25"/>
        <w:spacing w:line="370" w:lineRule="exact"/>
        <w:ind w:firstLine="420" w:firstLineChars="200"/>
        <w:rPr>
          <w:rFonts w:hAnsi="宋体"/>
          <w:color w:val="000000"/>
        </w:rPr>
      </w:pPr>
      <w:r>
        <w:rPr>
          <w:rFonts w:hAnsi="宋体"/>
          <w:color w:val="000000"/>
        </w:rPr>
        <w:t>（4）</w:t>
      </w:r>
      <w:r>
        <w:rPr>
          <w:rFonts w:hint="eastAsia" w:hAnsi="宋体"/>
          <w:color w:val="000000"/>
        </w:rPr>
        <w:t>未经甲方书面许可，不得将信息透露给任何其他人；</w:t>
      </w:r>
    </w:p>
    <w:p>
      <w:pPr>
        <w:pStyle w:val="25"/>
        <w:spacing w:line="370" w:lineRule="exact"/>
        <w:ind w:firstLine="420" w:firstLineChars="200"/>
        <w:rPr>
          <w:rFonts w:hAnsi="宋体"/>
          <w:color w:val="000000"/>
        </w:rPr>
      </w:pPr>
      <w:r>
        <w:rPr>
          <w:rFonts w:hAnsi="宋体"/>
          <w:color w:val="000000"/>
        </w:rPr>
        <w:t>（5）</w:t>
      </w:r>
      <w:r>
        <w:rPr>
          <w:rFonts w:hint="eastAsia" w:hAnsi="宋体"/>
          <w:color w:val="000000"/>
        </w:rPr>
        <w:t>甲方以书面形式提出的其他保密措施。</w:t>
      </w:r>
    </w:p>
    <w:p>
      <w:pPr>
        <w:pStyle w:val="25"/>
        <w:spacing w:line="370" w:lineRule="exact"/>
        <w:ind w:firstLine="420" w:firstLineChars="200"/>
        <w:rPr>
          <w:rFonts w:hAnsi="宋体"/>
          <w:color w:val="000000"/>
        </w:rPr>
      </w:pPr>
      <w:r>
        <w:rPr>
          <w:rFonts w:hAnsi="宋体"/>
          <w:color w:val="000000"/>
        </w:rPr>
        <w:t>5.3</w:t>
      </w:r>
      <w:r>
        <w:rPr>
          <w:rFonts w:hint="eastAsia" w:hAnsi="宋体"/>
          <w:color w:val="000000"/>
        </w:rPr>
        <w:t>　保密期限不受合同有效期的限制，在合同有效期结束后，信息接受方仍应承担保密义务，直至该等信息成为公开信息。</w:t>
      </w:r>
    </w:p>
    <w:p>
      <w:pPr>
        <w:pStyle w:val="25"/>
        <w:spacing w:line="370" w:lineRule="exact"/>
        <w:ind w:firstLine="420" w:firstLineChars="200"/>
        <w:rPr>
          <w:rFonts w:hAnsi="宋体"/>
          <w:color w:val="000000"/>
        </w:rPr>
      </w:pPr>
      <w:r>
        <w:rPr>
          <w:rFonts w:hAnsi="宋体"/>
          <w:color w:val="000000"/>
        </w:rPr>
        <w:t>5.4</w:t>
      </w:r>
      <w:r>
        <w:rPr>
          <w:rFonts w:hint="eastAsia" w:hAnsi="宋体"/>
          <w:color w:val="000000"/>
        </w:rPr>
        <w:t>　甲乙双方如出现泄密行为，泄密方应承担相关的法律责任，包括但是不限于对由此给对方造成的经济损失进行赔偿。</w:t>
      </w:r>
    </w:p>
    <w:p>
      <w:pPr>
        <w:pStyle w:val="25"/>
        <w:spacing w:line="370" w:lineRule="exact"/>
        <w:ind w:firstLine="422" w:firstLineChars="200"/>
        <w:rPr>
          <w:rFonts w:hAnsi="宋体"/>
          <w:b/>
          <w:color w:val="000000"/>
        </w:rPr>
      </w:pPr>
      <w:r>
        <w:rPr>
          <w:rFonts w:hAnsi="宋体"/>
          <w:b/>
          <w:color w:val="000000"/>
        </w:rPr>
        <w:t>6</w:t>
      </w:r>
      <w:r>
        <w:rPr>
          <w:rFonts w:hint="eastAsia" w:hAnsi="宋体"/>
          <w:b/>
          <w:color w:val="000000"/>
        </w:rPr>
        <w:t>、服务质量保证</w:t>
      </w:r>
    </w:p>
    <w:p>
      <w:pPr>
        <w:pStyle w:val="25"/>
        <w:spacing w:line="370" w:lineRule="exact"/>
        <w:ind w:firstLine="420" w:firstLineChars="200"/>
        <w:rPr>
          <w:rFonts w:hAnsi="宋体"/>
          <w:color w:val="000000"/>
        </w:rPr>
      </w:pPr>
      <w:r>
        <w:rPr>
          <w:rFonts w:hAnsi="宋体"/>
          <w:color w:val="000000"/>
        </w:rPr>
        <w:t>6.1</w:t>
      </w:r>
      <w:r>
        <w:rPr>
          <w:rFonts w:hint="eastAsia" w:hAnsi="宋体"/>
          <w:color w:val="000000"/>
        </w:rPr>
        <w:t>　乙方应保证所提供的服务，符合合同规定的技术要求。如不符时，乙方应负全责并尽快处理解决，由此造成的损失和相关费用由乙方负责，甲方保留终止合同及索赔的权利。</w:t>
      </w:r>
    </w:p>
    <w:p>
      <w:pPr>
        <w:pStyle w:val="25"/>
        <w:spacing w:line="370" w:lineRule="exact"/>
        <w:ind w:firstLine="420" w:firstLineChars="200"/>
        <w:rPr>
          <w:rFonts w:hAnsi="宋体"/>
          <w:color w:val="000000"/>
        </w:rPr>
      </w:pPr>
      <w:r>
        <w:rPr>
          <w:rFonts w:hAnsi="宋体"/>
          <w:color w:val="000000"/>
        </w:rPr>
        <w:t>6.2</w:t>
      </w:r>
      <w:r>
        <w:rPr>
          <w:rFonts w:hint="eastAsia" w:hAnsi="宋体"/>
          <w:color w:val="000000"/>
        </w:rPr>
        <w:t>　乙方应保证通过执行合同中全部方案后，可以取得本合同规定的结果，达到本合同规定的预期目标。对任何情况下出现问题的，应尽快提出解决方案。</w:t>
      </w:r>
    </w:p>
    <w:p>
      <w:pPr>
        <w:pStyle w:val="25"/>
        <w:spacing w:line="370" w:lineRule="exact"/>
        <w:ind w:firstLine="420" w:firstLineChars="200"/>
        <w:rPr>
          <w:rFonts w:hAnsi="宋体"/>
          <w:color w:val="000000"/>
        </w:rPr>
      </w:pPr>
      <w:r>
        <w:rPr>
          <w:rFonts w:hAnsi="宋体"/>
          <w:color w:val="000000"/>
        </w:rPr>
        <w:t>6.3</w:t>
      </w:r>
      <w:r>
        <w:rPr>
          <w:rFonts w:hint="eastAsia" w:hAnsi="宋体"/>
          <w:color w:val="000000"/>
        </w:rPr>
        <w:t>　如果乙方提供的服务和解决方案不符合甲方要求，或在规定的时间内没有弥补缺陷，甲方有权采取一切必要的补救措施，由此产生的费用全部由乙方负责。</w:t>
      </w:r>
    </w:p>
    <w:p>
      <w:pPr>
        <w:pStyle w:val="25"/>
        <w:spacing w:line="370" w:lineRule="exact"/>
        <w:ind w:firstLine="422" w:firstLineChars="200"/>
        <w:rPr>
          <w:rFonts w:hAnsi="宋体"/>
          <w:b/>
          <w:color w:val="000000"/>
        </w:rPr>
      </w:pPr>
      <w:r>
        <w:rPr>
          <w:rFonts w:hAnsi="宋体"/>
          <w:b/>
          <w:color w:val="000000"/>
        </w:rPr>
        <w:t>7</w:t>
      </w:r>
      <w:r>
        <w:rPr>
          <w:rFonts w:hint="eastAsia" w:hAnsi="宋体"/>
          <w:b/>
          <w:color w:val="000000"/>
        </w:rPr>
        <w:t>、履约保证金</w:t>
      </w:r>
    </w:p>
    <w:p>
      <w:pPr>
        <w:pStyle w:val="25"/>
        <w:spacing w:line="370" w:lineRule="exact"/>
        <w:ind w:firstLine="420" w:firstLineChars="200"/>
        <w:rPr>
          <w:rFonts w:hAnsi="宋体"/>
          <w:color w:val="000000"/>
        </w:rPr>
      </w:pPr>
      <w:r>
        <w:rPr>
          <w:rFonts w:hAnsi="宋体"/>
          <w:color w:val="000000"/>
        </w:rPr>
        <w:t>7.1</w:t>
      </w:r>
      <w:r>
        <w:rPr>
          <w:rFonts w:hint="eastAsia" w:hAnsi="宋体"/>
          <w:color w:val="000000"/>
        </w:rPr>
        <w:t>　乙方应在签署合同前，以银行保函、银行电汇或履约担保函形式向甲方提供。</w:t>
      </w:r>
    </w:p>
    <w:p>
      <w:pPr>
        <w:pStyle w:val="25"/>
        <w:spacing w:line="370" w:lineRule="exact"/>
        <w:ind w:firstLine="420" w:firstLineChars="200"/>
        <w:rPr>
          <w:rFonts w:hAnsi="宋体"/>
          <w:color w:val="000000"/>
        </w:rPr>
      </w:pPr>
      <w:r>
        <w:rPr>
          <w:rFonts w:hAnsi="宋体"/>
          <w:color w:val="000000"/>
        </w:rPr>
        <w:t>7.2</w:t>
      </w:r>
      <w:r>
        <w:rPr>
          <w:rFonts w:hint="eastAsia" w:hAnsi="宋体"/>
          <w:color w:val="000000"/>
        </w:rPr>
        <w:t>　履约保证金具体金额及返还要求见合同条款前附表。</w:t>
      </w:r>
    </w:p>
    <w:p>
      <w:pPr>
        <w:pStyle w:val="25"/>
        <w:spacing w:line="370" w:lineRule="exact"/>
        <w:ind w:firstLine="420" w:firstLineChars="200"/>
        <w:rPr>
          <w:rFonts w:hAnsi="宋体"/>
          <w:color w:val="000000"/>
        </w:rPr>
      </w:pPr>
      <w:r>
        <w:rPr>
          <w:rFonts w:hAnsi="宋体"/>
          <w:color w:val="000000"/>
        </w:rPr>
        <w:t>7.3</w:t>
      </w:r>
      <w:r>
        <w:rPr>
          <w:rFonts w:hint="eastAsia" w:hAnsi="宋体"/>
          <w:color w:val="000000"/>
        </w:rPr>
        <w:t>　如乙方未能履行合同规定的义务，甲方有权按照本合同的约定从履约保证金中进行相应扣除。乙方应在甲方扣除履约保证金后</w:t>
      </w:r>
      <w:r>
        <w:rPr>
          <w:rFonts w:hAnsi="宋体"/>
          <w:color w:val="000000"/>
        </w:rPr>
        <w:t>15</w:t>
      </w:r>
      <w:r>
        <w:rPr>
          <w:rFonts w:hint="eastAsia" w:hAnsi="宋体"/>
          <w:color w:val="000000"/>
        </w:rPr>
        <w:t>日内，及时补充扣除部分金额。</w:t>
      </w:r>
    </w:p>
    <w:p>
      <w:pPr>
        <w:pStyle w:val="25"/>
        <w:spacing w:line="370" w:lineRule="exact"/>
        <w:ind w:firstLine="420" w:firstLineChars="200"/>
        <w:rPr>
          <w:rFonts w:hAnsi="宋体"/>
          <w:color w:val="000000"/>
        </w:rPr>
      </w:pPr>
      <w:r>
        <w:rPr>
          <w:rFonts w:hAnsi="宋体"/>
          <w:color w:val="000000"/>
        </w:rPr>
        <w:t>7.4</w:t>
      </w:r>
      <w:r>
        <w:rPr>
          <w:rFonts w:hint="eastAsia" w:hAnsi="宋体"/>
          <w:color w:val="000000"/>
        </w:rPr>
        <w:t>　乙方不履行合同，或者履行合同义务不符合约定使得合同目的不能实现，履约保证金不予退还，给甲方造成的损失超过履约保证金数额的，还应当对超过部分予以赔偿。</w:t>
      </w:r>
    </w:p>
    <w:p>
      <w:pPr>
        <w:pStyle w:val="25"/>
        <w:spacing w:line="370" w:lineRule="exact"/>
        <w:ind w:firstLine="422" w:firstLineChars="200"/>
        <w:rPr>
          <w:rFonts w:hAnsi="宋体"/>
          <w:b/>
          <w:color w:val="000000"/>
        </w:rPr>
      </w:pPr>
      <w:r>
        <w:rPr>
          <w:rFonts w:hAnsi="宋体"/>
          <w:b/>
          <w:color w:val="000000"/>
        </w:rPr>
        <w:t>8</w:t>
      </w:r>
      <w:r>
        <w:rPr>
          <w:rFonts w:hint="eastAsia" w:hAnsi="宋体"/>
          <w:b/>
          <w:color w:val="000000"/>
        </w:rPr>
        <w:t>、服务时间、地点与验收</w:t>
      </w:r>
    </w:p>
    <w:p>
      <w:pPr>
        <w:pStyle w:val="25"/>
        <w:spacing w:line="370" w:lineRule="exact"/>
        <w:ind w:firstLine="420" w:firstLineChars="200"/>
        <w:rPr>
          <w:rFonts w:hAnsi="宋体"/>
          <w:color w:val="000000"/>
        </w:rPr>
      </w:pPr>
      <w:r>
        <w:rPr>
          <w:rFonts w:hAnsi="宋体"/>
          <w:color w:val="000000"/>
        </w:rPr>
        <w:t>8.1</w:t>
      </w:r>
      <w:r>
        <w:rPr>
          <w:rFonts w:hint="eastAsia" w:hAnsi="宋体"/>
          <w:color w:val="000000"/>
        </w:rPr>
        <w:t>　服务地点：合同条款前附表指定地点。</w:t>
      </w:r>
    </w:p>
    <w:p>
      <w:pPr>
        <w:pStyle w:val="25"/>
        <w:spacing w:line="370" w:lineRule="exact"/>
        <w:ind w:firstLine="420" w:firstLineChars="200"/>
        <w:rPr>
          <w:rFonts w:hAnsi="宋体"/>
          <w:color w:val="000000"/>
        </w:rPr>
      </w:pPr>
      <w:r>
        <w:rPr>
          <w:rFonts w:hAnsi="宋体"/>
          <w:color w:val="000000"/>
        </w:rPr>
        <w:t>8.2</w:t>
      </w:r>
      <w:r>
        <w:rPr>
          <w:rFonts w:hint="eastAsia" w:hAnsi="宋体"/>
          <w:color w:val="000000"/>
        </w:rPr>
        <w:t>　服务时间：合同条款前附表指定时间。</w:t>
      </w:r>
    </w:p>
    <w:p>
      <w:pPr>
        <w:pStyle w:val="25"/>
        <w:spacing w:line="370" w:lineRule="exact"/>
        <w:ind w:firstLine="420" w:firstLineChars="200"/>
        <w:rPr>
          <w:rFonts w:hAnsi="宋体"/>
          <w:color w:val="000000"/>
        </w:rPr>
      </w:pPr>
      <w:r>
        <w:rPr>
          <w:rFonts w:hAnsi="宋体"/>
          <w:color w:val="000000"/>
        </w:rPr>
        <w:t>8.3</w:t>
      </w:r>
      <w:r>
        <w:rPr>
          <w:rFonts w:hint="eastAsia" w:hAnsi="宋体"/>
          <w:color w:val="000000"/>
        </w:rPr>
        <w:t>　甲方应在乙方完成相关服务工作后及时对服务质量、技术指标、服务成果进行验收。</w:t>
      </w:r>
    </w:p>
    <w:p>
      <w:pPr>
        <w:pStyle w:val="25"/>
        <w:spacing w:line="370" w:lineRule="exact"/>
        <w:ind w:firstLine="422" w:firstLineChars="200"/>
        <w:rPr>
          <w:rFonts w:hAnsi="宋体"/>
          <w:b/>
          <w:color w:val="000000"/>
        </w:rPr>
      </w:pPr>
      <w:r>
        <w:rPr>
          <w:rFonts w:hAnsi="宋体"/>
          <w:b/>
          <w:color w:val="000000"/>
        </w:rPr>
        <w:t>9</w:t>
      </w:r>
      <w:r>
        <w:rPr>
          <w:rFonts w:hint="eastAsia" w:hAnsi="宋体"/>
          <w:b/>
          <w:color w:val="000000"/>
        </w:rPr>
        <w:t>、违约责任</w:t>
      </w:r>
    </w:p>
    <w:p>
      <w:pPr>
        <w:pStyle w:val="25"/>
        <w:spacing w:line="370" w:lineRule="exact"/>
        <w:ind w:firstLine="420" w:firstLineChars="200"/>
        <w:rPr>
          <w:rFonts w:hAnsi="宋体"/>
          <w:color w:val="000000"/>
        </w:rPr>
      </w:pPr>
      <w:r>
        <w:rPr>
          <w:rFonts w:hAnsi="宋体"/>
          <w:color w:val="000000"/>
        </w:rPr>
        <w:t>9.1</w:t>
      </w:r>
      <w:r>
        <w:rPr>
          <w:rFonts w:hint="eastAsia" w:hAnsi="宋体"/>
          <w:color w:val="000000"/>
        </w:rPr>
        <w:t>　服务缺陷的补救措施和索赔</w:t>
      </w:r>
    </w:p>
    <w:p>
      <w:pPr>
        <w:pStyle w:val="25"/>
        <w:spacing w:line="370" w:lineRule="exact"/>
        <w:ind w:firstLine="420" w:firstLineChars="200"/>
        <w:rPr>
          <w:rFonts w:hAnsi="宋体"/>
          <w:color w:val="000000"/>
        </w:rPr>
      </w:pPr>
      <w:r>
        <w:rPr>
          <w:rFonts w:hAnsi="宋体"/>
          <w:color w:val="000000"/>
        </w:rPr>
        <w:t>（1）</w:t>
      </w:r>
      <w:r>
        <w:rPr>
          <w:rFonts w:hint="eastAsia" w:hAnsi="宋体"/>
          <w:color w:val="000000"/>
        </w:rPr>
        <w:t>如果乙方提供的服务不符合本合同约定以及招标文件、投标文件关于服务的要求和承诺，乙方应按照甲方同意的下列一种或几种方式结合起来解决索赔事宜：</w:t>
      </w:r>
    </w:p>
    <w:p>
      <w:pPr>
        <w:pStyle w:val="25"/>
        <w:spacing w:line="370" w:lineRule="exact"/>
        <w:ind w:firstLine="420" w:firstLineChars="200"/>
        <w:rPr>
          <w:rFonts w:hAnsi="宋体"/>
          <w:color w:val="000000"/>
        </w:rPr>
      </w:pPr>
      <w:r>
        <w:rPr>
          <w:rFonts w:hint="eastAsia" w:hAnsi="宋体"/>
          <w:color w:val="000000"/>
        </w:rPr>
        <w:t>①乙方同意将服务款项目退还给甲方，由此发生的一切费用和损失由乙方承担。如甲方以适当的条件和方法购买与未履约标的相类似的服务，乙方应负担新购买类似服务所超出的费用。</w:t>
      </w:r>
    </w:p>
    <w:p>
      <w:pPr>
        <w:pStyle w:val="25"/>
        <w:spacing w:line="370" w:lineRule="exact"/>
        <w:ind w:firstLine="420" w:firstLineChars="200"/>
        <w:rPr>
          <w:rFonts w:hAnsi="宋体"/>
          <w:color w:val="000000"/>
        </w:rPr>
      </w:pPr>
      <w:r>
        <w:rPr>
          <w:rFonts w:hint="eastAsia" w:hAnsi="宋体"/>
          <w:color w:val="000000"/>
        </w:rPr>
        <w:t>②根据服务的质量状况以及甲方所遭受的损失，经过甲乙双方商定降低服务的价格。</w:t>
      </w:r>
    </w:p>
    <w:p>
      <w:pPr>
        <w:pStyle w:val="25"/>
        <w:spacing w:line="370" w:lineRule="exact"/>
        <w:ind w:firstLine="420" w:firstLineChars="200"/>
        <w:rPr>
          <w:rFonts w:hAnsi="宋体"/>
          <w:color w:val="000000"/>
        </w:rPr>
      </w:pPr>
      <w:r>
        <w:rPr>
          <w:rFonts w:hAnsi="宋体"/>
          <w:color w:val="000000"/>
        </w:rPr>
        <w:t>（2）</w:t>
      </w:r>
      <w:r>
        <w:rPr>
          <w:rFonts w:hint="eastAsia" w:hAnsi="宋体"/>
          <w:color w:val="000000"/>
        </w:rPr>
        <w:t>如果在甲方发出索赔通知后</w:t>
      </w:r>
      <w:r>
        <w:rPr>
          <w:rFonts w:hAnsi="宋体"/>
          <w:color w:val="000000"/>
        </w:rPr>
        <w:t>10</w:t>
      </w:r>
      <w:r>
        <w:rPr>
          <w:rFonts w:hint="eastAsia" w:hAnsi="宋体"/>
          <w:color w:val="000000"/>
        </w:rPr>
        <w:t>日内乙方未作答复，上述索赔应视为已被乙方接受。如果乙方未能在甲方发出索赔通知后</w:t>
      </w:r>
      <w:r>
        <w:rPr>
          <w:rFonts w:hAnsi="宋体"/>
          <w:color w:val="000000"/>
        </w:rPr>
        <w:t>10</w:t>
      </w:r>
      <w:r>
        <w:rPr>
          <w:rFonts w:hint="eastAsia" w:hAnsi="宋体"/>
          <w:color w:val="000000"/>
        </w:rPr>
        <w:t>日内或甲方同意延长的期限内，按照上述规定的任何一种方法采取补救措施，甲方有权从应付服务款中扣除索赔金额或者没收履约保证金，如不足以弥补甲方损失的，甲方有权进一步要求乙方赔偿。</w:t>
      </w:r>
    </w:p>
    <w:p>
      <w:pPr>
        <w:pStyle w:val="25"/>
        <w:spacing w:line="370" w:lineRule="exact"/>
        <w:ind w:firstLine="420" w:firstLineChars="200"/>
        <w:rPr>
          <w:rFonts w:hAnsi="宋体"/>
          <w:color w:val="000000"/>
        </w:rPr>
      </w:pPr>
      <w:r>
        <w:rPr>
          <w:rFonts w:hAnsi="宋体"/>
          <w:color w:val="000000"/>
        </w:rPr>
        <w:t>9.2</w:t>
      </w:r>
      <w:r>
        <w:rPr>
          <w:rFonts w:hint="eastAsia" w:hAnsi="宋体"/>
          <w:color w:val="000000"/>
        </w:rPr>
        <w:t>　迟延履约的违约责任</w:t>
      </w:r>
    </w:p>
    <w:p>
      <w:pPr>
        <w:pStyle w:val="25"/>
        <w:spacing w:line="370" w:lineRule="exact"/>
        <w:ind w:firstLine="420" w:firstLineChars="200"/>
        <w:rPr>
          <w:rFonts w:hAnsi="宋体"/>
          <w:color w:val="000000"/>
        </w:rPr>
      </w:pPr>
      <w:r>
        <w:rPr>
          <w:rFonts w:hAnsi="宋体"/>
          <w:color w:val="000000"/>
        </w:rPr>
        <w:t>（1）</w:t>
      </w:r>
      <w:r>
        <w:rPr>
          <w:rFonts w:hint="eastAsia" w:hAnsi="宋体"/>
          <w:color w:val="000000"/>
        </w:rPr>
        <w:t>乙方应按照本合同规定的时间、地点提供服务。</w:t>
      </w:r>
    </w:p>
    <w:p>
      <w:pPr>
        <w:pStyle w:val="25"/>
        <w:spacing w:line="370" w:lineRule="exact"/>
        <w:ind w:firstLine="420" w:firstLineChars="200"/>
        <w:rPr>
          <w:rFonts w:hAnsi="宋体"/>
          <w:color w:val="000000"/>
        </w:rPr>
      </w:pPr>
      <w:r>
        <w:rPr>
          <w:rFonts w:hAnsi="宋体"/>
          <w:color w:val="000000"/>
        </w:rPr>
        <w:t>（2）</w:t>
      </w:r>
      <w:r>
        <w:rPr>
          <w:rFonts w:hint="eastAsia" w:hAnsi="宋体"/>
          <w:color w:val="000000"/>
        </w:rPr>
        <w:t>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pStyle w:val="25"/>
        <w:spacing w:line="370" w:lineRule="exact"/>
        <w:ind w:firstLine="420" w:firstLineChars="200"/>
        <w:rPr>
          <w:rFonts w:hAnsi="宋体"/>
          <w:color w:val="000000"/>
        </w:rPr>
      </w:pPr>
      <w:r>
        <w:rPr>
          <w:rFonts w:hAnsi="宋体"/>
          <w:color w:val="000000"/>
        </w:rPr>
        <w:t>（3）</w:t>
      </w:r>
      <w:r>
        <w:rPr>
          <w:rFonts w:hint="eastAsia" w:hAnsi="宋体"/>
          <w:color w:val="000000"/>
        </w:rPr>
        <w:t>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w:t>
      </w:r>
      <w:r>
        <w:rPr>
          <w:rFonts w:hAnsi="宋体"/>
          <w:color w:val="000000"/>
        </w:rPr>
        <w:t>0.5%（</w:t>
      </w:r>
      <w:r>
        <w:rPr>
          <w:rFonts w:hint="eastAsia" w:hAnsi="宋体"/>
          <w:color w:val="000000"/>
        </w:rPr>
        <w:t>各单位可根据实际情况重新设定</w:t>
      </w:r>
      <w:r>
        <w:rPr>
          <w:rFonts w:hAnsi="宋体"/>
          <w:color w:val="000000"/>
        </w:rPr>
        <w:t>）</w:t>
      </w:r>
      <w:r>
        <w:rPr>
          <w:rFonts w:hint="eastAsia" w:hAnsi="宋体"/>
          <w:color w:val="000000"/>
        </w:rPr>
        <w:t>计收，直至交货或提供服务为止。但误期赔偿费的最高限额不超过合同价的</w:t>
      </w:r>
      <w:r>
        <w:rPr>
          <w:rFonts w:hAnsi="宋体"/>
          <w:color w:val="000000"/>
        </w:rPr>
        <w:t>15%（</w:t>
      </w:r>
      <w:r>
        <w:rPr>
          <w:rFonts w:hint="eastAsia" w:hAnsi="宋体"/>
          <w:color w:val="000000"/>
        </w:rPr>
        <w:t>各单位可根据实际情况重新设定</w:t>
      </w:r>
      <w:r>
        <w:rPr>
          <w:rFonts w:hAnsi="宋体"/>
          <w:color w:val="000000"/>
        </w:rPr>
        <w:t>）</w:t>
      </w:r>
      <w:r>
        <w:rPr>
          <w:rFonts w:hint="eastAsia" w:hAnsi="宋体"/>
          <w:color w:val="000000"/>
        </w:rPr>
        <w:t>。</w:t>
      </w:r>
    </w:p>
    <w:p>
      <w:pPr>
        <w:pStyle w:val="25"/>
        <w:spacing w:line="370" w:lineRule="exact"/>
        <w:ind w:firstLine="420" w:firstLineChars="200"/>
        <w:rPr>
          <w:rFonts w:hAnsi="宋体"/>
          <w:color w:val="000000"/>
        </w:rPr>
      </w:pPr>
      <w:r>
        <w:rPr>
          <w:rFonts w:hAnsi="宋体"/>
          <w:color w:val="000000"/>
        </w:rPr>
        <w:t>（4）</w:t>
      </w:r>
      <w:r>
        <w:rPr>
          <w:rFonts w:hint="eastAsia" w:hAnsi="宋体"/>
          <w:color w:val="000000"/>
        </w:rPr>
        <w:t>如果乙方延迟履约超过</w:t>
      </w:r>
      <w:r>
        <w:rPr>
          <w:rFonts w:hAnsi="宋体"/>
          <w:color w:val="000000"/>
        </w:rPr>
        <w:t>30</w:t>
      </w:r>
      <w:r>
        <w:rPr>
          <w:rFonts w:hint="eastAsia" w:hAnsi="宋体"/>
          <w:color w:val="000000"/>
        </w:rPr>
        <w:t>日，甲方有权终止全部或部分合同，并依其认为适当的条件和方法购买与未履约类似的服务，乙方应负担购买类似服务所超出的费用。但是，乙方应继续执行合同中未终止的部分。</w:t>
      </w:r>
    </w:p>
    <w:p>
      <w:pPr>
        <w:pStyle w:val="25"/>
        <w:spacing w:line="370" w:lineRule="exact"/>
        <w:ind w:firstLine="420" w:firstLineChars="200"/>
        <w:rPr>
          <w:rFonts w:hAnsi="宋体"/>
          <w:color w:val="000000"/>
        </w:rPr>
      </w:pPr>
      <w:r>
        <w:rPr>
          <w:rFonts w:hAnsi="宋体"/>
          <w:color w:val="000000"/>
        </w:rPr>
        <w:t>9.3</w:t>
      </w:r>
      <w:r>
        <w:rPr>
          <w:rFonts w:hint="eastAsia" w:hAnsi="宋体"/>
          <w:color w:val="000000"/>
        </w:rPr>
        <w:t>　未履行合同义务的违约责任</w:t>
      </w:r>
    </w:p>
    <w:p>
      <w:pPr>
        <w:pStyle w:val="25"/>
        <w:spacing w:line="370" w:lineRule="exact"/>
        <w:ind w:firstLine="420" w:firstLineChars="200"/>
        <w:rPr>
          <w:rFonts w:hAnsi="宋体"/>
          <w:color w:val="000000"/>
        </w:rPr>
      </w:pPr>
      <w:r>
        <w:rPr>
          <w:rFonts w:hAnsi="宋体"/>
          <w:color w:val="000000"/>
        </w:rPr>
        <w:t>（1）</w:t>
      </w:r>
      <w:r>
        <w:rPr>
          <w:rFonts w:hint="eastAsia" w:hAnsi="宋体"/>
          <w:color w:val="000000"/>
        </w:rPr>
        <w:t>守约方有权终止全部或部分合同。</w:t>
      </w:r>
    </w:p>
    <w:p>
      <w:pPr>
        <w:pStyle w:val="25"/>
        <w:spacing w:line="370" w:lineRule="exact"/>
        <w:ind w:firstLine="420" w:firstLineChars="200"/>
        <w:rPr>
          <w:rFonts w:hAnsi="宋体"/>
          <w:color w:val="000000"/>
        </w:rPr>
      </w:pPr>
      <w:r>
        <w:rPr>
          <w:rFonts w:hAnsi="宋体"/>
          <w:color w:val="000000"/>
        </w:rPr>
        <w:t>（2）</w:t>
      </w:r>
      <w:r>
        <w:rPr>
          <w:rFonts w:hint="eastAsia" w:hAnsi="宋体"/>
          <w:color w:val="000000"/>
        </w:rPr>
        <w:t>没收全额履约保证金。</w:t>
      </w:r>
    </w:p>
    <w:p>
      <w:pPr>
        <w:pStyle w:val="25"/>
        <w:spacing w:line="370" w:lineRule="exact"/>
        <w:ind w:firstLine="420" w:firstLineChars="200"/>
        <w:rPr>
          <w:rFonts w:hAnsi="宋体"/>
          <w:color w:val="000000"/>
        </w:rPr>
      </w:pPr>
      <w:r>
        <w:rPr>
          <w:rFonts w:hAnsi="宋体"/>
          <w:color w:val="000000"/>
        </w:rPr>
        <w:t>（3）</w:t>
      </w:r>
      <w:r>
        <w:rPr>
          <w:rFonts w:hint="eastAsia" w:hAnsi="宋体"/>
          <w:color w:val="000000"/>
        </w:rPr>
        <w:t>由违约一方支付违约金，违约金标准见合同条款前附表</w:t>
      </w:r>
      <w:r>
        <w:rPr>
          <w:rFonts w:hAnsi="宋体"/>
          <w:color w:val="000000"/>
        </w:rPr>
        <w:t>（</w:t>
      </w:r>
      <w:r>
        <w:rPr>
          <w:rFonts w:hint="eastAsia" w:hAnsi="宋体"/>
          <w:color w:val="000000"/>
        </w:rPr>
        <w:t>各单位可根据实际情况自行约定</w:t>
      </w:r>
      <w:r>
        <w:rPr>
          <w:rFonts w:hAnsi="宋体"/>
          <w:color w:val="000000"/>
        </w:rPr>
        <w:t>）</w:t>
      </w:r>
      <w:r>
        <w:rPr>
          <w:rFonts w:hint="eastAsia" w:hAnsi="宋体"/>
          <w:color w:val="000000"/>
        </w:rPr>
        <w:t>。</w:t>
      </w:r>
    </w:p>
    <w:p>
      <w:pPr>
        <w:pStyle w:val="25"/>
        <w:spacing w:line="370" w:lineRule="exact"/>
        <w:ind w:firstLine="420" w:firstLineChars="200"/>
        <w:rPr>
          <w:rFonts w:hAnsi="宋体"/>
          <w:color w:val="000000"/>
        </w:rPr>
      </w:pPr>
      <w:r>
        <w:rPr>
          <w:rFonts w:hAnsi="宋体"/>
          <w:color w:val="000000"/>
        </w:rPr>
        <w:t>（4）</w:t>
      </w:r>
      <w:r>
        <w:rPr>
          <w:rFonts w:hint="eastAsia" w:hAnsi="宋体"/>
          <w:color w:val="000000"/>
        </w:rPr>
        <w:t>违约金不足以弥补守约方实际损失、可预见或者应当预见的损失，由违约方全额予以赔偿。</w:t>
      </w:r>
    </w:p>
    <w:p>
      <w:pPr>
        <w:pStyle w:val="25"/>
        <w:spacing w:line="370" w:lineRule="exact"/>
        <w:ind w:firstLine="422" w:firstLineChars="200"/>
        <w:rPr>
          <w:rFonts w:hAnsi="宋体"/>
          <w:b/>
          <w:color w:val="000000"/>
        </w:rPr>
      </w:pPr>
      <w:r>
        <w:rPr>
          <w:rFonts w:hAnsi="宋体"/>
          <w:b/>
          <w:color w:val="000000"/>
        </w:rPr>
        <w:t>10</w:t>
      </w:r>
      <w:r>
        <w:rPr>
          <w:rFonts w:hint="eastAsia" w:hAnsi="宋体"/>
          <w:b/>
          <w:color w:val="000000"/>
        </w:rPr>
        <w:t>、不可抗力</w:t>
      </w:r>
    </w:p>
    <w:p>
      <w:pPr>
        <w:pStyle w:val="25"/>
        <w:spacing w:line="370" w:lineRule="exact"/>
        <w:ind w:firstLine="420" w:firstLineChars="200"/>
        <w:rPr>
          <w:rFonts w:hAnsi="宋体"/>
          <w:color w:val="000000"/>
        </w:rPr>
      </w:pPr>
      <w:r>
        <w:rPr>
          <w:rFonts w:hAnsi="宋体"/>
          <w:color w:val="000000"/>
        </w:rPr>
        <w:t>10.1</w:t>
      </w:r>
      <w:r>
        <w:rPr>
          <w:rFonts w:hint="eastAsia" w:hAnsi="宋体"/>
          <w:color w:val="000000"/>
        </w:rPr>
        <w:t>　如果合同双方因不可抗力而导致合同实施延误或合同无法实施，不应该承担误期赔偿或不能履行合同义务的责任。</w:t>
      </w:r>
    </w:p>
    <w:p>
      <w:pPr>
        <w:pStyle w:val="25"/>
        <w:spacing w:line="370" w:lineRule="exact"/>
        <w:ind w:firstLine="420" w:firstLineChars="200"/>
        <w:rPr>
          <w:rFonts w:hAnsi="宋体"/>
          <w:color w:val="000000"/>
        </w:rPr>
      </w:pPr>
      <w:r>
        <w:rPr>
          <w:rFonts w:hAnsi="宋体"/>
          <w:color w:val="000000"/>
        </w:rPr>
        <w:t>10.2</w:t>
      </w:r>
      <w:r>
        <w:rPr>
          <w:rFonts w:hint="eastAsia" w:hAnsi="宋体"/>
          <w:color w:val="000000"/>
        </w:rPr>
        <w:t>　本条所述的“不可抗力”系指那些双方不可预见、不可避免、不可克服的客观情况，但不包括双方的违约或疏忽。这些事件包括但不限于：战争、严重火灾、洪水、台风、地震等。</w:t>
      </w:r>
    </w:p>
    <w:p>
      <w:pPr>
        <w:pStyle w:val="25"/>
        <w:spacing w:line="370" w:lineRule="exact"/>
        <w:ind w:firstLine="420" w:firstLineChars="200"/>
        <w:rPr>
          <w:rFonts w:hAnsi="宋体"/>
          <w:color w:val="000000"/>
        </w:rPr>
      </w:pPr>
      <w:r>
        <w:rPr>
          <w:rFonts w:hAnsi="宋体"/>
          <w:color w:val="000000"/>
        </w:rPr>
        <w:t>10.3</w:t>
      </w:r>
      <w:r>
        <w:rPr>
          <w:rFonts w:hint="eastAsia" w:hAnsi="宋体"/>
          <w:color w:val="000000"/>
        </w:rPr>
        <w:t>　在不可抗力事件发生后，当事方应及时将不可抗力情况通知合同对方，在不可抗力事件结束后</w:t>
      </w:r>
      <w:r>
        <w:rPr>
          <w:rFonts w:hAnsi="宋体"/>
          <w:color w:val="000000"/>
        </w:rPr>
        <w:t>3</w:t>
      </w:r>
      <w:r>
        <w:rPr>
          <w:rFonts w:hint="eastAsia" w:hAnsi="宋体"/>
          <w:color w:val="000000"/>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25"/>
        <w:spacing w:line="370" w:lineRule="exact"/>
        <w:ind w:firstLine="422" w:firstLineChars="200"/>
        <w:rPr>
          <w:rFonts w:hAnsi="宋体"/>
          <w:b/>
          <w:color w:val="000000"/>
        </w:rPr>
      </w:pPr>
      <w:r>
        <w:rPr>
          <w:rFonts w:hAnsi="宋体"/>
          <w:b/>
          <w:color w:val="000000"/>
        </w:rPr>
        <w:t>11</w:t>
      </w:r>
      <w:r>
        <w:rPr>
          <w:rFonts w:hint="eastAsia" w:hAnsi="宋体"/>
          <w:b/>
          <w:color w:val="000000"/>
        </w:rPr>
        <w:t>、合同纠纷的解决方式</w:t>
      </w:r>
    </w:p>
    <w:p>
      <w:pPr>
        <w:pStyle w:val="25"/>
        <w:spacing w:line="370" w:lineRule="exact"/>
        <w:ind w:firstLine="420" w:firstLineChars="200"/>
        <w:rPr>
          <w:rFonts w:hAnsi="宋体"/>
          <w:color w:val="000000"/>
        </w:rPr>
      </w:pPr>
      <w:r>
        <w:rPr>
          <w:rFonts w:hAnsi="宋体"/>
          <w:color w:val="000000"/>
        </w:rPr>
        <w:t>11.1</w:t>
      </w:r>
      <w:r>
        <w:rPr>
          <w:rFonts w:hint="eastAsia" w:hAnsi="宋体"/>
          <w:color w:val="000000"/>
        </w:rPr>
        <w:t>　合同各方应通过友好协商，解决在执行合同过程中所发生的或与合同有关的一切争端。如协商</w:t>
      </w:r>
      <w:r>
        <w:rPr>
          <w:rFonts w:hAnsi="宋体"/>
          <w:color w:val="000000"/>
        </w:rPr>
        <w:t>30</w:t>
      </w:r>
      <w:r>
        <w:rPr>
          <w:rFonts w:hint="eastAsia" w:hAnsi="宋体"/>
          <w:color w:val="000000"/>
        </w:rPr>
        <w:t>日内</w:t>
      </w:r>
      <w:r>
        <w:rPr>
          <w:rFonts w:hAnsi="宋体"/>
          <w:color w:val="000000"/>
        </w:rPr>
        <w:t>（</w:t>
      </w:r>
      <w:r>
        <w:rPr>
          <w:rFonts w:hint="eastAsia" w:hAnsi="宋体"/>
          <w:color w:val="000000"/>
        </w:rPr>
        <w:t>根据实际情况设定</w:t>
      </w:r>
      <w:r>
        <w:rPr>
          <w:rFonts w:hAnsi="宋体"/>
          <w:color w:val="000000"/>
        </w:rPr>
        <w:t>）</w:t>
      </w:r>
      <w:r>
        <w:rPr>
          <w:rFonts w:hint="eastAsia" w:hAnsi="宋体"/>
          <w:color w:val="000000"/>
        </w:rPr>
        <w:t>不能解决，可以按合同规定的方式提起仲裁或诉讼。</w:t>
      </w:r>
    </w:p>
    <w:p>
      <w:pPr>
        <w:pStyle w:val="25"/>
        <w:spacing w:line="370" w:lineRule="exact"/>
        <w:ind w:firstLine="420" w:firstLineChars="200"/>
        <w:rPr>
          <w:rFonts w:hAnsi="宋体"/>
          <w:color w:val="000000"/>
        </w:rPr>
      </w:pPr>
      <w:r>
        <w:rPr>
          <w:rFonts w:hAnsi="宋体"/>
          <w:color w:val="000000"/>
        </w:rPr>
        <w:t>11.2</w:t>
      </w:r>
      <w:r>
        <w:rPr>
          <w:rFonts w:hint="eastAsia" w:hAnsi="宋体"/>
          <w:color w:val="000000"/>
        </w:rPr>
        <w:t>　仲裁裁决应为最终裁决，对双方均具有约束力。</w:t>
      </w:r>
    </w:p>
    <w:p>
      <w:pPr>
        <w:pStyle w:val="25"/>
        <w:spacing w:line="370" w:lineRule="exact"/>
        <w:ind w:firstLine="420" w:firstLineChars="200"/>
        <w:rPr>
          <w:rFonts w:hAnsi="宋体"/>
          <w:color w:val="000000"/>
        </w:rPr>
      </w:pPr>
      <w:r>
        <w:rPr>
          <w:rFonts w:hAnsi="宋体"/>
          <w:color w:val="000000"/>
        </w:rPr>
        <w:t>11.3</w:t>
      </w:r>
      <w:r>
        <w:rPr>
          <w:rFonts w:hint="eastAsia" w:hAnsi="宋体"/>
          <w:color w:val="000000"/>
        </w:rPr>
        <w:t>　仲裁费除仲裁机关另有裁决外应由败诉方负担。</w:t>
      </w:r>
    </w:p>
    <w:p>
      <w:pPr>
        <w:pStyle w:val="25"/>
        <w:spacing w:line="370" w:lineRule="exact"/>
        <w:ind w:firstLine="420" w:firstLineChars="200"/>
        <w:rPr>
          <w:rFonts w:hAnsi="宋体"/>
          <w:color w:val="000000"/>
        </w:rPr>
      </w:pPr>
      <w:r>
        <w:rPr>
          <w:rFonts w:hAnsi="宋体"/>
          <w:color w:val="000000"/>
        </w:rPr>
        <w:t>11.4</w:t>
      </w:r>
      <w:r>
        <w:rPr>
          <w:rFonts w:hint="eastAsia" w:hAnsi="宋体"/>
          <w:color w:val="000000"/>
        </w:rPr>
        <w:t>　诉讼应由服务所在地人民法院管辖。诉讼费除人民法院另有判决外应由败诉方负担。</w:t>
      </w:r>
    </w:p>
    <w:p>
      <w:pPr>
        <w:pStyle w:val="25"/>
        <w:spacing w:line="370" w:lineRule="exact"/>
        <w:ind w:firstLine="420" w:firstLineChars="200"/>
        <w:rPr>
          <w:rFonts w:hAnsi="宋体"/>
          <w:color w:val="000000"/>
        </w:rPr>
      </w:pPr>
      <w:r>
        <w:rPr>
          <w:rFonts w:hAnsi="宋体"/>
          <w:color w:val="000000"/>
        </w:rPr>
        <w:t>11.5</w:t>
      </w:r>
      <w:r>
        <w:rPr>
          <w:rFonts w:hint="eastAsia" w:hAnsi="宋体"/>
          <w:color w:val="000000"/>
        </w:rPr>
        <w:t>　如仲裁或诉讼事项不影响合同其他部分的履行，则在仲裁或诉讼期间，除正在进行仲裁或诉讼的部分外，合同的其他部分应继续执行。</w:t>
      </w:r>
    </w:p>
    <w:p>
      <w:pPr>
        <w:pStyle w:val="25"/>
        <w:spacing w:line="370" w:lineRule="exact"/>
        <w:ind w:firstLine="422" w:firstLineChars="200"/>
        <w:rPr>
          <w:rFonts w:hAnsi="宋体"/>
          <w:b/>
          <w:color w:val="000000"/>
        </w:rPr>
      </w:pPr>
      <w:r>
        <w:rPr>
          <w:rFonts w:hAnsi="宋体"/>
          <w:b/>
          <w:color w:val="000000"/>
        </w:rPr>
        <w:t>12</w:t>
      </w:r>
      <w:r>
        <w:rPr>
          <w:rFonts w:hint="eastAsia" w:hAnsi="宋体"/>
          <w:b/>
          <w:color w:val="000000"/>
        </w:rPr>
        <w:t>、合同修改或变更</w:t>
      </w:r>
    </w:p>
    <w:p>
      <w:pPr>
        <w:pStyle w:val="25"/>
        <w:spacing w:line="370" w:lineRule="exact"/>
        <w:ind w:firstLine="420" w:firstLineChars="200"/>
        <w:rPr>
          <w:rFonts w:hAnsi="宋体"/>
          <w:color w:val="000000"/>
        </w:rPr>
      </w:pPr>
      <w:r>
        <w:rPr>
          <w:rFonts w:hAnsi="宋体"/>
          <w:color w:val="000000"/>
        </w:rPr>
        <w:t>12.1</w:t>
      </w:r>
      <w:r>
        <w:rPr>
          <w:rFonts w:hint="eastAsia" w:hAnsi="宋体"/>
          <w:color w:val="000000"/>
        </w:rPr>
        <w:t>　如无重大变故，甲乙双方不得擅自变更合同。</w:t>
      </w:r>
    </w:p>
    <w:p>
      <w:pPr>
        <w:pStyle w:val="25"/>
        <w:spacing w:line="370" w:lineRule="exact"/>
        <w:ind w:firstLine="420" w:firstLineChars="200"/>
        <w:rPr>
          <w:rFonts w:hAnsi="宋体"/>
          <w:color w:val="000000"/>
        </w:rPr>
      </w:pPr>
      <w:r>
        <w:rPr>
          <w:rFonts w:hAnsi="宋体"/>
          <w:color w:val="000000"/>
        </w:rPr>
        <w:t>12.2</w:t>
      </w:r>
      <w:r>
        <w:rPr>
          <w:rFonts w:hint="eastAsia" w:hAnsi="宋体"/>
          <w:color w:val="000000"/>
        </w:rPr>
        <w:t>　如确需变更合同，甲乙双方应签署书面变更协议。变更协议为本合同不可分割的一部分。</w:t>
      </w:r>
    </w:p>
    <w:p>
      <w:pPr>
        <w:pStyle w:val="25"/>
        <w:spacing w:line="370" w:lineRule="exact"/>
        <w:ind w:firstLine="420" w:firstLineChars="200"/>
        <w:rPr>
          <w:rFonts w:hAnsi="宋体"/>
          <w:color w:val="000000"/>
        </w:rPr>
      </w:pPr>
      <w:r>
        <w:rPr>
          <w:rFonts w:hAnsi="宋体"/>
          <w:color w:val="000000"/>
        </w:rPr>
        <w:t>12.3</w:t>
      </w:r>
      <w:r>
        <w:rPr>
          <w:rFonts w:hint="eastAsia" w:hAnsi="宋体"/>
          <w:color w:val="000000"/>
        </w:rPr>
        <w:t>　在不改变合同其他条款的前提下，甲方有权在合同价款</w:t>
      </w:r>
      <w:r>
        <w:rPr>
          <w:rFonts w:hAnsi="宋体"/>
          <w:color w:val="000000"/>
        </w:rPr>
        <w:t>10%</w:t>
      </w:r>
      <w:r>
        <w:rPr>
          <w:rFonts w:hint="eastAsia" w:hAnsi="宋体"/>
          <w:color w:val="000000"/>
        </w:rPr>
        <w:t>的范围内追加与合同标的相同的货物或服务，并就此与乙方签订补充合同，乙方不得拒绝。</w:t>
      </w:r>
    </w:p>
    <w:p>
      <w:pPr>
        <w:pStyle w:val="25"/>
        <w:spacing w:line="370" w:lineRule="exact"/>
        <w:ind w:firstLine="422" w:firstLineChars="200"/>
        <w:rPr>
          <w:rFonts w:hAnsi="宋体"/>
          <w:b/>
          <w:color w:val="000000"/>
        </w:rPr>
      </w:pPr>
      <w:r>
        <w:rPr>
          <w:rFonts w:hAnsi="宋体"/>
          <w:b/>
          <w:color w:val="000000"/>
        </w:rPr>
        <w:t>13</w:t>
      </w:r>
      <w:r>
        <w:rPr>
          <w:rFonts w:hint="eastAsia" w:hAnsi="宋体"/>
          <w:b/>
          <w:color w:val="000000"/>
        </w:rPr>
        <w:t>、合同中止</w:t>
      </w:r>
    </w:p>
    <w:p>
      <w:pPr>
        <w:pStyle w:val="25"/>
        <w:spacing w:line="370" w:lineRule="exact"/>
        <w:ind w:firstLine="420" w:firstLineChars="200"/>
        <w:rPr>
          <w:rFonts w:hAnsi="宋体"/>
          <w:color w:val="000000"/>
        </w:rPr>
      </w:pPr>
      <w:r>
        <w:rPr>
          <w:rFonts w:hAnsi="宋体"/>
          <w:color w:val="000000"/>
        </w:rPr>
        <w:t>13.1</w:t>
      </w:r>
      <w:r>
        <w:rPr>
          <w:rFonts w:hint="eastAsia" w:hAnsi="宋体"/>
          <w:color w:val="000000"/>
        </w:rPr>
        <w:t>合同在履行过程中，因采购计划调整，甲方可以要求中止履行，待计划确定后继续履行；合同履行过程中因供应商就采购过程或结果提起投诉的，甲方认为有必要或财政部责令中止的，应当中止合同的履行。</w:t>
      </w:r>
    </w:p>
    <w:p>
      <w:pPr>
        <w:pStyle w:val="25"/>
        <w:spacing w:line="370" w:lineRule="exact"/>
        <w:ind w:firstLine="422" w:firstLineChars="200"/>
        <w:rPr>
          <w:rFonts w:hAnsi="宋体"/>
          <w:b/>
          <w:color w:val="000000"/>
        </w:rPr>
      </w:pPr>
      <w:r>
        <w:rPr>
          <w:rFonts w:hAnsi="宋体"/>
          <w:b/>
          <w:color w:val="000000"/>
        </w:rPr>
        <w:t>14</w:t>
      </w:r>
      <w:r>
        <w:rPr>
          <w:rFonts w:hint="eastAsia" w:hAnsi="宋体"/>
          <w:b/>
          <w:color w:val="000000"/>
        </w:rPr>
        <w:t>、违约终止合同</w:t>
      </w:r>
    </w:p>
    <w:p>
      <w:pPr>
        <w:pStyle w:val="25"/>
        <w:spacing w:line="370" w:lineRule="exact"/>
        <w:ind w:firstLine="420" w:firstLineChars="200"/>
        <w:rPr>
          <w:rFonts w:hAnsi="宋体"/>
          <w:color w:val="000000"/>
        </w:rPr>
      </w:pPr>
      <w:r>
        <w:rPr>
          <w:rFonts w:hAnsi="宋体"/>
          <w:color w:val="000000"/>
        </w:rPr>
        <w:t>14.1</w:t>
      </w:r>
      <w:r>
        <w:rPr>
          <w:rFonts w:hint="eastAsia" w:hAnsi="宋体"/>
          <w:color w:val="000000"/>
        </w:rPr>
        <w:t>　若出现如下情况，在甲方对乙方违约行为而采取的任何补救措施不受影响的情况下，甲方可向乙方发出书面通知书，提出终止部分或全部合同。</w:t>
      </w:r>
    </w:p>
    <w:p>
      <w:pPr>
        <w:pStyle w:val="25"/>
        <w:spacing w:line="370" w:lineRule="exact"/>
        <w:ind w:firstLine="420" w:firstLineChars="200"/>
        <w:rPr>
          <w:rFonts w:hAnsi="宋体"/>
          <w:color w:val="000000"/>
        </w:rPr>
      </w:pPr>
      <w:r>
        <w:rPr>
          <w:rFonts w:hAnsi="宋体"/>
          <w:color w:val="000000"/>
        </w:rPr>
        <w:t>14.1.1</w:t>
      </w:r>
      <w:r>
        <w:rPr>
          <w:rFonts w:hint="eastAsia" w:hAnsi="宋体"/>
          <w:color w:val="000000"/>
        </w:rPr>
        <w:t>　如果乙方未能在合同规定的期限或甲方同意延长的期限内提供服务；</w:t>
      </w:r>
    </w:p>
    <w:p>
      <w:pPr>
        <w:pStyle w:val="25"/>
        <w:spacing w:line="370" w:lineRule="exact"/>
        <w:ind w:firstLine="420" w:firstLineChars="200"/>
        <w:rPr>
          <w:rFonts w:hAnsi="宋体"/>
          <w:color w:val="000000"/>
        </w:rPr>
      </w:pPr>
      <w:r>
        <w:rPr>
          <w:rFonts w:hAnsi="宋体"/>
          <w:color w:val="000000"/>
        </w:rPr>
        <w:t>14.1.2</w:t>
      </w:r>
      <w:r>
        <w:rPr>
          <w:rFonts w:hint="eastAsia" w:hAnsi="宋体"/>
          <w:color w:val="000000"/>
        </w:rPr>
        <w:t>　因乙方技术人员自身技术能力、经验不足等原因造成甲方硬件设备、应用系统发生重大紧急故障或应用系统数据丢失，带来重大影响和损失的；</w:t>
      </w:r>
    </w:p>
    <w:p>
      <w:pPr>
        <w:pStyle w:val="25"/>
        <w:spacing w:line="370" w:lineRule="exact"/>
        <w:ind w:firstLine="420" w:firstLineChars="200"/>
        <w:rPr>
          <w:rFonts w:hAnsi="宋体"/>
          <w:color w:val="000000"/>
        </w:rPr>
      </w:pPr>
      <w:r>
        <w:rPr>
          <w:rFonts w:hAnsi="宋体"/>
          <w:color w:val="000000"/>
        </w:rPr>
        <w:t>14.1.3</w:t>
      </w:r>
      <w:r>
        <w:rPr>
          <w:rFonts w:hint="eastAsia" w:hAnsi="宋体"/>
          <w:color w:val="000000"/>
        </w:rPr>
        <w:t>　乙方对甲方硬件设备、应用系统重大紧急故障没有及时响应，或不能在规定时间内解决处理故障，恢复系统正常运行的；</w:t>
      </w:r>
    </w:p>
    <w:p>
      <w:pPr>
        <w:pStyle w:val="25"/>
        <w:spacing w:line="370" w:lineRule="exact"/>
        <w:ind w:firstLine="420" w:firstLineChars="200"/>
        <w:rPr>
          <w:rFonts w:hAnsi="宋体"/>
          <w:color w:val="000000"/>
        </w:rPr>
      </w:pPr>
      <w:r>
        <w:rPr>
          <w:rFonts w:hAnsi="宋体"/>
          <w:color w:val="000000"/>
        </w:rPr>
        <w:t>14.1.4</w:t>
      </w:r>
      <w:r>
        <w:rPr>
          <w:rFonts w:hint="eastAsia" w:hAnsi="宋体"/>
          <w:color w:val="000000"/>
        </w:rPr>
        <w:t>　不能满足本项目技术需求的管理要求和规范，且经多次整改无明显改进的；</w:t>
      </w:r>
    </w:p>
    <w:p>
      <w:pPr>
        <w:pStyle w:val="25"/>
        <w:spacing w:line="370" w:lineRule="exact"/>
        <w:ind w:firstLine="420" w:firstLineChars="200"/>
        <w:rPr>
          <w:rFonts w:hAnsi="宋体"/>
          <w:color w:val="000000"/>
        </w:rPr>
      </w:pPr>
      <w:r>
        <w:rPr>
          <w:rFonts w:hAnsi="宋体"/>
          <w:color w:val="000000"/>
        </w:rPr>
        <w:t>14.1.5</w:t>
      </w:r>
      <w:r>
        <w:rPr>
          <w:rFonts w:hint="eastAsia" w:hAnsi="宋体"/>
          <w:color w:val="000000"/>
        </w:rPr>
        <w:t>　在合同规定的每个服务年度</w:t>
      </w:r>
      <w:r>
        <w:rPr>
          <w:rFonts w:hAnsi="宋体"/>
          <w:color w:val="000000"/>
        </w:rPr>
        <w:t>（12</w:t>
      </w:r>
      <w:r>
        <w:rPr>
          <w:rFonts w:hint="eastAsia" w:hAnsi="宋体"/>
          <w:color w:val="000000"/>
        </w:rPr>
        <w:t>个自然月</w:t>
      </w:r>
      <w:r>
        <w:rPr>
          <w:rFonts w:hAnsi="宋体"/>
          <w:color w:val="000000"/>
        </w:rPr>
        <w:t>）</w:t>
      </w:r>
      <w:r>
        <w:rPr>
          <w:rFonts w:hint="eastAsia" w:hAnsi="宋体"/>
          <w:color w:val="000000"/>
        </w:rPr>
        <w:t>内，在运行维护支持服务过程中，出现</w:t>
      </w:r>
      <w:r>
        <w:rPr>
          <w:rFonts w:hAnsi="宋体"/>
          <w:color w:val="000000"/>
        </w:rPr>
        <w:t>2</w:t>
      </w:r>
      <w:r>
        <w:rPr>
          <w:rFonts w:hint="eastAsia" w:hAnsi="宋体"/>
          <w:color w:val="000000"/>
        </w:rPr>
        <w:t>次经甲乙双方确认的违规操作的。</w:t>
      </w:r>
    </w:p>
    <w:p>
      <w:pPr>
        <w:pStyle w:val="25"/>
        <w:spacing w:line="370" w:lineRule="exact"/>
        <w:ind w:firstLine="420" w:firstLineChars="200"/>
        <w:rPr>
          <w:rFonts w:hAnsi="宋体"/>
          <w:color w:val="000000"/>
        </w:rPr>
      </w:pPr>
      <w:r>
        <w:rPr>
          <w:rFonts w:hAnsi="宋体"/>
          <w:color w:val="000000"/>
        </w:rPr>
        <w:t>14.2</w:t>
      </w:r>
      <w:r>
        <w:rPr>
          <w:rFonts w:hint="eastAsia" w:hAnsi="宋体"/>
          <w:color w:val="000000"/>
        </w:rPr>
        <w:t>　如果甲方根据上述第</w:t>
      </w:r>
      <w:r>
        <w:rPr>
          <w:rFonts w:hAnsi="宋体"/>
          <w:color w:val="000000"/>
        </w:rPr>
        <w:t>14.1</w:t>
      </w:r>
      <w:r>
        <w:rPr>
          <w:rFonts w:hint="eastAsia" w:hAnsi="宋体"/>
          <w:color w:val="000000"/>
        </w:rPr>
        <w:t>条的规定，终止了全部或部分合同，甲方可以适当的条件和方法购买乙方未能提供的服务，乙方应对甲方购买类似服务所超出的费用负责。同时，乙方应继续执行合同中未终止的部分。</w:t>
      </w:r>
    </w:p>
    <w:p>
      <w:pPr>
        <w:pStyle w:val="25"/>
        <w:spacing w:line="370" w:lineRule="exact"/>
        <w:ind w:firstLine="422" w:firstLineChars="200"/>
        <w:rPr>
          <w:rFonts w:hAnsi="宋体"/>
          <w:b/>
          <w:color w:val="000000"/>
        </w:rPr>
      </w:pPr>
      <w:r>
        <w:rPr>
          <w:rFonts w:hAnsi="宋体"/>
          <w:b/>
          <w:color w:val="000000"/>
        </w:rPr>
        <w:t>15</w:t>
      </w:r>
      <w:r>
        <w:rPr>
          <w:rFonts w:hint="eastAsia" w:hAnsi="宋体"/>
          <w:b/>
          <w:color w:val="000000"/>
        </w:rPr>
        <w:t>、破产终止合同</w:t>
      </w:r>
    </w:p>
    <w:p>
      <w:pPr>
        <w:pStyle w:val="25"/>
        <w:spacing w:line="370" w:lineRule="exact"/>
        <w:ind w:firstLine="420" w:firstLineChars="200"/>
        <w:rPr>
          <w:rFonts w:hAnsi="宋体"/>
          <w:color w:val="000000"/>
        </w:rPr>
      </w:pPr>
      <w:r>
        <w:rPr>
          <w:rFonts w:hAnsi="宋体"/>
          <w:color w:val="000000"/>
        </w:rPr>
        <w:t>15.1</w:t>
      </w:r>
      <w:r>
        <w:rPr>
          <w:rFonts w:hint="eastAsia" w:hAnsi="宋体"/>
          <w:color w:val="000000"/>
        </w:rPr>
        <w:t>　如果乙方破产或无清偿能力，甲方可在任何时候以书面形式通知乙方终止合同而不给乙方补偿。</w:t>
      </w:r>
    </w:p>
    <w:p>
      <w:pPr>
        <w:pStyle w:val="25"/>
        <w:spacing w:line="370" w:lineRule="exact"/>
        <w:ind w:firstLine="420" w:firstLineChars="200"/>
        <w:rPr>
          <w:rFonts w:hAnsi="宋体"/>
          <w:color w:val="000000"/>
        </w:rPr>
      </w:pPr>
      <w:r>
        <w:rPr>
          <w:rFonts w:hAnsi="宋体"/>
          <w:color w:val="000000"/>
        </w:rPr>
        <w:t>15.2</w:t>
      </w:r>
      <w:r>
        <w:rPr>
          <w:rFonts w:hint="eastAsia" w:hAnsi="宋体"/>
          <w:color w:val="000000"/>
        </w:rPr>
        <w:t>　该终止协议将不损害或影响甲方已经采取或将要采取的任何行动或补救措施的权利。</w:t>
      </w:r>
    </w:p>
    <w:p>
      <w:pPr>
        <w:pStyle w:val="25"/>
        <w:spacing w:line="370" w:lineRule="exact"/>
        <w:ind w:firstLine="422" w:firstLineChars="200"/>
        <w:rPr>
          <w:rFonts w:hAnsi="宋体"/>
          <w:b/>
          <w:color w:val="000000"/>
        </w:rPr>
      </w:pPr>
      <w:r>
        <w:rPr>
          <w:rFonts w:hAnsi="宋体"/>
          <w:b/>
          <w:color w:val="000000"/>
        </w:rPr>
        <w:t>16</w:t>
      </w:r>
      <w:r>
        <w:rPr>
          <w:rFonts w:hint="eastAsia" w:hAnsi="宋体"/>
          <w:b/>
          <w:color w:val="000000"/>
        </w:rPr>
        <w:t>、其他情况的终止合同</w:t>
      </w:r>
    </w:p>
    <w:p>
      <w:pPr>
        <w:pStyle w:val="25"/>
        <w:spacing w:line="370" w:lineRule="exact"/>
        <w:ind w:firstLine="420" w:firstLineChars="200"/>
        <w:rPr>
          <w:rFonts w:hAnsi="宋体"/>
          <w:color w:val="000000"/>
        </w:rPr>
      </w:pPr>
      <w:r>
        <w:rPr>
          <w:rFonts w:hAnsi="宋体"/>
          <w:color w:val="000000"/>
        </w:rPr>
        <w:t>16.1</w:t>
      </w:r>
      <w:r>
        <w:rPr>
          <w:rFonts w:hint="eastAsia" w:hAnsi="宋体"/>
          <w:color w:val="000000"/>
        </w:rPr>
        <w:t>　若合同继续履行将给甲方造成重大损失的，甲方可以终止合同而不给予乙方任何补偿。</w:t>
      </w:r>
    </w:p>
    <w:p>
      <w:pPr>
        <w:pStyle w:val="25"/>
        <w:spacing w:line="370" w:lineRule="exact"/>
        <w:ind w:firstLine="420" w:firstLineChars="200"/>
        <w:rPr>
          <w:rFonts w:hAnsi="宋体"/>
          <w:color w:val="000000"/>
        </w:rPr>
      </w:pPr>
      <w:r>
        <w:rPr>
          <w:rFonts w:hAnsi="宋体"/>
          <w:color w:val="000000"/>
        </w:rPr>
        <w:t>16.2</w:t>
      </w:r>
      <w:r>
        <w:rPr>
          <w:rFonts w:hint="eastAsia" w:hAnsi="宋体"/>
          <w:color w:val="000000"/>
        </w:rPr>
        <w:t>　乙方在执行合同的过程中发生重大事故，对履行合同有直接影响的，甲方可以终止合同而不给予乙方任何补偿。</w:t>
      </w:r>
    </w:p>
    <w:p>
      <w:pPr>
        <w:pStyle w:val="25"/>
        <w:spacing w:line="370" w:lineRule="exact"/>
        <w:ind w:firstLine="420" w:firstLineChars="200"/>
        <w:rPr>
          <w:rFonts w:hAnsi="宋体"/>
          <w:color w:val="000000"/>
        </w:rPr>
      </w:pPr>
      <w:r>
        <w:rPr>
          <w:rFonts w:hAnsi="宋体"/>
          <w:color w:val="000000"/>
        </w:rPr>
        <w:t>16.3</w:t>
      </w:r>
      <w:r>
        <w:rPr>
          <w:rFonts w:hint="eastAsia" w:hAnsi="宋体"/>
          <w:color w:val="000000"/>
        </w:rPr>
        <w:t>　甲方因重大变故取消或部分取消原来的采购任务，导致合同全部或部分内容无须继续履行的，可以终止合同而不给予乙方任何补偿。</w:t>
      </w:r>
    </w:p>
    <w:p>
      <w:pPr>
        <w:pStyle w:val="25"/>
        <w:spacing w:line="370" w:lineRule="exact"/>
        <w:ind w:firstLine="422" w:firstLineChars="200"/>
        <w:rPr>
          <w:rFonts w:hAnsi="宋体"/>
          <w:b/>
          <w:color w:val="000000"/>
        </w:rPr>
      </w:pPr>
      <w:r>
        <w:rPr>
          <w:rFonts w:hAnsi="宋体"/>
          <w:b/>
          <w:color w:val="000000"/>
        </w:rPr>
        <w:t>17</w:t>
      </w:r>
      <w:r>
        <w:rPr>
          <w:rFonts w:hint="eastAsia" w:hAnsi="宋体"/>
          <w:b/>
          <w:color w:val="000000"/>
        </w:rPr>
        <w:t>、合同转让和分包</w:t>
      </w:r>
    </w:p>
    <w:p>
      <w:pPr>
        <w:pStyle w:val="25"/>
        <w:spacing w:line="370" w:lineRule="exact"/>
        <w:ind w:firstLine="420" w:firstLineChars="200"/>
        <w:rPr>
          <w:rFonts w:hAnsi="宋体"/>
          <w:color w:val="000000"/>
        </w:rPr>
      </w:pPr>
      <w:r>
        <w:rPr>
          <w:rFonts w:hAnsi="宋体"/>
          <w:color w:val="000000"/>
        </w:rPr>
        <w:t>17.1</w:t>
      </w:r>
      <w:r>
        <w:rPr>
          <w:rFonts w:hint="eastAsia" w:hAnsi="宋体"/>
          <w:color w:val="000000"/>
        </w:rPr>
        <w:t>　乙方不得以任何形式将合同转包，或部分或全部转让其应履行的合同义务。</w:t>
      </w:r>
    </w:p>
    <w:p>
      <w:pPr>
        <w:pStyle w:val="25"/>
        <w:spacing w:line="370" w:lineRule="exact"/>
        <w:ind w:firstLine="420" w:firstLineChars="200"/>
        <w:rPr>
          <w:rFonts w:hAnsi="宋体"/>
          <w:color w:val="000000"/>
        </w:rPr>
      </w:pPr>
      <w:r>
        <w:rPr>
          <w:rFonts w:hAnsi="宋体"/>
          <w:color w:val="000000"/>
        </w:rPr>
        <w:t>17.2</w:t>
      </w:r>
      <w:r>
        <w:rPr>
          <w:rFonts w:hint="eastAsia" w:hAnsi="宋体"/>
          <w:color w:val="000000"/>
        </w:rPr>
        <w:t>　除经甲方事先书面同意外，乙方不得以任何形式将合同分包。</w:t>
      </w:r>
    </w:p>
    <w:p>
      <w:pPr>
        <w:pStyle w:val="25"/>
        <w:spacing w:line="370" w:lineRule="exact"/>
        <w:ind w:firstLine="422" w:firstLineChars="200"/>
        <w:rPr>
          <w:rFonts w:hAnsi="宋体"/>
          <w:b/>
          <w:color w:val="000000"/>
        </w:rPr>
      </w:pPr>
      <w:r>
        <w:rPr>
          <w:rFonts w:hAnsi="宋体"/>
          <w:b/>
          <w:color w:val="000000"/>
        </w:rPr>
        <w:t>18</w:t>
      </w:r>
      <w:r>
        <w:rPr>
          <w:rFonts w:hint="eastAsia" w:hAnsi="宋体"/>
          <w:b/>
          <w:color w:val="000000"/>
        </w:rPr>
        <w:t>、适用法律</w:t>
      </w:r>
    </w:p>
    <w:p>
      <w:pPr>
        <w:pStyle w:val="25"/>
        <w:spacing w:line="370" w:lineRule="exact"/>
        <w:ind w:firstLine="420" w:firstLineChars="200"/>
        <w:rPr>
          <w:rFonts w:hAnsi="宋体"/>
          <w:color w:val="000000"/>
        </w:rPr>
      </w:pPr>
      <w:r>
        <w:rPr>
          <w:rFonts w:hAnsi="宋体"/>
          <w:color w:val="000000"/>
        </w:rPr>
        <w:t>18.1</w:t>
      </w:r>
      <w:r>
        <w:rPr>
          <w:rFonts w:hint="eastAsia" w:hAnsi="宋体"/>
          <w:color w:val="000000"/>
        </w:rPr>
        <w:t>　本合同适用中华人民共和国现行法律、行政法规和规章，如合同条款与法律、行政法规和规章不一致的，按照法律、行政法规和规章修改本合同。</w:t>
      </w:r>
    </w:p>
    <w:p>
      <w:pPr>
        <w:pStyle w:val="25"/>
        <w:spacing w:line="370" w:lineRule="exact"/>
        <w:ind w:firstLine="422" w:firstLineChars="200"/>
        <w:rPr>
          <w:rFonts w:hAnsi="宋体"/>
          <w:b/>
          <w:color w:val="000000"/>
        </w:rPr>
      </w:pPr>
      <w:r>
        <w:rPr>
          <w:rFonts w:hAnsi="宋体"/>
          <w:b/>
          <w:color w:val="000000"/>
        </w:rPr>
        <w:t>19</w:t>
      </w:r>
      <w:r>
        <w:rPr>
          <w:rFonts w:hint="eastAsia" w:hAnsi="宋体"/>
          <w:b/>
          <w:color w:val="000000"/>
        </w:rPr>
        <w:t>、合同语言</w:t>
      </w:r>
    </w:p>
    <w:p>
      <w:pPr>
        <w:pStyle w:val="25"/>
        <w:spacing w:line="370" w:lineRule="exact"/>
        <w:ind w:firstLine="420" w:firstLineChars="200"/>
        <w:rPr>
          <w:rFonts w:hAnsi="宋体"/>
          <w:color w:val="000000"/>
        </w:rPr>
      </w:pPr>
      <w:r>
        <w:rPr>
          <w:rFonts w:hAnsi="宋体"/>
          <w:color w:val="000000"/>
        </w:rPr>
        <w:t>19.1</w:t>
      </w:r>
      <w:r>
        <w:rPr>
          <w:rFonts w:hint="eastAsia" w:hAnsi="宋体"/>
          <w:color w:val="000000"/>
        </w:rPr>
        <w:t>　本合同语言为中文。</w:t>
      </w:r>
    </w:p>
    <w:p>
      <w:pPr>
        <w:pStyle w:val="25"/>
        <w:spacing w:line="370" w:lineRule="exact"/>
        <w:ind w:firstLine="420" w:firstLineChars="200"/>
        <w:rPr>
          <w:rFonts w:hAnsi="宋体"/>
          <w:color w:val="000000"/>
        </w:rPr>
      </w:pPr>
      <w:r>
        <w:rPr>
          <w:rFonts w:hAnsi="宋体"/>
          <w:color w:val="000000"/>
        </w:rPr>
        <w:t>19.2</w:t>
      </w:r>
      <w:r>
        <w:rPr>
          <w:rFonts w:hint="eastAsia" w:hAnsi="宋体"/>
          <w:color w:val="000000"/>
        </w:rPr>
        <w:t>　双方交换的与合同有关的信件和其他文件应用合同语言书写。</w:t>
      </w:r>
    </w:p>
    <w:p>
      <w:pPr>
        <w:pStyle w:val="25"/>
        <w:spacing w:line="370" w:lineRule="exact"/>
        <w:ind w:firstLine="422" w:firstLineChars="200"/>
        <w:rPr>
          <w:rFonts w:hAnsi="宋体"/>
          <w:b/>
          <w:color w:val="000000"/>
        </w:rPr>
      </w:pPr>
      <w:r>
        <w:rPr>
          <w:rFonts w:hAnsi="宋体"/>
          <w:b/>
          <w:color w:val="000000"/>
        </w:rPr>
        <w:t>20</w:t>
      </w:r>
      <w:r>
        <w:rPr>
          <w:rFonts w:hint="eastAsia" w:hAnsi="宋体"/>
          <w:b/>
          <w:color w:val="000000"/>
        </w:rPr>
        <w:t>、合同生效</w:t>
      </w:r>
    </w:p>
    <w:p>
      <w:pPr>
        <w:pStyle w:val="25"/>
        <w:spacing w:line="370" w:lineRule="exact"/>
        <w:ind w:firstLine="420" w:firstLineChars="200"/>
        <w:rPr>
          <w:rFonts w:hAnsi="宋体"/>
          <w:color w:val="000000"/>
        </w:rPr>
      </w:pPr>
      <w:r>
        <w:rPr>
          <w:rFonts w:hAnsi="宋体"/>
          <w:color w:val="000000"/>
        </w:rPr>
        <w:t>20.1</w:t>
      </w:r>
      <w:r>
        <w:rPr>
          <w:rFonts w:hint="eastAsia" w:hAnsi="宋体"/>
          <w:color w:val="000000"/>
        </w:rPr>
        <w:t>　本合同应在双方签字盖章和甲方收到乙方提供的履约保证金后生效。</w:t>
      </w:r>
    </w:p>
    <w:p>
      <w:pPr>
        <w:pStyle w:val="25"/>
        <w:spacing w:line="370" w:lineRule="exact"/>
        <w:ind w:firstLine="422" w:firstLineChars="200"/>
        <w:rPr>
          <w:rFonts w:hAnsi="宋体"/>
          <w:b/>
          <w:color w:val="000000"/>
        </w:rPr>
      </w:pPr>
      <w:r>
        <w:rPr>
          <w:rFonts w:hAnsi="宋体"/>
          <w:b/>
          <w:color w:val="000000"/>
        </w:rPr>
        <w:t>21</w:t>
      </w:r>
      <w:r>
        <w:rPr>
          <w:rFonts w:hint="eastAsia" w:hAnsi="宋体"/>
          <w:b/>
          <w:color w:val="000000"/>
        </w:rPr>
        <w:t>、合同效力</w:t>
      </w:r>
    </w:p>
    <w:p>
      <w:pPr>
        <w:pStyle w:val="25"/>
        <w:spacing w:line="370" w:lineRule="exact"/>
        <w:ind w:firstLine="420" w:firstLineChars="200"/>
        <w:rPr>
          <w:rFonts w:hAnsi="宋体"/>
          <w:color w:val="000000"/>
        </w:rPr>
      </w:pPr>
      <w:r>
        <w:rPr>
          <w:rFonts w:hAnsi="宋体"/>
          <w:color w:val="000000"/>
        </w:rPr>
        <w:t>21.1</w:t>
      </w:r>
      <w:r>
        <w:rPr>
          <w:rFonts w:hint="eastAsia" w:hAnsi="宋体"/>
          <w:color w:val="000000"/>
        </w:rPr>
        <w:t>　除本合同和甲乙双方书面签署的补充协议外，其他任何形式的双方约定和往来函件均不具有合同效力，对本项目无约束。</w:t>
      </w:r>
    </w:p>
    <w:p>
      <w:pPr>
        <w:pStyle w:val="25"/>
        <w:spacing w:line="370" w:lineRule="exact"/>
        <w:ind w:firstLine="422" w:firstLineChars="200"/>
        <w:rPr>
          <w:rFonts w:hAnsi="宋体"/>
          <w:b/>
          <w:color w:val="000000"/>
        </w:rPr>
      </w:pPr>
      <w:r>
        <w:rPr>
          <w:rFonts w:hAnsi="宋体"/>
          <w:b/>
          <w:color w:val="000000"/>
        </w:rPr>
        <w:t>22</w:t>
      </w:r>
      <w:r>
        <w:rPr>
          <w:rFonts w:hint="eastAsia" w:hAnsi="宋体"/>
          <w:b/>
          <w:color w:val="000000"/>
        </w:rPr>
        <w:t>、检查和审计</w:t>
      </w:r>
    </w:p>
    <w:p>
      <w:pPr>
        <w:pStyle w:val="25"/>
        <w:spacing w:line="370" w:lineRule="exact"/>
        <w:ind w:firstLine="420" w:firstLineChars="200"/>
        <w:rPr>
          <w:rFonts w:hAnsi="宋体"/>
          <w:color w:val="000000"/>
        </w:rPr>
      </w:pPr>
      <w:r>
        <w:rPr>
          <w:rFonts w:hAnsi="宋体"/>
          <w:color w:val="000000"/>
        </w:rPr>
        <w:t>22.1</w:t>
      </w:r>
      <w:r>
        <w:rPr>
          <w:rFonts w:hint="eastAsia" w:hAnsi="宋体"/>
          <w:color w:val="000000"/>
        </w:rPr>
        <w:t>　在本合同的履行过程中，甲方有权对乙方的合同履约情况进行阶段性检查，并对乙方投标时提供的相关资料进行复核。</w:t>
      </w:r>
    </w:p>
    <w:p>
      <w:pPr>
        <w:pStyle w:val="25"/>
        <w:spacing w:line="370" w:lineRule="exact"/>
        <w:ind w:firstLine="420" w:firstLineChars="200"/>
        <w:rPr>
          <w:rFonts w:hint="eastAsia" w:hAnsi="宋体"/>
          <w:color w:val="000000"/>
        </w:rPr>
      </w:pPr>
      <w:r>
        <w:rPr>
          <w:rFonts w:hAnsi="宋体"/>
          <w:color w:val="000000"/>
        </w:rPr>
        <w:t>22.2</w:t>
      </w:r>
      <w:r>
        <w:rPr>
          <w:rFonts w:hint="eastAsia" w:hAnsi="宋体"/>
          <w:color w:val="000000"/>
        </w:rPr>
        <w:t>　在本合同的履行过程中，如果甲乙双方发生争议或者乙方没有按照合同约定履行义务，乙方应允许甲方检查乙方与实施本合同有关的账户和记录，并由甲方指定的审计人员对其进行审计。</w:t>
      </w:r>
    </w:p>
    <w:p>
      <w:pPr>
        <w:pStyle w:val="25"/>
        <w:spacing w:line="370" w:lineRule="exact"/>
        <w:ind w:firstLine="422" w:firstLineChars="200"/>
        <w:rPr>
          <w:rFonts w:hint="eastAsia" w:hAnsi="宋体"/>
          <w:color w:val="000000"/>
        </w:rPr>
      </w:pPr>
      <w:r>
        <w:rPr>
          <w:rFonts w:hint="eastAsia" w:hAnsi="宋体"/>
          <w:b/>
          <w:color w:val="000000"/>
        </w:rPr>
        <w:t>23</w:t>
      </w:r>
      <w:r>
        <w:rPr>
          <w:rFonts w:hint="eastAsia" w:hAnsi="宋体"/>
          <w:b/>
          <w:color w:val="000000"/>
          <w:lang w:eastAsia="zh-CN"/>
        </w:rPr>
        <w:t>、</w:t>
      </w:r>
      <w:r>
        <w:rPr>
          <w:rFonts w:hint="eastAsia" w:hAnsi="宋体"/>
          <w:b/>
          <w:color w:val="000000"/>
        </w:rPr>
        <w:t>廉洁要求</w:t>
      </w:r>
      <w:r>
        <w:rPr>
          <w:rFonts w:hint="eastAsia" w:hAnsi="宋体"/>
          <w:color w:val="000000"/>
        </w:rPr>
        <w:t xml:space="preserve"> </w:t>
      </w:r>
    </w:p>
    <w:p>
      <w:pPr>
        <w:pStyle w:val="25"/>
        <w:spacing w:line="370" w:lineRule="exact"/>
        <w:ind w:firstLine="420" w:firstLineChars="200"/>
        <w:rPr>
          <w:rFonts w:hint="eastAsia" w:hAnsi="宋体"/>
          <w:color w:val="000000"/>
        </w:rPr>
      </w:pPr>
      <w:r>
        <w:rPr>
          <w:rFonts w:hint="eastAsia" w:hAnsi="宋体"/>
          <w:color w:val="000000"/>
          <w:lang w:val="en-US" w:eastAsia="zh-CN"/>
        </w:rPr>
        <w:t>23.1</w:t>
      </w:r>
      <w:r>
        <w:rPr>
          <w:rFonts w:hint="eastAsia" w:hAnsi="宋体"/>
          <w:color w:val="000000"/>
        </w:rPr>
        <w:t>在合同履行期间存在“围猎”甲方税务人员行为的（指以获取不正当利益为目的，采取馈赠礼品礼金、邀请娱乐旅游消费、提供便利条件等非正常交往手段“围猎”相关税务人员及其亲属），自甲方及甲方主管机关认定或通报之日起三年内，甲方可以拒绝乙方参与其政府采购活动。</w:t>
      </w:r>
    </w:p>
    <w:p>
      <w:pPr>
        <w:pStyle w:val="25"/>
        <w:spacing w:line="370" w:lineRule="exact"/>
        <w:ind w:firstLine="422" w:firstLineChars="200"/>
        <w:rPr>
          <w:rFonts w:hAnsi="宋体"/>
          <w:b/>
          <w:color w:val="000000"/>
        </w:rPr>
      </w:pPr>
      <w:r>
        <w:rPr>
          <w:rFonts w:hint="eastAsia" w:hAnsi="宋体"/>
          <w:b/>
          <w:color w:val="000000"/>
        </w:rPr>
        <w:t>2</w:t>
      </w:r>
      <w:r>
        <w:rPr>
          <w:rFonts w:hint="eastAsia" w:hAnsi="宋体"/>
          <w:b/>
          <w:color w:val="000000"/>
          <w:lang w:val="en-US" w:eastAsia="zh-CN"/>
        </w:rPr>
        <w:t>4</w:t>
      </w:r>
      <w:r>
        <w:rPr>
          <w:rFonts w:hint="eastAsia" w:hAnsi="宋体"/>
          <w:b/>
          <w:color w:val="000000"/>
        </w:rPr>
        <w:t>、网络安全</w:t>
      </w:r>
    </w:p>
    <w:p>
      <w:pPr>
        <w:pStyle w:val="25"/>
        <w:spacing w:line="370" w:lineRule="exact"/>
        <w:ind w:firstLine="420" w:firstLineChars="200"/>
      </w:pPr>
      <w:r>
        <w:rPr>
          <w:rFonts w:hint="eastAsia"/>
        </w:rPr>
        <w:t>2</w:t>
      </w:r>
      <w:r>
        <w:rPr>
          <w:rFonts w:hint="eastAsia"/>
          <w:lang w:val="en-US" w:eastAsia="zh-CN"/>
        </w:rPr>
        <w:t>4</w:t>
      </w:r>
      <w:r>
        <w:rPr>
          <w:rFonts w:hint="eastAsia"/>
        </w:rPr>
        <w:t>.1</w:t>
      </w:r>
      <w:r>
        <w:rPr>
          <w:rFonts w:hint="eastAsia" w:hAnsi="宋体"/>
          <w:color w:val="000000"/>
        </w:rPr>
        <w:t>　</w:t>
      </w:r>
      <w:r>
        <w:rPr>
          <w:rFonts w:hint="eastAsia"/>
        </w:rPr>
        <w:t>乙方在本项目实施过程中发生违反网络安全规定行为，造成数据失窃或丢失、敏感信息泄露、主要业务系统瘫痪等不良后果的，自甲方或甲方主管机关做出认定之日起三年内，税务系统各单位可以拒绝乙方参与税务系统政府采购活动。</w:t>
      </w:r>
    </w:p>
    <w:p>
      <w:pPr>
        <w:pStyle w:val="25"/>
        <w:spacing w:line="370" w:lineRule="exact"/>
        <w:ind w:firstLine="420" w:firstLineChars="200"/>
      </w:pPr>
    </w:p>
    <w:p>
      <w:pPr>
        <w:pStyle w:val="25"/>
        <w:spacing w:line="370" w:lineRule="exact"/>
        <w:ind w:firstLine="420" w:firstLineChars="200"/>
      </w:pPr>
      <w:r>
        <w:rPr>
          <w:rFonts w:hint="eastAsia"/>
        </w:rPr>
        <w:t>（</w:t>
      </w:r>
      <w:r>
        <w:rPr>
          <w:rFonts w:hint="eastAsia" w:hAnsi="宋体"/>
          <w:color w:val="000000"/>
        </w:rPr>
        <w:t>以下无合同正文</w:t>
      </w:r>
      <w:r>
        <w:rPr>
          <w:rFonts w:hint="eastAsia"/>
        </w:rPr>
        <w:t>）</w:t>
      </w:r>
    </w:p>
    <w:p>
      <w:pPr>
        <w:pStyle w:val="25"/>
        <w:spacing w:line="370" w:lineRule="exact"/>
        <w:ind w:firstLine="420" w:firstLineChars="200"/>
      </w:pPr>
    </w:p>
    <w:p>
      <w:pPr>
        <w:pStyle w:val="25"/>
        <w:spacing w:line="370" w:lineRule="exact"/>
        <w:ind w:firstLine="420" w:firstLineChars="200"/>
        <w:sectPr>
          <w:headerReference r:id="rId11" w:type="first"/>
          <w:pgSz w:w="11906" w:h="16838"/>
          <w:pgMar w:top="1304" w:right="1247" w:bottom="1134" w:left="1304" w:header="850" w:footer="850" w:gutter="0"/>
          <w:cols w:space="720" w:num="1"/>
          <w:titlePg/>
          <w:docGrid w:linePitch="319" w:charSpace="0"/>
        </w:sectPr>
      </w:pPr>
    </w:p>
    <w:p>
      <w:pPr>
        <w:pStyle w:val="25"/>
        <w:spacing w:before="120" w:beforeLines="50"/>
        <w:ind w:firstLine="562" w:firstLineChars="200"/>
        <w:jc w:val="center"/>
        <w:outlineLvl w:val="1"/>
        <w:rPr>
          <w:rFonts w:hAnsi="宋体" w:cs="宋体"/>
          <w:b/>
          <w:bCs/>
          <w:kern w:val="44"/>
          <w:sz w:val="28"/>
          <w:szCs w:val="28"/>
        </w:rPr>
      </w:pPr>
      <w:bookmarkStart w:id="31" w:name="_Toc529050586"/>
      <w:bookmarkStart w:id="32" w:name="_Toc529654038"/>
      <w:bookmarkStart w:id="33" w:name="_Toc21647441"/>
      <w:bookmarkStart w:id="34" w:name="_Toc9282"/>
      <w:r>
        <w:rPr>
          <w:rFonts w:hint="eastAsia" w:hAnsi="宋体" w:cs="宋体"/>
          <w:b/>
          <w:bCs/>
          <w:kern w:val="44"/>
          <w:sz w:val="28"/>
          <w:szCs w:val="28"/>
        </w:rPr>
        <w:t>第五章　投标文件格式</w:t>
      </w:r>
      <w:bookmarkEnd w:id="31"/>
      <w:bookmarkEnd w:id="32"/>
      <w:bookmarkEnd w:id="33"/>
    </w:p>
    <w:p>
      <w:pPr>
        <w:adjustRightInd w:val="0"/>
        <w:snapToGrid w:val="0"/>
        <w:spacing w:before="120" w:beforeLines="50" w:line="360" w:lineRule="auto"/>
        <w:rPr>
          <w:rFonts w:ascii="宋体" w:hAnsi="宋体"/>
          <w:b/>
          <w:bCs/>
          <w:sz w:val="22"/>
        </w:rPr>
      </w:pPr>
    </w:p>
    <w:p>
      <w:pPr>
        <w:adjustRightInd w:val="0"/>
        <w:snapToGrid w:val="0"/>
        <w:spacing w:before="120" w:beforeLines="50" w:line="360" w:lineRule="auto"/>
        <w:rPr>
          <w:rFonts w:ascii="宋体" w:hAnsi="宋体"/>
          <w:b/>
          <w:bCs/>
          <w:sz w:val="22"/>
        </w:rPr>
      </w:pPr>
      <w:bookmarkStart w:id="35" w:name="_Hlk47184140"/>
      <w:r>
        <w:rPr>
          <w:rFonts w:hint="eastAsia" w:ascii="宋体" w:hAnsi="宋体"/>
          <w:b/>
          <w:bCs/>
          <w:sz w:val="22"/>
        </w:rPr>
        <w:t>第一部分、资格证明文件</w:t>
      </w:r>
    </w:p>
    <w:p>
      <w:pPr>
        <w:adjustRightInd w:val="0"/>
        <w:snapToGrid w:val="0"/>
        <w:spacing w:before="120" w:beforeLines="50" w:line="360" w:lineRule="auto"/>
        <w:ind w:firstLine="420" w:firstLineChars="200"/>
        <w:rPr>
          <w:rFonts w:ascii="黑体" w:hAnsi="宋体" w:eastAsia="黑体"/>
          <w:b/>
          <w:szCs w:val="21"/>
        </w:rPr>
      </w:pPr>
      <w:r>
        <w:rPr>
          <w:rFonts w:hint="eastAsia" w:ascii="宋体" w:hAnsi="宋体"/>
          <w:szCs w:val="21"/>
        </w:rPr>
        <w:t>投标人应当具备投标资格的</w:t>
      </w:r>
      <w:r>
        <w:rPr>
          <w:rFonts w:hint="eastAsia" w:ascii="宋体" w:hAnsi="宋体"/>
          <w:bCs/>
          <w:szCs w:val="21"/>
        </w:rPr>
        <w:t>证明文件</w:t>
      </w:r>
    </w:p>
    <w:p>
      <w:pPr>
        <w:adjustRightInd w:val="0"/>
        <w:snapToGrid w:val="0"/>
        <w:spacing w:before="120" w:beforeLines="50" w:line="360" w:lineRule="auto"/>
        <w:rPr>
          <w:rFonts w:ascii="宋体" w:hAnsi="宋体"/>
          <w:b/>
          <w:bCs/>
          <w:sz w:val="22"/>
        </w:rPr>
      </w:pPr>
      <w:r>
        <w:rPr>
          <w:rFonts w:hint="eastAsia" w:ascii="宋体" w:hAnsi="宋体"/>
          <w:b/>
          <w:bCs/>
          <w:sz w:val="22"/>
        </w:rPr>
        <w:t>第二部分、商务文件</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一、投标函</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二、开标一览表</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三、分项价格表</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四、商务条款偏离表</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五、投标保证金</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六、提供符合政府采购政策的证明材料</w:t>
      </w:r>
    </w:p>
    <w:p>
      <w:pPr>
        <w:adjustRightInd w:val="0"/>
        <w:snapToGrid w:val="0"/>
        <w:spacing w:before="120" w:beforeLines="50" w:line="360" w:lineRule="auto"/>
        <w:rPr>
          <w:rFonts w:ascii="宋体" w:hAnsi="宋体"/>
          <w:b/>
          <w:bCs/>
          <w:sz w:val="22"/>
        </w:rPr>
      </w:pPr>
      <w:r>
        <w:rPr>
          <w:rFonts w:hint="eastAsia" w:ascii="宋体" w:hAnsi="宋体"/>
          <w:b/>
          <w:bCs/>
          <w:sz w:val="22"/>
        </w:rPr>
        <w:t>第三部分、技术文件</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七、技术条款响应与偏离表</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八、技术、服务方案</w:t>
      </w:r>
    </w:p>
    <w:p>
      <w:pPr>
        <w:adjustRightInd w:val="0"/>
        <w:snapToGrid w:val="0"/>
        <w:spacing w:before="120" w:beforeLines="50" w:line="360" w:lineRule="auto"/>
        <w:ind w:firstLine="420" w:firstLineChars="200"/>
        <w:rPr>
          <w:rFonts w:ascii="宋体" w:hAnsi="宋体"/>
          <w:szCs w:val="21"/>
        </w:rPr>
      </w:pPr>
      <w:r>
        <w:rPr>
          <w:rFonts w:hint="eastAsia" w:ascii="宋体" w:hAnsi="宋体"/>
          <w:szCs w:val="21"/>
        </w:rPr>
        <w:t>九、投标货物（或服务）符合招标文件规定的证明文件</w:t>
      </w:r>
    </w:p>
    <w:bookmarkEnd w:id="35"/>
    <w:p>
      <w:pPr>
        <w:pStyle w:val="25"/>
        <w:ind w:firstLine="420" w:firstLineChars="200"/>
        <w:jc w:val="center"/>
        <w:rPr>
          <w:rFonts w:ascii="Times New Roman" w:hAnsi="Times New Roman"/>
        </w:rPr>
      </w:pPr>
    </w:p>
    <w:p>
      <w:pPr>
        <w:pStyle w:val="25"/>
        <w:ind w:firstLine="420" w:firstLineChars="200"/>
        <w:jc w:val="center"/>
        <w:rPr>
          <w:rFonts w:ascii="Times New Roman" w:hAnsi="Times New Roman"/>
        </w:rPr>
      </w:pPr>
    </w:p>
    <w:p>
      <w:pPr>
        <w:pStyle w:val="25"/>
        <w:ind w:firstLine="420" w:firstLineChars="200"/>
        <w:jc w:val="center"/>
        <w:rPr>
          <w:rFonts w:ascii="Times New Roman" w:hAnsi="Times New Roman"/>
        </w:rPr>
        <w:sectPr>
          <w:pgSz w:w="11906" w:h="16838"/>
          <w:pgMar w:top="1304" w:right="1247" w:bottom="1134" w:left="1304" w:header="850" w:footer="850" w:gutter="0"/>
          <w:cols w:space="720" w:num="1"/>
          <w:titlePg/>
          <w:docGrid w:linePitch="319" w:charSpace="0"/>
        </w:sectPr>
      </w:pPr>
    </w:p>
    <w:p>
      <w:pPr>
        <w:adjustRightInd w:val="0"/>
        <w:snapToGrid w:val="0"/>
        <w:spacing w:before="120" w:beforeLines="50" w:line="360" w:lineRule="auto"/>
        <w:outlineLvl w:val="2"/>
        <w:rPr>
          <w:rFonts w:ascii="黑体" w:hAnsi="Courier New" w:eastAsia="黑体" w:cs="Courier New"/>
          <w:bCs/>
          <w:sz w:val="28"/>
          <w:szCs w:val="28"/>
        </w:rPr>
      </w:pPr>
      <w:bookmarkStart w:id="36" w:name="_Toc529654039"/>
      <w:bookmarkStart w:id="37" w:name="_Toc21647442"/>
      <w:bookmarkStart w:id="38" w:name="_Toc529050587"/>
      <w:bookmarkStart w:id="39" w:name="_Toc13154"/>
      <w:bookmarkStart w:id="40" w:name="_Hlk24018953"/>
      <w:r>
        <w:rPr>
          <w:rFonts w:hint="eastAsia" w:ascii="宋体" w:hAnsi="宋体"/>
          <w:b/>
          <w:bCs/>
          <w:sz w:val="22"/>
        </w:rPr>
        <w:t>第一部分、资格证明文件</w:t>
      </w:r>
      <w:bookmarkEnd w:id="36"/>
      <w:bookmarkEnd w:id="37"/>
      <w:bookmarkEnd w:id="38"/>
      <w:bookmarkEnd w:id="39"/>
    </w:p>
    <w:bookmarkEnd w:id="40"/>
    <w:p>
      <w:pPr>
        <w:pStyle w:val="25"/>
        <w:adjustRightInd w:val="0"/>
        <w:snapToGrid w:val="0"/>
        <w:spacing w:line="400" w:lineRule="atLeast"/>
        <w:jc w:val="center"/>
        <w:rPr>
          <w:rFonts w:hAnsi="宋体"/>
          <w:b/>
          <w:bCs/>
          <w:sz w:val="84"/>
          <w:szCs w:val="84"/>
        </w:rPr>
      </w:pPr>
    </w:p>
    <w:p>
      <w:pPr>
        <w:pStyle w:val="25"/>
        <w:adjustRightInd w:val="0"/>
        <w:snapToGrid w:val="0"/>
        <w:spacing w:line="400" w:lineRule="atLeast"/>
        <w:jc w:val="center"/>
        <w:rPr>
          <w:rFonts w:hAnsi="宋体"/>
          <w:b/>
          <w:bCs/>
          <w:sz w:val="72"/>
          <w:szCs w:val="72"/>
        </w:rPr>
      </w:pPr>
      <w:r>
        <w:rPr>
          <w:rFonts w:hint="eastAsia" w:hAnsi="宋体"/>
          <w:b/>
          <w:bCs/>
          <w:sz w:val="72"/>
          <w:szCs w:val="72"/>
        </w:rPr>
        <w:t>政府采购</w:t>
      </w:r>
    </w:p>
    <w:p>
      <w:pPr>
        <w:adjustRightInd w:val="0"/>
        <w:snapToGrid w:val="0"/>
        <w:spacing w:before="120" w:beforeLines="50" w:line="400" w:lineRule="atLeast"/>
        <w:jc w:val="center"/>
        <w:rPr>
          <w:rFonts w:ascii="宋体" w:hAnsi="宋体"/>
          <w:b/>
          <w:bCs/>
          <w:sz w:val="84"/>
          <w:szCs w:val="84"/>
        </w:rPr>
      </w:pPr>
      <w:r>
        <w:rPr>
          <w:rFonts w:hint="eastAsia" w:ascii="宋体" w:hAnsi="宋体"/>
          <w:b/>
          <w:bCs/>
          <w:sz w:val="84"/>
          <w:szCs w:val="84"/>
        </w:rPr>
        <w:t>投 标 文 件</w:t>
      </w:r>
    </w:p>
    <w:p>
      <w:pPr>
        <w:tabs>
          <w:tab w:val="center" w:pos="4422"/>
          <w:tab w:val="left" w:pos="6570"/>
        </w:tabs>
        <w:spacing w:before="240" w:beforeLines="100"/>
        <w:jc w:val="left"/>
        <w:rPr>
          <w:rFonts w:ascii="宋体" w:hAnsi="宋体"/>
          <w:b/>
          <w:sz w:val="44"/>
          <w:szCs w:val="44"/>
        </w:rPr>
      </w:pPr>
      <w:r>
        <w:rPr>
          <w:rFonts w:ascii="宋体" w:hAnsi="宋体"/>
          <w:b/>
          <w:sz w:val="44"/>
          <w:szCs w:val="44"/>
        </w:rPr>
        <w:tab/>
      </w:r>
      <w:r>
        <w:rPr>
          <w:rFonts w:ascii="宋体" w:hAnsi="宋体"/>
          <w:b/>
          <w:sz w:val="44"/>
          <w:szCs w:val="44"/>
        </w:rPr>
        <w:tab/>
      </w:r>
    </w:p>
    <w:p>
      <w:pPr>
        <w:spacing w:before="240" w:beforeLines="100"/>
        <w:jc w:val="center"/>
        <w:rPr>
          <w:rFonts w:ascii="宋体" w:hAnsi="宋体"/>
          <w:b/>
          <w:sz w:val="44"/>
          <w:szCs w:val="44"/>
        </w:rPr>
      </w:pPr>
      <w:r>
        <w:rPr>
          <w:rFonts w:hint="eastAsia" w:ascii="宋体" w:hAnsi="宋体"/>
          <w:b/>
          <w:sz w:val="44"/>
          <w:szCs w:val="44"/>
        </w:rPr>
        <w:t>（资格证明文件）</w:t>
      </w:r>
    </w:p>
    <w:p>
      <w:pPr>
        <w:rPr>
          <w:rFonts w:ascii="宋体" w:hAnsi="宋体"/>
          <w:sz w:val="28"/>
          <w:szCs w:val="28"/>
        </w:rPr>
      </w:pPr>
    </w:p>
    <w:p>
      <w:pPr>
        <w:rPr>
          <w:rFonts w:ascii="黑体" w:hAnsi="宋体" w:eastAsia="黑体"/>
          <w:sz w:val="30"/>
          <w:szCs w:val="30"/>
        </w:rPr>
      </w:pPr>
    </w:p>
    <w:p>
      <w:pPr>
        <w:pStyle w:val="25"/>
        <w:ind w:firstLine="3120" w:firstLineChars="1300"/>
        <w:rPr>
          <w:rFonts w:hAnsi="宋体" w:cs="宋体"/>
          <w:sz w:val="24"/>
          <w:szCs w:val="24"/>
          <w:u w:val="single"/>
        </w:rPr>
      </w:pPr>
      <w:r>
        <w:rPr>
          <w:rFonts w:hint="eastAsia" w:hAnsi="宋体" w:cs="宋体"/>
          <w:sz w:val="24"/>
          <w:szCs w:val="24"/>
        </w:rPr>
        <w:t xml:space="preserve">项目名称：_____________________ </w:t>
      </w:r>
    </w:p>
    <w:p>
      <w:pPr>
        <w:pStyle w:val="25"/>
        <w:ind w:firstLine="480" w:firstLineChars="200"/>
        <w:jc w:val="center"/>
        <w:rPr>
          <w:rFonts w:hAnsi="宋体" w:cs="宋体"/>
          <w:sz w:val="24"/>
          <w:szCs w:val="24"/>
        </w:rPr>
      </w:pPr>
    </w:p>
    <w:p>
      <w:pPr>
        <w:pStyle w:val="25"/>
        <w:rPr>
          <w:rFonts w:hAnsi="宋体" w:cs="宋体"/>
          <w:sz w:val="24"/>
          <w:szCs w:val="24"/>
          <w:u w:val="single"/>
        </w:rPr>
      </w:pPr>
      <w:r>
        <w:rPr>
          <w:rFonts w:hint="eastAsia" w:hAnsi="宋体" w:cs="宋体"/>
          <w:sz w:val="24"/>
          <w:szCs w:val="24"/>
        </w:rPr>
        <w:t xml:space="preserve">                          项目编号：_____________________</w:t>
      </w:r>
    </w:p>
    <w:p>
      <w:pPr>
        <w:pStyle w:val="25"/>
        <w:ind w:firstLine="480" w:firstLineChars="200"/>
        <w:jc w:val="center"/>
        <w:rPr>
          <w:rFonts w:hAnsi="宋体" w:cs="宋体"/>
          <w:sz w:val="24"/>
          <w:szCs w:val="24"/>
        </w:rPr>
      </w:pPr>
    </w:p>
    <w:p>
      <w:pPr>
        <w:pStyle w:val="25"/>
        <w:ind w:firstLine="480" w:firstLineChars="200"/>
        <w:rPr>
          <w:rFonts w:hAnsi="宋体" w:cs="宋体"/>
          <w:sz w:val="24"/>
          <w:szCs w:val="24"/>
          <w:u w:val="single"/>
        </w:rPr>
      </w:pPr>
      <w:r>
        <w:rPr>
          <w:rFonts w:hint="eastAsia" w:hAnsi="宋体" w:cs="宋体"/>
          <w:sz w:val="24"/>
          <w:szCs w:val="24"/>
        </w:rPr>
        <w:t xml:space="preserve">                      投标人名称：___________________</w:t>
      </w:r>
    </w:p>
    <w:p>
      <w:pPr>
        <w:pStyle w:val="25"/>
        <w:ind w:firstLine="480" w:firstLineChars="200"/>
        <w:rPr>
          <w:rFonts w:hAnsi="宋体" w:cs="宋体"/>
          <w:sz w:val="24"/>
          <w:szCs w:val="24"/>
        </w:rPr>
      </w:pPr>
    </w:p>
    <w:p>
      <w:pPr>
        <w:pStyle w:val="25"/>
        <w:ind w:firstLine="480" w:firstLineChars="200"/>
        <w:jc w:val="center"/>
        <w:rPr>
          <w:rFonts w:hAnsi="宋体" w:cs="宋体"/>
          <w:sz w:val="24"/>
          <w:szCs w:val="24"/>
        </w:rPr>
      </w:pPr>
      <w:r>
        <w:rPr>
          <w:rFonts w:hint="eastAsia" w:hAnsi="宋体" w:cs="宋体"/>
          <w:sz w:val="24"/>
          <w:szCs w:val="24"/>
        </w:rPr>
        <w:t>　　</w:t>
      </w: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r>
        <w:rPr>
          <w:rFonts w:hint="eastAsia" w:hAnsi="宋体" w:cs="宋体"/>
          <w:sz w:val="24"/>
          <w:szCs w:val="24"/>
        </w:rPr>
        <w:t>______年______月______日</w:t>
      </w:r>
    </w:p>
    <w:p>
      <w:pPr>
        <w:adjustRightInd w:val="0"/>
        <w:snapToGrid w:val="0"/>
        <w:outlineLvl w:val="0"/>
        <w:rPr>
          <w:rFonts w:ascii="黑体" w:hAnsi="宋体" w:eastAsia="黑体"/>
          <w:sz w:val="32"/>
          <w:szCs w:val="32"/>
          <w:u w:val="single"/>
        </w:rPr>
        <w:sectPr>
          <w:pgSz w:w="11906" w:h="16838"/>
          <w:pgMar w:top="1304" w:right="1247" w:bottom="1134" w:left="1304" w:header="850" w:footer="850" w:gutter="0"/>
          <w:cols w:space="720" w:num="1"/>
          <w:titlePg/>
          <w:docGrid w:linePitch="319" w:charSpace="0"/>
        </w:sectPr>
      </w:pPr>
    </w:p>
    <w:p>
      <w:pPr>
        <w:adjustRightInd w:val="0"/>
        <w:snapToGrid w:val="0"/>
        <w:spacing w:before="240" w:beforeLines="100" w:after="120" w:afterLines="50" w:line="360" w:lineRule="auto"/>
        <w:jc w:val="center"/>
        <w:rPr>
          <w:rFonts w:ascii="宋体" w:hAnsi="宋体"/>
          <w:b/>
          <w:sz w:val="24"/>
          <w:szCs w:val="24"/>
        </w:rPr>
      </w:pPr>
      <w:bookmarkStart w:id="41" w:name="_Toc28534"/>
      <w:r>
        <w:rPr>
          <w:rFonts w:hint="eastAsia" w:ascii="宋体" w:hAnsi="宋体" w:cs="Courier New"/>
          <w:b/>
          <w:bCs/>
          <w:sz w:val="28"/>
          <w:szCs w:val="28"/>
        </w:rPr>
        <w:t>投标人应当具备投标资格的证明文件</w:t>
      </w:r>
      <w:bookmarkEnd w:id="41"/>
    </w:p>
    <w:p>
      <w:pPr>
        <w:pStyle w:val="40"/>
        <w:widowControl w:val="0"/>
        <w:spacing w:before="0" w:beforeAutospacing="0" w:after="0" w:afterAutospacing="0"/>
        <w:ind w:left="2035" w:leftChars="969" w:firstLine="1870" w:firstLineChars="776"/>
        <w:jc w:val="both"/>
        <w:rPr>
          <w:b/>
        </w:rPr>
      </w:pPr>
      <w:r>
        <w:rPr>
          <w:rFonts w:hint="eastAsia"/>
          <w:b/>
          <w:kern w:val="2"/>
        </w:rPr>
        <w:t>填写须知</w:t>
      </w:r>
    </w:p>
    <w:p>
      <w:pPr>
        <w:pStyle w:val="40"/>
        <w:widowControl w:val="0"/>
        <w:spacing w:before="0" w:beforeAutospacing="0" w:after="0" w:afterAutospacing="0"/>
        <w:ind w:left="3615" w:hanging="1095"/>
        <w:jc w:val="center"/>
        <w:rPr>
          <w:b/>
        </w:rPr>
      </w:pPr>
    </w:p>
    <w:p>
      <w:pPr>
        <w:adjustRightInd w:val="0"/>
        <w:snapToGrid w:val="0"/>
        <w:spacing w:before="120" w:beforeLines="50" w:line="360" w:lineRule="auto"/>
        <w:rPr>
          <w:rFonts w:ascii="宋体" w:hAnsi="宋体" w:cs="宋体"/>
          <w:b/>
          <w:szCs w:val="21"/>
        </w:rPr>
      </w:pPr>
      <w:r>
        <w:rPr>
          <w:rFonts w:hint="eastAsia" w:ascii="宋体" w:hAnsi="宋体" w:cs="宋体"/>
          <w:b/>
          <w:szCs w:val="21"/>
        </w:rPr>
        <w:t>一、投标人</w:t>
      </w:r>
      <w:r>
        <w:rPr>
          <w:rFonts w:hint="eastAsia" w:ascii="宋体" w:hAnsi="宋体" w:cs="宋体"/>
          <w:b/>
          <w:bCs/>
          <w:szCs w:val="21"/>
        </w:rPr>
        <w:t>有下列情形之一的，视为无效投标：（</w:t>
      </w:r>
      <w:r>
        <w:rPr>
          <w:rFonts w:hint="eastAsia" w:ascii="宋体" w:hAnsi="宋体" w:cs="宋体"/>
          <w:szCs w:val="21"/>
        </w:rPr>
        <w:t>★</w:t>
      </w:r>
      <w:r>
        <w:rPr>
          <w:rFonts w:hint="eastAsia" w:ascii="宋体" w:hAnsi="宋体" w:cs="宋体"/>
          <w:b/>
          <w:szCs w:val="21"/>
        </w:rPr>
        <w:t>）</w:t>
      </w:r>
    </w:p>
    <w:p>
      <w:pPr>
        <w:adjustRightInd w:val="0"/>
        <w:snapToGrid w:val="0"/>
        <w:spacing w:before="120" w:beforeLines="50" w:line="360" w:lineRule="auto"/>
        <w:ind w:firstLine="411" w:firstLineChars="196"/>
        <w:rPr>
          <w:rFonts w:ascii="宋体" w:hAnsi="宋体" w:cs="宋体"/>
          <w:bCs/>
          <w:szCs w:val="21"/>
        </w:rPr>
      </w:pPr>
      <w:r>
        <w:rPr>
          <w:rFonts w:hint="eastAsia" w:ascii="宋体" w:hAnsi="宋体" w:cs="宋体"/>
          <w:szCs w:val="21"/>
        </w:rPr>
        <w:t>（一）</w:t>
      </w:r>
      <w:r>
        <w:rPr>
          <w:rFonts w:hint="eastAsia" w:ascii="宋体" w:hAnsi="宋体" w:cs="宋体"/>
          <w:bCs/>
          <w:szCs w:val="21"/>
        </w:rPr>
        <w:t>未按招标文件要求提交资格证明文件的；</w:t>
      </w:r>
    </w:p>
    <w:p>
      <w:pPr>
        <w:adjustRightInd w:val="0"/>
        <w:snapToGrid w:val="0"/>
        <w:spacing w:before="120" w:beforeLines="50" w:line="360" w:lineRule="auto"/>
        <w:ind w:firstLine="411" w:firstLineChars="196"/>
        <w:rPr>
          <w:rFonts w:ascii="宋体" w:hAnsi="宋体" w:cs="宋体"/>
          <w:bCs/>
          <w:szCs w:val="21"/>
        </w:rPr>
      </w:pPr>
      <w:r>
        <w:rPr>
          <w:rFonts w:hint="eastAsia" w:ascii="宋体" w:hAnsi="宋体" w:cs="宋体"/>
          <w:szCs w:val="21"/>
        </w:rPr>
        <w:t>（二）</w:t>
      </w:r>
      <w:r>
        <w:rPr>
          <w:rFonts w:hint="eastAsia" w:ascii="宋体" w:hAnsi="宋体" w:cs="宋体"/>
          <w:bCs/>
          <w:szCs w:val="21"/>
        </w:rPr>
        <w:t>提供的资格证明文件不符合招标文件要求或提供虚假资格证明文件的；</w:t>
      </w:r>
    </w:p>
    <w:p>
      <w:pPr>
        <w:adjustRightInd w:val="0"/>
        <w:snapToGrid w:val="0"/>
        <w:spacing w:before="120" w:beforeLines="50" w:line="360" w:lineRule="auto"/>
        <w:ind w:firstLine="411" w:firstLineChars="196"/>
        <w:rPr>
          <w:rFonts w:ascii="宋体" w:hAnsi="宋体" w:cs="宋体"/>
          <w:bCs/>
          <w:szCs w:val="21"/>
        </w:rPr>
      </w:pPr>
      <w:r>
        <w:rPr>
          <w:rFonts w:hint="eastAsia" w:ascii="宋体" w:hAnsi="宋体" w:cs="宋体"/>
          <w:szCs w:val="21"/>
        </w:rPr>
        <w:t>（三）</w:t>
      </w:r>
      <w:r>
        <w:rPr>
          <w:rFonts w:hint="eastAsia" w:ascii="宋体" w:hAnsi="宋体" w:cs="宋体"/>
          <w:bCs/>
          <w:szCs w:val="21"/>
        </w:rPr>
        <w:t>资格证明文件未按招标文件要求加盖供应商单位章、</w:t>
      </w:r>
      <w:r>
        <w:rPr>
          <w:rFonts w:hint="eastAsia" w:ascii="宋体" w:hAnsi="宋体" w:cs="宋体"/>
          <w:szCs w:val="21"/>
        </w:rPr>
        <w:t>签字</w:t>
      </w:r>
      <w:r>
        <w:rPr>
          <w:rFonts w:hint="eastAsia" w:ascii="宋体" w:hAnsi="宋体" w:cs="宋体"/>
          <w:bCs/>
          <w:szCs w:val="21"/>
        </w:rPr>
        <w:t>的；</w:t>
      </w:r>
    </w:p>
    <w:p>
      <w:pPr>
        <w:adjustRightInd w:val="0"/>
        <w:snapToGrid w:val="0"/>
        <w:spacing w:before="120" w:beforeLines="50" w:line="360" w:lineRule="auto"/>
        <w:ind w:firstLine="411" w:firstLineChars="196"/>
        <w:rPr>
          <w:rFonts w:ascii="宋体" w:hAnsi="宋体" w:cs="宋体"/>
          <w:bCs/>
          <w:szCs w:val="21"/>
        </w:rPr>
      </w:pPr>
      <w:r>
        <w:rPr>
          <w:rFonts w:hint="eastAsia" w:ascii="宋体" w:hAnsi="宋体" w:cs="宋体"/>
          <w:szCs w:val="21"/>
        </w:rPr>
        <w:t>（四）</w:t>
      </w:r>
      <w:r>
        <w:rPr>
          <w:rFonts w:hint="eastAsia" w:ascii="宋体" w:hAnsi="宋体" w:cs="宋体"/>
          <w:bCs/>
          <w:szCs w:val="21"/>
        </w:rPr>
        <w:t>资格证明文件过了有效期的。</w:t>
      </w:r>
    </w:p>
    <w:p>
      <w:pPr>
        <w:tabs>
          <w:tab w:val="left" w:pos="4725"/>
        </w:tabs>
        <w:adjustRightInd w:val="0"/>
        <w:snapToGrid w:val="0"/>
        <w:spacing w:before="120" w:beforeLines="50" w:line="360" w:lineRule="auto"/>
        <w:rPr>
          <w:rFonts w:ascii="宋体" w:hAnsi="宋体" w:cs="宋体"/>
          <w:b/>
          <w:szCs w:val="21"/>
        </w:rPr>
      </w:pPr>
      <w:r>
        <w:rPr>
          <w:rFonts w:hint="eastAsia" w:ascii="宋体" w:hAnsi="宋体" w:cs="宋体"/>
          <w:b/>
          <w:szCs w:val="21"/>
        </w:rPr>
        <w:t>二、投标人</w:t>
      </w:r>
      <w:r>
        <w:rPr>
          <w:rFonts w:hint="eastAsia" w:ascii="宋体" w:hAnsi="宋体" w:cs="宋体"/>
          <w:b/>
          <w:bCs/>
          <w:szCs w:val="21"/>
        </w:rPr>
        <w:t>应当提供的证明材料（</w:t>
      </w:r>
      <w:r>
        <w:rPr>
          <w:rFonts w:hint="eastAsia" w:ascii="宋体" w:hAnsi="宋体" w:cs="宋体"/>
          <w:szCs w:val="21"/>
        </w:rPr>
        <w:t>★</w:t>
      </w:r>
      <w:r>
        <w:rPr>
          <w:rFonts w:hint="eastAsia" w:ascii="宋体" w:hAnsi="宋体" w:cs="宋体"/>
          <w:b/>
          <w:szCs w:val="21"/>
        </w:rPr>
        <w:t>）</w:t>
      </w:r>
    </w:p>
    <w:p>
      <w:pPr>
        <w:tabs>
          <w:tab w:val="left" w:pos="4725"/>
        </w:tabs>
        <w:adjustRightInd w:val="0"/>
        <w:snapToGrid w:val="0"/>
        <w:spacing w:before="120" w:beforeLines="50" w:line="360" w:lineRule="auto"/>
        <w:ind w:firstLine="420" w:firstLineChars="200"/>
        <w:rPr>
          <w:rFonts w:ascii="宋体" w:hAnsi="宋体" w:cs="宋体"/>
          <w:bCs/>
          <w:szCs w:val="21"/>
        </w:rPr>
      </w:pPr>
      <w:r>
        <w:rPr>
          <w:rFonts w:hint="eastAsia" w:ascii="宋体" w:hAnsi="宋体" w:cs="宋体"/>
          <w:szCs w:val="21"/>
        </w:rPr>
        <w:t>投标人</w:t>
      </w:r>
      <w:r>
        <w:rPr>
          <w:rFonts w:hint="eastAsia" w:ascii="宋体" w:hAnsi="宋体" w:cs="宋体"/>
          <w:bCs/>
          <w:szCs w:val="21"/>
        </w:rPr>
        <w:t>应当按“投标邀请”中</w:t>
      </w:r>
      <w:r>
        <w:rPr>
          <w:rFonts w:hint="eastAsia" w:ascii="宋体" w:hAnsi="宋体" w:cs="宋体"/>
          <w:szCs w:val="21"/>
        </w:rPr>
        <w:t>投标人资格要求</w:t>
      </w:r>
      <w:r>
        <w:rPr>
          <w:rFonts w:hint="eastAsia" w:ascii="宋体" w:hAnsi="宋体" w:cs="宋体"/>
          <w:bCs/>
          <w:szCs w:val="21"/>
        </w:rPr>
        <w:t>，提供下列证明材料，以满足“投标邀请”中</w:t>
      </w:r>
      <w:r>
        <w:rPr>
          <w:rFonts w:hint="eastAsia" w:ascii="宋体" w:hAnsi="宋体" w:cs="宋体"/>
          <w:szCs w:val="21"/>
        </w:rPr>
        <w:t>投标人资格要求</w:t>
      </w:r>
      <w:r>
        <w:rPr>
          <w:rFonts w:hint="eastAsia" w:ascii="宋体" w:hAnsi="宋体" w:cs="宋体"/>
          <w:bCs/>
          <w:szCs w:val="21"/>
        </w:rPr>
        <w:t>规定的基本资格条件和特定资格条件要求：</w:t>
      </w:r>
    </w:p>
    <w:p>
      <w:pPr>
        <w:adjustRightInd w:val="0"/>
        <w:snapToGrid w:val="0"/>
        <w:spacing w:before="120" w:beforeLines="50" w:line="360" w:lineRule="auto"/>
        <w:ind w:firstLine="420" w:firstLineChars="200"/>
        <w:rPr>
          <w:rFonts w:ascii="宋体" w:hAnsi="宋体" w:cs="宋体"/>
          <w:szCs w:val="21"/>
        </w:rPr>
      </w:pPr>
      <w:r>
        <w:rPr>
          <w:rFonts w:hint="eastAsia" w:ascii="宋体" w:hAnsi="宋体" w:cs="宋体"/>
          <w:szCs w:val="21"/>
        </w:rPr>
        <w:t>附件1、</w:t>
      </w:r>
      <w:r>
        <w:rPr>
          <w:rFonts w:hint="eastAsia" w:ascii="宋体" w:hAnsi="宋体" w:cs="宋体"/>
          <w:kern w:val="0"/>
          <w:szCs w:val="21"/>
        </w:rPr>
        <w:t>法定代表人身份证明（法定代表人作为签字代表的提供）</w:t>
      </w:r>
    </w:p>
    <w:p>
      <w:pPr>
        <w:adjustRightInd w:val="0"/>
        <w:snapToGrid w:val="0"/>
        <w:spacing w:before="120" w:beforeLines="50" w:line="360" w:lineRule="auto"/>
        <w:ind w:firstLine="420" w:firstLineChars="200"/>
        <w:rPr>
          <w:rFonts w:ascii="宋体" w:hAnsi="宋体" w:cs="宋体"/>
          <w:kern w:val="0"/>
          <w:szCs w:val="21"/>
        </w:rPr>
      </w:pPr>
      <w:r>
        <w:rPr>
          <w:rFonts w:hint="eastAsia" w:ascii="宋体" w:hAnsi="宋体" w:cs="宋体"/>
          <w:szCs w:val="21"/>
        </w:rPr>
        <w:t>附件2、</w:t>
      </w:r>
      <w:r>
        <w:rPr>
          <w:rFonts w:hint="eastAsia" w:ascii="宋体" w:hAnsi="宋体" w:cs="宋体"/>
          <w:kern w:val="0"/>
          <w:szCs w:val="21"/>
        </w:rPr>
        <w:t>法定代表人授权委托书（委托代理人作为签字代表的提供，</w:t>
      </w:r>
      <w:r>
        <w:rPr>
          <w:rFonts w:hint="eastAsia" w:ascii="宋体" w:hAnsi="宋体" w:cs="宋体"/>
          <w:b/>
          <w:bCs/>
          <w:kern w:val="0"/>
          <w:szCs w:val="21"/>
        </w:rPr>
        <w:t>同时提供法定代表人身份证明</w:t>
      </w:r>
      <w:r>
        <w:rPr>
          <w:rFonts w:hint="eastAsia" w:ascii="宋体" w:hAnsi="宋体" w:cs="宋体"/>
          <w:kern w:val="0"/>
          <w:szCs w:val="21"/>
        </w:rPr>
        <w:t>）</w:t>
      </w:r>
    </w:p>
    <w:p>
      <w:pPr>
        <w:adjustRightInd w:val="0"/>
        <w:snapToGrid w:val="0"/>
        <w:spacing w:before="120" w:beforeLines="50" w:line="360" w:lineRule="auto"/>
        <w:ind w:firstLine="420" w:firstLineChars="200"/>
        <w:rPr>
          <w:rFonts w:ascii="宋体" w:hAnsi="宋体" w:cs="宋体"/>
          <w:szCs w:val="21"/>
        </w:rPr>
      </w:pPr>
      <w:r>
        <w:rPr>
          <w:rFonts w:hint="eastAsia" w:ascii="宋体" w:hAnsi="宋体" w:cs="宋体"/>
          <w:szCs w:val="21"/>
        </w:rPr>
        <w:t>附件3、投标人基本情况表（并提供法人、或者其他组织的营业执照等主体资格证明文件，自然人的身份证明）</w:t>
      </w:r>
    </w:p>
    <w:p>
      <w:pPr>
        <w:adjustRightInd w:val="0"/>
        <w:snapToGrid w:val="0"/>
        <w:spacing w:before="120" w:beforeLines="50" w:line="360" w:lineRule="auto"/>
        <w:ind w:firstLine="420" w:firstLineChars="200"/>
        <w:rPr>
          <w:rFonts w:ascii="宋体" w:hAnsi="宋体" w:cs="宋体"/>
          <w:szCs w:val="21"/>
        </w:rPr>
      </w:pPr>
      <w:r>
        <w:rPr>
          <w:rFonts w:hint="eastAsia" w:ascii="宋体" w:hAnsi="宋体" w:cs="宋体"/>
          <w:szCs w:val="21"/>
        </w:rPr>
        <w:t>附件</w:t>
      </w:r>
      <w:r>
        <w:rPr>
          <w:rFonts w:hint="eastAsia" w:ascii="宋体" w:hAnsi="宋体" w:cs="宋体"/>
          <w:bCs/>
          <w:szCs w:val="21"/>
        </w:rPr>
        <w:t>4、</w:t>
      </w:r>
      <w:r>
        <w:rPr>
          <w:rFonts w:hint="eastAsia" w:ascii="宋体" w:hAnsi="宋体" w:cs="宋体"/>
          <w:szCs w:val="21"/>
        </w:rPr>
        <w:t>财务状况报告、依法缴纳税收和社会保险费的相关证明文件</w:t>
      </w:r>
    </w:p>
    <w:p>
      <w:pPr>
        <w:adjustRightInd w:val="0"/>
        <w:snapToGrid w:val="0"/>
        <w:spacing w:before="120" w:beforeLines="50" w:line="360" w:lineRule="auto"/>
        <w:ind w:firstLine="420" w:firstLineChars="200"/>
        <w:rPr>
          <w:rFonts w:cs="宋体"/>
          <w:bCs/>
          <w:szCs w:val="24"/>
        </w:rPr>
      </w:pPr>
      <w:r>
        <w:rPr>
          <w:rFonts w:hint="eastAsia" w:ascii="宋体" w:hAnsi="宋体" w:cs="宋体"/>
          <w:szCs w:val="21"/>
        </w:rPr>
        <w:t>附件</w:t>
      </w:r>
      <w:r>
        <w:rPr>
          <w:rFonts w:hint="eastAsia" w:ascii="宋体" w:hAnsi="宋体" w:cs="宋体"/>
          <w:bCs/>
          <w:szCs w:val="24"/>
        </w:rPr>
        <w:t>5、</w:t>
      </w:r>
      <w:r>
        <w:rPr>
          <w:rFonts w:hint="eastAsia" w:cs="宋体"/>
          <w:bCs/>
          <w:szCs w:val="24"/>
        </w:rPr>
        <w:t>投标人</w:t>
      </w:r>
      <w:r>
        <w:rPr>
          <w:rFonts w:hint="eastAsia" w:cs="宋体"/>
          <w:szCs w:val="24"/>
        </w:rPr>
        <w:t>特定资格条件</w:t>
      </w:r>
      <w:r>
        <w:rPr>
          <w:rFonts w:hint="eastAsia" w:cs="宋体"/>
          <w:bCs/>
          <w:szCs w:val="24"/>
        </w:rPr>
        <w:t>证明文件</w:t>
      </w:r>
    </w:p>
    <w:p>
      <w:pPr>
        <w:adjustRightInd w:val="0"/>
        <w:snapToGrid w:val="0"/>
        <w:spacing w:before="120" w:beforeLines="50" w:line="360" w:lineRule="auto"/>
        <w:ind w:firstLine="420" w:firstLineChars="200"/>
        <w:rPr>
          <w:rFonts w:ascii="宋体" w:hAnsi="宋体" w:cs="宋体"/>
          <w:szCs w:val="21"/>
        </w:rPr>
      </w:pPr>
      <w:r>
        <w:rPr>
          <w:rFonts w:hint="eastAsia" w:ascii="宋体" w:hAnsi="宋体" w:cs="宋体"/>
          <w:szCs w:val="21"/>
        </w:rPr>
        <w:t>附件</w:t>
      </w:r>
      <w:r>
        <w:rPr>
          <w:rFonts w:hint="eastAsia" w:ascii="宋体" w:hAnsi="宋体" w:cs="宋体"/>
          <w:bCs/>
          <w:szCs w:val="24"/>
        </w:rPr>
        <w:t>6、</w:t>
      </w:r>
      <w:r>
        <w:rPr>
          <w:rFonts w:hint="eastAsia" w:ascii="宋体" w:hAnsi="宋体" w:cs="宋体"/>
          <w:szCs w:val="21"/>
        </w:rPr>
        <w:t>参加政府采购活动前三年内在经营活动中没有重大违法记录的书面声明</w:t>
      </w:r>
    </w:p>
    <w:p>
      <w:pPr>
        <w:adjustRightInd w:val="0"/>
        <w:snapToGrid w:val="0"/>
        <w:spacing w:before="120" w:beforeLines="50" w:line="360" w:lineRule="auto"/>
        <w:ind w:firstLine="420" w:firstLineChars="200"/>
        <w:rPr>
          <w:rFonts w:ascii="宋体" w:hAnsi="宋体" w:cs="宋体"/>
          <w:szCs w:val="21"/>
        </w:rPr>
      </w:pPr>
      <w:r>
        <w:rPr>
          <w:rFonts w:hint="eastAsia" w:ascii="宋体" w:hAnsi="宋体" w:cs="宋体"/>
          <w:szCs w:val="21"/>
        </w:rPr>
        <w:t>附件7、联合体协议</w:t>
      </w:r>
      <w:r>
        <w:rPr>
          <w:rFonts w:hint="eastAsia" w:ascii="宋体" w:hAnsi="宋体" w:cs="宋体"/>
          <w:b/>
          <w:bCs/>
          <w:i/>
          <w:szCs w:val="21"/>
        </w:rPr>
        <w:t>（本项目不适用）</w:t>
      </w:r>
    </w:p>
    <w:p>
      <w:pPr>
        <w:adjustRightInd w:val="0"/>
        <w:snapToGrid w:val="0"/>
        <w:spacing w:before="120" w:beforeLines="50" w:line="360" w:lineRule="auto"/>
        <w:ind w:firstLine="420" w:firstLineChars="200"/>
        <w:rPr>
          <w:rFonts w:ascii="宋体" w:hAnsi="宋体" w:cs="宋体"/>
          <w:szCs w:val="21"/>
        </w:rPr>
      </w:pPr>
      <w:r>
        <w:rPr>
          <w:rFonts w:hint="eastAsia" w:ascii="宋体" w:hAnsi="宋体" w:cs="宋体"/>
          <w:szCs w:val="21"/>
        </w:rPr>
        <w:t>附件8、政府采购法律法规规定的其他资格条件证明文件</w:t>
      </w:r>
    </w:p>
    <w:p>
      <w:pPr>
        <w:adjustRightInd w:val="0"/>
        <w:snapToGrid w:val="0"/>
        <w:spacing w:before="120" w:beforeLines="50" w:line="360" w:lineRule="auto"/>
        <w:ind w:firstLine="420" w:firstLineChars="200"/>
        <w:rPr>
          <w:rFonts w:ascii="宋体" w:hAnsi="宋体" w:cs="宋体"/>
          <w:szCs w:val="21"/>
        </w:rPr>
      </w:pPr>
      <w:r>
        <w:rPr>
          <w:rFonts w:hint="eastAsia" w:ascii="宋体" w:hAnsi="宋体" w:cs="宋体"/>
          <w:szCs w:val="21"/>
        </w:rPr>
        <w:t>附件9、公章授权书</w:t>
      </w:r>
    </w:p>
    <w:p>
      <w:pPr>
        <w:jc w:val="center"/>
        <w:rPr>
          <w:rFonts w:ascii="黑体" w:eastAsia="黑体"/>
          <w:sz w:val="32"/>
          <w:szCs w:val="32"/>
        </w:rPr>
      </w:pPr>
    </w:p>
    <w:p>
      <w:pPr>
        <w:pStyle w:val="25"/>
        <w:adjustRightInd w:val="0"/>
        <w:snapToGrid w:val="0"/>
        <w:spacing w:after="240" w:line="400" w:lineRule="atLeast"/>
        <w:ind w:firstLine="1687"/>
        <w:jc w:val="center"/>
        <w:rPr>
          <w:rFonts w:hAnsi="宋体"/>
          <w:b/>
          <w:bCs/>
          <w:sz w:val="84"/>
          <w:szCs w:val="84"/>
        </w:rPr>
      </w:pPr>
    </w:p>
    <w:p>
      <w:pPr>
        <w:pStyle w:val="25"/>
        <w:adjustRightInd w:val="0"/>
        <w:snapToGrid w:val="0"/>
        <w:spacing w:after="240" w:line="400" w:lineRule="atLeast"/>
        <w:ind w:firstLine="1680"/>
        <w:jc w:val="center"/>
        <w:rPr>
          <w:rFonts w:hAnsi="宋体"/>
          <w:b/>
          <w:bCs/>
          <w:sz w:val="84"/>
          <w:szCs w:val="84"/>
        </w:rPr>
      </w:pPr>
    </w:p>
    <w:p>
      <w:pPr>
        <w:adjustRightInd w:val="0"/>
        <w:snapToGrid w:val="0"/>
        <w:spacing w:line="360" w:lineRule="auto"/>
        <w:rPr>
          <w:rFonts w:ascii="黑体" w:hAnsi="华文中宋" w:eastAsia="黑体" w:cs="黑体"/>
          <w:sz w:val="28"/>
          <w:szCs w:val="28"/>
        </w:rPr>
      </w:pPr>
    </w:p>
    <w:p>
      <w:pPr>
        <w:keepNext/>
        <w:keepLines/>
        <w:spacing w:before="120" w:beforeLines="50" w:after="120" w:afterLines="50" w:line="360" w:lineRule="auto"/>
        <w:outlineLvl w:val="3"/>
        <w:rPr>
          <w:rFonts w:ascii="宋体" w:hAnsi="宋体" w:cs="宋体"/>
          <w:b/>
          <w:bCs/>
          <w:szCs w:val="21"/>
        </w:rPr>
      </w:pPr>
      <w:r>
        <w:rPr>
          <w:rFonts w:hint="eastAsia" w:ascii="宋体" w:hAnsi="宋体" w:cs="宋体"/>
          <w:b/>
          <w:bCs/>
          <w:szCs w:val="21"/>
        </w:rPr>
        <w:t xml:space="preserve">附件1   </w:t>
      </w:r>
    </w:p>
    <w:p>
      <w:pPr>
        <w:keepNext/>
        <w:keepLines/>
        <w:spacing w:before="120" w:beforeLines="50" w:after="120" w:afterLines="50" w:line="360" w:lineRule="auto"/>
        <w:jc w:val="center"/>
        <w:rPr>
          <w:rFonts w:ascii="宋体" w:hAnsi="宋体" w:cs="宋体"/>
          <w:b/>
          <w:bCs/>
          <w:sz w:val="28"/>
          <w:szCs w:val="28"/>
        </w:rPr>
      </w:pPr>
      <w:r>
        <w:rPr>
          <w:rFonts w:hint="eastAsia" w:ascii="宋体" w:hAnsi="宋体" w:cs="宋体"/>
          <w:b/>
          <w:bCs/>
          <w:sz w:val="28"/>
          <w:szCs w:val="28"/>
        </w:rPr>
        <w:t>法定代表人身份证明</w:t>
      </w:r>
    </w:p>
    <w:p>
      <w:pPr>
        <w:pStyle w:val="2"/>
        <w:ind w:firstLine="0" w:firstLineChars="0"/>
        <w:jc w:val="center"/>
        <w:rPr>
          <w:b/>
          <w:bCs/>
          <w:sz w:val="24"/>
          <w:szCs w:val="24"/>
        </w:rPr>
      </w:pPr>
      <w:r>
        <w:rPr>
          <w:rFonts w:hint="eastAsia"/>
          <w:b/>
          <w:bCs/>
          <w:sz w:val="24"/>
          <w:szCs w:val="24"/>
        </w:rPr>
        <w:t>（法定代表人参加投标的提供）</w:t>
      </w:r>
    </w:p>
    <w:p>
      <w:pPr>
        <w:pStyle w:val="25"/>
        <w:spacing w:after="240"/>
        <w:ind w:firstLine="420" w:firstLineChars="200"/>
        <w:rPr>
          <w:rFonts w:hAnsi="宋体" w:cs="宋体"/>
        </w:rPr>
      </w:pPr>
    </w:p>
    <w:p>
      <w:pPr>
        <w:autoSpaceDE w:val="0"/>
        <w:autoSpaceDN w:val="0"/>
        <w:adjustRightInd w:val="0"/>
        <w:snapToGrid w:val="0"/>
        <w:spacing w:before="120" w:beforeLines="50" w:line="360" w:lineRule="auto"/>
        <w:jc w:val="left"/>
        <w:rPr>
          <w:rFonts w:hAnsi="宋体" w:cs="宋体"/>
          <w:sz w:val="24"/>
          <w:szCs w:val="24"/>
        </w:rPr>
      </w:pPr>
      <w:r>
        <w:rPr>
          <w:rFonts w:hint="eastAsia" w:ascii="宋体" w:hAnsi="宋体"/>
          <w:szCs w:val="21"/>
        </w:rPr>
        <w:t>投标人</w:t>
      </w:r>
      <w:r>
        <w:rPr>
          <w:rFonts w:hint="eastAsia" w:ascii="宋体" w:hAnsi="宋体" w:cs="宋体"/>
          <w:kern w:val="0"/>
          <w:szCs w:val="21"/>
        </w:rPr>
        <w:t>名称：</w:t>
      </w:r>
      <w:r>
        <w:rPr>
          <w:rFonts w:hAnsi="宋体" w:cs="宋体"/>
          <w:sz w:val="24"/>
          <w:szCs w:val="24"/>
        </w:rPr>
        <w:t xml:space="preserve">_____________________ </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注册号：</w:t>
      </w:r>
      <w:r>
        <w:rPr>
          <w:rFonts w:hAnsi="宋体" w:cs="宋体"/>
          <w:sz w:val="24"/>
          <w:szCs w:val="24"/>
        </w:rPr>
        <w:t>_____________________</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注册地址：</w:t>
      </w:r>
      <w:r>
        <w:rPr>
          <w:rFonts w:hAnsi="宋体" w:cs="宋体"/>
          <w:sz w:val="24"/>
          <w:szCs w:val="24"/>
        </w:rPr>
        <w:t>____________________</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成立时间： 年 月日</w:t>
      </w:r>
    </w:p>
    <w:p>
      <w:pPr>
        <w:autoSpaceDE w:val="0"/>
        <w:autoSpaceDN w:val="0"/>
        <w:adjustRightInd w:val="0"/>
        <w:snapToGrid w:val="0"/>
        <w:spacing w:before="120" w:beforeLines="50" w:line="360" w:lineRule="auto"/>
        <w:jc w:val="left"/>
        <w:rPr>
          <w:rFonts w:ascii="宋体" w:hAnsi="宋体" w:cs="宋体"/>
          <w:kern w:val="0"/>
          <w:szCs w:val="21"/>
          <w:u w:val="single"/>
        </w:rPr>
      </w:pPr>
      <w:r>
        <w:rPr>
          <w:rFonts w:hint="eastAsia" w:ascii="宋体" w:hAnsi="宋体" w:cs="宋体"/>
          <w:kern w:val="0"/>
          <w:szCs w:val="21"/>
        </w:rPr>
        <w:t>经营期限：</w:t>
      </w:r>
      <w:r>
        <w:rPr>
          <w:rFonts w:hAnsi="宋体" w:cs="宋体"/>
          <w:sz w:val="24"/>
          <w:szCs w:val="24"/>
        </w:rPr>
        <w:t>_____________________</w:t>
      </w:r>
    </w:p>
    <w:p>
      <w:pPr>
        <w:autoSpaceDE w:val="0"/>
        <w:autoSpaceDN w:val="0"/>
        <w:adjustRightInd w:val="0"/>
        <w:snapToGrid w:val="0"/>
        <w:spacing w:before="120" w:beforeLines="50" w:line="360" w:lineRule="auto"/>
        <w:jc w:val="left"/>
        <w:rPr>
          <w:rFonts w:ascii="宋体" w:hAnsi="宋体" w:cs="宋体"/>
          <w:kern w:val="0"/>
          <w:szCs w:val="21"/>
          <w:u w:val="single"/>
        </w:rPr>
      </w:pPr>
      <w:r>
        <w:rPr>
          <w:rFonts w:hint="eastAsia" w:ascii="宋体" w:hAnsi="宋体" w:cs="宋体"/>
          <w:kern w:val="0"/>
          <w:szCs w:val="21"/>
        </w:rPr>
        <w:t>经营范围：主营： ；兼营：</w:t>
      </w:r>
      <w:r>
        <w:rPr>
          <w:rFonts w:hint="eastAsia" w:ascii="宋体" w:hAnsi="宋体" w:cs="宋体"/>
          <w:kern w:val="0"/>
          <w:szCs w:val="21"/>
          <w:u w:val="single"/>
        </w:rPr>
        <w:t>___________________</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姓名： 性别： 年龄： 职务：系 （</w:t>
      </w:r>
      <w:r>
        <w:rPr>
          <w:rFonts w:hint="eastAsia" w:ascii="宋体" w:hAnsi="宋体"/>
          <w:szCs w:val="21"/>
        </w:rPr>
        <w:t>投标人</w:t>
      </w:r>
      <w:r>
        <w:rPr>
          <w:rFonts w:hint="eastAsia" w:ascii="宋体" w:hAnsi="宋体" w:cs="宋体"/>
          <w:kern w:val="0"/>
          <w:szCs w:val="21"/>
        </w:rPr>
        <w:t>名称）的法定代表人。</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20" w:beforeLines="50" w:line="360" w:lineRule="auto"/>
        <w:jc w:val="left"/>
        <w:rPr>
          <w:rFonts w:ascii="宋体" w:hAnsi="宋体" w:cs="宋体"/>
          <w:kern w:val="0"/>
          <w:szCs w:val="21"/>
        </w:rPr>
      </w:pPr>
    </w:p>
    <w:tbl>
      <w:tblPr>
        <w:tblStyle w:val="45"/>
        <w:tblW w:w="0" w:type="auto"/>
        <w:tblInd w:w="108" w:type="dxa"/>
        <w:tblBorders>
          <w:top w:val="dashSmallGap" w:color="auto" w:sz="4" w:space="0"/>
          <w:left w:val="dashSmallGap" w:color="auto" w:sz="4" w:space="0"/>
          <w:bottom w:val="dashSmallGap" w:color="auto" w:sz="4" w:space="0"/>
          <w:right w:val="dashSmallGap"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9520" w:type="dxa"/>
            <w:tcBorders>
              <w:top w:val="dashSmallGap" w:color="auto" w:sz="4" w:space="0"/>
              <w:left w:val="dashSmallGap" w:color="auto" w:sz="4" w:space="0"/>
              <w:bottom w:val="dashSmallGap" w:color="auto" w:sz="4" w:space="0"/>
              <w:right w:val="dashSmallGap" w:color="auto" w:sz="4" w:space="0"/>
            </w:tcBorders>
            <w:vAlign w:val="center"/>
          </w:tcPr>
          <w:p>
            <w:pPr>
              <w:adjustRightInd w:val="0"/>
              <w:snapToGrid w:val="0"/>
              <w:spacing w:before="120" w:beforeLines="50" w:line="360" w:lineRule="auto"/>
              <w:jc w:val="center"/>
              <w:rPr>
                <w:rFonts w:ascii="宋体" w:hAnsi="宋体"/>
                <w:szCs w:val="21"/>
              </w:rPr>
            </w:pPr>
            <w:r>
              <w:rPr>
                <w:rFonts w:hint="eastAsia" w:ascii="宋体" w:hAnsi="宋体"/>
                <w:b/>
                <w:bCs/>
                <w:szCs w:val="21"/>
              </w:rPr>
              <w:t>附：法定代表人身份证复印件</w:t>
            </w:r>
          </w:p>
        </w:tc>
      </w:tr>
    </w:tbl>
    <w:p>
      <w:pPr>
        <w:adjustRightInd w:val="0"/>
        <w:snapToGrid w:val="0"/>
        <w:spacing w:before="120" w:beforeLines="50" w:line="360" w:lineRule="auto"/>
        <w:rPr>
          <w:rFonts w:ascii="宋体" w:hAnsi="宋体"/>
          <w:szCs w:val="21"/>
        </w:rPr>
      </w:pPr>
    </w:p>
    <w:p>
      <w:pPr>
        <w:adjustRightInd w:val="0"/>
        <w:snapToGrid w:val="0"/>
        <w:spacing w:before="120" w:beforeLines="50" w:line="360" w:lineRule="auto"/>
        <w:rPr>
          <w:rFonts w:ascii="宋体" w:hAnsi="宋体"/>
          <w:szCs w:val="21"/>
        </w:rPr>
      </w:pPr>
    </w:p>
    <w:p>
      <w:pPr>
        <w:adjustRightInd w:val="0"/>
        <w:snapToGrid w:val="0"/>
        <w:spacing w:before="120" w:beforeLines="50" w:line="360" w:lineRule="auto"/>
        <w:rPr>
          <w:rFonts w:ascii="宋体" w:hAnsi="宋体"/>
          <w:szCs w:val="21"/>
        </w:rPr>
      </w:pPr>
    </w:p>
    <w:p>
      <w:pPr>
        <w:adjustRightInd w:val="0"/>
        <w:snapToGrid w:val="0"/>
        <w:spacing w:before="120" w:beforeLines="50" w:line="360" w:lineRule="auto"/>
        <w:ind w:right="420"/>
        <w:rPr>
          <w:rFonts w:ascii="宋体" w:hAnsi="宋体"/>
          <w:szCs w:val="21"/>
        </w:rPr>
      </w:pPr>
      <w:r>
        <w:rPr>
          <w:rFonts w:hint="eastAsia" w:ascii="宋体" w:hAnsi="宋体"/>
          <w:szCs w:val="21"/>
        </w:rPr>
        <w:t>投标人名称（单位章）：</w:t>
      </w:r>
    </w:p>
    <w:p>
      <w:pPr>
        <w:keepNext/>
        <w:keepLines/>
        <w:spacing w:before="120" w:beforeLines="50" w:after="120" w:afterLines="50" w:line="360" w:lineRule="auto"/>
        <w:ind w:firstLine="630" w:firstLineChars="300"/>
        <w:rPr>
          <w:rFonts w:hAnsi="宋体"/>
        </w:rPr>
      </w:pPr>
      <w:r>
        <w:rPr>
          <w:rFonts w:hint="eastAsia" w:hAnsi="宋体"/>
        </w:rPr>
        <w:t>年月日</w:t>
      </w:r>
    </w:p>
    <w:p>
      <w:pPr>
        <w:keepNext/>
        <w:keepLines/>
        <w:spacing w:before="120" w:beforeLines="50" w:after="120" w:afterLines="50" w:line="360" w:lineRule="auto"/>
        <w:rPr>
          <w:rFonts w:ascii="宋体" w:hAnsi="宋体" w:cs="宋体"/>
          <w:b/>
          <w:bCs/>
          <w:szCs w:val="21"/>
        </w:rPr>
      </w:pPr>
      <w:r>
        <w:rPr>
          <w:rFonts w:hint="eastAsia" w:ascii="仿宋_GB2312" w:hAnsi="宋体" w:eastAsia="仿宋_GB2312"/>
          <w:sz w:val="24"/>
        </w:rPr>
        <w:br w:type="page"/>
      </w:r>
      <w:r>
        <w:rPr>
          <w:rFonts w:hint="eastAsia" w:ascii="宋体" w:hAnsi="宋体" w:cs="宋体"/>
          <w:b/>
          <w:bCs/>
          <w:szCs w:val="21"/>
        </w:rPr>
        <w:t xml:space="preserve">附件2  </w:t>
      </w:r>
    </w:p>
    <w:p>
      <w:pPr>
        <w:keepNext/>
        <w:keepLines/>
        <w:spacing w:before="120" w:beforeLines="50" w:after="120" w:afterLines="50" w:line="360" w:lineRule="auto"/>
        <w:jc w:val="center"/>
        <w:rPr>
          <w:rFonts w:ascii="宋体" w:hAnsi="宋体" w:cs="宋体"/>
          <w:b/>
          <w:bCs/>
          <w:sz w:val="28"/>
          <w:szCs w:val="28"/>
        </w:rPr>
      </w:pPr>
      <w:r>
        <w:rPr>
          <w:rFonts w:hint="eastAsia" w:ascii="宋体" w:hAnsi="宋体" w:cs="宋体"/>
          <w:b/>
          <w:bCs/>
          <w:sz w:val="28"/>
          <w:szCs w:val="28"/>
        </w:rPr>
        <w:t>法定代表人授权委托书</w:t>
      </w:r>
    </w:p>
    <w:p>
      <w:pPr>
        <w:pStyle w:val="2"/>
        <w:ind w:firstLine="0" w:firstLineChars="0"/>
        <w:jc w:val="center"/>
        <w:rPr>
          <w:b/>
          <w:bCs/>
          <w:sz w:val="24"/>
          <w:szCs w:val="24"/>
        </w:rPr>
      </w:pPr>
      <w:r>
        <w:rPr>
          <w:rFonts w:hint="eastAsia"/>
          <w:b/>
          <w:bCs/>
          <w:sz w:val="24"/>
          <w:szCs w:val="24"/>
        </w:rPr>
        <w:t>（法定代表人授权投标的提供）</w:t>
      </w:r>
    </w:p>
    <w:p>
      <w:pPr>
        <w:pStyle w:val="2"/>
        <w:ind w:firstLine="0" w:firstLineChars="0"/>
      </w:pPr>
    </w:p>
    <w:p>
      <w:pPr>
        <w:pStyle w:val="2"/>
        <w:ind w:firstLine="0" w:firstLineChars="0"/>
      </w:pPr>
    </w:p>
    <w:p>
      <w:pPr>
        <w:pStyle w:val="25"/>
        <w:shd w:val="clear" w:color="auto" w:fill="FFFFFF"/>
        <w:spacing w:after="240" w:line="360" w:lineRule="auto"/>
        <w:rPr>
          <w:rFonts w:hAnsi="宋体" w:cs="宋体"/>
        </w:rPr>
      </w:pPr>
      <w:r>
        <w:rPr>
          <w:rFonts w:hint="eastAsia" w:hAnsi="宋体" w:cs="宋体"/>
        </w:rPr>
        <w:t>致：____________（采购人或采购代理机构）</w:t>
      </w:r>
    </w:p>
    <w:p>
      <w:pPr>
        <w:pStyle w:val="25"/>
        <w:shd w:val="clear" w:color="auto" w:fill="FFFFFF"/>
        <w:spacing w:after="240" w:afterLines="100" w:line="360" w:lineRule="auto"/>
        <w:ind w:firstLine="420" w:firstLineChars="200"/>
        <w:rPr>
          <w:rFonts w:hAnsi="宋体" w:cs="宋体"/>
        </w:rPr>
      </w:pPr>
      <w:r>
        <w:rPr>
          <w:rFonts w:hint="eastAsia" w:hAnsi="宋体" w:cs="宋体"/>
        </w:rPr>
        <w:t>____________（投标人名称）的法定代表人_</w:t>
      </w:r>
      <w:r>
        <w:rPr>
          <w:rFonts w:hAnsi="宋体" w:cs="宋体"/>
        </w:rPr>
        <w:t>____________</w:t>
      </w:r>
      <w:r>
        <w:rPr>
          <w:rFonts w:hint="eastAsia" w:hAnsi="宋体" w:cs="宋体"/>
        </w:rPr>
        <w:t>（姓名、职务）授权____________（投标人授权代表姓名、职务）为本公司的授权代表，就____________（项目名称及包号）第_</w:t>
      </w:r>
      <w:r>
        <w:rPr>
          <w:rFonts w:hAnsi="宋体" w:cs="宋体"/>
        </w:rPr>
        <w:t>__</w:t>
      </w:r>
      <w:r>
        <w:rPr>
          <w:rFonts w:hint="eastAsia" w:hAnsi="宋体" w:cs="宋体"/>
        </w:rPr>
        <w:t>子包投标及相关事务代表本公司处理与之有关的一切事务。</w:t>
      </w:r>
    </w:p>
    <w:p>
      <w:pPr>
        <w:pStyle w:val="25"/>
        <w:spacing w:after="240" w:afterLines="100"/>
        <w:ind w:firstLine="420" w:firstLineChars="200"/>
        <w:rPr>
          <w:rFonts w:hAnsi="宋体" w:cs="宋体"/>
        </w:rPr>
      </w:pPr>
      <w:r>
        <w:rPr>
          <w:rFonts w:hint="eastAsia" w:hAnsi="宋体" w:cs="宋体"/>
        </w:rPr>
        <w:t>委托期限：____________________。</w:t>
      </w:r>
    </w:p>
    <w:p>
      <w:pPr>
        <w:pStyle w:val="25"/>
        <w:spacing w:after="240" w:afterLines="100"/>
        <w:ind w:firstLine="420" w:firstLineChars="200"/>
        <w:rPr>
          <w:rFonts w:hAnsi="宋体" w:cs="宋体"/>
        </w:rPr>
      </w:pPr>
      <w:r>
        <w:rPr>
          <w:rFonts w:hint="eastAsia" w:hAnsi="宋体" w:cs="宋体"/>
        </w:rPr>
        <w:t>代理人无转委托权。</w:t>
      </w:r>
    </w:p>
    <w:p>
      <w:pPr>
        <w:pStyle w:val="25"/>
        <w:spacing w:after="240" w:afterLines="100"/>
        <w:ind w:firstLine="420" w:firstLineChars="200"/>
        <w:rPr>
          <w:rFonts w:hAnsi="宋体" w:cs="宋体"/>
        </w:rPr>
      </w:pPr>
      <w:r>
        <w:rPr>
          <w:rFonts w:hint="eastAsia" w:hAnsi="宋体" w:cs="宋体"/>
        </w:rPr>
        <w:t>本授权书于______年____月____日签字生效，特此声明。</w:t>
      </w:r>
    </w:p>
    <w:p>
      <w:pPr>
        <w:pStyle w:val="25"/>
        <w:spacing w:after="240" w:afterLines="100"/>
        <w:ind w:firstLine="420" w:firstLineChars="200"/>
        <w:rPr>
          <w:rFonts w:hAnsi="宋体" w:cs="宋体"/>
          <w:b/>
          <w:bCs/>
        </w:rPr>
      </w:pPr>
      <w:r>
        <w:rPr>
          <w:rFonts w:hint="eastAsia" w:hAnsi="宋体" w:cs="宋体"/>
        </w:rPr>
        <w:t>附：</w:t>
      </w:r>
      <w:r>
        <w:rPr>
          <w:rFonts w:hint="eastAsia" w:hAnsi="宋体" w:cs="宋体"/>
          <w:b/>
          <w:bCs/>
        </w:rPr>
        <w:t>授权代表身份证复印件</w:t>
      </w:r>
    </w:p>
    <w:p>
      <w:pPr>
        <w:pStyle w:val="25"/>
        <w:spacing w:after="240"/>
        <w:ind w:firstLine="420" w:firstLineChars="200"/>
        <w:rPr>
          <w:rFonts w:hAnsi="宋体" w:cs="宋体"/>
        </w:rPr>
      </w:pPr>
    </w:p>
    <w:tbl>
      <w:tblPr>
        <w:tblStyle w:val="45"/>
        <w:tblW w:w="0" w:type="auto"/>
        <w:jc w:val="center"/>
        <w:tblBorders>
          <w:top w:val="dotted" w:color="000000" w:sz="4" w:space="0"/>
          <w:left w:val="dotted" w:color="000000" w:sz="4" w:space="0"/>
          <w:bottom w:val="dotted" w:color="000000" w:sz="4" w:space="0"/>
          <w:right w:val="dotted"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23"/>
      </w:tblGrid>
      <w:tr>
        <w:tblPrEx>
          <w:tblBorders>
            <w:top w:val="dotted" w:color="000000" w:sz="4" w:space="0"/>
            <w:left w:val="dotted" w:color="000000" w:sz="4" w:space="0"/>
            <w:bottom w:val="dotted" w:color="000000" w:sz="4" w:space="0"/>
            <w:right w:val="dotted"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jc w:val="center"/>
        </w:trPr>
        <w:tc>
          <w:tcPr>
            <w:tcW w:w="9423" w:type="dxa"/>
            <w:tcBorders>
              <w:top w:val="dotted" w:color="000000" w:sz="4" w:space="0"/>
              <w:left w:val="dotted" w:color="000000" w:sz="4" w:space="0"/>
              <w:bottom w:val="dotted" w:color="000000" w:sz="4" w:space="0"/>
              <w:right w:val="dotted" w:color="000000" w:sz="4" w:space="0"/>
            </w:tcBorders>
            <w:vAlign w:val="center"/>
          </w:tcPr>
          <w:p>
            <w:pPr>
              <w:pStyle w:val="25"/>
              <w:spacing w:after="240"/>
              <w:ind w:firstLine="480"/>
              <w:jc w:val="center"/>
              <w:rPr>
                <w:rFonts w:hAnsi="宋体" w:cs="宋体"/>
              </w:rPr>
            </w:pPr>
            <w:r>
              <w:rPr>
                <w:rFonts w:hint="eastAsia" w:hAnsi="宋体" w:cs="Courier New"/>
                <w:b/>
                <w:bCs/>
              </w:rPr>
              <w:t>附：授权代表身份证复印件</w:t>
            </w:r>
          </w:p>
        </w:tc>
      </w:tr>
    </w:tbl>
    <w:p>
      <w:pPr>
        <w:pStyle w:val="25"/>
        <w:spacing w:after="240"/>
        <w:ind w:firstLine="420" w:firstLineChars="200"/>
        <w:rPr>
          <w:rFonts w:hAnsi="宋体" w:cs="宋体"/>
        </w:rPr>
      </w:pPr>
    </w:p>
    <w:p>
      <w:pPr>
        <w:pStyle w:val="25"/>
        <w:spacing w:line="480" w:lineRule="auto"/>
        <w:ind w:firstLine="420" w:firstLineChars="200"/>
        <w:rPr>
          <w:rFonts w:hAnsi="宋体" w:cs="宋体"/>
        </w:rPr>
      </w:pPr>
      <w:r>
        <w:rPr>
          <w:rFonts w:hint="eastAsia" w:hAnsi="宋体" w:cs="宋体"/>
        </w:rPr>
        <w:t>投标人名称（公章）：________________</w:t>
      </w:r>
    </w:p>
    <w:p>
      <w:pPr>
        <w:pStyle w:val="25"/>
        <w:spacing w:line="480" w:lineRule="auto"/>
        <w:ind w:firstLine="420" w:firstLineChars="200"/>
        <w:rPr>
          <w:rFonts w:hAnsi="宋体" w:cs="宋体"/>
        </w:rPr>
      </w:pPr>
      <w:r>
        <w:rPr>
          <w:rFonts w:hint="eastAsia" w:hAnsi="宋体" w:cs="宋体"/>
        </w:rPr>
        <w:t>法定代表人（签字或盖章）：________________</w:t>
      </w:r>
    </w:p>
    <w:p>
      <w:pPr>
        <w:pStyle w:val="25"/>
        <w:spacing w:line="480" w:lineRule="auto"/>
        <w:ind w:firstLine="420" w:firstLineChars="200"/>
        <w:rPr>
          <w:rFonts w:hAnsi="宋体" w:cs="宋体"/>
        </w:rPr>
      </w:pPr>
      <w:r>
        <w:rPr>
          <w:rFonts w:hint="eastAsia" w:hAnsi="宋体" w:cs="宋体"/>
        </w:rPr>
        <w:t>授权代表（签字或盖章）：________________</w:t>
      </w:r>
    </w:p>
    <w:p>
      <w:pPr>
        <w:pStyle w:val="25"/>
        <w:spacing w:line="480" w:lineRule="auto"/>
        <w:ind w:firstLine="420" w:firstLineChars="200"/>
        <w:rPr>
          <w:rFonts w:hAnsi="宋体" w:cs="宋体"/>
        </w:rPr>
      </w:pPr>
      <w:r>
        <w:rPr>
          <w:rFonts w:hint="eastAsia" w:hAnsi="宋体" w:cs="宋体"/>
        </w:rPr>
        <w:t>______年____月____日</w:t>
      </w:r>
    </w:p>
    <w:p>
      <w:pPr>
        <w:pStyle w:val="25"/>
        <w:spacing w:after="240"/>
        <w:ind w:firstLine="422" w:firstLineChars="200"/>
        <w:rPr>
          <w:rFonts w:ascii="仿宋_GB2312" w:hAnsi="仿宋_GB2312" w:eastAsia="仿宋_GB2312" w:cs="仿宋_GB2312"/>
          <w:b/>
          <w:bCs/>
        </w:rPr>
      </w:pPr>
    </w:p>
    <w:p>
      <w:pPr>
        <w:pStyle w:val="25"/>
        <w:shd w:val="clear" w:color="auto" w:fill="FFFFFF"/>
        <w:spacing w:line="360" w:lineRule="auto"/>
        <w:ind w:firstLine="422" w:firstLineChars="200"/>
        <w:rPr>
          <w:rFonts w:ascii="仿宋_GB2312" w:hAnsi="仿宋_GB2312" w:eastAsia="仿宋_GB2312" w:cs="仿宋_GB2312"/>
          <w:b/>
          <w:bCs/>
        </w:rPr>
      </w:pPr>
      <w:r>
        <w:rPr>
          <w:rFonts w:hint="eastAsia" w:ascii="仿宋_GB2312" w:hAnsi="仿宋_GB2312" w:eastAsia="仿宋_GB2312" w:cs="仿宋_GB2312"/>
          <w:b/>
          <w:bCs/>
        </w:rPr>
        <w:t>说明：</w:t>
      </w:r>
      <w:r>
        <w:rPr>
          <w:rFonts w:hint="eastAsia" w:ascii="仿宋_GB2312" w:hAnsi="仿宋_GB2312" w:eastAsia="仿宋_GB2312" w:cs="仿宋_GB2312"/>
        </w:rPr>
        <w:t>1、授权人参加投标，须同时提供“</w:t>
      </w:r>
      <w:r>
        <w:rPr>
          <w:rFonts w:hint="eastAsia" w:ascii="仿宋_GB2312" w:hAnsi="仿宋_GB2312" w:eastAsia="仿宋_GB2312" w:cs="仿宋_GB2312"/>
          <w:b/>
          <w:bCs/>
        </w:rPr>
        <w:t>法定代表人身份证明</w:t>
      </w:r>
      <w:r>
        <w:rPr>
          <w:rFonts w:hint="eastAsia" w:ascii="仿宋_GB2312" w:hAnsi="仿宋_GB2312" w:eastAsia="仿宋_GB2312" w:cs="仿宋_GB2312"/>
        </w:rPr>
        <w:t>”（即附件1）</w:t>
      </w:r>
    </w:p>
    <w:p>
      <w:pPr>
        <w:pStyle w:val="25"/>
        <w:shd w:val="clear" w:color="auto" w:fill="FFFFFF"/>
        <w:spacing w:line="360" w:lineRule="auto"/>
        <w:ind w:firstLine="1050" w:firstLineChars="500"/>
        <w:rPr>
          <w:rFonts w:ascii="仿宋_GB2312" w:hAnsi="仿宋_GB2312" w:eastAsia="仿宋_GB2312" w:cs="仿宋_GB2312"/>
        </w:rPr>
      </w:pPr>
      <w:r>
        <w:rPr>
          <w:rFonts w:hint="eastAsia" w:ascii="仿宋_GB2312" w:hAnsi="仿宋_GB2312" w:eastAsia="仿宋_GB2312" w:cs="仿宋_GB2312"/>
        </w:rPr>
        <w:t>2、授权用投标专用章的，与公章具有相同法律效力。</w:t>
      </w:r>
    </w:p>
    <w:p>
      <w:pPr>
        <w:pStyle w:val="25"/>
        <w:shd w:val="clear" w:color="auto" w:fill="FFFFFF"/>
        <w:spacing w:line="360" w:lineRule="auto"/>
        <w:ind w:firstLine="420" w:firstLineChars="200"/>
        <w:rPr>
          <w:rFonts w:ascii="仿宋_GB2312" w:hAnsi="仿宋_GB2312" w:eastAsia="仿宋_GB2312" w:cs="仿宋_GB2312"/>
        </w:rPr>
      </w:pPr>
    </w:p>
    <w:p>
      <w:pPr>
        <w:keepNext/>
        <w:keepLines/>
        <w:spacing w:before="120" w:beforeLines="50" w:after="120" w:afterLines="50" w:line="360" w:lineRule="auto"/>
        <w:rPr>
          <w:rFonts w:ascii="宋体" w:hAnsi="宋体" w:cs="宋体"/>
          <w:b/>
          <w:bCs/>
          <w:szCs w:val="21"/>
        </w:rPr>
        <w:sectPr>
          <w:footerReference r:id="rId14" w:type="first"/>
          <w:headerReference r:id="rId12" w:type="default"/>
          <w:footerReference r:id="rId13" w:type="default"/>
          <w:pgSz w:w="11906" w:h="16838"/>
          <w:pgMar w:top="1304" w:right="1247" w:bottom="1134" w:left="1304" w:header="850" w:footer="850" w:gutter="0"/>
          <w:cols w:space="720" w:num="1"/>
          <w:titlePg/>
          <w:docGrid w:linePitch="324" w:charSpace="0"/>
        </w:sectPr>
      </w:pPr>
    </w:p>
    <w:p>
      <w:pPr>
        <w:keepNext/>
        <w:keepLines/>
        <w:spacing w:before="120" w:beforeLines="50" w:after="120" w:afterLines="50" w:line="360" w:lineRule="auto"/>
        <w:rPr>
          <w:rFonts w:ascii="宋体" w:hAnsi="宋体" w:cs="宋体"/>
          <w:b/>
          <w:bCs/>
          <w:szCs w:val="21"/>
        </w:rPr>
      </w:pPr>
      <w:r>
        <w:rPr>
          <w:rFonts w:hint="eastAsia" w:ascii="宋体" w:hAnsi="宋体" w:cs="宋体"/>
          <w:b/>
          <w:bCs/>
          <w:szCs w:val="21"/>
        </w:rPr>
        <w:t xml:space="preserve">附件3　 </w:t>
      </w:r>
    </w:p>
    <w:p>
      <w:pPr>
        <w:keepNext/>
        <w:keepLines/>
        <w:spacing w:before="120" w:beforeLines="50" w:after="120" w:afterLines="50" w:line="360" w:lineRule="auto"/>
        <w:jc w:val="center"/>
        <w:rPr>
          <w:rFonts w:ascii="宋体" w:hAnsi="宋体" w:cs="宋体"/>
          <w:b/>
          <w:bCs/>
          <w:sz w:val="28"/>
          <w:szCs w:val="28"/>
        </w:rPr>
      </w:pPr>
      <w:r>
        <w:rPr>
          <w:rFonts w:hint="eastAsia" w:ascii="宋体" w:hAnsi="宋体" w:cs="宋体"/>
          <w:b/>
          <w:bCs/>
          <w:sz w:val="28"/>
          <w:szCs w:val="28"/>
        </w:rPr>
        <w:t>投标人基本情况表</w:t>
      </w:r>
    </w:p>
    <w:p>
      <w:pPr>
        <w:pStyle w:val="25"/>
        <w:spacing w:line="360" w:lineRule="auto"/>
        <w:rPr>
          <w:rFonts w:ascii="Times New Roman" w:hAnsi="Times New Roman"/>
        </w:rPr>
      </w:pPr>
    </w:p>
    <w:p>
      <w:pPr>
        <w:pStyle w:val="25"/>
        <w:rPr>
          <w:rFonts w:ascii="Times New Roman" w:hAnsi="Times New Roman"/>
        </w:rPr>
      </w:pPr>
      <w:r>
        <w:rPr>
          <w:rFonts w:hint="eastAsia" w:ascii="Times New Roman" w:hAnsi="Times New Roman"/>
        </w:rPr>
        <w:t>供应商：</w:t>
      </w:r>
      <w:r>
        <w:rPr>
          <w:rFonts w:ascii="Times New Roman" w:hAnsi="Times New Roman"/>
        </w:rPr>
        <w:t>（</w:t>
      </w:r>
      <w:r>
        <w:rPr>
          <w:rFonts w:hint="eastAsia" w:ascii="Times New Roman" w:hAnsi="Times New Roman"/>
        </w:rPr>
        <w:t>公章</w:t>
      </w:r>
      <w:r>
        <w:rPr>
          <w:rFonts w:ascii="Times New Roman" w:hAnsi="Times New Roman"/>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926"/>
        <w:gridCol w:w="655"/>
        <w:gridCol w:w="1591"/>
        <w:gridCol w:w="157"/>
        <w:gridCol w:w="1587"/>
        <w:gridCol w:w="1745"/>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49" w:type="dxa"/>
            <w:gridSpan w:val="2"/>
            <w:vAlign w:val="center"/>
          </w:tcPr>
          <w:p>
            <w:pPr>
              <w:pStyle w:val="25"/>
              <w:jc w:val="center"/>
              <w:rPr>
                <w:rFonts w:ascii="Times New Roman" w:hAnsi="Times New Roman" w:cs="Courier New"/>
              </w:rPr>
            </w:pPr>
            <w:r>
              <w:rPr>
                <w:rFonts w:hint="eastAsia" w:ascii="Times New Roman" w:hAnsi="Times New Roman" w:cs="Courier New"/>
              </w:rPr>
              <w:t>供应商名称</w:t>
            </w:r>
          </w:p>
        </w:tc>
        <w:tc>
          <w:tcPr>
            <w:tcW w:w="2403" w:type="dxa"/>
            <w:gridSpan w:val="3"/>
            <w:vAlign w:val="center"/>
          </w:tcPr>
          <w:p>
            <w:pPr>
              <w:pStyle w:val="25"/>
              <w:jc w:val="center"/>
              <w:rPr>
                <w:rFonts w:ascii="Times New Roman" w:hAnsi="Times New Roman" w:cs="Courier New"/>
              </w:rPr>
            </w:pPr>
          </w:p>
        </w:tc>
        <w:tc>
          <w:tcPr>
            <w:tcW w:w="3332" w:type="dxa"/>
            <w:gridSpan w:val="2"/>
            <w:vAlign w:val="center"/>
          </w:tcPr>
          <w:p>
            <w:pPr>
              <w:pStyle w:val="25"/>
              <w:jc w:val="center"/>
              <w:rPr>
                <w:rFonts w:ascii="Times New Roman" w:hAnsi="Times New Roman" w:cs="Courier New"/>
              </w:rPr>
            </w:pPr>
            <w:r>
              <w:rPr>
                <w:rFonts w:hint="eastAsia" w:ascii="Times New Roman" w:hAnsi="Times New Roman" w:cs="Courier New"/>
              </w:rPr>
              <w:t>法定代表人</w:t>
            </w:r>
          </w:p>
        </w:tc>
        <w:tc>
          <w:tcPr>
            <w:tcW w:w="1113" w:type="dxa"/>
            <w:vAlign w:val="center"/>
          </w:tcPr>
          <w:p>
            <w:pPr>
              <w:pStyle w:val="25"/>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49" w:type="dxa"/>
            <w:gridSpan w:val="2"/>
            <w:vAlign w:val="center"/>
          </w:tcPr>
          <w:p>
            <w:pPr>
              <w:pStyle w:val="25"/>
              <w:jc w:val="center"/>
              <w:rPr>
                <w:rFonts w:ascii="Times New Roman" w:hAnsi="Times New Roman" w:cs="Courier New"/>
              </w:rPr>
            </w:pPr>
            <w:r>
              <w:rPr>
                <w:rFonts w:hint="eastAsia" w:ascii="Times New Roman" w:hAnsi="Times New Roman" w:cs="Courier New"/>
              </w:rPr>
              <w:t>组织机构代码</w:t>
            </w:r>
          </w:p>
        </w:tc>
        <w:tc>
          <w:tcPr>
            <w:tcW w:w="2403" w:type="dxa"/>
            <w:gridSpan w:val="3"/>
            <w:vAlign w:val="center"/>
          </w:tcPr>
          <w:p>
            <w:pPr>
              <w:pStyle w:val="25"/>
              <w:jc w:val="center"/>
              <w:rPr>
                <w:rFonts w:ascii="Times New Roman" w:hAnsi="Times New Roman" w:cs="Courier New"/>
              </w:rPr>
            </w:pPr>
          </w:p>
        </w:tc>
        <w:tc>
          <w:tcPr>
            <w:tcW w:w="3332" w:type="dxa"/>
            <w:gridSpan w:val="2"/>
            <w:vAlign w:val="center"/>
          </w:tcPr>
          <w:p>
            <w:pPr>
              <w:pStyle w:val="25"/>
              <w:jc w:val="center"/>
              <w:rPr>
                <w:rFonts w:ascii="Times New Roman" w:hAnsi="Times New Roman" w:cs="Courier New"/>
              </w:rPr>
            </w:pPr>
            <w:r>
              <w:rPr>
                <w:rFonts w:hint="eastAsia" w:ascii="Times New Roman" w:hAnsi="Times New Roman" w:cs="Courier New"/>
              </w:rPr>
              <w:t>邮政编码</w:t>
            </w:r>
          </w:p>
        </w:tc>
        <w:tc>
          <w:tcPr>
            <w:tcW w:w="1113" w:type="dxa"/>
            <w:vAlign w:val="center"/>
          </w:tcPr>
          <w:p>
            <w:pPr>
              <w:pStyle w:val="25"/>
              <w:jc w:val="center"/>
              <w:rPr>
                <w:rFonts w:ascii="Times New Roman" w:hAnsi="Times New Roman" w:eastAsia="MingLiU_HKSCS"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49" w:type="dxa"/>
            <w:gridSpan w:val="2"/>
            <w:vAlign w:val="center"/>
          </w:tcPr>
          <w:p>
            <w:pPr>
              <w:pStyle w:val="25"/>
              <w:jc w:val="center"/>
              <w:rPr>
                <w:rFonts w:ascii="Times New Roman" w:hAnsi="Times New Roman" w:cs="Courier New"/>
              </w:rPr>
            </w:pPr>
            <w:r>
              <w:rPr>
                <w:rFonts w:hint="eastAsia" w:ascii="Times New Roman" w:hAnsi="Times New Roman" w:cs="Courier New"/>
              </w:rPr>
              <w:t>授权代表</w:t>
            </w:r>
          </w:p>
        </w:tc>
        <w:tc>
          <w:tcPr>
            <w:tcW w:w="2403" w:type="dxa"/>
            <w:gridSpan w:val="3"/>
            <w:vAlign w:val="center"/>
          </w:tcPr>
          <w:p>
            <w:pPr>
              <w:pStyle w:val="25"/>
              <w:jc w:val="center"/>
              <w:rPr>
                <w:rFonts w:ascii="Times New Roman" w:hAnsi="Times New Roman" w:cs="Courier New"/>
              </w:rPr>
            </w:pPr>
          </w:p>
        </w:tc>
        <w:tc>
          <w:tcPr>
            <w:tcW w:w="3332" w:type="dxa"/>
            <w:gridSpan w:val="2"/>
            <w:vAlign w:val="center"/>
          </w:tcPr>
          <w:p>
            <w:pPr>
              <w:pStyle w:val="25"/>
              <w:jc w:val="center"/>
              <w:rPr>
                <w:rFonts w:ascii="Times New Roman" w:hAnsi="Times New Roman" w:cs="Courier New"/>
              </w:rPr>
            </w:pPr>
            <w:r>
              <w:rPr>
                <w:rFonts w:hint="eastAsia" w:ascii="Times New Roman" w:hAnsi="Times New Roman" w:cs="Courier New"/>
              </w:rPr>
              <w:t>联系电话</w:t>
            </w:r>
          </w:p>
        </w:tc>
        <w:tc>
          <w:tcPr>
            <w:tcW w:w="1113" w:type="dxa"/>
            <w:vAlign w:val="center"/>
          </w:tcPr>
          <w:p>
            <w:pPr>
              <w:pStyle w:val="25"/>
              <w:jc w:val="center"/>
              <w:rPr>
                <w:rFonts w:ascii="Times New Roman" w:hAnsi="Times New Roman" w:eastAsia="MingLiU_HKSCS"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49" w:type="dxa"/>
            <w:gridSpan w:val="2"/>
            <w:vAlign w:val="center"/>
          </w:tcPr>
          <w:p>
            <w:pPr>
              <w:pStyle w:val="25"/>
              <w:jc w:val="center"/>
              <w:rPr>
                <w:rFonts w:ascii="Times New Roman" w:hAnsi="Times New Roman" w:cs="Courier New"/>
              </w:rPr>
            </w:pPr>
            <w:r>
              <w:rPr>
                <w:rFonts w:hint="eastAsia" w:ascii="Times New Roman" w:hAnsi="Times New Roman" w:cs="Courier New"/>
              </w:rPr>
              <w:t>电子邮箱</w:t>
            </w:r>
          </w:p>
        </w:tc>
        <w:tc>
          <w:tcPr>
            <w:tcW w:w="2403" w:type="dxa"/>
            <w:gridSpan w:val="3"/>
            <w:vAlign w:val="center"/>
          </w:tcPr>
          <w:p>
            <w:pPr>
              <w:pStyle w:val="25"/>
              <w:jc w:val="center"/>
              <w:rPr>
                <w:rFonts w:ascii="Times New Roman" w:hAnsi="Times New Roman" w:cs="Courier New"/>
              </w:rPr>
            </w:pPr>
          </w:p>
        </w:tc>
        <w:tc>
          <w:tcPr>
            <w:tcW w:w="3332" w:type="dxa"/>
            <w:gridSpan w:val="2"/>
            <w:vAlign w:val="center"/>
          </w:tcPr>
          <w:p>
            <w:pPr>
              <w:pStyle w:val="25"/>
              <w:jc w:val="center"/>
              <w:rPr>
                <w:rFonts w:ascii="Times New Roman" w:hAnsi="Times New Roman" w:cs="Courier New"/>
              </w:rPr>
            </w:pPr>
            <w:r>
              <w:rPr>
                <w:rFonts w:hint="eastAsia" w:ascii="Times New Roman" w:hAnsi="Times New Roman" w:cs="Courier New"/>
              </w:rPr>
              <w:t>传真</w:t>
            </w:r>
          </w:p>
        </w:tc>
        <w:tc>
          <w:tcPr>
            <w:tcW w:w="1113" w:type="dxa"/>
            <w:vAlign w:val="center"/>
          </w:tcPr>
          <w:p>
            <w:pPr>
              <w:pStyle w:val="25"/>
              <w:jc w:val="center"/>
              <w:rPr>
                <w:rFonts w:ascii="Times New Roman" w:hAnsi="Times New Roman" w:eastAsia="MingLiU_HKSCS"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49" w:type="dxa"/>
            <w:gridSpan w:val="2"/>
            <w:vAlign w:val="center"/>
          </w:tcPr>
          <w:p>
            <w:pPr>
              <w:pStyle w:val="25"/>
              <w:jc w:val="center"/>
              <w:rPr>
                <w:rFonts w:ascii="Times New Roman" w:hAnsi="Times New Roman" w:cs="Courier New"/>
              </w:rPr>
            </w:pPr>
            <w:r>
              <w:rPr>
                <w:rFonts w:hint="eastAsia" w:ascii="Times New Roman" w:hAnsi="Times New Roman" w:cs="Courier New"/>
              </w:rPr>
              <w:t>上年营业收入</w:t>
            </w:r>
          </w:p>
        </w:tc>
        <w:tc>
          <w:tcPr>
            <w:tcW w:w="2403" w:type="dxa"/>
            <w:gridSpan w:val="3"/>
            <w:vAlign w:val="center"/>
          </w:tcPr>
          <w:p>
            <w:pPr>
              <w:pStyle w:val="25"/>
              <w:jc w:val="center"/>
              <w:rPr>
                <w:rFonts w:ascii="Times New Roman" w:hAnsi="Times New Roman" w:cs="Courier New"/>
              </w:rPr>
            </w:pPr>
          </w:p>
        </w:tc>
        <w:tc>
          <w:tcPr>
            <w:tcW w:w="3332" w:type="dxa"/>
            <w:gridSpan w:val="2"/>
            <w:vAlign w:val="center"/>
          </w:tcPr>
          <w:p>
            <w:pPr>
              <w:pStyle w:val="25"/>
              <w:jc w:val="center"/>
              <w:rPr>
                <w:rFonts w:ascii="Times New Roman" w:hAnsi="Times New Roman" w:cs="Courier New"/>
              </w:rPr>
            </w:pPr>
            <w:r>
              <w:rPr>
                <w:rFonts w:hint="eastAsia" w:ascii="Times New Roman" w:hAnsi="Times New Roman" w:cs="Courier New"/>
              </w:rPr>
              <w:t>员工总人数</w:t>
            </w:r>
          </w:p>
        </w:tc>
        <w:tc>
          <w:tcPr>
            <w:tcW w:w="1113" w:type="dxa"/>
            <w:vAlign w:val="center"/>
          </w:tcPr>
          <w:p>
            <w:pPr>
              <w:pStyle w:val="25"/>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04" w:type="dxa"/>
            <w:gridSpan w:val="3"/>
            <w:vAlign w:val="center"/>
          </w:tcPr>
          <w:p>
            <w:pPr>
              <w:pStyle w:val="25"/>
              <w:jc w:val="center"/>
              <w:rPr>
                <w:rFonts w:ascii="Times New Roman" w:hAnsi="Times New Roman" w:eastAsia="MingLiU_HKSCS" w:cs="Courier New"/>
              </w:rPr>
            </w:pPr>
            <w:r>
              <w:rPr>
                <w:rFonts w:hint="eastAsia" w:ascii="Times New Roman" w:hAnsi="Times New Roman" w:cs="Courier New"/>
              </w:rPr>
              <w:t>基本账户开户行及账号</w:t>
            </w:r>
          </w:p>
        </w:tc>
        <w:tc>
          <w:tcPr>
            <w:tcW w:w="6193" w:type="dxa"/>
            <w:gridSpan w:val="5"/>
            <w:vAlign w:val="center"/>
          </w:tcPr>
          <w:p>
            <w:pPr>
              <w:pStyle w:val="25"/>
              <w:jc w:val="center"/>
              <w:rPr>
                <w:rFonts w:ascii="Times New Roman" w:hAnsi="Times New Roman" w:eastAsia="MingLiU_HKSCS"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04" w:type="dxa"/>
            <w:gridSpan w:val="3"/>
            <w:vAlign w:val="center"/>
          </w:tcPr>
          <w:p>
            <w:pPr>
              <w:pStyle w:val="25"/>
              <w:jc w:val="center"/>
              <w:rPr>
                <w:rFonts w:ascii="MingLiU_HKSCS" w:hAnsi="MingLiU_HKSCS" w:eastAsia="MingLiU_HKSCS" w:cs="MingLiU_HKSCS"/>
              </w:rPr>
            </w:pPr>
            <w:r>
              <w:rPr>
                <w:rFonts w:hint="eastAsia" w:ascii="Times New Roman" w:hAnsi="Times New Roman" w:cs="Courier New"/>
              </w:rPr>
              <w:t>税务登记机关</w:t>
            </w:r>
          </w:p>
        </w:tc>
        <w:tc>
          <w:tcPr>
            <w:tcW w:w="6193" w:type="dxa"/>
            <w:gridSpan w:val="5"/>
            <w:vAlign w:val="center"/>
          </w:tcPr>
          <w:p>
            <w:pPr>
              <w:pStyle w:val="25"/>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04" w:type="dxa"/>
            <w:gridSpan w:val="3"/>
            <w:vAlign w:val="center"/>
          </w:tcPr>
          <w:p>
            <w:pPr>
              <w:pStyle w:val="25"/>
              <w:jc w:val="center"/>
              <w:rPr>
                <w:rFonts w:ascii="Times New Roman" w:hAnsi="Times New Roman" w:cs="Courier New"/>
              </w:rPr>
            </w:pPr>
            <w:r>
              <w:rPr>
                <w:rFonts w:hint="eastAsia" w:ascii="Times New Roman" w:hAnsi="Times New Roman" w:cs="Courier New"/>
              </w:rPr>
              <w:t>资质名称</w:t>
            </w:r>
          </w:p>
        </w:tc>
        <w:tc>
          <w:tcPr>
            <w:tcW w:w="1591" w:type="dxa"/>
            <w:vAlign w:val="center"/>
          </w:tcPr>
          <w:p>
            <w:pPr>
              <w:pStyle w:val="25"/>
              <w:jc w:val="center"/>
              <w:rPr>
                <w:rFonts w:ascii="Times New Roman" w:hAnsi="Times New Roman" w:cs="Courier New"/>
              </w:rPr>
            </w:pPr>
            <w:r>
              <w:rPr>
                <w:rFonts w:hint="eastAsia" w:ascii="Times New Roman" w:hAnsi="Times New Roman" w:cs="Courier New"/>
              </w:rPr>
              <w:t>等级</w:t>
            </w:r>
          </w:p>
        </w:tc>
        <w:tc>
          <w:tcPr>
            <w:tcW w:w="1744" w:type="dxa"/>
            <w:gridSpan w:val="2"/>
            <w:vAlign w:val="center"/>
          </w:tcPr>
          <w:p>
            <w:pPr>
              <w:pStyle w:val="25"/>
              <w:jc w:val="center"/>
              <w:rPr>
                <w:rFonts w:ascii="Times New Roman" w:hAnsi="Times New Roman" w:cs="Courier New"/>
              </w:rPr>
            </w:pPr>
            <w:r>
              <w:rPr>
                <w:rFonts w:hint="eastAsia" w:ascii="Times New Roman" w:hAnsi="Times New Roman" w:cs="Courier New"/>
              </w:rPr>
              <w:t>发证机关</w:t>
            </w:r>
          </w:p>
        </w:tc>
        <w:tc>
          <w:tcPr>
            <w:tcW w:w="2858" w:type="dxa"/>
            <w:gridSpan w:val="2"/>
            <w:vAlign w:val="center"/>
          </w:tcPr>
          <w:p>
            <w:pPr>
              <w:pStyle w:val="25"/>
              <w:jc w:val="center"/>
              <w:rPr>
                <w:rFonts w:ascii="Times New Roman" w:hAnsi="Times New Roman" w:eastAsia="MingLiU_HKSCS" w:cs="Courier New"/>
              </w:rPr>
            </w:pPr>
            <w:r>
              <w:rPr>
                <w:rFonts w:hint="eastAsia" w:ascii="Times New Roman" w:hAnsi="Times New Roman" w:cs="Courier New"/>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04" w:type="dxa"/>
            <w:gridSpan w:val="3"/>
            <w:vAlign w:val="center"/>
          </w:tcPr>
          <w:p>
            <w:pPr>
              <w:pStyle w:val="25"/>
              <w:jc w:val="center"/>
              <w:rPr>
                <w:rFonts w:ascii="Times New Roman" w:hAnsi="Times New Roman" w:cs="Courier New"/>
              </w:rPr>
            </w:pPr>
          </w:p>
        </w:tc>
        <w:tc>
          <w:tcPr>
            <w:tcW w:w="1591" w:type="dxa"/>
            <w:vAlign w:val="center"/>
          </w:tcPr>
          <w:p>
            <w:pPr>
              <w:pStyle w:val="25"/>
              <w:jc w:val="center"/>
              <w:rPr>
                <w:rFonts w:ascii="Times New Roman" w:hAnsi="Times New Roman" w:cs="Courier New"/>
              </w:rPr>
            </w:pPr>
          </w:p>
        </w:tc>
        <w:tc>
          <w:tcPr>
            <w:tcW w:w="1744" w:type="dxa"/>
            <w:gridSpan w:val="2"/>
            <w:vAlign w:val="center"/>
          </w:tcPr>
          <w:p>
            <w:pPr>
              <w:pStyle w:val="25"/>
              <w:jc w:val="center"/>
              <w:rPr>
                <w:rFonts w:ascii="Times New Roman" w:hAnsi="Times New Roman" w:cs="Courier New"/>
              </w:rPr>
            </w:pPr>
          </w:p>
        </w:tc>
        <w:tc>
          <w:tcPr>
            <w:tcW w:w="2858" w:type="dxa"/>
            <w:gridSpan w:val="2"/>
            <w:vAlign w:val="center"/>
          </w:tcPr>
          <w:p>
            <w:pPr>
              <w:pStyle w:val="25"/>
              <w:jc w:val="center"/>
              <w:rPr>
                <w:rFonts w:ascii="Times New Roman" w:hAnsi="Times New Roman" w:eastAsia="MingLiU_HKSCS"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04" w:type="dxa"/>
            <w:gridSpan w:val="3"/>
            <w:vAlign w:val="center"/>
          </w:tcPr>
          <w:p>
            <w:pPr>
              <w:pStyle w:val="25"/>
              <w:jc w:val="center"/>
              <w:rPr>
                <w:rFonts w:ascii="Times New Roman" w:hAnsi="Times New Roman" w:cs="Courier New"/>
              </w:rPr>
            </w:pPr>
          </w:p>
        </w:tc>
        <w:tc>
          <w:tcPr>
            <w:tcW w:w="1591" w:type="dxa"/>
            <w:vAlign w:val="center"/>
          </w:tcPr>
          <w:p>
            <w:pPr>
              <w:pStyle w:val="25"/>
              <w:jc w:val="center"/>
              <w:rPr>
                <w:rFonts w:ascii="Times New Roman" w:hAnsi="Times New Roman" w:cs="Courier New"/>
              </w:rPr>
            </w:pPr>
          </w:p>
        </w:tc>
        <w:tc>
          <w:tcPr>
            <w:tcW w:w="1744" w:type="dxa"/>
            <w:gridSpan w:val="2"/>
            <w:vAlign w:val="center"/>
          </w:tcPr>
          <w:p>
            <w:pPr>
              <w:pStyle w:val="25"/>
              <w:jc w:val="center"/>
              <w:rPr>
                <w:rFonts w:ascii="Times New Roman" w:hAnsi="Times New Roman" w:cs="Courier New"/>
              </w:rPr>
            </w:pPr>
          </w:p>
        </w:tc>
        <w:tc>
          <w:tcPr>
            <w:tcW w:w="2858" w:type="dxa"/>
            <w:gridSpan w:val="2"/>
            <w:vAlign w:val="center"/>
          </w:tcPr>
          <w:p>
            <w:pPr>
              <w:pStyle w:val="25"/>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23" w:type="dxa"/>
            <w:vAlign w:val="center"/>
          </w:tcPr>
          <w:p>
            <w:pPr>
              <w:pStyle w:val="25"/>
              <w:jc w:val="center"/>
              <w:rPr>
                <w:rFonts w:ascii="Times New Roman" w:hAnsi="Times New Roman" w:cs="Courier New"/>
              </w:rPr>
            </w:pPr>
            <w:r>
              <w:rPr>
                <w:rFonts w:hint="eastAsia" w:ascii="Times New Roman" w:hAnsi="Times New Roman" w:cs="Courier New"/>
              </w:rPr>
              <w:t>备注</w:t>
            </w:r>
          </w:p>
        </w:tc>
        <w:tc>
          <w:tcPr>
            <w:tcW w:w="7774" w:type="dxa"/>
            <w:gridSpan w:val="7"/>
            <w:vAlign w:val="center"/>
          </w:tcPr>
          <w:p>
            <w:pPr>
              <w:pStyle w:val="25"/>
              <w:jc w:val="center"/>
              <w:rPr>
                <w:rFonts w:ascii="Times New Roman" w:hAnsi="Times New Roman" w:cs="Courier New"/>
              </w:rPr>
            </w:pPr>
            <w:r>
              <w:rPr>
                <w:rFonts w:hint="eastAsia" w:ascii="Times New Roman" w:hAnsi="Times New Roman" w:cs="Courier New"/>
              </w:rPr>
              <w:t>营业执照或事业单位法人证书等主体资格证明文件复印件。</w:t>
            </w:r>
          </w:p>
        </w:tc>
      </w:tr>
    </w:tbl>
    <w:p>
      <w:pPr>
        <w:pStyle w:val="25"/>
        <w:ind w:firstLine="420" w:firstLineChars="200"/>
        <w:rPr>
          <w:rFonts w:ascii="Times New Roman" w:hAnsi="Times New Roman" w:eastAsia="MingLiU_HKSCS"/>
        </w:rPr>
      </w:pPr>
    </w:p>
    <w:p>
      <w:pPr>
        <w:keepNext/>
        <w:keepLines/>
        <w:spacing w:before="120" w:beforeLines="50" w:after="120" w:afterLines="50" w:line="360" w:lineRule="auto"/>
        <w:rPr>
          <w:rFonts w:ascii="宋体" w:hAnsi="宋体" w:cs="宋体"/>
          <w:b/>
          <w:bCs/>
          <w:szCs w:val="21"/>
        </w:rPr>
      </w:pPr>
      <w:r>
        <w:br w:type="page"/>
      </w:r>
      <w:r>
        <w:rPr>
          <w:rFonts w:hint="eastAsia" w:ascii="宋体" w:hAnsi="宋体" w:cs="宋体"/>
          <w:b/>
          <w:bCs/>
          <w:szCs w:val="21"/>
        </w:rPr>
        <w:t>附件4　</w:t>
      </w:r>
    </w:p>
    <w:p>
      <w:pPr>
        <w:keepNext/>
        <w:keepLines/>
        <w:spacing w:before="120" w:beforeLines="50" w:after="120" w:afterLines="50" w:line="360" w:lineRule="auto"/>
        <w:jc w:val="center"/>
        <w:rPr>
          <w:rFonts w:ascii="宋体" w:hAnsi="宋体" w:cs="宋体"/>
          <w:b/>
          <w:bCs/>
          <w:sz w:val="28"/>
          <w:szCs w:val="28"/>
        </w:rPr>
      </w:pPr>
      <w:r>
        <w:rPr>
          <w:rFonts w:hint="eastAsia" w:ascii="宋体" w:hAnsi="宋体" w:cs="宋体"/>
          <w:b/>
          <w:bCs/>
          <w:sz w:val="28"/>
          <w:szCs w:val="28"/>
        </w:rPr>
        <w:t>财务状况报告、依法缴纳税收和社会保险费的相关证明</w:t>
      </w:r>
    </w:p>
    <w:p>
      <w:pPr>
        <w:pStyle w:val="25"/>
        <w:ind w:firstLine="420" w:firstLineChars="200"/>
        <w:jc w:val="center"/>
        <w:rPr>
          <w:rFonts w:ascii="MingLiU_HKSCS" w:hAnsi="MingLiU_HKSCS" w:eastAsia="MingLiU_HKSCS" w:cs="MingLiU_HKSCS"/>
        </w:rPr>
      </w:pPr>
      <w:r>
        <w:rPr>
          <w:rFonts w:ascii="Times New Roman" w:hAnsi="Times New Roman" w:eastAsia="仿宋_GB2312"/>
        </w:rPr>
        <w:t>（</w:t>
      </w:r>
      <w:r>
        <w:rPr>
          <w:rFonts w:hint="eastAsia" w:ascii="Times New Roman" w:hAnsi="Times New Roman" w:eastAsia="仿宋_GB2312"/>
        </w:rPr>
        <w:t>示例略</w:t>
      </w:r>
      <w:r>
        <w:rPr>
          <w:rFonts w:ascii="Times New Roman" w:hAnsi="Times New Roman" w:eastAsia="仿宋_GB2312"/>
        </w:rPr>
        <w:t>）</w:t>
      </w:r>
    </w:p>
    <w:p>
      <w:pPr>
        <w:pStyle w:val="25"/>
        <w:ind w:left="420" w:leftChars="200"/>
        <w:rPr>
          <w:rFonts w:ascii="Times New Roman" w:hAnsi="Times New Roman" w:eastAsia="仿宋_GB2312"/>
        </w:rPr>
      </w:pPr>
    </w:p>
    <w:p>
      <w:pPr>
        <w:pStyle w:val="25"/>
        <w:rPr>
          <w:rFonts w:hAnsi="宋体"/>
          <w:b/>
          <w:bCs/>
        </w:rPr>
      </w:pPr>
      <w:r>
        <w:rPr>
          <w:rFonts w:hint="eastAsia" w:hAnsi="宋体"/>
          <w:b/>
          <w:bCs/>
        </w:rPr>
        <w:t>备注：</w:t>
      </w:r>
    </w:p>
    <w:p>
      <w:pPr>
        <w:pStyle w:val="25"/>
        <w:shd w:val="clear" w:color="auto" w:fill="FFFFFF"/>
        <w:spacing w:line="340" w:lineRule="exact"/>
        <w:ind w:firstLine="422" w:firstLineChars="200"/>
        <w:rPr>
          <w:rFonts w:hAnsi="宋体" w:cs="仿宋_GB2312"/>
        </w:rPr>
      </w:pPr>
      <w:r>
        <w:rPr>
          <w:rFonts w:hint="eastAsia" w:hAnsi="宋体" w:cs="宋体"/>
          <w:b/>
        </w:rPr>
        <w:t>1、财务状况报告：</w:t>
      </w:r>
      <w:r>
        <w:rPr>
          <w:rFonts w:hint="eastAsia" w:hAnsi="宋体" w:cs="仿宋_GB2312"/>
        </w:rPr>
        <w:t>提供</w:t>
      </w:r>
      <w:r>
        <w:rPr>
          <w:rFonts w:hint="eastAsia" w:hAnsi="宋体" w:cs="宋体"/>
        </w:rPr>
        <w:t>2020年度</w:t>
      </w:r>
      <w:r>
        <w:rPr>
          <w:rFonts w:hint="eastAsia" w:hAnsi="宋体" w:cs="宋体"/>
          <w:color w:val="FF0000"/>
        </w:rPr>
        <w:t>（或2</w:t>
      </w:r>
      <w:r>
        <w:rPr>
          <w:rFonts w:hAnsi="宋体" w:cs="宋体"/>
          <w:color w:val="FF0000"/>
        </w:rPr>
        <w:t>021</w:t>
      </w:r>
      <w:r>
        <w:rPr>
          <w:rFonts w:hint="eastAsia" w:hAnsi="宋体" w:cs="宋体"/>
          <w:color w:val="FF0000"/>
        </w:rPr>
        <w:t>年度）</w:t>
      </w:r>
      <w:r>
        <w:rPr>
          <w:rFonts w:hint="eastAsia" w:hAnsi="宋体" w:cs="仿宋_GB2312"/>
          <w:color w:val="000000"/>
        </w:rPr>
        <w:t>经审计的财务报告复印件（包括“四表一注”，即资产负债表、利润表、现金流量表、所有者权益变动表及其附注），或者其基本账户开户银行出具的资信证明原件。</w:t>
      </w:r>
    </w:p>
    <w:p>
      <w:pPr>
        <w:pStyle w:val="25"/>
        <w:shd w:val="clear" w:color="auto" w:fill="FFFFFF"/>
        <w:spacing w:line="340" w:lineRule="exact"/>
        <w:ind w:firstLine="422" w:firstLineChars="200"/>
        <w:rPr>
          <w:rFonts w:hAnsi="宋体" w:cs="宋体"/>
        </w:rPr>
      </w:pPr>
      <w:r>
        <w:rPr>
          <w:rFonts w:hint="eastAsia" w:hAnsi="宋体" w:cs="宋体"/>
          <w:b/>
        </w:rPr>
        <w:t>2、依法缴纳税收的证明材料：</w:t>
      </w:r>
      <w:r>
        <w:rPr>
          <w:rFonts w:hint="eastAsia" w:hAnsi="宋体" w:cs="宋体"/>
        </w:rPr>
        <w:t>提供《税务登记证》复印件（按规定可不进行税务登记的不提供）和近三个月</w:t>
      </w:r>
      <w:r>
        <w:rPr>
          <w:rFonts w:hint="eastAsia" w:hAnsi="宋体" w:cs="宋体"/>
          <w:color w:val="000000"/>
        </w:rPr>
        <w:t>内任意一个月</w:t>
      </w:r>
      <w:r>
        <w:rPr>
          <w:rFonts w:hint="eastAsia" w:hAnsi="宋体" w:cs="宋体"/>
        </w:rPr>
        <w:t>缴纳税收的凭据复印件或者法定征收机关出具的依法免缴税费的证明原件。（因为疫情，国家有文件和政策减免缴纳的，应当提供相关证明文件）</w:t>
      </w:r>
    </w:p>
    <w:p>
      <w:pPr>
        <w:pStyle w:val="25"/>
        <w:shd w:val="clear" w:color="auto" w:fill="FFFFFF"/>
        <w:spacing w:line="340" w:lineRule="exact"/>
        <w:ind w:firstLine="422" w:firstLineChars="200"/>
        <w:rPr>
          <w:rFonts w:hAnsi="宋体" w:cs="宋体"/>
        </w:rPr>
      </w:pPr>
      <w:r>
        <w:rPr>
          <w:rFonts w:hint="eastAsia" w:hAnsi="宋体" w:cs="宋体"/>
          <w:b/>
        </w:rPr>
        <w:t>3、依法缴纳社会保障资金的证明材料：</w:t>
      </w:r>
      <w:r>
        <w:rPr>
          <w:rFonts w:hint="eastAsia" w:hAnsi="宋体" w:cs="宋体"/>
        </w:rPr>
        <w:t>提供《社会保险登记证》复印件和</w:t>
      </w:r>
      <w:r>
        <w:rPr>
          <w:rFonts w:hint="eastAsia" w:hAnsi="宋体" w:cs="宋体"/>
          <w:color w:val="000000"/>
        </w:rPr>
        <w:t>近三个月内任意一个月</w:t>
      </w:r>
      <w:r>
        <w:rPr>
          <w:rFonts w:hint="eastAsia" w:hAnsi="宋体" w:cs="宋体"/>
        </w:rPr>
        <w:t>缴纳社会保险的凭据（专用收据或社会保险缴纳清单）复印件。（因为疫情，国家有文件和政策减免缴纳的，应当提供相关证明文件）</w:t>
      </w:r>
    </w:p>
    <w:p>
      <w:pPr>
        <w:pStyle w:val="25"/>
        <w:shd w:val="clear" w:color="auto" w:fill="FFFFFF"/>
        <w:spacing w:line="340" w:lineRule="exact"/>
        <w:ind w:firstLine="422" w:firstLineChars="200"/>
        <w:rPr>
          <w:rFonts w:hAnsi="宋体" w:cs="宋体"/>
        </w:rPr>
      </w:pPr>
      <w:r>
        <w:rPr>
          <w:rFonts w:hint="eastAsia" w:hAnsi="宋体" w:cs="宋体"/>
          <w:b/>
        </w:rPr>
        <w:t>4、</w:t>
      </w:r>
      <w:r>
        <w:rPr>
          <w:rFonts w:hint="eastAsia" w:hAnsi="宋体" w:cs="宋体"/>
        </w:rPr>
        <w:t>根据国务院办公厅《关于加快推进“五证合一、一照一码”登记制度改革的通知》（国办发〔2016〕53号），从2016年 10月1日起，全国范围内实施“五证合一”登记，视同为持有《税务登记证》及《社会保险登记证》。</w:t>
      </w:r>
    </w:p>
    <w:p>
      <w:pPr>
        <w:pStyle w:val="25"/>
        <w:shd w:val="clear" w:color="auto" w:fill="FFFFFF"/>
        <w:spacing w:line="340" w:lineRule="exact"/>
        <w:ind w:firstLine="422" w:firstLineChars="200"/>
        <w:rPr>
          <w:rFonts w:hAnsi="宋体" w:cs="宋体"/>
        </w:rPr>
      </w:pPr>
      <w:r>
        <w:rPr>
          <w:rFonts w:hint="eastAsia" w:hAnsi="宋体" w:cs="宋体"/>
          <w:b/>
        </w:rPr>
        <w:t>5、</w:t>
      </w:r>
      <w:r>
        <w:rPr>
          <w:rFonts w:hint="eastAsia" w:hAnsi="宋体" w:cs="宋体"/>
        </w:rPr>
        <w:t>以上“近三个月”指202</w:t>
      </w:r>
      <w:r>
        <w:rPr>
          <w:rFonts w:hAnsi="宋体" w:cs="宋体"/>
        </w:rPr>
        <w:t>2</w:t>
      </w:r>
      <w:r>
        <w:rPr>
          <w:rFonts w:hint="eastAsia" w:hAnsi="宋体" w:cs="宋体"/>
        </w:rPr>
        <w:t>年</w:t>
      </w:r>
      <w:r>
        <w:rPr>
          <w:rFonts w:hint="eastAsia" w:hAnsi="宋体" w:cs="宋体"/>
          <w:lang w:val="en-US" w:eastAsia="zh-CN"/>
        </w:rPr>
        <w:t>4、5、6</w:t>
      </w:r>
      <w:r>
        <w:rPr>
          <w:rFonts w:hint="eastAsia" w:hAnsi="宋体" w:cs="宋体"/>
        </w:rPr>
        <w:t>月。</w:t>
      </w:r>
    </w:p>
    <w:p>
      <w:pPr>
        <w:pStyle w:val="25"/>
        <w:shd w:val="clear" w:color="auto" w:fill="FFFFFF"/>
        <w:spacing w:line="340" w:lineRule="exact"/>
        <w:ind w:firstLine="420" w:firstLineChars="200"/>
        <w:rPr>
          <w:rFonts w:hAnsi="宋体" w:cs="宋体"/>
        </w:rPr>
      </w:pPr>
    </w:p>
    <w:p>
      <w:pPr>
        <w:keepNext/>
        <w:keepLines/>
        <w:spacing w:before="120" w:beforeLines="50" w:after="120" w:afterLines="50" w:line="360" w:lineRule="auto"/>
        <w:rPr>
          <w:rFonts w:ascii="宋体" w:hAnsi="宋体" w:cs="宋体"/>
          <w:b/>
          <w:bCs/>
          <w:szCs w:val="21"/>
        </w:rPr>
      </w:pPr>
      <w:r>
        <w:rPr>
          <w:rFonts w:eastAsia="仿宋_GB2312"/>
        </w:rPr>
        <w:br w:type="page"/>
      </w:r>
      <w:r>
        <w:rPr>
          <w:rFonts w:hint="eastAsia" w:ascii="宋体" w:hAnsi="宋体" w:cs="宋体"/>
          <w:b/>
          <w:bCs/>
          <w:szCs w:val="21"/>
        </w:rPr>
        <w:t xml:space="preserve">附件5  </w:t>
      </w:r>
    </w:p>
    <w:p>
      <w:pPr>
        <w:keepNext/>
        <w:keepLines/>
        <w:spacing w:before="120" w:beforeLines="50" w:after="120" w:afterLines="50" w:line="360" w:lineRule="auto"/>
        <w:jc w:val="center"/>
        <w:rPr>
          <w:rFonts w:ascii="宋体" w:hAnsi="宋体" w:cs="宋体"/>
          <w:b/>
          <w:bCs/>
          <w:sz w:val="28"/>
          <w:szCs w:val="28"/>
        </w:rPr>
      </w:pPr>
      <w:r>
        <w:rPr>
          <w:rFonts w:hint="eastAsia" w:ascii="宋体" w:hAnsi="宋体" w:cs="宋体"/>
          <w:b/>
          <w:bCs/>
          <w:sz w:val="28"/>
          <w:szCs w:val="28"/>
        </w:rPr>
        <w:t>投标人特定资格条件证明文件</w:t>
      </w:r>
    </w:p>
    <w:p>
      <w:pPr>
        <w:spacing w:line="48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备注：提供符合</w:t>
      </w:r>
      <w:r>
        <w:rPr>
          <w:rFonts w:hint="eastAsia" w:ascii="宋体" w:hAnsi="宋体" w:cs="宋体"/>
          <w:bCs/>
          <w:szCs w:val="21"/>
        </w:rPr>
        <w:t>第一章“投标邀请”中第</w:t>
      </w:r>
      <w:r>
        <w:rPr>
          <w:rFonts w:hint="eastAsia" w:ascii="宋体" w:hAnsi="宋体" w:cs="宋体"/>
          <w:szCs w:val="21"/>
        </w:rPr>
        <w:t>（三）条“投标人资格要求”的证明材料的复印件。</w:t>
      </w:r>
    </w:p>
    <w:p>
      <w:pPr>
        <w:pStyle w:val="25"/>
        <w:spacing w:before="120" w:beforeLines="50" w:after="120" w:afterLines="50" w:line="360" w:lineRule="auto"/>
        <w:rPr>
          <w:rFonts w:hAnsi="宋体" w:cs="宋体"/>
          <w:b/>
          <w:bCs/>
        </w:rPr>
      </w:pPr>
    </w:p>
    <w:p>
      <w:pPr>
        <w:pStyle w:val="25"/>
        <w:spacing w:before="120" w:beforeLines="50" w:after="120" w:afterLines="50" w:line="360" w:lineRule="auto"/>
        <w:rPr>
          <w:rFonts w:hAnsi="宋体" w:cs="宋体"/>
          <w:b/>
          <w:bCs/>
        </w:rPr>
      </w:pPr>
    </w:p>
    <w:p>
      <w:pPr>
        <w:pStyle w:val="25"/>
        <w:spacing w:before="120" w:beforeLines="50" w:after="120" w:afterLines="50" w:line="360" w:lineRule="auto"/>
        <w:rPr>
          <w:rFonts w:hAnsi="宋体" w:cs="宋体"/>
          <w:b/>
          <w:bCs/>
        </w:rPr>
      </w:pPr>
    </w:p>
    <w:p>
      <w:pPr>
        <w:pStyle w:val="25"/>
        <w:spacing w:before="120" w:beforeLines="50" w:after="120" w:afterLines="50" w:line="360" w:lineRule="auto"/>
        <w:rPr>
          <w:rFonts w:hAnsi="宋体" w:cs="宋体"/>
          <w:b/>
          <w:bCs/>
        </w:rPr>
      </w:pPr>
    </w:p>
    <w:p>
      <w:pPr>
        <w:pStyle w:val="25"/>
        <w:spacing w:before="120" w:beforeLines="50" w:after="120" w:afterLines="50" w:line="360" w:lineRule="auto"/>
        <w:rPr>
          <w:rFonts w:hAnsi="宋体" w:cs="宋体"/>
          <w:b/>
          <w:bCs/>
        </w:rPr>
      </w:pPr>
    </w:p>
    <w:p>
      <w:pPr>
        <w:pStyle w:val="25"/>
        <w:spacing w:before="120" w:beforeLines="50" w:after="120" w:afterLines="50" w:line="360" w:lineRule="auto"/>
        <w:rPr>
          <w:rFonts w:hAnsi="宋体" w:cs="宋体"/>
          <w:b/>
          <w:bCs/>
        </w:rPr>
      </w:pPr>
    </w:p>
    <w:p>
      <w:pPr>
        <w:pStyle w:val="25"/>
        <w:spacing w:before="120" w:beforeLines="50" w:after="120" w:afterLines="50" w:line="360" w:lineRule="auto"/>
        <w:rPr>
          <w:rFonts w:hAnsi="宋体" w:cs="宋体"/>
          <w:b/>
          <w:bCs/>
        </w:rPr>
      </w:pPr>
    </w:p>
    <w:p>
      <w:pPr>
        <w:pStyle w:val="25"/>
        <w:spacing w:before="120" w:beforeLines="50" w:after="120" w:afterLines="50" w:line="360" w:lineRule="auto"/>
        <w:rPr>
          <w:rFonts w:hAnsi="宋体" w:cs="宋体"/>
          <w:b/>
          <w:bCs/>
        </w:rPr>
      </w:pPr>
    </w:p>
    <w:p>
      <w:pPr>
        <w:pStyle w:val="25"/>
        <w:spacing w:before="120" w:beforeLines="50" w:after="120" w:afterLines="50" w:line="360" w:lineRule="auto"/>
        <w:rPr>
          <w:rFonts w:hAnsi="宋体" w:cs="宋体"/>
          <w:b/>
          <w:bCs/>
        </w:rPr>
      </w:pPr>
    </w:p>
    <w:p>
      <w:pPr>
        <w:pStyle w:val="25"/>
        <w:spacing w:before="120" w:beforeLines="50" w:after="120" w:afterLines="50" w:line="360" w:lineRule="auto"/>
        <w:rPr>
          <w:rFonts w:hAnsi="宋体" w:cs="宋体"/>
          <w:b/>
          <w:bCs/>
        </w:rPr>
        <w:sectPr>
          <w:pgSz w:w="11906" w:h="16838"/>
          <w:pgMar w:top="1304" w:right="1247" w:bottom="1134" w:left="1304" w:header="850" w:footer="850" w:gutter="0"/>
          <w:cols w:space="720" w:num="1"/>
          <w:titlePg/>
          <w:docGrid w:linePitch="324" w:charSpace="0"/>
        </w:sectPr>
      </w:pPr>
    </w:p>
    <w:p>
      <w:pPr>
        <w:pStyle w:val="25"/>
        <w:spacing w:before="120" w:beforeLines="50" w:after="120" w:afterLines="50" w:line="360" w:lineRule="auto"/>
        <w:rPr>
          <w:rFonts w:hAnsi="宋体" w:cs="宋体"/>
          <w:b/>
          <w:bCs/>
        </w:rPr>
      </w:pPr>
      <w:r>
        <w:rPr>
          <w:rFonts w:hint="eastAsia" w:hAnsi="宋体" w:cs="宋体"/>
          <w:b/>
          <w:bCs/>
        </w:rPr>
        <w:t xml:space="preserve">附件6   </w:t>
      </w:r>
    </w:p>
    <w:p>
      <w:pPr>
        <w:pStyle w:val="25"/>
        <w:spacing w:before="120" w:beforeLines="50" w:after="120" w:afterLines="50" w:line="360" w:lineRule="auto"/>
        <w:jc w:val="center"/>
        <w:rPr>
          <w:rFonts w:hAnsi="宋体" w:cs="宋体"/>
          <w:b/>
          <w:bCs/>
          <w:sz w:val="28"/>
          <w:szCs w:val="28"/>
        </w:rPr>
      </w:pPr>
      <w:r>
        <w:rPr>
          <w:rFonts w:hint="eastAsia" w:hAnsi="宋体" w:cs="宋体"/>
          <w:b/>
          <w:bCs/>
          <w:sz w:val="28"/>
          <w:szCs w:val="28"/>
        </w:rPr>
        <w:t>参加政府采购活动前三年内在经营活动中没有重大违法记录的书面声明</w:t>
      </w:r>
    </w:p>
    <w:p>
      <w:pPr>
        <w:pStyle w:val="25"/>
        <w:rPr>
          <w:rFonts w:ascii="Times New Roman" w:hAnsi="Times New Roman" w:eastAsia="仿宋_GB2312"/>
        </w:rPr>
      </w:pPr>
    </w:p>
    <w:p>
      <w:pPr>
        <w:pStyle w:val="25"/>
        <w:spacing w:before="120" w:beforeLines="50" w:line="360" w:lineRule="auto"/>
        <w:rPr>
          <w:rFonts w:hAnsi="宋体" w:cs="宋体"/>
        </w:rPr>
      </w:pPr>
      <w:r>
        <w:rPr>
          <w:rFonts w:hint="eastAsia" w:hAnsi="宋体" w:cs="宋体"/>
        </w:rPr>
        <w:t>致________（采购人）：</w:t>
      </w:r>
    </w:p>
    <w:p>
      <w:pPr>
        <w:pStyle w:val="25"/>
        <w:spacing w:before="120" w:beforeLines="50" w:line="360" w:lineRule="auto"/>
        <w:ind w:firstLine="420" w:firstLineChars="200"/>
        <w:rPr>
          <w:rFonts w:hAnsi="宋体" w:cs="宋体"/>
        </w:rPr>
      </w:pPr>
      <w:r>
        <w:rPr>
          <w:rFonts w:hint="eastAsia" w:hAnsi="宋体" w:cs="宋体"/>
        </w:rPr>
        <w:t>我单位在参加采购活动前三年内在经营活动中没有《政府采购法》第二十二条第一款第（五）项所称重大违法记录，包括：</w:t>
      </w:r>
    </w:p>
    <w:p>
      <w:pPr>
        <w:pStyle w:val="25"/>
        <w:spacing w:before="120" w:beforeLines="50" w:line="360" w:lineRule="auto"/>
        <w:ind w:firstLine="420" w:firstLineChars="200"/>
        <w:rPr>
          <w:rFonts w:hAnsi="宋体" w:cs="宋体"/>
        </w:rPr>
      </w:pPr>
      <w:r>
        <w:rPr>
          <w:rFonts w:hint="eastAsia" w:hAnsi="宋体" w:cs="宋体"/>
        </w:rPr>
        <w:t>我单位或者其法定代表人、董事、监事、高级管理人员未因经营活动中的违法行为受到刑事处罚或者责令停产停业、吊销许可证或者执照、较大数额罚款等行政处罚。</w:t>
      </w:r>
    </w:p>
    <w:p>
      <w:pPr>
        <w:pStyle w:val="25"/>
        <w:spacing w:before="120" w:beforeLines="50" w:line="360" w:lineRule="auto"/>
        <w:ind w:firstLine="420" w:firstLineChars="200"/>
        <w:rPr>
          <w:rFonts w:hAnsi="宋体" w:cs="宋体"/>
        </w:rPr>
      </w:pPr>
      <w:r>
        <w:rPr>
          <w:rFonts w:hint="eastAsia" w:hAnsi="宋体" w:cs="宋体"/>
        </w:rPr>
        <w:t>特此声明！</w:t>
      </w:r>
    </w:p>
    <w:p>
      <w:pPr>
        <w:pStyle w:val="25"/>
        <w:spacing w:before="120" w:beforeLines="50" w:line="360" w:lineRule="auto"/>
        <w:ind w:firstLine="420" w:firstLineChars="200"/>
        <w:rPr>
          <w:rFonts w:hAnsi="宋体" w:cs="宋体"/>
        </w:rPr>
      </w:pPr>
    </w:p>
    <w:p>
      <w:pPr>
        <w:pStyle w:val="25"/>
        <w:spacing w:before="120" w:beforeLines="50" w:line="360" w:lineRule="auto"/>
        <w:ind w:firstLine="420" w:firstLineChars="200"/>
        <w:rPr>
          <w:rFonts w:hAnsi="宋体" w:cs="宋体"/>
        </w:rPr>
      </w:pPr>
      <w:r>
        <w:rPr>
          <w:rFonts w:hint="eastAsia" w:hAnsi="宋体" w:cs="宋体"/>
        </w:rPr>
        <w:t>投标人名称（公章）：______________</w:t>
      </w:r>
    </w:p>
    <w:p>
      <w:pPr>
        <w:pStyle w:val="25"/>
        <w:spacing w:before="120" w:beforeLines="50" w:line="360" w:lineRule="auto"/>
        <w:ind w:firstLine="420" w:firstLineChars="200"/>
        <w:rPr>
          <w:rFonts w:hAnsi="宋体" w:cs="宋体"/>
        </w:rPr>
      </w:pPr>
      <w:r>
        <w:rPr>
          <w:rFonts w:hint="eastAsia" w:hAnsi="宋体" w:cs="宋体"/>
        </w:rPr>
        <w:t>法定代表人（签字或盖章）：______________</w:t>
      </w:r>
    </w:p>
    <w:p>
      <w:pPr>
        <w:pStyle w:val="25"/>
        <w:spacing w:before="120" w:beforeLines="50" w:line="360" w:lineRule="auto"/>
        <w:ind w:firstLine="420" w:firstLineChars="200"/>
        <w:rPr>
          <w:rFonts w:hAnsi="宋体" w:cs="宋体"/>
        </w:rPr>
      </w:pPr>
      <w:r>
        <w:rPr>
          <w:rFonts w:hint="eastAsia" w:hAnsi="宋体" w:cs="宋体"/>
        </w:rPr>
        <w:t>日期：______年____月____日</w:t>
      </w:r>
    </w:p>
    <w:p>
      <w:pPr>
        <w:pStyle w:val="25"/>
        <w:ind w:firstLine="420" w:firstLineChars="200"/>
        <w:rPr>
          <w:rFonts w:ascii="Times New Roman" w:hAnsi="Times New Roman" w:eastAsia="仿宋_GB2312"/>
        </w:rPr>
      </w:pPr>
    </w:p>
    <w:p>
      <w:pPr>
        <w:pStyle w:val="25"/>
        <w:ind w:firstLine="420" w:firstLineChars="200"/>
        <w:rPr>
          <w:rFonts w:ascii="Times New Roman" w:hAnsi="Times New Roman" w:eastAsia="仿宋_GB2312"/>
        </w:rPr>
      </w:pPr>
    </w:p>
    <w:p>
      <w:pPr>
        <w:pStyle w:val="25"/>
        <w:ind w:firstLine="422" w:firstLineChars="200"/>
        <w:rPr>
          <w:rFonts w:ascii="Times New Roman" w:hAnsi="Times New Roman" w:eastAsia="MingLiU_HKSCS"/>
        </w:rPr>
      </w:pPr>
      <w:r>
        <w:rPr>
          <w:rFonts w:hint="eastAsia" w:ascii="Times New Roman" w:hAnsi="Times New Roman" w:eastAsia="仿宋_GB2312"/>
          <w:b/>
          <w:bCs/>
        </w:rPr>
        <w:t>说明：</w:t>
      </w:r>
      <w:r>
        <w:rPr>
          <w:rFonts w:hint="eastAsia" w:ascii="Times New Roman" w:hAnsi="Times New Roman" w:eastAsia="仿宋_GB2312"/>
        </w:rPr>
        <w:t>授权用投标专用章的，与公章具有相同法律效力。</w:t>
      </w:r>
    </w:p>
    <w:p>
      <w:pPr>
        <w:adjustRightInd w:val="0"/>
        <w:snapToGrid w:val="0"/>
        <w:spacing w:line="360" w:lineRule="auto"/>
        <w:rPr>
          <w:rFonts w:ascii="黑体" w:hAnsi="华文中宋" w:eastAsia="黑体" w:cs="黑体"/>
          <w:sz w:val="28"/>
          <w:szCs w:val="28"/>
        </w:rPr>
      </w:pPr>
    </w:p>
    <w:p>
      <w:pPr>
        <w:adjustRightInd w:val="0"/>
        <w:snapToGrid w:val="0"/>
        <w:spacing w:line="360" w:lineRule="auto"/>
        <w:rPr>
          <w:rFonts w:ascii="黑体" w:hAnsi="华文中宋" w:eastAsia="黑体" w:cs="黑体"/>
          <w:sz w:val="28"/>
          <w:szCs w:val="28"/>
        </w:rPr>
      </w:pPr>
    </w:p>
    <w:p>
      <w:pPr>
        <w:adjustRightInd w:val="0"/>
        <w:snapToGrid w:val="0"/>
        <w:spacing w:line="360" w:lineRule="auto"/>
        <w:rPr>
          <w:rFonts w:ascii="黑体" w:hAnsi="华文中宋" w:eastAsia="黑体" w:cs="黑体"/>
          <w:sz w:val="28"/>
          <w:szCs w:val="28"/>
        </w:rPr>
      </w:pPr>
    </w:p>
    <w:p>
      <w:pPr>
        <w:pStyle w:val="25"/>
        <w:spacing w:before="120" w:beforeLines="50" w:after="120" w:afterLines="50" w:line="360" w:lineRule="auto"/>
        <w:jc w:val="center"/>
        <w:rPr>
          <w:rFonts w:hint="eastAsia" w:hAnsi="宋体" w:cs="宋体"/>
          <w:b/>
          <w:bCs/>
          <w:sz w:val="28"/>
          <w:szCs w:val="28"/>
        </w:rPr>
      </w:pPr>
    </w:p>
    <w:p>
      <w:pPr>
        <w:pStyle w:val="25"/>
        <w:spacing w:before="120" w:beforeLines="50" w:after="120" w:afterLines="50" w:line="360" w:lineRule="auto"/>
        <w:jc w:val="center"/>
        <w:rPr>
          <w:rFonts w:hint="eastAsia" w:hAnsi="宋体" w:cs="宋体"/>
          <w:b/>
          <w:bCs/>
          <w:sz w:val="28"/>
          <w:szCs w:val="28"/>
        </w:rPr>
      </w:pPr>
    </w:p>
    <w:p>
      <w:pPr>
        <w:pStyle w:val="25"/>
        <w:spacing w:before="120" w:beforeLines="50" w:after="120" w:afterLines="50" w:line="360" w:lineRule="auto"/>
        <w:jc w:val="center"/>
        <w:rPr>
          <w:rFonts w:hint="eastAsia" w:hAnsi="宋体" w:cs="宋体"/>
          <w:b/>
          <w:bCs/>
          <w:sz w:val="28"/>
          <w:szCs w:val="28"/>
        </w:rPr>
      </w:pPr>
    </w:p>
    <w:p>
      <w:pPr>
        <w:pStyle w:val="25"/>
        <w:spacing w:before="120" w:beforeLines="50" w:after="120" w:afterLines="50" w:line="360" w:lineRule="auto"/>
        <w:jc w:val="center"/>
        <w:rPr>
          <w:rFonts w:hint="eastAsia" w:hAnsi="宋体" w:cs="宋体"/>
          <w:b/>
          <w:bCs/>
          <w:sz w:val="28"/>
          <w:szCs w:val="28"/>
        </w:rPr>
      </w:pPr>
    </w:p>
    <w:p>
      <w:pPr>
        <w:pStyle w:val="25"/>
        <w:spacing w:before="120" w:beforeLines="50" w:after="120" w:afterLines="50" w:line="360" w:lineRule="auto"/>
        <w:jc w:val="center"/>
        <w:rPr>
          <w:rFonts w:hint="eastAsia" w:hAnsi="宋体" w:cs="宋体"/>
          <w:b/>
          <w:bCs/>
          <w:sz w:val="28"/>
          <w:szCs w:val="28"/>
        </w:rPr>
      </w:pPr>
    </w:p>
    <w:p>
      <w:pPr>
        <w:pStyle w:val="25"/>
        <w:spacing w:before="120" w:beforeLines="50" w:after="120" w:afterLines="50" w:line="360" w:lineRule="auto"/>
        <w:jc w:val="center"/>
        <w:rPr>
          <w:rFonts w:hint="eastAsia" w:hAnsi="宋体" w:cs="宋体"/>
          <w:b/>
          <w:bCs/>
          <w:sz w:val="28"/>
          <w:szCs w:val="28"/>
        </w:rPr>
      </w:pPr>
    </w:p>
    <w:p>
      <w:pPr>
        <w:pStyle w:val="25"/>
        <w:spacing w:before="120" w:beforeLines="50" w:after="120" w:afterLines="50" w:line="360" w:lineRule="auto"/>
        <w:jc w:val="center"/>
        <w:rPr>
          <w:rFonts w:hint="eastAsia" w:hAnsi="宋体" w:cs="宋体"/>
          <w:b/>
          <w:bCs/>
          <w:sz w:val="28"/>
          <w:szCs w:val="28"/>
        </w:rPr>
      </w:pPr>
    </w:p>
    <w:p>
      <w:pPr>
        <w:pStyle w:val="25"/>
        <w:spacing w:before="120" w:beforeLines="50" w:after="120" w:afterLines="50" w:line="360" w:lineRule="auto"/>
        <w:jc w:val="center"/>
        <w:rPr>
          <w:rFonts w:hint="eastAsia" w:hAnsi="宋体" w:cs="宋体"/>
          <w:b/>
          <w:bCs/>
          <w:sz w:val="28"/>
          <w:szCs w:val="28"/>
        </w:rPr>
      </w:pPr>
    </w:p>
    <w:p>
      <w:pPr>
        <w:pStyle w:val="25"/>
        <w:spacing w:before="120" w:beforeLines="50" w:after="120" w:afterLines="50" w:line="360" w:lineRule="auto"/>
        <w:jc w:val="center"/>
        <w:rPr>
          <w:rFonts w:hint="eastAsia" w:hAnsi="宋体" w:cs="宋体"/>
          <w:b/>
          <w:bCs/>
          <w:sz w:val="28"/>
          <w:szCs w:val="28"/>
        </w:rPr>
      </w:pPr>
    </w:p>
    <w:p>
      <w:pPr>
        <w:pStyle w:val="25"/>
        <w:spacing w:before="120" w:beforeLines="50" w:after="120" w:afterLines="50" w:line="360" w:lineRule="auto"/>
        <w:jc w:val="center"/>
        <w:rPr>
          <w:rFonts w:hint="eastAsia" w:hAnsi="宋体" w:eastAsia="宋体" w:cs="宋体"/>
          <w:b/>
          <w:bCs/>
          <w:sz w:val="28"/>
          <w:szCs w:val="28"/>
          <w:lang w:val="en-US" w:eastAsia="zh-CN"/>
        </w:rPr>
      </w:pPr>
      <w:r>
        <w:rPr>
          <w:rFonts w:hint="eastAsia" w:hAnsi="宋体" w:cs="宋体"/>
          <w:b/>
          <w:bCs/>
          <w:sz w:val="28"/>
          <w:szCs w:val="28"/>
        </w:rPr>
        <w:t>参加政府采购活动廉洁承诺</w:t>
      </w:r>
      <w:r>
        <w:rPr>
          <w:rFonts w:hint="eastAsia" w:hAnsi="宋体" w:cs="宋体"/>
          <w:b/>
          <w:bCs/>
          <w:sz w:val="28"/>
          <w:szCs w:val="28"/>
          <w:lang w:val="en-US" w:eastAsia="zh-CN"/>
        </w:rPr>
        <w:t>函</w:t>
      </w:r>
    </w:p>
    <w:p>
      <w:pPr>
        <w:pStyle w:val="25"/>
        <w:spacing w:before="120" w:beforeLines="50" w:after="120" w:afterLines="50" w:line="360" w:lineRule="auto"/>
        <w:jc w:val="center"/>
        <w:rPr>
          <w:rFonts w:hint="eastAsia" w:hAnsi="宋体" w:cs="宋体"/>
          <w:b/>
          <w:bCs/>
          <w:sz w:val="28"/>
          <w:szCs w:val="28"/>
        </w:rPr>
      </w:pPr>
    </w:p>
    <w:p>
      <w:pPr>
        <w:pStyle w:val="25"/>
        <w:spacing w:before="120" w:beforeLines="50" w:line="360" w:lineRule="auto"/>
        <w:rPr>
          <w:rFonts w:hint="eastAsia" w:hAnsi="宋体" w:cs="宋体"/>
        </w:rPr>
      </w:pPr>
      <w:r>
        <w:rPr>
          <w:rFonts w:hint="eastAsia" w:hAnsi="宋体" w:cs="宋体"/>
        </w:rPr>
        <w:t>致__________（采购人）：</w:t>
      </w:r>
    </w:p>
    <w:p>
      <w:pPr>
        <w:pStyle w:val="25"/>
        <w:spacing w:before="120" w:beforeLines="50" w:line="360" w:lineRule="auto"/>
        <w:ind w:firstLine="420" w:firstLineChars="200"/>
        <w:rPr>
          <w:rFonts w:hint="eastAsia" w:hAnsi="宋体" w:cs="宋体"/>
        </w:rPr>
      </w:pPr>
      <w:r>
        <w:rPr>
          <w:rFonts w:hint="eastAsia" w:hAnsi="宋体" w:cs="宋体"/>
        </w:rPr>
        <w:t>我单位郑重承诺：履行不得“围猎”税务人员（指以获取不正当利益为目的，采取馈赠礼品礼金、邀请娱乐旅游消费、提供便利条件等非正常交往手段“围猎”相关税务人员及其亲属）的义务，若有违反承诺，我单位无条件接受纪检监察及相关监管部门的调查处理，自行承担一切相应法律责任和后果！</w:t>
      </w:r>
    </w:p>
    <w:p>
      <w:pPr>
        <w:pStyle w:val="25"/>
        <w:spacing w:before="120" w:beforeLines="50" w:line="360" w:lineRule="auto"/>
        <w:ind w:firstLine="420" w:firstLineChars="200"/>
        <w:rPr>
          <w:rFonts w:hint="eastAsia" w:hAnsi="宋体" w:cs="宋体"/>
        </w:rPr>
      </w:pPr>
    </w:p>
    <w:p>
      <w:pPr>
        <w:pStyle w:val="25"/>
        <w:spacing w:before="120" w:beforeLines="50" w:line="360" w:lineRule="auto"/>
        <w:ind w:firstLine="420" w:firstLineChars="200"/>
        <w:rPr>
          <w:rFonts w:hint="eastAsia" w:hAnsi="宋体" w:cs="宋体"/>
        </w:rPr>
      </w:pPr>
      <w:r>
        <w:rPr>
          <w:rFonts w:hint="eastAsia" w:hAnsi="宋体" w:cs="宋体"/>
        </w:rPr>
        <w:t>投标人名称(盖公章)：____________</w:t>
      </w:r>
    </w:p>
    <w:p>
      <w:pPr>
        <w:pStyle w:val="25"/>
        <w:spacing w:before="120" w:beforeLines="50" w:line="360" w:lineRule="auto"/>
        <w:ind w:firstLine="420" w:firstLineChars="200"/>
        <w:rPr>
          <w:rFonts w:hint="eastAsia" w:hAnsi="宋体" w:cs="宋体"/>
        </w:rPr>
      </w:pPr>
      <w:r>
        <w:rPr>
          <w:rFonts w:hint="eastAsia" w:hAnsi="宋体" w:cs="宋体"/>
        </w:rPr>
        <w:t>法定代表人或其授权代表(签字或盖章)：____________</w:t>
      </w:r>
    </w:p>
    <w:p>
      <w:pPr>
        <w:pStyle w:val="25"/>
        <w:spacing w:before="120" w:beforeLines="50" w:line="360" w:lineRule="auto"/>
        <w:ind w:firstLine="420" w:firstLineChars="200"/>
        <w:rPr>
          <w:rFonts w:hint="eastAsia" w:hAnsi="宋体" w:cs="宋体"/>
        </w:rPr>
      </w:pPr>
      <w:r>
        <w:rPr>
          <w:rFonts w:hint="eastAsia" w:hAnsi="宋体" w:cs="宋体"/>
        </w:rPr>
        <w:t>日期：______年____月____日</w:t>
      </w:r>
    </w:p>
    <w:p>
      <w:pPr>
        <w:pStyle w:val="25"/>
        <w:spacing w:before="120" w:beforeLines="50" w:line="360" w:lineRule="auto"/>
        <w:ind w:firstLine="420" w:firstLineChars="200"/>
        <w:rPr>
          <w:rFonts w:hint="eastAsia" w:hAnsi="宋体" w:cs="宋体"/>
        </w:rPr>
      </w:pPr>
    </w:p>
    <w:p>
      <w:pPr>
        <w:pStyle w:val="25"/>
        <w:spacing w:before="120" w:beforeLines="50" w:line="360" w:lineRule="auto"/>
        <w:ind w:firstLine="420" w:firstLineChars="200"/>
        <w:rPr>
          <w:rFonts w:hint="eastAsia" w:hAnsi="宋体" w:cs="宋体"/>
        </w:rPr>
      </w:pPr>
    </w:p>
    <w:p>
      <w:pPr>
        <w:pStyle w:val="25"/>
        <w:spacing w:before="120" w:beforeLines="50" w:line="360" w:lineRule="auto"/>
        <w:ind w:firstLine="420" w:firstLineChars="200"/>
        <w:rPr>
          <w:rFonts w:hint="eastAsia" w:hAnsi="宋体" w:cs="宋体"/>
        </w:rPr>
        <w:sectPr>
          <w:pgSz w:w="11906" w:h="16838"/>
          <w:pgMar w:top="1304" w:right="1247" w:bottom="1134" w:left="1304" w:header="850" w:footer="850" w:gutter="0"/>
          <w:cols w:space="720" w:num="1"/>
          <w:titlePg/>
          <w:docGrid w:linePitch="324" w:charSpace="0"/>
        </w:sectPr>
      </w:pPr>
      <w:r>
        <w:rPr>
          <w:rFonts w:hint="eastAsia" w:hAnsi="宋体" w:cs="宋体"/>
        </w:rPr>
        <w:t>说明：</w:t>
      </w:r>
      <w:r>
        <w:rPr>
          <w:rFonts w:hint="eastAsia" w:ascii="Times New Roman" w:hAnsi="Times New Roman" w:eastAsia="仿宋_GB2312"/>
        </w:rPr>
        <w:t>授权用投标专用章的，与公章具有相同法律效力。</w:t>
      </w:r>
    </w:p>
    <w:p>
      <w:pPr>
        <w:pStyle w:val="25"/>
        <w:spacing w:before="120" w:beforeLines="50" w:after="120" w:afterLines="50" w:line="360" w:lineRule="auto"/>
        <w:rPr>
          <w:rFonts w:hAnsi="宋体" w:cs="宋体"/>
          <w:b/>
          <w:bCs/>
        </w:rPr>
      </w:pPr>
      <w:r>
        <w:rPr>
          <w:rFonts w:hint="eastAsia" w:hAnsi="宋体" w:cs="宋体"/>
          <w:b/>
          <w:bCs/>
        </w:rPr>
        <w:t>附件7　</w:t>
      </w:r>
    </w:p>
    <w:p>
      <w:pPr>
        <w:pStyle w:val="25"/>
        <w:spacing w:before="120" w:beforeLines="50" w:after="120" w:afterLines="50" w:line="360" w:lineRule="auto"/>
        <w:jc w:val="center"/>
        <w:rPr>
          <w:rFonts w:hAnsi="宋体" w:cs="宋体"/>
          <w:b/>
          <w:bCs/>
          <w:sz w:val="28"/>
          <w:szCs w:val="28"/>
        </w:rPr>
      </w:pPr>
      <w:r>
        <w:rPr>
          <w:rFonts w:hint="eastAsia" w:hAnsi="宋体" w:cs="宋体"/>
          <w:b/>
          <w:bCs/>
          <w:sz w:val="28"/>
          <w:szCs w:val="28"/>
        </w:rPr>
        <w:t>联合体协议（本项目不适用）</w:t>
      </w:r>
    </w:p>
    <w:p>
      <w:pPr>
        <w:pStyle w:val="25"/>
        <w:spacing w:line="460" w:lineRule="exact"/>
        <w:rPr>
          <w:rFonts w:ascii="Times New Roman" w:hAnsi="Times New Roman" w:eastAsia="仿宋_GB2312"/>
        </w:rPr>
      </w:pPr>
    </w:p>
    <w:p>
      <w:pPr>
        <w:pStyle w:val="25"/>
        <w:spacing w:line="460" w:lineRule="exact"/>
        <w:rPr>
          <w:rFonts w:hAnsi="宋体" w:cs="宋体"/>
        </w:rPr>
      </w:pPr>
      <w:r>
        <w:rPr>
          <w:rFonts w:hint="eastAsia" w:hAnsi="宋体" w:cs="宋体"/>
        </w:rPr>
        <w:t>致______（采购人）：</w:t>
      </w:r>
    </w:p>
    <w:p>
      <w:pPr>
        <w:pStyle w:val="25"/>
        <w:spacing w:line="460" w:lineRule="exact"/>
        <w:ind w:firstLine="420" w:firstLineChars="200"/>
        <w:rPr>
          <w:rFonts w:hAnsi="宋体" w:cs="宋体"/>
        </w:rPr>
      </w:pPr>
      <w:r>
        <w:rPr>
          <w:rFonts w:hint="eastAsia" w:hAnsi="宋体" w:cs="宋体"/>
        </w:rPr>
        <w:t>经研究，我方决定自愿组成联合体共同参加____________（项目名称、项目编号）项目的投标。现就联合体投标事宜订立如下协议：</w:t>
      </w:r>
    </w:p>
    <w:p>
      <w:pPr>
        <w:pStyle w:val="25"/>
        <w:spacing w:line="460" w:lineRule="exact"/>
        <w:ind w:firstLine="420" w:firstLineChars="200"/>
        <w:rPr>
          <w:rFonts w:hAnsi="宋体" w:cs="宋体"/>
        </w:rPr>
      </w:pPr>
      <w:r>
        <w:rPr>
          <w:rFonts w:hint="eastAsia" w:hAnsi="宋体" w:cs="宋体"/>
        </w:rPr>
        <w:t>一、联合体成员：</w:t>
      </w:r>
    </w:p>
    <w:p>
      <w:pPr>
        <w:pStyle w:val="25"/>
        <w:spacing w:line="460" w:lineRule="exact"/>
        <w:ind w:firstLine="420" w:firstLineChars="200"/>
        <w:rPr>
          <w:rFonts w:hAnsi="宋体" w:cs="宋体"/>
        </w:rPr>
      </w:pPr>
      <w:r>
        <w:rPr>
          <w:rFonts w:hint="eastAsia" w:hAnsi="宋体" w:cs="宋体"/>
        </w:rPr>
        <w:t>1.________________</w:t>
      </w:r>
    </w:p>
    <w:p>
      <w:pPr>
        <w:pStyle w:val="25"/>
        <w:spacing w:line="460" w:lineRule="exact"/>
        <w:ind w:firstLine="420" w:firstLineChars="200"/>
        <w:rPr>
          <w:rFonts w:hAnsi="宋体" w:cs="宋体"/>
        </w:rPr>
      </w:pPr>
      <w:r>
        <w:rPr>
          <w:rFonts w:hint="eastAsia" w:hAnsi="宋体" w:cs="宋体"/>
        </w:rPr>
        <w:t>2.________________</w:t>
      </w:r>
    </w:p>
    <w:p>
      <w:pPr>
        <w:pStyle w:val="25"/>
        <w:spacing w:line="460" w:lineRule="exact"/>
        <w:ind w:firstLine="420" w:firstLineChars="200"/>
        <w:rPr>
          <w:rFonts w:hAnsi="宋体" w:cs="宋体"/>
        </w:rPr>
      </w:pPr>
      <w:r>
        <w:rPr>
          <w:rFonts w:hint="eastAsia" w:hAnsi="宋体" w:cs="宋体"/>
        </w:rPr>
        <w:t>3.________________</w:t>
      </w:r>
    </w:p>
    <w:p>
      <w:pPr>
        <w:pStyle w:val="25"/>
        <w:spacing w:line="460" w:lineRule="exact"/>
        <w:ind w:firstLine="420" w:firstLineChars="200"/>
        <w:rPr>
          <w:rFonts w:hAnsi="宋体" w:cs="宋体"/>
        </w:rPr>
      </w:pPr>
      <w:r>
        <w:rPr>
          <w:rFonts w:hint="eastAsia" w:hAnsi="宋体" w:cs="宋体"/>
        </w:rPr>
        <w:t>二、______（某成员单位名称）为______（联合体名称）牵头人。</w:t>
      </w:r>
    </w:p>
    <w:p>
      <w:pPr>
        <w:pStyle w:val="25"/>
        <w:spacing w:line="460" w:lineRule="exact"/>
        <w:ind w:firstLine="420" w:firstLineChars="200"/>
        <w:rPr>
          <w:rFonts w:hAnsi="宋体" w:cs="宋体"/>
        </w:rPr>
      </w:pPr>
      <w:r>
        <w:rPr>
          <w:rFonts w:hint="eastAsia" w:hAnsi="宋体" w:cs="宋体"/>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25"/>
        <w:spacing w:line="460" w:lineRule="exact"/>
        <w:ind w:firstLine="420" w:firstLineChars="200"/>
        <w:rPr>
          <w:rFonts w:hAnsi="宋体" w:cs="宋体"/>
        </w:rPr>
      </w:pPr>
      <w:r>
        <w:rPr>
          <w:rFonts w:hint="eastAsia" w:hAnsi="宋体" w:cs="宋体"/>
        </w:rPr>
        <w:t>四、联合体将严格按照招标文件的各项要求，递交投标文件，参加投标，履行中标或成交义务和中标或成交后的合同，并向采购人承担连带责任。</w:t>
      </w:r>
    </w:p>
    <w:p>
      <w:pPr>
        <w:pStyle w:val="25"/>
        <w:spacing w:line="460" w:lineRule="exact"/>
        <w:ind w:firstLine="420" w:firstLineChars="200"/>
        <w:rPr>
          <w:rFonts w:hAnsi="宋体" w:cs="宋体"/>
        </w:rPr>
      </w:pPr>
      <w:r>
        <w:rPr>
          <w:rFonts w:hint="eastAsia" w:hAnsi="宋体" w:cs="宋体"/>
        </w:rPr>
        <w:t>五、联合体各成员单位内部的职责分工如下：____________。按照本条上述分工，联合体成员单位各自所承担的合同工作量比例如下：____________。</w:t>
      </w:r>
    </w:p>
    <w:p>
      <w:pPr>
        <w:pStyle w:val="25"/>
        <w:spacing w:line="460" w:lineRule="exact"/>
        <w:ind w:firstLine="420" w:firstLineChars="200"/>
        <w:rPr>
          <w:rFonts w:hAnsi="宋体" w:cs="宋体"/>
        </w:rPr>
      </w:pPr>
      <w:r>
        <w:rPr>
          <w:rFonts w:hint="eastAsia" w:hAnsi="宋体" w:cs="宋体"/>
        </w:rPr>
        <w:t>六、本协议书自签署之日起生效，合同履行完毕后自动失效。</w:t>
      </w:r>
    </w:p>
    <w:p>
      <w:pPr>
        <w:pStyle w:val="25"/>
        <w:spacing w:line="460" w:lineRule="exact"/>
        <w:ind w:firstLine="420" w:firstLineChars="200"/>
        <w:rPr>
          <w:rFonts w:hAnsi="宋体" w:cs="宋体"/>
        </w:rPr>
      </w:pPr>
      <w:r>
        <w:rPr>
          <w:rFonts w:hint="eastAsia" w:hAnsi="宋体" w:cs="宋体"/>
        </w:rPr>
        <w:t>七、本协议书一式______份，联合体成员和采购人各执一份。</w:t>
      </w:r>
    </w:p>
    <w:p>
      <w:pPr>
        <w:pStyle w:val="25"/>
        <w:spacing w:line="460" w:lineRule="exact"/>
        <w:ind w:firstLine="420" w:firstLineChars="200"/>
        <w:rPr>
          <w:rFonts w:hAnsi="宋体" w:cs="宋体"/>
        </w:rPr>
      </w:pPr>
    </w:p>
    <w:p>
      <w:pPr>
        <w:pStyle w:val="25"/>
        <w:spacing w:line="460" w:lineRule="exact"/>
        <w:ind w:firstLine="420" w:firstLineChars="200"/>
        <w:rPr>
          <w:rFonts w:hAnsi="宋体" w:cs="宋体"/>
        </w:rPr>
      </w:pPr>
      <w:r>
        <w:rPr>
          <w:rFonts w:hint="eastAsia" w:hAnsi="宋体" w:cs="宋体"/>
        </w:rPr>
        <w:t>牵头人名称（公章）：____________</w:t>
      </w:r>
    </w:p>
    <w:p>
      <w:pPr>
        <w:pStyle w:val="25"/>
        <w:spacing w:line="460" w:lineRule="exact"/>
        <w:ind w:firstLine="420" w:firstLineChars="200"/>
        <w:rPr>
          <w:rFonts w:hAnsi="宋体" w:cs="宋体"/>
        </w:rPr>
      </w:pPr>
      <w:r>
        <w:rPr>
          <w:rFonts w:hint="eastAsia" w:hAnsi="宋体" w:cs="宋体"/>
        </w:rPr>
        <w:t>法定代表人或其授权代表（签字或盖章）：____________</w:t>
      </w:r>
    </w:p>
    <w:p>
      <w:pPr>
        <w:pStyle w:val="25"/>
        <w:spacing w:line="460" w:lineRule="exact"/>
        <w:ind w:firstLine="420" w:firstLineChars="200"/>
        <w:rPr>
          <w:rFonts w:hAnsi="宋体" w:cs="宋体"/>
        </w:rPr>
      </w:pPr>
    </w:p>
    <w:p>
      <w:pPr>
        <w:pStyle w:val="25"/>
        <w:spacing w:line="460" w:lineRule="exact"/>
        <w:ind w:firstLine="420" w:firstLineChars="200"/>
        <w:rPr>
          <w:rFonts w:hAnsi="宋体" w:cs="宋体"/>
        </w:rPr>
      </w:pPr>
      <w:r>
        <w:rPr>
          <w:rFonts w:hint="eastAsia" w:hAnsi="宋体" w:cs="宋体"/>
        </w:rPr>
        <w:t>成员名称（公章）：____________</w:t>
      </w:r>
    </w:p>
    <w:p>
      <w:pPr>
        <w:pStyle w:val="25"/>
        <w:spacing w:line="460" w:lineRule="exact"/>
        <w:ind w:firstLine="420" w:firstLineChars="200"/>
        <w:rPr>
          <w:rFonts w:hAnsi="宋体" w:cs="宋体"/>
        </w:rPr>
      </w:pPr>
      <w:r>
        <w:rPr>
          <w:rFonts w:hint="eastAsia" w:hAnsi="宋体" w:cs="宋体"/>
        </w:rPr>
        <w:t>法定代表人或其授权代表（签字或盖章）：____________</w:t>
      </w:r>
    </w:p>
    <w:p>
      <w:pPr>
        <w:pStyle w:val="25"/>
        <w:spacing w:line="460" w:lineRule="exact"/>
        <w:ind w:firstLine="420" w:firstLineChars="200"/>
        <w:rPr>
          <w:rFonts w:hAnsi="宋体" w:cs="宋体"/>
        </w:rPr>
      </w:pPr>
    </w:p>
    <w:p>
      <w:pPr>
        <w:pStyle w:val="25"/>
        <w:spacing w:line="460" w:lineRule="exact"/>
        <w:ind w:firstLine="420" w:firstLineChars="200"/>
        <w:jc w:val="right"/>
        <w:rPr>
          <w:rFonts w:hAnsi="宋体" w:cs="宋体"/>
        </w:rPr>
      </w:pPr>
      <w:r>
        <w:rPr>
          <w:rFonts w:hint="eastAsia" w:hAnsi="宋体" w:cs="宋体"/>
        </w:rPr>
        <w:t>______年____月____日</w:t>
      </w:r>
    </w:p>
    <w:p>
      <w:pPr>
        <w:pStyle w:val="25"/>
        <w:spacing w:line="46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备注：</w:t>
      </w:r>
      <w:r>
        <w:rPr>
          <w:rFonts w:hint="eastAsia" w:ascii="仿宋_GB2312" w:hAnsi="仿宋_GB2312" w:eastAsia="仿宋_GB2312" w:cs="仿宋_GB2312"/>
        </w:rPr>
        <w:t>1.本协议书由授权代表签字的，应当附法定代表人签字的授权委托书。</w:t>
      </w:r>
    </w:p>
    <w:p>
      <w:pPr>
        <w:pStyle w:val="25"/>
        <w:spacing w:line="460" w:lineRule="exact"/>
        <w:rPr>
          <w:rFonts w:ascii="仿宋_GB2312" w:hAnsi="仿宋_GB2312" w:eastAsia="仿宋_GB2312" w:cs="仿宋_GB2312"/>
        </w:rPr>
      </w:pPr>
      <w:r>
        <w:rPr>
          <w:rFonts w:hint="eastAsia" w:ascii="仿宋_GB2312" w:hAnsi="仿宋_GB2312" w:eastAsia="仿宋_GB2312" w:cs="仿宋_GB2312"/>
        </w:rPr>
        <w:t xml:space="preserve">          2.授权用投标专用章的，与公章具有相同法律效力。</w:t>
      </w:r>
    </w:p>
    <w:p>
      <w:pPr>
        <w:keepNext/>
        <w:keepLines/>
        <w:spacing w:before="120" w:beforeLines="50" w:after="120" w:afterLines="50"/>
        <w:rPr>
          <w:rFonts w:ascii="宋体" w:hAnsi="宋体" w:cs="宋体"/>
          <w:b/>
          <w:bCs/>
          <w:szCs w:val="21"/>
        </w:rPr>
        <w:sectPr>
          <w:pgSz w:w="11906" w:h="16838"/>
          <w:pgMar w:top="1304" w:right="1247" w:bottom="1134" w:left="1304" w:header="850" w:footer="850" w:gutter="0"/>
          <w:cols w:space="720" w:num="1"/>
          <w:titlePg/>
          <w:docGrid w:linePitch="324" w:charSpace="0"/>
        </w:sectPr>
      </w:pPr>
    </w:p>
    <w:p>
      <w:pPr>
        <w:keepNext/>
        <w:keepLines/>
        <w:spacing w:before="120" w:beforeLines="50" w:after="120" w:afterLines="50"/>
        <w:rPr>
          <w:rFonts w:ascii="宋体" w:hAnsi="宋体" w:cs="宋体"/>
          <w:b/>
          <w:bCs/>
          <w:szCs w:val="21"/>
        </w:rPr>
      </w:pPr>
      <w:r>
        <w:rPr>
          <w:rFonts w:hint="eastAsia" w:ascii="宋体" w:hAnsi="宋体" w:cs="宋体"/>
          <w:b/>
          <w:bCs/>
          <w:szCs w:val="21"/>
        </w:rPr>
        <w:t>附件8</w:t>
      </w:r>
    </w:p>
    <w:p>
      <w:pPr>
        <w:keepNext/>
        <w:keepLines/>
        <w:spacing w:before="120" w:beforeLines="50" w:after="120" w:afterLines="50"/>
        <w:jc w:val="center"/>
        <w:rPr>
          <w:rFonts w:ascii="宋体" w:hAnsi="宋体" w:cs="宋体"/>
          <w:b/>
          <w:bCs/>
          <w:sz w:val="28"/>
          <w:szCs w:val="28"/>
        </w:rPr>
      </w:pPr>
      <w:r>
        <w:rPr>
          <w:rFonts w:hint="eastAsia" w:ascii="宋体" w:hAnsi="宋体" w:cs="宋体"/>
          <w:b/>
          <w:bCs/>
          <w:sz w:val="28"/>
          <w:szCs w:val="28"/>
        </w:rPr>
        <w:t>政府采购法律法规规定的其他资格条件证明文件</w:t>
      </w:r>
    </w:p>
    <w:p>
      <w:pPr>
        <w:pStyle w:val="25"/>
        <w:ind w:firstLine="420" w:firstLineChars="200"/>
        <w:jc w:val="center"/>
        <w:rPr>
          <w:rFonts w:ascii="MingLiU_HKSCS" w:hAnsi="MingLiU_HKSCS" w:eastAsia="MingLiU_HKSCS" w:cs="MingLiU_HKSCS"/>
        </w:rPr>
      </w:pPr>
      <w:r>
        <w:rPr>
          <w:rFonts w:ascii="Times New Roman" w:hAnsi="Times New Roman" w:eastAsia="仿宋_GB2312"/>
        </w:rPr>
        <w:t>（</w:t>
      </w:r>
      <w:r>
        <w:rPr>
          <w:rFonts w:hint="eastAsia" w:ascii="Times New Roman" w:hAnsi="Times New Roman" w:eastAsia="仿宋_GB2312"/>
        </w:rPr>
        <w:t>示例略</w:t>
      </w:r>
      <w:r>
        <w:rPr>
          <w:rFonts w:ascii="Times New Roman" w:hAnsi="Times New Roman" w:eastAsia="仿宋_GB2312"/>
        </w:rPr>
        <w:t>）</w:t>
      </w:r>
    </w:p>
    <w:p>
      <w:pPr>
        <w:adjustRightInd w:val="0"/>
        <w:snapToGrid w:val="0"/>
        <w:spacing w:line="360" w:lineRule="auto"/>
        <w:rPr>
          <w:rFonts w:ascii="黑体" w:hAnsi="华文中宋" w:eastAsia="黑体" w:cs="黑体"/>
          <w:sz w:val="28"/>
          <w:szCs w:val="28"/>
        </w:rPr>
      </w:pPr>
    </w:p>
    <w:p>
      <w:pPr>
        <w:adjustRightInd w:val="0"/>
        <w:snapToGrid w:val="0"/>
        <w:spacing w:line="360" w:lineRule="auto"/>
        <w:rPr>
          <w:rFonts w:ascii="黑体" w:hAnsi="华文中宋" w:eastAsia="黑体" w:cs="黑体"/>
          <w:sz w:val="28"/>
          <w:szCs w:val="28"/>
        </w:rPr>
      </w:pPr>
    </w:p>
    <w:p>
      <w:pPr>
        <w:keepNext/>
        <w:keepLines/>
        <w:spacing w:before="120" w:beforeLines="50" w:after="120" w:afterLines="50"/>
        <w:rPr>
          <w:rFonts w:ascii="宋体" w:hAnsi="宋体" w:cs="宋体"/>
          <w:b/>
          <w:bCs/>
          <w:szCs w:val="21"/>
        </w:rPr>
      </w:pPr>
      <w:r>
        <w:rPr>
          <w:rFonts w:hint="eastAsia" w:ascii="宋体" w:hAnsi="宋体" w:cs="宋体"/>
          <w:b/>
          <w:bCs/>
          <w:szCs w:val="21"/>
        </w:rPr>
        <w:t>附件9</w:t>
      </w:r>
    </w:p>
    <w:p>
      <w:pPr>
        <w:keepNext/>
        <w:keepLines/>
        <w:spacing w:before="120" w:beforeLines="50" w:after="120" w:afterLines="50"/>
        <w:jc w:val="center"/>
        <w:rPr>
          <w:rFonts w:ascii="宋体" w:hAnsi="宋体" w:cs="宋体"/>
          <w:b/>
          <w:bCs/>
          <w:sz w:val="28"/>
          <w:szCs w:val="28"/>
        </w:rPr>
      </w:pPr>
      <w:r>
        <w:rPr>
          <w:rFonts w:hint="eastAsia" w:ascii="宋体" w:hAnsi="宋体" w:cs="宋体"/>
          <w:b/>
          <w:bCs/>
          <w:sz w:val="28"/>
          <w:szCs w:val="28"/>
        </w:rPr>
        <w:t>公章授权书</w:t>
      </w:r>
      <w:r>
        <w:rPr>
          <w:rFonts w:hint="eastAsia" w:ascii="宋体" w:hAnsi="宋体" w:cs="宋体"/>
          <w:bCs/>
          <w:sz w:val="28"/>
          <w:szCs w:val="28"/>
        </w:rPr>
        <w:t>（如有的话）</w:t>
      </w:r>
    </w:p>
    <w:p>
      <w:pPr>
        <w:pStyle w:val="25"/>
        <w:spacing w:line="360" w:lineRule="auto"/>
        <w:rPr>
          <w:rFonts w:ascii="Times New Roman" w:hAnsi="Times New Roman"/>
        </w:rPr>
      </w:pPr>
    </w:p>
    <w:p>
      <w:pPr>
        <w:pStyle w:val="25"/>
        <w:spacing w:line="360" w:lineRule="auto"/>
        <w:rPr>
          <w:rFonts w:ascii="Times New Roman" w:hAnsi="Times New Roman" w:eastAsia="MingLiU_HKSCS"/>
        </w:rPr>
      </w:pPr>
      <w:r>
        <w:rPr>
          <w:rFonts w:hint="eastAsia" w:ascii="Times New Roman" w:hAnsi="Times New Roman"/>
        </w:rPr>
        <w:t>致：</w:t>
      </w:r>
      <w:r>
        <w:rPr>
          <w:rFonts w:ascii="Times New Roman" w:hAnsi="Times New Roman"/>
        </w:rPr>
        <w:t>____________</w:t>
      </w:r>
      <w:r>
        <w:rPr>
          <w:rFonts w:hint="eastAsia" w:ascii="Times New Roman" w:hAnsi="Times New Roman"/>
        </w:rPr>
        <w:t>（采购人）：</w:t>
      </w:r>
    </w:p>
    <w:p>
      <w:pPr>
        <w:pStyle w:val="25"/>
        <w:spacing w:line="360" w:lineRule="auto"/>
        <w:ind w:firstLine="420" w:firstLineChars="200"/>
        <w:rPr>
          <w:rFonts w:ascii="Times New Roman" w:hAnsi="Times New Roman" w:eastAsia="MingLiU_HKSCS"/>
        </w:rPr>
      </w:pPr>
      <w:r>
        <w:rPr>
          <w:rFonts w:ascii="Times New Roman" w:hAnsi="Times New Roman"/>
        </w:rPr>
        <w:t>______</w:t>
      </w:r>
      <w:r>
        <w:rPr>
          <w:rFonts w:ascii="Times New Roman" w:hAnsi="Times New Roman"/>
          <w:u w:val="single"/>
        </w:rPr>
        <w:t>（</w:t>
      </w:r>
      <w:r>
        <w:rPr>
          <w:rFonts w:hint="eastAsia" w:ascii="Times New Roman" w:hAnsi="Times New Roman"/>
          <w:u w:val="single"/>
        </w:rPr>
        <w:t>供应商名称</w:t>
      </w:r>
      <w:r>
        <w:rPr>
          <w:rFonts w:ascii="Times New Roman" w:hAnsi="Times New Roman"/>
          <w:u w:val="single"/>
        </w:rPr>
        <w:t>）</w:t>
      </w:r>
      <w:r>
        <w:rPr>
          <w:rFonts w:ascii="Times New Roman" w:hAnsi="Times New Roman"/>
        </w:rPr>
        <w:t>______</w:t>
      </w:r>
      <w:r>
        <w:rPr>
          <w:rFonts w:hint="eastAsia" w:ascii="Times New Roman" w:hAnsi="Times New Roman"/>
        </w:rPr>
        <w:t>，中华人民共和国合法企业，法定地址：</w:t>
      </w:r>
      <w:r>
        <w:rPr>
          <w:rFonts w:ascii="Times New Roman" w:hAnsi="Times New Roman"/>
        </w:rPr>
        <w:t>____________________</w:t>
      </w:r>
      <w:r>
        <w:rPr>
          <w:rFonts w:hint="eastAsia" w:ascii="Times New Roman" w:hAnsi="Times New Roman"/>
        </w:rPr>
        <w:t>。在参与</w:t>
      </w:r>
      <w:r>
        <w:rPr>
          <w:rFonts w:ascii="Times New Roman" w:hAnsi="Times New Roman"/>
        </w:rPr>
        <w:t>______</w:t>
      </w:r>
      <w:r>
        <w:rPr>
          <w:rFonts w:ascii="Times New Roman" w:hAnsi="Times New Roman"/>
          <w:u w:val="single"/>
        </w:rPr>
        <w:t>（</w:t>
      </w:r>
      <w:r>
        <w:rPr>
          <w:rFonts w:hint="eastAsia" w:ascii="Times New Roman" w:hAnsi="Times New Roman"/>
          <w:u w:val="single"/>
        </w:rPr>
        <w:t>项目名称</w:t>
      </w:r>
      <w:r>
        <w:rPr>
          <w:rFonts w:ascii="Times New Roman" w:hAnsi="Times New Roman"/>
          <w:u w:val="single"/>
        </w:rPr>
        <w:t>）（</w:t>
      </w:r>
      <w:r>
        <w:rPr>
          <w:rFonts w:hint="eastAsia" w:ascii="Times New Roman" w:hAnsi="Times New Roman"/>
          <w:u w:val="single"/>
        </w:rPr>
        <w:t>项目编号</w:t>
      </w:r>
      <w:r>
        <w:rPr>
          <w:rFonts w:ascii="Times New Roman" w:hAnsi="Times New Roman"/>
          <w:u w:val="single"/>
        </w:rPr>
        <w:t>）</w:t>
      </w:r>
      <w:r>
        <w:rPr>
          <w:rFonts w:ascii="Times New Roman" w:hAnsi="Times New Roman"/>
        </w:rPr>
        <w:t>______</w:t>
      </w:r>
      <w:r>
        <w:rPr>
          <w:rFonts w:hint="eastAsia" w:ascii="Times New Roman" w:hAnsi="Times New Roman"/>
        </w:rPr>
        <w:t>投标活动中，我公司授权投标专用章在此次活动中代为公章使用。</w:t>
      </w:r>
    </w:p>
    <w:p>
      <w:pPr>
        <w:pStyle w:val="25"/>
        <w:spacing w:line="360" w:lineRule="auto"/>
        <w:ind w:firstLine="420" w:firstLineChars="200"/>
        <w:rPr>
          <w:rFonts w:ascii="Times New Roman" w:hAnsi="Times New Roman" w:eastAsia="MingLiU_HKSCS"/>
        </w:rPr>
      </w:pPr>
      <w:r>
        <w:rPr>
          <w:rFonts w:hint="eastAsia" w:ascii="Times New Roman" w:hAnsi="Times New Roman"/>
        </w:rPr>
        <w:t>投标专用章所签署的投标文件、澄清等，我公司承认并同意具备与我公司公章签署等同的法律的效力。</w:t>
      </w:r>
    </w:p>
    <w:p>
      <w:pPr>
        <w:pStyle w:val="25"/>
        <w:spacing w:line="360" w:lineRule="auto"/>
        <w:ind w:firstLine="420" w:firstLineChars="200"/>
        <w:rPr>
          <w:rFonts w:ascii="Times New Roman" w:hAnsi="Times New Roman" w:eastAsia="MingLiU_HKSCS"/>
        </w:rPr>
      </w:pPr>
      <w:r>
        <w:rPr>
          <w:rFonts w:hint="eastAsia" w:ascii="Times New Roman" w:hAnsi="Times New Roman"/>
        </w:rPr>
        <w:t>投标专用章签署的所有文件、协议不因授权的撤销而失效。</w:t>
      </w:r>
    </w:p>
    <w:p>
      <w:pPr>
        <w:pStyle w:val="25"/>
        <w:spacing w:line="360" w:lineRule="auto"/>
        <w:ind w:firstLine="420" w:firstLineChars="200"/>
        <w:rPr>
          <w:rFonts w:ascii="Times New Roman" w:hAnsi="Times New Roman" w:eastAsia="MingLiU_HKSCS"/>
        </w:rPr>
      </w:pPr>
    </w:p>
    <w:p>
      <w:pPr>
        <w:pStyle w:val="25"/>
        <w:spacing w:line="360" w:lineRule="auto"/>
        <w:ind w:firstLine="420" w:firstLineChars="200"/>
        <w:rPr>
          <w:rFonts w:ascii="Times New Roman" w:hAnsi="Times New Roman" w:eastAsia="MingLiU_HKSCS"/>
        </w:rPr>
      </w:pPr>
    </w:p>
    <w:p>
      <w:pPr>
        <w:pStyle w:val="25"/>
        <w:spacing w:line="360" w:lineRule="auto"/>
        <w:ind w:right="420" w:firstLine="420" w:firstLineChars="200"/>
        <w:jc w:val="right"/>
        <w:rPr>
          <w:rFonts w:ascii="Times New Roman" w:hAnsi="Times New Roman" w:eastAsia="MingLiU_HKSCS"/>
        </w:rPr>
      </w:pPr>
      <w:r>
        <w:rPr>
          <w:rFonts w:hint="eastAsia" w:ascii="Times New Roman" w:hAnsi="Times New Roman"/>
        </w:rPr>
        <w:t>投标专用章：</w:t>
      </w:r>
      <w:r>
        <w:rPr>
          <w:rFonts w:ascii="Times New Roman" w:hAnsi="Times New Roman"/>
        </w:rPr>
        <w:t>______________（</w:t>
      </w:r>
      <w:r>
        <w:rPr>
          <w:rFonts w:hint="eastAsia" w:ascii="Times New Roman" w:hAnsi="Times New Roman"/>
        </w:rPr>
        <w:t>盖章</w:t>
      </w:r>
      <w:r>
        <w:rPr>
          <w:rFonts w:ascii="Times New Roman" w:hAnsi="Times New Roman"/>
        </w:rPr>
        <w:t>）</w:t>
      </w:r>
    </w:p>
    <w:p>
      <w:pPr>
        <w:pStyle w:val="25"/>
        <w:spacing w:line="360" w:lineRule="auto"/>
        <w:ind w:right="525" w:firstLine="420" w:firstLineChars="200"/>
        <w:jc w:val="right"/>
        <w:rPr>
          <w:rFonts w:ascii="Times New Roman" w:hAnsi="Times New Roman" w:eastAsia="MingLiU_HKSCS"/>
        </w:rPr>
      </w:pPr>
      <w:r>
        <w:rPr>
          <w:rFonts w:hint="eastAsia" w:ascii="Times New Roman" w:hAnsi="Times New Roman"/>
        </w:rPr>
        <w:t>公司公章：</w:t>
      </w:r>
      <w:r>
        <w:rPr>
          <w:rFonts w:ascii="Times New Roman" w:hAnsi="Times New Roman"/>
        </w:rPr>
        <w:t>_______________（</w:t>
      </w:r>
      <w:r>
        <w:rPr>
          <w:rFonts w:hint="eastAsia" w:ascii="Times New Roman" w:hAnsi="Times New Roman"/>
        </w:rPr>
        <w:t>盖章</w:t>
      </w:r>
      <w:r>
        <w:rPr>
          <w:rFonts w:ascii="Times New Roman" w:hAnsi="Times New Roman"/>
        </w:rPr>
        <w:t>）</w:t>
      </w:r>
    </w:p>
    <w:p>
      <w:pPr>
        <w:pStyle w:val="25"/>
        <w:spacing w:line="360" w:lineRule="auto"/>
        <w:ind w:firstLine="420" w:firstLineChars="200"/>
        <w:jc w:val="right"/>
        <w:rPr>
          <w:rFonts w:ascii="Times New Roman" w:hAnsi="Times New Roman" w:eastAsia="MingLiU_HKSCS"/>
        </w:rPr>
      </w:pPr>
      <w:r>
        <w:rPr>
          <w:rFonts w:hint="eastAsia" w:ascii="Times New Roman" w:hAnsi="Times New Roman"/>
        </w:rPr>
        <w:t>供应商法定代表人：</w:t>
      </w:r>
      <w:r>
        <w:rPr>
          <w:rFonts w:ascii="Times New Roman" w:hAnsi="Times New Roman"/>
        </w:rPr>
        <w:t>______（</w:t>
      </w:r>
      <w:r>
        <w:rPr>
          <w:rFonts w:hint="eastAsia" w:ascii="Times New Roman" w:hAnsi="Times New Roman"/>
        </w:rPr>
        <w:t>签字或盖章</w:t>
      </w:r>
      <w:r>
        <w:rPr>
          <w:rFonts w:ascii="Times New Roman" w:hAnsi="Times New Roman"/>
        </w:rPr>
        <w:t>）</w:t>
      </w:r>
    </w:p>
    <w:p>
      <w:pPr>
        <w:pStyle w:val="25"/>
        <w:spacing w:line="360" w:lineRule="auto"/>
        <w:ind w:right="1260"/>
        <w:jc w:val="right"/>
        <w:rPr>
          <w:rFonts w:ascii="Times New Roman" w:hAnsi="Times New Roman" w:eastAsia="MingLiU_HKSCS"/>
        </w:rPr>
      </w:pPr>
      <w:r>
        <w:rPr>
          <w:rFonts w:hint="eastAsia" w:ascii="Times New Roman" w:hAnsi="Times New Roman"/>
        </w:rPr>
        <w:t>日期：　　　年　　月　　日</w:t>
      </w: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sectPr>
          <w:pgSz w:w="11906" w:h="16838"/>
          <w:pgMar w:top="1304" w:right="1247" w:bottom="1134" w:left="1304" w:header="850" w:footer="850" w:gutter="0"/>
          <w:cols w:space="720" w:num="1"/>
          <w:titlePg/>
          <w:docGrid w:linePitch="324" w:charSpace="0"/>
        </w:sectPr>
      </w:pPr>
    </w:p>
    <w:p>
      <w:pPr>
        <w:adjustRightInd w:val="0"/>
        <w:snapToGrid w:val="0"/>
        <w:spacing w:before="120" w:beforeLines="50" w:line="360" w:lineRule="auto"/>
        <w:outlineLvl w:val="2"/>
        <w:rPr>
          <w:rFonts w:ascii="宋体" w:hAnsi="宋体"/>
          <w:b/>
          <w:bCs/>
          <w:sz w:val="22"/>
        </w:rPr>
      </w:pPr>
      <w:bookmarkStart w:id="42" w:name="_Toc21647443"/>
      <w:bookmarkStart w:id="43" w:name="_Toc529654040"/>
      <w:bookmarkStart w:id="44" w:name="_Toc529050588"/>
      <w:r>
        <w:rPr>
          <w:rFonts w:hint="eastAsia" w:ascii="宋体" w:hAnsi="宋体"/>
          <w:b/>
          <w:bCs/>
          <w:sz w:val="22"/>
        </w:rPr>
        <w:t>第二部分、商务文件</w:t>
      </w:r>
      <w:bookmarkEnd w:id="42"/>
      <w:bookmarkEnd w:id="43"/>
      <w:bookmarkEnd w:id="44"/>
    </w:p>
    <w:p>
      <w:pPr>
        <w:pStyle w:val="25"/>
        <w:adjustRightInd w:val="0"/>
        <w:snapToGrid w:val="0"/>
        <w:spacing w:line="400" w:lineRule="atLeast"/>
        <w:jc w:val="center"/>
        <w:rPr>
          <w:rFonts w:hAnsi="宋体"/>
          <w:b/>
          <w:bCs/>
          <w:sz w:val="84"/>
          <w:szCs w:val="84"/>
        </w:rPr>
      </w:pPr>
    </w:p>
    <w:p>
      <w:pPr>
        <w:pStyle w:val="25"/>
        <w:adjustRightInd w:val="0"/>
        <w:snapToGrid w:val="0"/>
        <w:spacing w:line="400" w:lineRule="atLeast"/>
        <w:jc w:val="center"/>
        <w:rPr>
          <w:rFonts w:hAnsi="宋体"/>
          <w:b/>
          <w:bCs/>
          <w:sz w:val="72"/>
          <w:szCs w:val="72"/>
        </w:rPr>
      </w:pPr>
      <w:r>
        <w:rPr>
          <w:rFonts w:hint="eastAsia" w:hAnsi="宋体"/>
          <w:b/>
          <w:bCs/>
          <w:sz w:val="72"/>
          <w:szCs w:val="72"/>
        </w:rPr>
        <w:t>政府采购</w:t>
      </w:r>
    </w:p>
    <w:p>
      <w:pPr>
        <w:adjustRightInd w:val="0"/>
        <w:snapToGrid w:val="0"/>
        <w:spacing w:before="120" w:beforeLines="50" w:line="400" w:lineRule="atLeast"/>
        <w:jc w:val="center"/>
        <w:rPr>
          <w:rFonts w:ascii="宋体" w:hAnsi="宋体"/>
          <w:b/>
          <w:bCs/>
          <w:sz w:val="84"/>
          <w:szCs w:val="84"/>
        </w:rPr>
      </w:pPr>
      <w:r>
        <w:rPr>
          <w:rFonts w:hint="eastAsia" w:ascii="宋体" w:hAnsi="宋体"/>
          <w:b/>
          <w:bCs/>
          <w:sz w:val="84"/>
          <w:szCs w:val="84"/>
        </w:rPr>
        <w:t>投 标 文 件</w:t>
      </w:r>
    </w:p>
    <w:p>
      <w:pPr>
        <w:tabs>
          <w:tab w:val="center" w:pos="4422"/>
          <w:tab w:val="left" w:pos="6570"/>
        </w:tabs>
        <w:spacing w:before="240" w:beforeLines="100"/>
        <w:jc w:val="left"/>
        <w:rPr>
          <w:rFonts w:ascii="宋体" w:hAnsi="宋体"/>
          <w:b/>
          <w:sz w:val="44"/>
          <w:szCs w:val="44"/>
        </w:rPr>
      </w:pPr>
      <w:r>
        <w:rPr>
          <w:rFonts w:ascii="宋体" w:hAnsi="宋体"/>
          <w:b/>
          <w:sz w:val="44"/>
          <w:szCs w:val="44"/>
        </w:rPr>
        <w:tab/>
      </w:r>
      <w:r>
        <w:rPr>
          <w:rFonts w:ascii="宋体" w:hAnsi="宋体"/>
          <w:b/>
          <w:sz w:val="44"/>
          <w:szCs w:val="44"/>
        </w:rPr>
        <w:tab/>
      </w:r>
    </w:p>
    <w:p>
      <w:pPr>
        <w:spacing w:before="240" w:beforeLines="100"/>
        <w:jc w:val="center"/>
        <w:rPr>
          <w:rFonts w:ascii="宋体" w:hAnsi="宋体"/>
          <w:b/>
          <w:sz w:val="44"/>
          <w:szCs w:val="44"/>
        </w:rPr>
      </w:pPr>
      <w:r>
        <w:rPr>
          <w:rFonts w:hint="eastAsia" w:ascii="宋体" w:hAnsi="宋体"/>
          <w:b/>
          <w:sz w:val="44"/>
          <w:szCs w:val="44"/>
        </w:rPr>
        <w:t>（商务文件）</w:t>
      </w:r>
    </w:p>
    <w:p>
      <w:pPr>
        <w:rPr>
          <w:rFonts w:ascii="宋体" w:hAnsi="宋体"/>
          <w:sz w:val="28"/>
          <w:szCs w:val="28"/>
        </w:rPr>
      </w:pPr>
    </w:p>
    <w:p>
      <w:pPr>
        <w:rPr>
          <w:rFonts w:ascii="黑体" w:hAnsi="宋体" w:eastAsia="黑体"/>
          <w:sz w:val="30"/>
          <w:szCs w:val="30"/>
        </w:rPr>
      </w:pPr>
    </w:p>
    <w:p>
      <w:pPr>
        <w:pStyle w:val="25"/>
        <w:ind w:firstLine="3120" w:firstLineChars="1300"/>
        <w:rPr>
          <w:rFonts w:hAnsi="宋体" w:cs="宋体"/>
          <w:sz w:val="24"/>
          <w:szCs w:val="24"/>
          <w:u w:val="single"/>
        </w:rPr>
      </w:pPr>
      <w:r>
        <w:rPr>
          <w:rFonts w:hint="eastAsia" w:hAnsi="宋体" w:cs="宋体"/>
          <w:sz w:val="24"/>
          <w:szCs w:val="24"/>
        </w:rPr>
        <w:t>项目名称：_____________________</w:t>
      </w:r>
    </w:p>
    <w:p>
      <w:pPr>
        <w:pStyle w:val="25"/>
        <w:ind w:firstLine="480" w:firstLineChars="200"/>
        <w:jc w:val="center"/>
        <w:rPr>
          <w:rFonts w:hAnsi="宋体" w:cs="宋体"/>
          <w:sz w:val="24"/>
          <w:szCs w:val="24"/>
        </w:rPr>
      </w:pPr>
    </w:p>
    <w:p>
      <w:pPr>
        <w:pStyle w:val="25"/>
        <w:rPr>
          <w:rFonts w:hAnsi="宋体" w:cs="宋体"/>
          <w:sz w:val="24"/>
          <w:szCs w:val="24"/>
          <w:u w:val="single"/>
        </w:rPr>
      </w:pPr>
      <w:r>
        <w:rPr>
          <w:rFonts w:hint="eastAsia" w:hAnsi="宋体" w:cs="宋体"/>
          <w:sz w:val="24"/>
          <w:szCs w:val="24"/>
        </w:rPr>
        <w:t xml:space="preserve">                          项目编号：_____________________</w:t>
      </w:r>
    </w:p>
    <w:p>
      <w:pPr>
        <w:pStyle w:val="25"/>
        <w:ind w:firstLine="480" w:firstLineChars="200"/>
        <w:jc w:val="center"/>
        <w:rPr>
          <w:rFonts w:hAnsi="宋体" w:cs="宋体"/>
          <w:sz w:val="24"/>
          <w:szCs w:val="24"/>
        </w:rPr>
      </w:pPr>
    </w:p>
    <w:p>
      <w:pPr>
        <w:pStyle w:val="25"/>
        <w:ind w:firstLine="480" w:firstLineChars="200"/>
        <w:rPr>
          <w:rFonts w:hAnsi="宋体" w:cs="宋体"/>
          <w:sz w:val="24"/>
          <w:szCs w:val="24"/>
        </w:rPr>
      </w:pPr>
      <w:r>
        <w:rPr>
          <w:rFonts w:hint="eastAsia" w:hAnsi="宋体" w:cs="宋体"/>
          <w:sz w:val="24"/>
          <w:szCs w:val="24"/>
        </w:rPr>
        <w:t xml:space="preserve">                      投标人名称：____________________</w:t>
      </w:r>
    </w:p>
    <w:p>
      <w:pPr>
        <w:pStyle w:val="25"/>
        <w:ind w:firstLine="480" w:firstLineChars="200"/>
        <w:jc w:val="center"/>
        <w:rPr>
          <w:rFonts w:hAnsi="宋体" w:cs="宋体"/>
          <w:sz w:val="24"/>
          <w:szCs w:val="24"/>
        </w:rPr>
      </w:pPr>
      <w:r>
        <w:rPr>
          <w:rFonts w:hint="eastAsia" w:hAnsi="宋体" w:cs="宋体"/>
          <w:sz w:val="24"/>
          <w:szCs w:val="24"/>
        </w:rPr>
        <w:t>　　</w:t>
      </w: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r>
        <w:rPr>
          <w:rFonts w:hint="eastAsia" w:hAnsi="宋体" w:cs="宋体"/>
          <w:sz w:val="24"/>
          <w:szCs w:val="24"/>
        </w:rPr>
        <w:t>______年______月______日</w:t>
      </w:r>
    </w:p>
    <w:p>
      <w:pPr>
        <w:pStyle w:val="25"/>
        <w:ind w:firstLine="420" w:firstLineChars="200"/>
        <w:rPr>
          <w:rFonts w:hAnsi="宋体" w:cs="宋体"/>
        </w:rPr>
      </w:pPr>
    </w:p>
    <w:p>
      <w:pPr>
        <w:pStyle w:val="7"/>
        <w:spacing w:before="120" w:beforeLines="50" w:after="120" w:afterLines="50" w:line="360" w:lineRule="auto"/>
        <w:ind w:firstLine="422"/>
        <w:rPr>
          <w:sz w:val="21"/>
          <w:szCs w:val="21"/>
        </w:rPr>
        <w:sectPr>
          <w:pgSz w:w="11906" w:h="16838"/>
          <w:pgMar w:top="1304" w:right="1247" w:bottom="1134" w:left="1304" w:header="850" w:footer="850" w:gutter="0"/>
          <w:cols w:space="720" w:num="1"/>
          <w:titlePg/>
          <w:docGrid w:linePitch="324" w:charSpace="0"/>
        </w:sectPr>
      </w:pPr>
    </w:p>
    <w:p>
      <w:pPr>
        <w:pStyle w:val="7"/>
        <w:spacing w:before="120" w:beforeLines="50" w:after="120" w:afterLines="50" w:line="360" w:lineRule="auto"/>
        <w:ind w:firstLine="0" w:firstLineChars="0"/>
        <w:rPr>
          <w:rFonts w:eastAsia="MingLiU_HKSCS"/>
          <w:sz w:val="21"/>
          <w:szCs w:val="21"/>
        </w:rPr>
      </w:pPr>
      <w:r>
        <w:rPr>
          <w:rFonts w:hint="eastAsia"/>
          <w:sz w:val="21"/>
          <w:szCs w:val="21"/>
        </w:rPr>
        <w:t>一、投标函</w:t>
      </w:r>
    </w:p>
    <w:p>
      <w:pPr>
        <w:keepNext/>
        <w:keepLines/>
        <w:spacing w:before="120" w:beforeLines="50" w:after="120" w:afterLines="50" w:line="360" w:lineRule="auto"/>
        <w:jc w:val="center"/>
        <w:rPr>
          <w:b/>
          <w:bCs/>
          <w:sz w:val="28"/>
          <w:szCs w:val="28"/>
        </w:rPr>
      </w:pPr>
      <w:r>
        <w:rPr>
          <w:rFonts w:hint="eastAsia"/>
          <w:b/>
          <w:bCs/>
          <w:sz w:val="28"/>
          <w:szCs w:val="28"/>
        </w:rPr>
        <w:t>投　标　函</w:t>
      </w:r>
    </w:p>
    <w:p>
      <w:pPr>
        <w:pStyle w:val="25"/>
        <w:spacing w:line="360" w:lineRule="auto"/>
        <w:rPr>
          <w:rFonts w:hAnsi="宋体" w:cs="宋体"/>
        </w:rPr>
      </w:pPr>
      <w:r>
        <w:rPr>
          <w:rFonts w:hint="eastAsia" w:hAnsi="宋体" w:cs="宋体"/>
        </w:rPr>
        <w:t>致__________（采购人）：</w:t>
      </w:r>
    </w:p>
    <w:p>
      <w:pPr>
        <w:pStyle w:val="25"/>
        <w:spacing w:line="360" w:lineRule="auto"/>
        <w:ind w:firstLine="420" w:firstLineChars="200"/>
        <w:rPr>
          <w:rFonts w:hAnsi="宋体" w:cs="宋体"/>
        </w:rPr>
      </w:pPr>
      <w:r>
        <w:rPr>
          <w:rFonts w:hint="eastAsia" w:hAnsi="宋体" w:cs="宋体"/>
        </w:rPr>
        <w:t>根据__</w:t>
      </w:r>
      <w:r>
        <w:rPr>
          <w:rFonts w:hAnsi="宋体" w:cs="宋体"/>
        </w:rPr>
        <w:t>_________________________</w:t>
      </w:r>
      <w:r>
        <w:rPr>
          <w:rFonts w:hint="eastAsia" w:hAnsi="宋体" w:cs="宋体"/>
        </w:rPr>
        <w:t>____（项目名称）（项目编号：______）的投标邀请，______（姓名、职务）代表投标人__</w:t>
      </w:r>
      <w:r>
        <w:rPr>
          <w:rFonts w:hAnsi="宋体" w:cs="宋体"/>
        </w:rPr>
        <w:t>_________________</w:t>
      </w:r>
      <w:r>
        <w:rPr>
          <w:rFonts w:hint="eastAsia" w:hAnsi="宋体" w:cs="宋体"/>
        </w:rPr>
        <w:t>____（投标人名称、地址）参加本项目采购的有关活动。据此函，作如下承诺：</w:t>
      </w:r>
    </w:p>
    <w:p>
      <w:pPr>
        <w:pStyle w:val="25"/>
        <w:spacing w:line="360" w:lineRule="auto"/>
        <w:ind w:firstLine="420" w:firstLineChars="200"/>
        <w:rPr>
          <w:rFonts w:hAnsi="宋体" w:cs="宋体"/>
        </w:rPr>
      </w:pPr>
      <w:r>
        <w:rPr>
          <w:rFonts w:hint="eastAsia" w:hAnsi="宋体" w:cs="宋体"/>
        </w:rPr>
        <w:t>1.同意在本项目采购文件中规定的开标日起______天遵守本投标文件中的承诺，且在期满之前均具有约束力。</w:t>
      </w:r>
    </w:p>
    <w:p>
      <w:pPr>
        <w:pStyle w:val="25"/>
        <w:spacing w:line="360" w:lineRule="auto"/>
        <w:ind w:firstLine="420" w:firstLineChars="200"/>
        <w:rPr>
          <w:rFonts w:hAnsi="宋体" w:cs="宋体"/>
        </w:rPr>
      </w:pPr>
      <w:r>
        <w:rPr>
          <w:rFonts w:hint="eastAsia" w:hAnsi="宋体" w:cs="宋体"/>
        </w:rPr>
        <w:t>2.具备政府采购相关法律法规规定的参加政府采购活动的供应商应当具备的条件：</w:t>
      </w:r>
    </w:p>
    <w:p>
      <w:pPr>
        <w:pStyle w:val="25"/>
        <w:spacing w:line="360" w:lineRule="auto"/>
        <w:ind w:firstLine="420" w:firstLineChars="200"/>
        <w:rPr>
          <w:rFonts w:hAnsi="宋体" w:cs="宋体"/>
        </w:rPr>
      </w:pPr>
      <w:r>
        <w:rPr>
          <w:rFonts w:hint="eastAsia" w:hAnsi="宋体" w:cs="宋体"/>
        </w:rPr>
        <w:t>（1）具有独立承担民事责任的能力；</w:t>
      </w:r>
    </w:p>
    <w:p>
      <w:pPr>
        <w:pStyle w:val="25"/>
        <w:spacing w:line="360" w:lineRule="auto"/>
        <w:ind w:firstLine="420" w:firstLineChars="200"/>
        <w:rPr>
          <w:rFonts w:hAnsi="宋体" w:cs="宋体"/>
        </w:rPr>
      </w:pPr>
      <w:r>
        <w:rPr>
          <w:rFonts w:hint="eastAsia" w:hAnsi="宋体" w:cs="宋体"/>
        </w:rPr>
        <w:t>（2）具有良好的商业信誉和健全的财务会计制度；</w:t>
      </w:r>
    </w:p>
    <w:p>
      <w:pPr>
        <w:pStyle w:val="25"/>
        <w:spacing w:line="360" w:lineRule="auto"/>
        <w:ind w:firstLine="420" w:firstLineChars="200"/>
        <w:rPr>
          <w:rFonts w:hAnsi="宋体" w:cs="宋体"/>
        </w:rPr>
      </w:pPr>
      <w:r>
        <w:rPr>
          <w:rFonts w:hint="eastAsia" w:hAnsi="宋体" w:cs="宋体"/>
        </w:rPr>
        <w:t>（3）具有履行合同所必需的设备和专业技术能力；</w:t>
      </w:r>
    </w:p>
    <w:p>
      <w:pPr>
        <w:pStyle w:val="25"/>
        <w:spacing w:line="360" w:lineRule="auto"/>
        <w:ind w:firstLine="420" w:firstLineChars="200"/>
        <w:rPr>
          <w:rFonts w:hAnsi="宋体" w:cs="宋体"/>
        </w:rPr>
      </w:pPr>
      <w:r>
        <w:rPr>
          <w:rFonts w:hint="eastAsia" w:hAnsi="宋体" w:cs="宋体"/>
        </w:rPr>
        <w:t>（4）有依法缴纳税收和社会保障资金的良好记录；</w:t>
      </w:r>
    </w:p>
    <w:p>
      <w:pPr>
        <w:pStyle w:val="25"/>
        <w:spacing w:line="360" w:lineRule="auto"/>
        <w:ind w:firstLine="420" w:firstLineChars="200"/>
        <w:rPr>
          <w:rFonts w:hAnsi="宋体" w:cs="宋体"/>
        </w:rPr>
      </w:pPr>
      <w:r>
        <w:rPr>
          <w:rFonts w:hint="eastAsia" w:hAnsi="宋体" w:cs="宋体"/>
        </w:rPr>
        <w:t>（5）参加此项采购活动前3年内，在经营活动中没有重大违法记录。</w:t>
      </w:r>
    </w:p>
    <w:p>
      <w:pPr>
        <w:pStyle w:val="25"/>
        <w:spacing w:line="360" w:lineRule="auto"/>
        <w:ind w:firstLine="420" w:firstLineChars="200"/>
        <w:rPr>
          <w:rFonts w:hAnsi="宋体" w:cs="宋体"/>
        </w:rPr>
      </w:pPr>
      <w:r>
        <w:rPr>
          <w:rFonts w:hint="eastAsia" w:hAnsi="宋体" w:cs="宋体"/>
        </w:rPr>
        <w:t>3.具备本项目采购文件中规定的其他资格条件。</w:t>
      </w:r>
    </w:p>
    <w:p>
      <w:pPr>
        <w:pStyle w:val="25"/>
        <w:spacing w:line="360" w:lineRule="auto"/>
        <w:ind w:firstLine="420" w:firstLineChars="200"/>
        <w:rPr>
          <w:rFonts w:hAnsi="宋体" w:cs="宋体"/>
        </w:rPr>
      </w:pPr>
      <w:r>
        <w:rPr>
          <w:rFonts w:hint="eastAsia" w:hAnsi="宋体" w:cs="宋体"/>
        </w:rPr>
        <w:t>4.提供投标人须知规定的全部投标文件，包括投标文件正本____份，副本____份，电子文档____份，开标一览表（投标报价表、投标保证金）____份。</w:t>
      </w:r>
    </w:p>
    <w:p>
      <w:pPr>
        <w:pStyle w:val="25"/>
        <w:spacing w:line="360" w:lineRule="auto"/>
        <w:ind w:firstLine="420" w:firstLineChars="200"/>
        <w:rPr>
          <w:rFonts w:hAnsi="宋体" w:cs="宋体"/>
        </w:rPr>
      </w:pPr>
      <w:r>
        <w:rPr>
          <w:rFonts w:hint="eastAsia" w:hAnsi="宋体" w:cs="宋体"/>
        </w:rPr>
        <w:t>5.已详细审阅全部招标文件（包括招标文件澄清函），理解投标人须知的所有条款。</w:t>
      </w:r>
    </w:p>
    <w:p>
      <w:pPr>
        <w:pStyle w:val="25"/>
        <w:spacing w:line="360" w:lineRule="auto"/>
        <w:ind w:firstLine="420" w:firstLineChars="200"/>
        <w:rPr>
          <w:rFonts w:hAnsi="宋体" w:cs="宋体"/>
        </w:rPr>
      </w:pPr>
      <w:r>
        <w:rPr>
          <w:rFonts w:hint="eastAsia" w:hAnsi="宋体" w:cs="宋体"/>
        </w:rPr>
        <w:t>6.完全理解贵方“最低报价不能作为中标的保证”的规定。</w:t>
      </w:r>
    </w:p>
    <w:p>
      <w:pPr>
        <w:pStyle w:val="25"/>
        <w:spacing w:line="360" w:lineRule="auto"/>
        <w:ind w:firstLine="420" w:firstLineChars="200"/>
        <w:rPr>
          <w:rFonts w:hAnsi="宋体" w:cs="宋体"/>
        </w:rPr>
      </w:pPr>
      <w:r>
        <w:rPr>
          <w:rFonts w:hint="eastAsia" w:hAnsi="宋体" w:cs="宋体"/>
        </w:rPr>
        <w:t>7.接受招标文件中全部合同条款，且无任何异议；保证忠实地执行双方所签订的合同，并承担合同规定的责任和义务。</w:t>
      </w:r>
    </w:p>
    <w:p>
      <w:pPr>
        <w:pStyle w:val="25"/>
        <w:spacing w:line="360" w:lineRule="auto"/>
        <w:ind w:firstLine="420" w:firstLineChars="200"/>
        <w:rPr>
          <w:rFonts w:hAnsi="宋体" w:cs="宋体"/>
        </w:rPr>
      </w:pPr>
      <w:r>
        <w:rPr>
          <w:rFonts w:hint="eastAsia" w:hAnsi="宋体" w:cs="宋体"/>
        </w:rPr>
        <w:t>8.完全满足和响应招标文件中的各项商务和技术要求，若有偏差，已在投标文件中明确说明。</w:t>
      </w:r>
    </w:p>
    <w:p>
      <w:pPr>
        <w:pStyle w:val="25"/>
        <w:spacing w:line="360" w:lineRule="auto"/>
        <w:ind w:firstLine="420" w:firstLineChars="200"/>
        <w:rPr>
          <w:rFonts w:hAnsi="宋体" w:cs="宋体"/>
        </w:rPr>
      </w:pPr>
      <w:r>
        <w:rPr>
          <w:rFonts w:hint="eastAsia" w:hAnsi="宋体" w:cs="宋体"/>
        </w:rPr>
        <w:t>9.如果在开标后规定的投标有效期内撤回投标，贵方可不予退还我方的投标保证金。</w:t>
      </w:r>
    </w:p>
    <w:p>
      <w:pPr>
        <w:pStyle w:val="25"/>
        <w:spacing w:line="360" w:lineRule="auto"/>
        <w:ind w:firstLine="420" w:firstLineChars="200"/>
        <w:rPr>
          <w:rFonts w:hAnsi="宋体" w:cs="宋体"/>
        </w:rPr>
      </w:pPr>
      <w:r>
        <w:rPr>
          <w:rFonts w:hint="eastAsia" w:hAnsi="宋体" w:cs="宋体"/>
        </w:rPr>
        <w:t>10.愿意提供任何与投标有关的数据、情况和技术资料等。</w:t>
      </w:r>
    </w:p>
    <w:p>
      <w:pPr>
        <w:pStyle w:val="25"/>
        <w:spacing w:line="360" w:lineRule="auto"/>
        <w:ind w:firstLine="420" w:firstLineChars="200"/>
        <w:rPr>
          <w:rFonts w:hAnsi="宋体" w:cs="宋体"/>
        </w:rPr>
      </w:pPr>
      <w:r>
        <w:rPr>
          <w:rFonts w:hint="eastAsia" w:hAnsi="宋体" w:cs="宋体"/>
        </w:rPr>
        <w:t>11.我方已详细审核全部投标文件、参考资料及有关附件，确认无误。</w:t>
      </w:r>
    </w:p>
    <w:p>
      <w:pPr>
        <w:pStyle w:val="25"/>
        <w:spacing w:line="360" w:lineRule="auto"/>
        <w:ind w:firstLine="420" w:firstLineChars="200"/>
        <w:rPr>
          <w:rFonts w:hAnsi="宋体" w:cs="宋体"/>
        </w:rPr>
      </w:pPr>
      <w:r>
        <w:rPr>
          <w:rFonts w:hint="eastAsia" w:hAnsi="宋体" w:cs="宋体"/>
        </w:rPr>
        <w:t>12.对本次采购内容及与本项目有关的知识产权、技术资料、商业秘密及相关信息保密。</w:t>
      </w:r>
    </w:p>
    <w:p>
      <w:pPr>
        <w:pStyle w:val="25"/>
        <w:spacing w:line="360" w:lineRule="auto"/>
        <w:ind w:firstLine="420" w:firstLineChars="200"/>
        <w:rPr>
          <w:rFonts w:hAnsi="宋体" w:cs="宋体"/>
        </w:rPr>
      </w:pPr>
      <w:r>
        <w:rPr>
          <w:rFonts w:hint="eastAsia" w:hAnsi="宋体" w:cs="宋体"/>
        </w:rPr>
        <w:t>13.与采购人无任何的隶属关系或者其他利害关系。</w:t>
      </w:r>
    </w:p>
    <w:p>
      <w:pPr>
        <w:pStyle w:val="25"/>
        <w:spacing w:line="360" w:lineRule="auto"/>
        <w:ind w:firstLine="420" w:firstLineChars="200"/>
        <w:rPr>
          <w:rFonts w:hAnsi="宋体" w:cs="宋体"/>
        </w:rPr>
      </w:pPr>
      <w:r>
        <w:rPr>
          <w:rFonts w:hint="eastAsia" w:hAnsi="宋体" w:cs="宋体"/>
        </w:rPr>
        <w:t>投标人名称：____________投标人公章：____________</w:t>
      </w:r>
    </w:p>
    <w:p>
      <w:pPr>
        <w:pStyle w:val="25"/>
        <w:spacing w:line="360" w:lineRule="auto"/>
        <w:ind w:firstLine="420" w:firstLineChars="200"/>
        <w:rPr>
          <w:rFonts w:hAnsi="宋体" w:cs="宋体"/>
        </w:rPr>
      </w:pPr>
      <w:r>
        <w:rPr>
          <w:rFonts w:hint="eastAsia" w:hAnsi="宋体" w:cs="宋体"/>
        </w:rPr>
        <w:t>投标人地址：____________邮编：____________</w:t>
      </w:r>
    </w:p>
    <w:p>
      <w:pPr>
        <w:pStyle w:val="25"/>
        <w:spacing w:line="360" w:lineRule="auto"/>
        <w:ind w:firstLine="420" w:firstLineChars="200"/>
        <w:rPr>
          <w:rFonts w:hAnsi="宋体" w:cs="宋体"/>
        </w:rPr>
      </w:pPr>
      <w:r>
        <w:rPr>
          <w:rFonts w:hint="eastAsia" w:hAnsi="宋体" w:cs="宋体"/>
        </w:rPr>
        <w:t>电话：____________传真：____________</w:t>
      </w:r>
    </w:p>
    <w:p>
      <w:pPr>
        <w:pStyle w:val="25"/>
        <w:spacing w:line="360" w:lineRule="auto"/>
        <w:ind w:firstLine="420" w:firstLineChars="200"/>
        <w:rPr>
          <w:rFonts w:hAnsi="宋体" w:cs="宋体"/>
        </w:rPr>
      </w:pPr>
      <w:r>
        <w:rPr>
          <w:rFonts w:hint="eastAsia" w:hAnsi="宋体" w:cs="宋体"/>
        </w:rPr>
        <w:t>法定代表人或投标人代表（签字或盖章）：____________</w:t>
      </w:r>
    </w:p>
    <w:p>
      <w:pPr>
        <w:pStyle w:val="25"/>
        <w:spacing w:line="360" w:lineRule="auto"/>
        <w:ind w:firstLine="420" w:firstLineChars="200"/>
        <w:rPr>
          <w:rFonts w:hAnsi="宋体" w:cs="宋体"/>
        </w:rPr>
      </w:pPr>
      <w:r>
        <w:rPr>
          <w:rFonts w:hint="eastAsia" w:hAnsi="宋体" w:cs="宋体"/>
        </w:rPr>
        <w:t>联系电话：____________</w:t>
      </w:r>
    </w:p>
    <w:p>
      <w:pPr>
        <w:pStyle w:val="25"/>
        <w:spacing w:line="360" w:lineRule="auto"/>
        <w:ind w:firstLine="420" w:firstLineChars="200"/>
        <w:rPr>
          <w:rFonts w:hAnsi="宋体" w:cs="宋体"/>
        </w:rPr>
      </w:pPr>
      <w:r>
        <w:rPr>
          <w:rFonts w:hint="eastAsia" w:hAnsi="宋体" w:cs="宋体"/>
        </w:rPr>
        <w:t>日期：________________</w:t>
      </w:r>
    </w:p>
    <w:p>
      <w:pPr>
        <w:pStyle w:val="25"/>
        <w:ind w:firstLine="420" w:firstLineChars="200"/>
        <w:rPr>
          <w:rFonts w:ascii="Times New Roman" w:hAnsi="Times New Roman" w:eastAsia="仿宋_GB2312"/>
        </w:rPr>
      </w:pPr>
    </w:p>
    <w:p>
      <w:pPr>
        <w:pStyle w:val="25"/>
        <w:ind w:firstLine="420" w:firstLineChars="200"/>
        <w:rPr>
          <w:rFonts w:ascii="Times New Roman" w:hAnsi="Times New Roman" w:eastAsia="仿宋_GB2312"/>
        </w:rPr>
        <w:sectPr>
          <w:pgSz w:w="11906" w:h="16838"/>
          <w:pgMar w:top="1304" w:right="1247" w:bottom="1134" w:left="1304" w:header="850" w:footer="850" w:gutter="0"/>
          <w:cols w:space="720" w:num="1"/>
          <w:titlePg/>
          <w:docGrid w:linePitch="324" w:charSpace="0"/>
        </w:sectPr>
      </w:pPr>
    </w:p>
    <w:p>
      <w:pPr>
        <w:pStyle w:val="7"/>
        <w:spacing w:before="120" w:beforeLines="50" w:after="120" w:afterLines="50" w:line="360" w:lineRule="auto"/>
        <w:ind w:firstLine="0" w:firstLineChars="0"/>
        <w:rPr>
          <w:rFonts w:ascii="MingLiU_HKSCS" w:hAnsi="MingLiU_HKSCS" w:eastAsia="MingLiU_HKSCS" w:cs="MingLiU_HKSCS"/>
        </w:rPr>
      </w:pPr>
      <w:r>
        <w:rPr>
          <w:rFonts w:hint="eastAsia"/>
          <w:sz w:val="21"/>
          <w:szCs w:val="21"/>
        </w:rPr>
        <w:t>二、开标一览表</w:t>
      </w:r>
    </w:p>
    <w:p>
      <w:pPr>
        <w:keepNext/>
        <w:keepLines/>
        <w:spacing w:before="120" w:beforeLines="50" w:after="120" w:afterLines="50" w:line="360" w:lineRule="auto"/>
        <w:jc w:val="center"/>
        <w:rPr>
          <w:b/>
          <w:bCs/>
          <w:sz w:val="28"/>
          <w:szCs w:val="28"/>
        </w:rPr>
      </w:pPr>
      <w:r>
        <w:rPr>
          <w:rFonts w:hint="eastAsia"/>
          <w:b/>
          <w:bCs/>
          <w:sz w:val="28"/>
          <w:szCs w:val="28"/>
        </w:rPr>
        <w:t>开标一览表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90"/>
        <w:gridCol w:w="3584"/>
        <w:gridCol w:w="1111"/>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6" w:type="dxa"/>
            <w:vAlign w:val="center"/>
          </w:tcPr>
          <w:p>
            <w:pPr>
              <w:pStyle w:val="25"/>
              <w:jc w:val="center"/>
              <w:rPr>
                <w:rFonts w:hAnsi="宋体" w:cs="宋体"/>
              </w:rPr>
            </w:pPr>
            <w:r>
              <w:rPr>
                <w:rFonts w:hint="eastAsia" w:hAnsi="宋体" w:cs="宋体"/>
              </w:rPr>
              <w:t>序号</w:t>
            </w:r>
          </w:p>
        </w:tc>
        <w:tc>
          <w:tcPr>
            <w:tcW w:w="1690" w:type="dxa"/>
            <w:vAlign w:val="center"/>
          </w:tcPr>
          <w:p>
            <w:pPr>
              <w:pStyle w:val="25"/>
              <w:jc w:val="center"/>
              <w:rPr>
                <w:rFonts w:hAnsi="宋体" w:cs="宋体"/>
              </w:rPr>
            </w:pPr>
            <w:r>
              <w:rPr>
                <w:rFonts w:hint="eastAsia" w:hAnsi="宋体" w:cs="宋体"/>
              </w:rPr>
              <w:t>项目名称</w:t>
            </w:r>
          </w:p>
        </w:tc>
        <w:tc>
          <w:tcPr>
            <w:tcW w:w="3584" w:type="dxa"/>
            <w:vAlign w:val="center"/>
          </w:tcPr>
          <w:p>
            <w:pPr>
              <w:pStyle w:val="25"/>
              <w:jc w:val="center"/>
              <w:rPr>
                <w:rFonts w:hAnsi="宋体" w:cs="宋体"/>
              </w:rPr>
            </w:pPr>
          </w:p>
        </w:tc>
        <w:tc>
          <w:tcPr>
            <w:tcW w:w="1111" w:type="dxa"/>
            <w:vAlign w:val="center"/>
          </w:tcPr>
          <w:p>
            <w:pPr>
              <w:pStyle w:val="25"/>
              <w:jc w:val="center"/>
              <w:rPr>
                <w:rFonts w:hAnsi="宋体" w:cs="宋体"/>
              </w:rPr>
            </w:pPr>
            <w:r>
              <w:rPr>
                <w:rFonts w:hint="eastAsia" w:hAnsi="宋体" w:cs="宋体"/>
              </w:rPr>
              <w:t>项目编号</w:t>
            </w:r>
          </w:p>
        </w:tc>
        <w:tc>
          <w:tcPr>
            <w:tcW w:w="2334" w:type="dxa"/>
            <w:vAlign w:val="center"/>
          </w:tcPr>
          <w:p>
            <w:pPr>
              <w:pStyle w:val="25"/>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06" w:type="dxa"/>
            <w:vAlign w:val="center"/>
          </w:tcPr>
          <w:p>
            <w:pPr>
              <w:pStyle w:val="25"/>
              <w:jc w:val="center"/>
              <w:rPr>
                <w:rFonts w:hAnsi="宋体" w:cs="宋体"/>
              </w:rPr>
            </w:pPr>
            <w:r>
              <w:rPr>
                <w:rFonts w:hint="eastAsia" w:hAnsi="宋体" w:cs="宋体"/>
              </w:rPr>
              <w:t>1</w:t>
            </w:r>
          </w:p>
        </w:tc>
        <w:tc>
          <w:tcPr>
            <w:tcW w:w="1690" w:type="dxa"/>
            <w:vAlign w:val="center"/>
          </w:tcPr>
          <w:p>
            <w:pPr>
              <w:pStyle w:val="25"/>
              <w:jc w:val="center"/>
              <w:rPr>
                <w:rFonts w:hAnsi="宋体" w:cs="宋体"/>
              </w:rPr>
            </w:pPr>
            <w:r>
              <w:rPr>
                <w:rFonts w:hint="eastAsia" w:hAnsi="宋体" w:cs="宋体"/>
              </w:rPr>
              <w:t>所投标分包及分包名称</w:t>
            </w:r>
          </w:p>
        </w:tc>
        <w:tc>
          <w:tcPr>
            <w:tcW w:w="7029" w:type="dxa"/>
            <w:gridSpan w:val="3"/>
            <w:vAlign w:val="center"/>
          </w:tcPr>
          <w:p>
            <w:pPr>
              <w:pStyle w:val="25"/>
              <w:spacing w:line="360" w:lineRule="auto"/>
              <w:jc w:val="lef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06" w:type="dxa"/>
            <w:vAlign w:val="center"/>
          </w:tcPr>
          <w:p>
            <w:pPr>
              <w:pStyle w:val="25"/>
              <w:jc w:val="center"/>
              <w:rPr>
                <w:rFonts w:hAnsi="宋体" w:cs="宋体"/>
              </w:rPr>
            </w:pPr>
            <w:r>
              <w:rPr>
                <w:rFonts w:hAnsi="宋体" w:cs="宋体"/>
              </w:rPr>
              <w:t>2</w:t>
            </w:r>
          </w:p>
        </w:tc>
        <w:tc>
          <w:tcPr>
            <w:tcW w:w="1690" w:type="dxa"/>
            <w:vAlign w:val="center"/>
          </w:tcPr>
          <w:p>
            <w:pPr>
              <w:pStyle w:val="25"/>
              <w:jc w:val="center"/>
              <w:rPr>
                <w:rFonts w:hAnsi="宋体" w:cs="宋体"/>
              </w:rPr>
            </w:pPr>
            <w:r>
              <w:rPr>
                <w:rFonts w:hint="eastAsia" w:hAnsi="宋体" w:cs="宋体"/>
              </w:rPr>
              <w:t>总报价</w:t>
            </w:r>
          </w:p>
        </w:tc>
        <w:tc>
          <w:tcPr>
            <w:tcW w:w="7029" w:type="dxa"/>
            <w:gridSpan w:val="3"/>
            <w:vAlign w:val="center"/>
          </w:tcPr>
          <w:p>
            <w:pPr>
              <w:pStyle w:val="25"/>
              <w:spacing w:line="360" w:lineRule="auto"/>
              <w:jc w:val="left"/>
              <w:rPr>
                <w:rFonts w:hAnsi="宋体" w:cs="宋体"/>
              </w:rPr>
            </w:pPr>
            <w:r>
              <w:rPr>
                <w:rFonts w:hint="eastAsia" w:hAnsi="宋体" w:cs="宋体"/>
              </w:rPr>
              <w:t>大写：人民币</w:t>
            </w:r>
            <w:r>
              <w:rPr>
                <w:rFonts w:hint="eastAsia" w:hAnsi="宋体" w:cs="宋体"/>
                <w:u w:val="single"/>
              </w:rPr>
              <w:t>　              　　　　　</w:t>
            </w:r>
            <w:r>
              <w:rPr>
                <w:rFonts w:hint="eastAsia" w:hAnsi="宋体" w:cs="宋体"/>
              </w:rPr>
              <w:t>元整</w:t>
            </w:r>
          </w:p>
          <w:p>
            <w:pPr>
              <w:pStyle w:val="25"/>
              <w:spacing w:line="360" w:lineRule="auto"/>
              <w:jc w:val="left"/>
              <w:rPr>
                <w:rFonts w:hAnsi="宋体" w:cs="宋体"/>
              </w:rPr>
            </w:pPr>
            <w:r>
              <w:rPr>
                <w:rFonts w:hint="eastAsia" w:hAnsi="宋体" w:cs="宋体"/>
              </w:rPr>
              <w:t>小写：￥</w:t>
            </w:r>
            <w:r>
              <w:rPr>
                <w:rFonts w:hint="eastAsia" w:hAnsi="宋体" w:cs="宋体"/>
                <w:u w:val="single"/>
              </w:rPr>
              <w:t>　　              　　　　　　</w:t>
            </w:r>
            <w:r>
              <w:rPr>
                <w:rFonts w:hint="eastAsia" w:hAnsi="宋体" w:cs="宋体"/>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6" w:type="dxa"/>
            <w:vAlign w:val="center"/>
          </w:tcPr>
          <w:p>
            <w:pPr>
              <w:pStyle w:val="25"/>
              <w:jc w:val="center"/>
              <w:rPr>
                <w:rFonts w:hAnsi="宋体" w:cs="宋体"/>
              </w:rPr>
            </w:pPr>
            <w:r>
              <w:rPr>
                <w:rFonts w:hAnsi="宋体" w:cs="宋体"/>
              </w:rPr>
              <w:t>3</w:t>
            </w:r>
          </w:p>
        </w:tc>
        <w:tc>
          <w:tcPr>
            <w:tcW w:w="1690" w:type="dxa"/>
            <w:vAlign w:val="center"/>
          </w:tcPr>
          <w:p>
            <w:pPr>
              <w:pStyle w:val="25"/>
              <w:jc w:val="center"/>
              <w:rPr>
                <w:rFonts w:hAnsi="宋体" w:cs="宋体"/>
              </w:rPr>
            </w:pPr>
            <w:r>
              <w:rPr>
                <w:rFonts w:hint="eastAsia" w:hAnsi="宋体" w:cs="宋体"/>
              </w:rPr>
              <w:t>服务期</w:t>
            </w:r>
          </w:p>
        </w:tc>
        <w:tc>
          <w:tcPr>
            <w:tcW w:w="7029" w:type="dxa"/>
            <w:gridSpan w:val="3"/>
            <w:vAlign w:val="center"/>
          </w:tcPr>
          <w:p>
            <w:pPr>
              <w:pStyle w:val="25"/>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396" w:type="dxa"/>
            <w:gridSpan w:val="2"/>
            <w:vAlign w:val="center"/>
          </w:tcPr>
          <w:p>
            <w:pPr>
              <w:pStyle w:val="25"/>
              <w:jc w:val="center"/>
              <w:rPr>
                <w:rFonts w:hAnsi="宋体" w:cs="宋体"/>
              </w:rPr>
            </w:pPr>
            <w:r>
              <w:rPr>
                <w:rFonts w:hint="eastAsia" w:hAnsi="宋体" w:cs="宋体"/>
              </w:rPr>
              <w:t>备注</w:t>
            </w:r>
          </w:p>
        </w:tc>
        <w:tc>
          <w:tcPr>
            <w:tcW w:w="7029" w:type="dxa"/>
            <w:gridSpan w:val="3"/>
            <w:vAlign w:val="center"/>
          </w:tcPr>
          <w:p>
            <w:pPr>
              <w:pStyle w:val="25"/>
              <w:jc w:val="center"/>
              <w:rPr>
                <w:rFonts w:hAnsi="宋体" w:cs="宋体"/>
              </w:rPr>
            </w:pPr>
          </w:p>
        </w:tc>
      </w:tr>
    </w:tbl>
    <w:p>
      <w:pPr>
        <w:pStyle w:val="25"/>
        <w:spacing w:line="360" w:lineRule="auto"/>
        <w:rPr>
          <w:rFonts w:hAnsi="宋体" w:cs="宋体"/>
        </w:rPr>
      </w:pPr>
    </w:p>
    <w:p>
      <w:pPr>
        <w:pStyle w:val="25"/>
        <w:spacing w:line="360" w:lineRule="auto"/>
        <w:rPr>
          <w:rFonts w:hAnsi="宋体" w:cs="宋体"/>
        </w:rPr>
      </w:pPr>
      <w:r>
        <w:rPr>
          <w:rFonts w:hint="eastAsia" w:hAnsi="宋体" w:cs="宋体"/>
        </w:rPr>
        <w:t>投标人名称（公章）：________________</w:t>
      </w:r>
    </w:p>
    <w:p>
      <w:pPr>
        <w:pStyle w:val="25"/>
        <w:spacing w:line="360" w:lineRule="auto"/>
        <w:rPr>
          <w:rFonts w:hAnsi="宋体" w:cs="宋体"/>
        </w:rPr>
      </w:pPr>
      <w:r>
        <w:rPr>
          <w:rFonts w:hint="eastAsia" w:hAnsi="宋体" w:cs="宋体"/>
        </w:rPr>
        <w:t>法定代表人或其授权代表签字：________________</w:t>
      </w:r>
    </w:p>
    <w:p>
      <w:pPr>
        <w:pStyle w:val="25"/>
        <w:spacing w:line="360" w:lineRule="auto"/>
        <w:rPr>
          <w:rFonts w:hAnsi="宋体" w:cs="宋体"/>
        </w:rPr>
      </w:pPr>
      <w:r>
        <w:rPr>
          <w:rFonts w:hint="eastAsia" w:hAnsi="宋体" w:cs="宋体"/>
        </w:rPr>
        <w:t>日期：______年______月______日</w:t>
      </w:r>
    </w:p>
    <w:p>
      <w:pPr>
        <w:pStyle w:val="25"/>
        <w:spacing w:line="360" w:lineRule="auto"/>
        <w:ind w:firstLine="420" w:firstLineChars="200"/>
        <w:rPr>
          <w:rFonts w:hAnsi="宋体" w:cs="宋体"/>
        </w:rPr>
      </w:pPr>
    </w:p>
    <w:p>
      <w:pPr>
        <w:pStyle w:val="25"/>
        <w:spacing w:line="360" w:lineRule="auto"/>
        <w:ind w:firstLine="420" w:firstLineChars="200"/>
        <w:rPr>
          <w:rFonts w:hAnsi="宋体" w:cs="宋体"/>
        </w:rPr>
      </w:pPr>
    </w:p>
    <w:p>
      <w:pPr>
        <w:pStyle w:val="25"/>
        <w:spacing w:line="360" w:lineRule="auto"/>
        <w:ind w:firstLine="420" w:firstLineChars="200"/>
        <w:rPr>
          <w:rFonts w:hAnsi="宋体" w:cs="宋体"/>
        </w:rPr>
      </w:pPr>
    </w:p>
    <w:p>
      <w:pPr>
        <w:pStyle w:val="25"/>
        <w:spacing w:line="360" w:lineRule="auto"/>
        <w:rPr>
          <w:rFonts w:ascii="仿宋_GB2312" w:hAnsi="仿宋_GB2312" w:eastAsia="仿宋_GB2312" w:cs="仿宋_GB2312"/>
        </w:rPr>
      </w:pPr>
      <w:r>
        <w:rPr>
          <w:rFonts w:hint="eastAsia" w:ascii="仿宋_GB2312" w:hAnsi="仿宋_GB2312" w:eastAsia="仿宋_GB2312" w:cs="仿宋_GB2312"/>
          <w:b/>
          <w:bCs/>
        </w:rPr>
        <w:t>说明：</w:t>
      </w:r>
      <w:r>
        <w:rPr>
          <w:rFonts w:hint="eastAsia" w:ascii="仿宋_GB2312" w:hAnsi="仿宋_GB2312" w:eastAsia="仿宋_GB2312" w:cs="仿宋_GB2312"/>
        </w:rPr>
        <w:t>授权用投标专用章的，与公章具有相同法律效力。</w:t>
      </w:r>
    </w:p>
    <w:p>
      <w:pPr>
        <w:pStyle w:val="25"/>
        <w:ind w:firstLine="420" w:firstLineChars="200"/>
        <w:rPr>
          <w:rFonts w:ascii="MingLiU_HKSCS" w:hAnsi="MingLiU_HKSCS" w:eastAsia="MingLiU_HKSCS" w:cs="MingLiU_HKSCS"/>
        </w:rPr>
      </w:pPr>
    </w:p>
    <w:p>
      <w:pPr>
        <w:pStyle w:val="25"/>
        <w:ind w:firstLine="420" w:firstLineChars="200"/>
        <w:rPr>
          <w:rFonts w:ascii="Times New Roman" w:hAnsi="Times New Roman"/>
        </w:rPr>
      </w:pPr>
    </w:p>
    <w:p>
      <w:pPr>
        <w:pStyle w:val="25"/>
        <w:ind w:firstLine="420" w:firstLineChars="200"/>
        <w:rPr>
          <w:rFonts w:ascii="Times New Roman" w:hAnsi="Times New Roman"/>
        </w:rPr>
      </w:pPr>
    </w:p>
    <w:p>
      <w:pPr>
        <w:pStyle w:val="25"/>
        <w:ind w:firstLine="420" w:firstLineChars="200"/>
        <w:rPr>
          <w:rFonts w:ascii="Times New Roman" w:hAnsi="Times New Roman"/>
        </w:rPr>
      </w:pPr>
    </w:p>
    <w:p>
      <w:pPr>
        <w:pStyle w:val="25"/>
        <w:ind w:firstLine="420" w:firstLineChars="200"/>
        <w:rPr>
          <w:rFonts w:ascii="Times New Roman" w:hAnsi="Times New Roman"/>
        </w:rPr>
      </w:pPr>
    </w:p>
    <w:p>
      <w:pPr>
        <w:pStyle w:val="25"/>
        <w:ind w:firstLine="420" w:firstLineChars="200"/>
        <w:rPr>
          <w:rFonts w:ascii="Times New Roman" w:hAnsi="Times New Roman"/>
        </w:rPr>
      </w:pPr>
    </w:p>
    <w:p>
      <w:pPr>
        <w:pStyle w:val="25"/>
        <w:ind w:firstLine="420" w:firstLineChars="200"/>
        <w:rPr>
          <w:rFonts w:ascii="Times New Roman" w:hAnsi="Times New Roman"/>
        </w:rPr>
        <w:sectPr>
          <w:pgSz w:w="11906" w:h="16838"/>
          <w:pgMar w:top="1304" w:right="1247" w:bottom="1134" w:left="1304" w:header="850" w:footer="850" w:gutter="0"/>
          <w:cols w:space="720" w:num="1"/>
          <w:titlePg/>
          <w:docGrid w:linePitch="324" w:charSpace="0"/>
        </w:sectPr>
      </w:pPr>
    </w:p>
    <w:p>
      <w:pPr>
        <w:pStyle w:val="7"/>
        <w:spacing w:before="120" w:beforeLines="50" w:after="120" w:afterLines="50" w:line="360" w:lineRule="auto"/>
        <w:ind w:firstLine="0" w:firstLineChars="0"/>
        <w:rPr>
          <w:sz w:val="21"/>
          <w:szCs w:val="21"/>
        </w:rPr>
      </w:pPr>
      <w:r>
        <w:rPr>
          <w:rFonts w:hint="eastAsia"/>
          <w:sz w:val="21"/>
          <w:szCs w:val="21"/>
        </w:rPr>
        <w:t>三、分项价格表</w:t>
      </w:r>
    </w:p>
    <w:p>
      <w:pPr>
        <w:pStyle w:val="25"/>
        <w:ind w:firstLine="562" w:firstLineChars="200"/>
        <w:jc w:val="center"/>
        <w:rPr>
          <w:rFonts w:ascii="Calibri" w:hAnsi="Calibri"/>
          <w:b/>
          <w:bCs/>
          <w:sz w:val="28"/>
          <w:szCs w:val="28"/>
        </w:rPr>
      </w:pPr>
      <w:r>
        <w:rPr>
          <w:rFonts w:hint="eastAsia" w:ascii="Calibri" w:hAnsi="Calibri"/>
          <w:b/>
          <w:bCs/>
          <w:sz w:val="28"/>
          <w:szCs w:val="28"/>
        </w:rPr>
        <w:t>分项价格表</w:t>
      </w:r>
    </w:p>
    <w:p>
      <w:pPr>
        <w:pStyle w:val="25"/>
        <w:rPr>
          <w:rFonts w:ascii="Times New Roman" w:hAnsi="Times New Roman"/>
        </w:rPr>
      </w:pPr>
    </w:p>
    <w:p>
      <w:pPr>
        <w:pStyle w:val="25"/>
        <w:spacing w:after="120" w:afterLines="50"/>
        <w:rPr>
          <w:rFonts w:ascii="Times New Roman" w:hAnsi="Times New Roman" w:eastAsia="MingLiU_HKSCS"/>
        </w:rPr>
      </w:pPr>
      <w:r>
        <w:rPr>
          <w:rFonts w:hint="eastAsia" w:ascii="Times New Roman" w:hAnsi="Times New Roman"/>
        </w:rPr>
        <w:t>项目名称：</w:t>
      </w:r>
      <w:r>
        <w:rPr>
          <w:rFonts w:ascii="Times New Roman" w:hAnsi="Times New Roman"/>
        </w:rPr>
        <w:t>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项目编号：_</w:t>
      </w:r>
      <w:r>
        <w:rPr>
          <w:rFonts w:ascii="Times New Roman" w:hAnsi="Times New Roman"/>
        </w:rPr>
        <w:t>______________________</w:t>
      </w:r>
    </w:p>
    <w:p>
      <w:pPr>
        <w:pStyle w:val="25"/>
        <w:spacing w:after="120" w:afterLines="50"/>
        <w:rPr>
          <w:rFonts w:ascii="Times New Roman" w:hAnsi="Times New Roman"/>
        </w:rPr>
      </w:pPr>
      <w:r>
        <w:rPr>
          <w:rFonts w:hint="eastAsia" w:ascii="Times New Roman" w:hAnsi="Times New Roman"/>
        </w:rPr>
        <w:t>包号及名称：</w:t>
      </w:r>
      <w:r>
        <w:rPr>
          <w:rFonts w:ascii="Times New Roman" w:hAnsi="Times New Roman"/>
        </w:rPr>
        <w:t>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金额单位：元</w:t>
      </w:r>
    </w:p>
    <w:tbl>
      <w:tblPr>
        <w:tblStyle w:val="45"/>
        <w:tblpPr w:leftFromText="180" w:rightFromText="180" w:vertAnchor="text" w:horzAnchor="page" w:tblpX="1340" w:tblpY="368"/>
        <w:tblOverlap w:val="never"/>
        <w:tblW w:w="93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470"/>
        <w:gridCol w:w="836"/>
        <w:gridCol w:w="837"/>
        <w:gridCol w:w="836"/>
        <w:gridCol w:w="1255"/>
        <w:gridCol w:w="1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序号</w:t>
            </w:r>
          </w:p>
        </w:tc>
        <w:tc>
          <w:tcPr>
            <w:tcW w:w="3470"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分项名称</w:t>
            </w:r>
          </w:p>
        </w:tc>
        <w:tc>
          <w:tcPr>
            <w:tcW w:w="836"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单位</w:t>
            </w:r>
          </w:p>
        </w:tc>
        <w:tc>
          <w:tcPr>
            <w:tcW w:w="837"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数量</w:t>
            </w:r>
          </w:p>
        </w:tc>
        <w:tc>
          <w:tcPr>
            <w:tcW w:w="836"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单价</w:t>
            </w:r>
          </w:p>
        </w:tc>
        <w:tc>
          <w:tcPr>
            <w:tcW w:w="1255"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总价</w:t>
            </w:r>
          </w:p>
        </w:tc>
        <w:tc>
          <w:tcPr>
            <w:tcW w:w="1279"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w:t>
            </w:r>
          </w:p>
        </w:tc>
        <w:tc>
          <w:tcPr>
            <w:tcW w:w="3470"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安全零信任系统</w:t>
            </w: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p>
        </w:tc>
        <w:tc>
          <w:tcPr>
            <w:tcW w:w="3470" w:type="dxa"/>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应用发布系统</w:t>
            </w: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w:t>
            </w:r>
          </w:p>
        </w:tc>
        <w:tc>
          <w:tcPr>
            <w:tcW w:w="3470" w:type="dxa"/>
            <w:vAlign w:val="center"/>
          </w:tcPr>
          <w:p>
            <w:pPr>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应用主机安全防御及安全补丁升级平台</w:t>
            </w: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w:t>
            </w:r>
          </w:p>
        </w:tc>
        <w:tc>
          <w:tcPr>
            <w:tcW w:w="3470"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数据库审计防火墙</w:t>
            </w: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w:t>
            </w:r>
          </w:p>
        </w:tc>
        <w:tc>
          <w:tcPr>
            <w:tcW w:w="3470" w:type="dxa"/>
            <w:vAlign w:val="center"/>
          </w:tcPr>
          <w:p>
            <w:pPr>
              <w:rPr>
                <w:rFonts w:ascii="宋体" w:hAnsi="宋体" w:cs="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数据监控大数据分析系统</w:t>
            </w: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w:t>
            </w:r>
          </w:p>
        </w:tc>
        <w:tc>
          <w:tcPr>
            <w:tcW w:w="3470" w:type="dxa"/>
            <w:vAlign w:val="center"/>
          </w:tcPr>
          <w:p>
            <w:pPr>
              <w:rPr>
                <w:rFonts w:ascii="宋体" w:hAnsi="宋体" w:cs="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数据库操作日志审计设备</w:t>
            </w: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w:t>
            </w:r>
          </w:p>
        </w:tc>
        <w:tc>
          <w:tcPr>
            <w:tcW w:w="3470" w:type="dxa"/>
            <w:vAlign w:val="center"/>
          </w:tcPr>
          <w:p>
            <w:pPr>
              <w:rPr>
                <w:rFonts w:ascii="宋体" w:hAnsi="宋体" w:cs="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态势感知驻场运维服务</w:t>
            </w: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w:t>
            </w:r>
          </w:p>
        </w:tc>
        <w:tc>
          <w:tcPr>
            <w:tcW w:w="3470" w:type="dxa"/>
            <w:vAlign w:val="center"/>
          </w:tcPr>
          <w:p>
            <w:pPr>
              <w:rPr>
                <w:rFonts w:ascii="宋体" w:hAnsi="宋体" w:cs="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网络可视化设备</w:t>
            </w: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w:t>
            </w:r>
          </w:p>
        </w:tc>
        <w:tc>
          <w:tcPr>
            <w:tcW w:w="3470" w:type="dxa"/>
            <w:vAlign w:val="center"/>
          </w:tcPr>
          <w:p>
            <w:pPr>
              <w:rPr>
                <w:rFonts w:ascii="宋体" w:hAnsi="宋体" w:cs="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数据水印标记系统</w:t>
            </w: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Align w:val="center"/>
          </w:tcPr>
          <w:p>
            <w:pPr>
              <w:pStyle w:val="25"/>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合计</w:t>
            </w:r>
          </w:p>
        </w:tc>
        <w:tc>
          <w:tcPr>
            <w:tcW w:w="3470"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7"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836"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55" w:type="dxa"/>
            <w:vAlign w:val="center"/>
          </w:tcPr>
          <w:p>
            <w:pPr>
              <w:pStyle w:val="25"/>
              <w:spacing w:line="360" w:lineRule="auto"/>
              <w:jc w:val="center"/>
              <w:rPr>
                <w:rFonts w:hAnsi="宋体" w:cs="宋体"/>
                <w:color w:val="000000" w:themeColor="text1"/>
                <w14:textFill>
                  <w14:solidFill>
                    <w14:schemeClr w14:val="tx1"/>
                  </w14:solidFill>
                </w14:textFill>
              </w:rPr>
            </w:pPr>
          </w:p>
        </w:tc>
        <w:tc>
          <w:tcPr>
            <w:tcW w:w="1279" w:type="dxa"/>
            <w:vAlign w:val="center"/>
          </w:tcPr>
          <w:p>
            <w:pPr>
              <w:pStyle w:val="25"/>
              <w:spacing w:line="360" w:lineRule="auto"/>
              <w:jc w:val="center"/>
              <w:rPr>
                <w:rFonts w:hAnsi="宋体" w:cs="宋体"/>
                <w:color w:val="000000" w:themeColor="text1"/>
                <w14:textFill>
                  <w14:solidFill>
                    <w14:schemeClr w14:val="tx1"/>
                  </w14:solidFill>
                </w14:textFill>
              </w:rPr>
            </w:pPr>
          </w:p>
        </w:tc>
      </w:tr>
    </w:tbl>
    <w:p>
      <w:pPr>
        <w:pStyle w:val="25"/>
        <w:spacing w:before="120" w:beforeLines="50" w:line="380" w:lineRule="exact"/>
        <w:rPr>
          <w:rFonts w:ascii="Times New Roman" w:hAnsi="Times New Roman"/>
        </w:rPr>
      </w:pPr>
      <w:r>
        <w:rPr>
          <w:rFonts w:hint="eastAsia" w:ascii="Times New Roman" w:hAnsi="Times New Roman"/>
          <w:b/>
          <w:bCs/>
        </w:rPr>
        <w:t>备注：</w:t>
      </w:r>
      <w:r>
        <w:rPr>
          <w:rFonts w:hint="eastAsia" w:ascii="Times New Roman" w:hAnsi="Times New Roman"/>
        </w:rPr>
        <w:t>1、分项价格明细报价应当按第六章采购需求“四、技术规格、参数与要求”中所列分项</w:t>
      </w:r>
      <w:r>
        <w:rPr>
          <w:rFonts w:hint="eastAsia" w:hAnsi="宋体" w:cs="仿宋体"/>
          <w:kern w:val="0"/>
        </w:rPr>
        <w:t>内容</w:t>
      </w:r>
      <w:r>
        <w:rPr>
          <w:rFonts w:hint="eastAsia" w:ascii="Times New Roman" w:hAnsi="Times New Roman"/>
        </w:rPr>
        <w:t>进行明细报价，</w:t>
      </w:r>
      <w:r>
        <w:rPr>
          <w:rFonts w:hint="eastAsia" w:hAnsi="宋体" w:cs="MingLiU_HKSCS"/>
        </w:rPr>
        <w:t>不得填报“零”报价，</w:t>
      </w:r>
      <w:r>
        <w:rPr>
          <w:rFonts w:hint="eastAsia" w:hAnsi="宋体" w:cs="仿宋体"/>
          <w:b/>
          <w:bCs/>
          <w:kern w:val="0"/>
        </w:rPr>
        <w:t>否则投标无效</w:t>
      </w:r>
      <w:r>
        <w:rPr>
          <w:rFonts w:hint="eastAsia" w:hAnsi="宋体" w:cs="MingLiU_HKSCS"/>
        </w:rPr>
        <w:t>。</w:t>
      </w:r>
    </w:p>
    <w:p>
      <w:pPr>
        <w:pStyle w:val="25"/>
        <w:spacing w:line="380" w:lineRule="exact"/>
        <w:ind w:firstLine="630" w:firstLineChars="300"/>
        <w:rPr>
          <w:rFonts w:ascii="Times New Roman" w:hAnsi="Times New Roman"/>
        </w:rPr>
      </w:pPr>
      <w:r>
        <w:rPr>
          <w:rFonts w:hint="eastAsia" w:ascii="Times New Roman" w:hAnsi="Times New Roman"/>
        </w:rPr>
        <w:t>2、表格中合计金额应当与开标一览表总报价一致。</w:t>
      </w:r>
    </w:p>
    <w:p>
      <w:pPr>
        <w:pStyle w:val="25"/>
        <w:spacing w:line="380" w:lineRule="exact"/>
        <w:rPr>
          <w:rFonts w:ascii="Times New Roman" w:hAnsi="Times New Roman"/>
        </w:rPr>
      </w:pPr>
    </w:p>
    <w:p>
      <w:pPr>
        <w:pStyle w:val="25"/>
        <w:spacing w:before="120" w:beforeLines="50" w:line="360" w:lineRule="auto"/>
        <w:rPr>
          <w:rFonts w:hAnsi="宋体" w:cs="宋体"/>
        </w:rPr>
      </w:pPr>
    </w:p>
    <w:p>
      <w:pPr>
        <w:pStyle w:val="25"/>
        <w:spacing w:line="360" w:lineRule="auto"/>
        <w:rPr>
          <w:rFonts w:hAnsi="宋体" w:cs="宋体"/>
        </w:rPr>
      </w:pPr>
      <w:r>
        <w:rPr>
          <w:rFonts w:hint="eastAsia" w:hAnsi="宋体" w:cs="宋体"/>
        </w:rPr>
        <w:t>投标人名称（公章）：________________</w:t>
      </w:r>
    </w:p>
    <w:p>
      <w:pPr>
        <w:pStyle w:val="25"/>
        <w:spacing w:line="360" w:lineRule="auto"/>
        <w:rPr>
          <w:rFonts w:hAnsi="宋体" w:cs="宋体"/>
        </w:rPr>
      </w:pPr>
      <w:r>
        <w:rPr>
          <w:rFonts w:hint="eastAsia" w:hAnsi="宋体" w:cs="宋体"/>
        </w:rPr>
        <w:t>法定代表人或其授权代表签字：________________</w:t>
      </w:r>
    </w:p>
    <w:p>
      <w:pPr>
        <w:pStyle w:val="25"/>
        <w:spacing w:line="360" w:lineRule="auto"/>
        <w:rPr>
          <w:rFonts w:hAnsi="宋体" w:cs="宋体"/>
        </w:rPr>
      </w:pPr>
      <w:r>
        <w:rPr>
          <w:rFonts w:hint="eastAsia" w:hAnsi="宋体" w:cs="宋体"/>
        </w:rPr>
        <w:t>日期：______年______月______日</w:t>
      </w:r>
    </w:p>
    <w:p>
      <w:pPr>
        <w:pStyle w:val="25"/>
        <w:spacing w:line="360" w:lineRule="auto"/>
        <w:ind w:firstLine="420" w:firstLineChars="200"/>
        <w:rPr>
          <w:rFonts w:hAnsi="宋体" w:cs="宋体"/>
        </w:rPr>
      </w:pPr>
    </w:p>
    <w:p>
      <w:pPr>
        <w:pStyle w:val="25"/>
        <w:jc w:val="left"/>
        <w:rPr>
          <w:rFonts w:ascii="仿宋_GB2312" w:hAnsi="仿宋_GB2312" w:eastAsia="仿宋_GB2312" w:cs="仿宋_GB2312"/>
        </w:rPr>
      </w:pPr>
      <w:r>
        <w:rPr>
          <w:rFonts w:hint="eastAsia" w:ascii="Times New Roman" w:hAnsi="Times New Roman" w:eastAsia="仿宋_GB2312"/>
          <w:b/>
          <w:bCs/>
        </w:rPr>
        <w:t>说明：</w:t>
      </w:r>
      <w:r>
        <w:rPr>
          <w:rFonts w:hint="eastAsia" w:ascii="仿宋_GB2312" w:hAnsi="仿宋_GB2312" w:eastAsia="仿宋_GB2312" w:cs="仿宋_GB2312"/>
        </w:rPr>
        <w:t>授权用投标专用章的，与公章具有相同法律效力。</w:t>
      </w:r>
    </w:p>
    <w:p>
      <w:pPr>
        <w:pStyle w:val="25"/>
        <w:ind w:firstLine="420" w:firstLineChars="200"/>
        <w:jc w:val="center"/>
        <w:rPr>
          <w:rFonts w:ascii="仿宋_GB2312" w:hAnsi="仿宋_GB2312" w:eastAsia="仿宋_GB2312" w:cs="仿宋_GB2312"/>
        </w:rPr>
      </w:pPr>
    </w:p>
    <w:p>
      <w:pPr>
        <w:pStyle w:val="25"/>
        <w:ind w:firstLine="420" w:firstLineChars="200"/>
        <w:jc w:val="center"/>
        <w:rPr>
          <w:rFonts w:ascii="仿宋_GB2312" w:hAnsi="仿宋_GB2312" w:eastAsia="仿宋_GB2312" w:cs="仿宋_GB2312"/>
        </w:rPr>
      </w:pPr>
      <w:r>
        <w:rPr>
          <w:rFonts w:ascii="仿宋_GB2312" w:hAnsi="仿宋_GB2312" w:eastAsia="仿宋_GB2312" w:cs="仿宋_GB2312"/>
        </w:rPr>
        <w:br w:type="page"/>
      </w:r>
    </w:p>
    <w:p>
      <w:pPr>
        <w:pStyle w:val="7"/>
        <w:spacing w:before="120" w:beforeLines="50" w:after="120" w:afterLines="50" w:line="360" w:lineRule="auto"/>
        <w:ind w:firstLine="0" w:firstLineChars="0"/>
        <w:rPr>
          <w:sz w:val="21"/>
          <w:szCs w:val="21"/>
        </w:rPr>
        <w:sectPr>
          <w:pgSz w:w="11906" w:h="16838"/>
          <w:pgMar w:top="1304" w:right="1247" w:bottom="1134" w:left="1304" w:header="850" w:footer="850" w:gutter="0"/>
          <w:cols w:space="720" w:num="1"/>
          <w:titlePg/>
          <w:docGrid w:linePitch="324" w:charSpace="0"/>
        </w:sectPr>
      </w:pPr>
    </w:p>
    <w:p>
      <w:pPr>
        <w:pStyle w:val="7"/>
        <w:spacing w:before="120" w:beforeLines="50" w:after="120" w:afterLines="50" w:line="360" w:lineRule="auto"/>
        <w:ind w:firstLine="0" w:firstLineChars="0"/>
        <w:rPr>
          <w:sz w:val="21"/>
          <w:szCs w:val="21"/>
        </w:rPr>
      </w:pPr>
      <w:r>
        <w:rPr>
          <w:rFonts w:hint="eastAsia"/>
          <w:sz w:val="21"/>
          <w:szCs w:val="21"/>
        </w:rPr>
        <w:t>四、商务条款偏离表</w:t>
      </w:r>
    </w:p>
    <w:p>
      <w:pPr>
        <w:pStyle w:val="25"/>
        <w:ind w:firstLine="420" w:firstLineChars="200"/>
        <w:rPr>
          <w:rFonts w:ascii="MingLiU_HKSCS" w:hAnsi="MingLiU_HKSCS" w:eastAsia="MingLiU_HKSCS" w:cs="MingLiU_HKSCS"/>
        </w:rPr>
      </w:pPr>
    </w:p>
    <w:p>
      <w:pPr>
        <w:pStyle w:val="25"/>
        <w:ind w:firstLine="562" w:firstLineChars="200"/>
        <w:jc w:val="center"/>
        <w:rPr>
          <w:rFonts w:ascii="Calibri" w:hAnsi="Calibri"/>
          <w:b/>
          <w:bCs/>
          <w:sz w:val="28"/>
          <w:szCs w:val="28"/>
        </w:rPr>
      </w:pPr>
      <w:r>
        <w:rPr>
          <w:rFonts w:hint="eastAsia" w:ascii="Calibri" w:hAnsi="Calibri"/>
          <w:b/>
          <w:bCs/>
          <w:sz w:val="28"/>
          <w:szCs w:val="28"/>
        </w:rPr>
        <w:t>商务条款偏离表</w:t>
      </w:r>
    </w:p>
    <w:p>
      <w:pPr>
        <w:pStyle w:val="25"/>
        <w:rPr>
          <w:rFonts w:ascii="Times New Roman" w:hAnsi="Times New Roman"/>
        </w:rPr>
      </w:pPr>
    </w:p>
    <w:p>
      <w:pPr>
        <w:pStyle w:val="25"/>
        <w:spacing w:line="380" w:lineRule="exact"/>
        <w:rPr>
          <w:rFonts w:ascii="Times New Roman" w:hAnsi="Times New Roman"/>
        </w:rPr>
      </w:pPr>
      <w:r>
        <w:rPr>
          <w:rFonts w:hint="eastAsia" w:ascii="Times New Roman" w:hAnsi="Times New Roman"/>
        </w:rPr>
        <w:t>项目名称：</w:t>
      </w:r>
      <w:r>
        <w:rPr>
          <w:rFonts w:ascii="Times New Roman" w:hAnsi="Times New Roman"/>
        </w:rPr>
        <w:t>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项目编号：_</w:t>
      </w:r>
      <w:r>
        <w:rPr>
          <w:rFonts w:ascii="Times New Roman" w:hAnsi="Times New Roman"/>
        </w:rPr>
        <w:t>_______________</w:t>
      </w:r>
    </w:p>
    <w:p>
      <w:pPr>
        <w:pStyle w:val="25"/>
        <w:spacing w:line="380" w:lineRule="exact"/>
        <w:rPr>
          <w:rFonts w:ascii="Times New Roman" w:hAnsi="Times New Roman" w:eastAsia="MingLiU_HKSCS"/>
        </w:rPr>
      </w:pPr>
      <w:r>
        <w:rPr>
          <w:rFonts w:hint="eastAsia" w:ascii="Times New Roman" w:hAnsi="Times New Roman"/>
        </w:rPr>
        <w:t>包号及名称：_</w:t>
      </w:r>
      <w:r>
        <w:rPr>
          <w:rFonts w:ascii="Times New Roman" w:hAnsi="Times New Roman"/>
        </w:rPr>
        <w:t>__________________________</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031"/>
        <w:gridCol w:w="2202"/>
        <w:gridCol w:w="2202"/>
        <w:gridCol w:w="915"/>
        <w:gridCol w:w="1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0" w:type="dxa"/>
            <w:vAlign w:val="center"/>
          </w:tcPr>
          <w:p>
            <w:pPr>
              <w:pStyle w:val="25"/>
              <w:jc w:val="center"/>
              <w:rPr>
                <w:rFonts w:ascii="Times New Roman" w:hAnsi="Times New Roman" w:cs="Courier New"/>
              </w:rPr>
            </w:pPr>
            <w:r>
              <w:rPr>
                <w:rFonts w:hint="eastAsia" w:ascii="Times New Roman" w:hAnsi="Times New Roman" w:cs="Courier New"/>
              </w:rPr>
              <w:t>序号</w:t>
            </w:r>
          </w:p>
        </w:tc>
        <w:tc>
          <w:tcPr>
            <w:tcW w:w="2031" w:type="dxa"/>
            <w:vAlign w:val="center"/>
          </w:tcPr>
          <w:p>
            <w:pPr>
              <w:pStyle w:val="25"/>
              <w:jc w:val="center"/>
              <w:rPr>
                <w:rFonts w:ascii="Times New Roman" w:hAnsi="Times New Roman" w:cs="Courier New"/>
              </w:rPr>
            </w:pPr>
            <w:r>
              <w:rPr>
                <w:rFonts w:hint="eastAsia" w:ascii="Times New Roman" w:hAnsi="Times New Roman" w:cs="Courier New"/>
              </w:rPr>
              <w:t>招标文件条目号</w:t>
            </w:r>
          </w:p>
        </w:tc>
        <w:tc>
          <w:tcPr>
            <w:tcW w:w="2202" w:type="dxa"/>
            <w:vAlign w:val="center"/>
          </w:tcPr>
          <w:p>
            <w:pPr>
              <w:pStyle w:val="25"/>
              <w:jc w:val="center"/>
              <w:rPr>
                <w:rFonts w:ascii="Times New Roman" w:hAnsi="Times New Roman" w:cs="Courier New"/>
              </w:rPr>
            </w:pPr>
            <w:r>
              <w:rPr>
                <w:rFonts w:hint="eastAsia" w:ascii="Times New Roman" w:hAnsi="Times New Roman" w:cs="Courier New"/>
              </w:rPr>
              <w:t>招标文件的商务条款</w:t>
            </w:r>
          </w:p>
        </w:tc>
        <w:tc>
          <w:tcPr>
            <w:tcW w:w="2202" w:type="dxa"/>
            <w:vAlign w:val="center"/>
          </w:tcPr>
          <w:p>
            <w:pPr>
              <w:pStyle w:val="25"/>
              <w:jc w:val="center"/>
              <w:rPr>
                <w:rFonts w:ascii="Times New Roman" w:hAnsi="Times New Roman" w:cs="Courier New"/>
              </w:rPr>
            </w:pPr>
            <w:r>
              <w:rPr>
                <w:rFonts w:hint="eastAsia" w:ascii="Times New Roman" w:hAnsi="Times New Roman" w:cs="Courier New"/>
              </w:rPr>
              <w:t>投标文件的商务条款</w:t>
            </w:r>
          </w:p>
        </w:tc>
        <w:tc>
          <w:tcPr>
            <w:tcW w:w="915" w:type="dxa"/>
            <w:vAlign w:val="center"/>
          </w:tcPr>
          <w:p>
            <w:pPr>
              <w:pStyle w:val="25"/>
              <w:jc w:val="center"/>
              <w:rPr>
                <w:rFonts w:ascii="Times New Roman" w:hAnsi="Times New Roman" w:cs="Courier New"/>
              </w:rPr>
            </w:pPr>
            <w:r>
              <w:rPr>
                <w:rFonts w:hint="eastAsia" w:ascii="Times New Roman" w:hAnsi="Times New Roman" w:cs="Courier New"/>
              </w:rPr>
              <w:t>偏离</w:t>
            </w:r>
          </w:p>
        </w:tc>
        <w:tc>
          <w:tcPr>
            <w:tcW w:w="1334" w:type="dxa"/>
            <w:vAlign w:val="center"/>
          </w:tcPr>
          <w:p>
            <w:pPr>
              <w:pStyle w:val="25"/>
              <w:jc w:val="center"/>
              <w:rPr>
                <w:rFonts w:ascii="Times New Roman" w:hAnsi="Times New Roman" w:eastAsia="MingLiU_HKSCS" w:cs="Courier New"/>
              </w:rPr>
            </w:pPr>
            <w:r>
              <w:rPr>
                <w:rFonts w:hint="eastAsia" w:ascii="Times New Roman" w:hAnsi="Times New Roman" w:cs="Courier New"/>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0" w:type="dxa"/>
            <w:vAlign w:val="center"/>
          </w:tcPr>
          <w:p>
            <w:pPr>
              <w:pStyle w:val="25"/>
              <w:jc w:val="center"/>
              <w:rPr>
                <w:rFonts w:ascii="Times New Roman" w:hAnsi="Times New Roman" w:cs="Courier New"/>
              </w:rPr>
            </w:pPr>
          </w:p>
        </w:tc>
        <w:tc>
          <w:tcPr>
            <w:tcW w:w="2031"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334"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0" w:type="dxa"/>
            <w:vAlign w:val="center"/>
          </w:tcPr>
          <w:p>
            <w:pPr>
              <w:pStyle w:val="25"/>
              <w:jc w:val="center"/>
              <w:rPr>
                <w:rFonts w:ascii="Times New Roman" w:hAnsi="Times New Roman" w:cs="Courier New"/>
              </w:rPr>
            </w:pPr>
          </w:p>
        </w:tc>
        <w:tc>
          <w:tcPr>
            <w:tcW w:w="2031"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334"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0" w:type="dxa"/>
            <w:vAlign w:val="center"/>
          </w:tcPr>
          <w:p>
            <w:pPr>
              <w:pStyle w:val="25"/>
              <w:jc w:val="center"/>
              <w:rPr>
                <w:rFonts w:ascii="Times New Roman" w:hAnsi="Times New Roman" w:cs="Courier New"/>
              </w:rPr>
            </w:pPr>
          </w:p>
        </w:tc>
        <w:tc>
          <w:tcPr>
            <w:tcW w:w="2031"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334"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0" w:type="dxa"/>
            <w:vAlign w:val="center"/>
          </w:tcPr>
          <w:p>
            <w:pPr>
              <w:pStyle w:val="25"/>
              <w:jc w:val="center"/>
              <w:rPr>
                <w:rFonts w:ascii="Times New Roman" w:hAnsi="Times New Roman" w:cs="Courier New"/>
              </w:rPr>
            </w:pPr>
          </w:p>
        </w:tc>
        <w:tc>
          <w:tcPr>
            <w:tcW w:w="2031"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334"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0" w:type="dxa"/>
            <w:vAlign w:val="center"/>
          </w:tcPr>
          <w:p>
            <w:pPr>
              <w:pStyle w:val="25"/>
              <w:jc w:val="center"/>
              <w:rPr>
                <w:rFonts w:ascii="Times New Roman" w:hAnsi="Times New Roman" w:cs="Courier New"/>
              </w:rPr>
            </w:pPr>
          </w:p>
        </w:tc>
        <w:tc>
          <w:tcPr>
            <w:tcW w:w="2031"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334"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90" w:type="dxa"/>
            <w:vAlign w:val="center"/>
          </w:tcPr>
          <w:p>
            <w:pPr>
              <w:pStyle w:val="25"/>
              <w:jc w:val="center"/>
              <w:rPr>
                <w:rFonts w:ascii="Times New Roman" w:hAnsi="Times New Roman" w:cs="Courier New"/>
              </w:rPr>
            </w:pPr>
          </w:p>
        </w:tc>
        <w:tc>
          <w:tcPr>
            <w:tcW w:w="2031"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2202"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334" w:type="dxa"/>
            <w:vAlign w:val="center"/>
          </w:tcPr>
          <w:p>
            <w:pPr>
              <w:pStyle w:val="25"/>
              <w:jc w:val="center"/>
              <w:rPr>
                <w:rFonts w:ascii="MingLiU_HKSCS" w:hAnsi="MingLiU_HKSCS" w:eastAsia="MingLiU_HKSCS" w:cs="MingLiU_HKSCS"/>
              </w:rPr>
            </w:pPr>
          </w:p>
        </w:tc>
      </w:tr>
    </w:tbl>
    <w:p>
      <w:pPr>
        <w:pStyle w:val="25"/>
        <w:spacing w:before="120" w:beforeLines="50"/>
        <w:rPr>
          <w:rFonts w:ascii="Times New Roman" w:hAnsi="Times New Roman" w:eastAsia="仿宋_GB2312"/>
        </w:rPr>
      </w:pPr>
      <w:r>
        <w:rPr>
          <w:rFonts w:hint="eastAsia" w:ascii="Times New Roman" w:hAnsi="Times New Roman" w:eastAsia="仿宋_GB2312"/>
          <w:b/>
          <w:bCs/>
        </w:rPr>
        <w:t>备注：</w:t>
      </w:r>
      <w:r>
        <w:rPr>
          <w:rFonts w:hint="eastAsia" w:ascii="Times New Roman" w:hAnsi="Times New Roman" w:eastAsia="仿宋_GB2312"/>
        </w:rPr>
        <w:t>如有偏离项，则必须逐项填列注明正偏离或负偏离；未注明偏离的，视为完全响应。</w:t>
      </w:r>
    </w:p>
    <w:p>
      <w:pPr>
        <w:pStyle w:val="25"/>
        <w:ind w:firstLine="420" w:firstLineChars="200"/>
        <w:rPr>
          <w:rFonts w:ascii="MingLiU_HKSCS" w:hAnsi="MingLiU_HKSCS" w:eastAsia="MingLiU_HKSCS" w:cs="MingLiU_HKSCS"/>
        </w:rPr>
      </w:pPr>
    </w:p>
    <w:p>
      <w:pPr>
        <w:pStyle w:val="25"/>
        <w:ind w:firstLine="420" w:firstLineChars="200"/>
        <w:rPr>
          <w:rFonts w:ascii="仿宋_GB2312" w:hAnsi="仿宋_GB2312" w:eastAsia="仿宋_GB2312" w:cs="仿宋_GB2312"/>
        </w:rPr>
      </w:pPr>
    </w:p>
    <w:p>
      <w:pPr>
        <w:pStyle w:val="25"/>
        <w:spacing w:line="360" w:lineRule="auto"/>
        <w:rPr>
          <w:rFonts w:hAnsi="宋体" w:cs="宋体"/>
        </w:rPr>
      </w:pPr>
      <w:r>
        <w:rPr>
          <w:rFonts w:hint="eastAsia" w:hAnsi="宋体" w:cs="宋体"/>
        </w:rPr>
        <w:t>投标人名称（公章）：________________</w:t>
      </w:r>
    </w:p>
    <w:p>
      <w:pPr>
        <w:pStyle w:val="25"/>
        <w:spacing w:line="360" w:lineRule="auto"/>
        <w:rPr>
          <w:rFonts w:hAnsi="宋体" w:cs="宋体"/>
        </w:rPr>
      </w:pPr>
      <w:r>
        <w:rPr>
          <w:rFonts w:hint="eastAsia" w:hAnsi="宋体" w:cs="宋体"/>
        </w:rPr>
        <w:t>法定代表人或其授权代表签字：________________</w:t>
      </w:r>
    </w:p>
    <w:p>
      <w:pPr>
        <w:pStyle w:val="25"/>
        <w:spacing w:line="360" w:lineRule="auto"/>
        <w:rPr>
          <w:rFonts w:hAnsi="宋体" w:cs="宋体"/>
        </w:rPr>
      </w:pPr>
      <w:r>
        <w:rPr>
          <w:rFonts w:hint="eastAsia" w:hAnsi="宋体" w:cs="宋体"/>
        </w:rPr>
        <w:t>日期：______年______月______日</w:t>
      </w:r>
    </w:p>
    <w:p>
      <w:pPr>
        <w:pStyle w:val="25"/>
        <w:ind w:firstLine="420" w:firstLineChars="200"/>
        <w:rPr>
          <w:rFonts w:hAnsi="宋体" w:cs="宋体"/>
        </w:rPr>
      </w:pPr>
    </w:p>
    <w:p>
      <w:pPr>
        <w:pStyle w:val="25"/>
        <w:ind w:firstLine="420" w:firstLineChars="200"/>
        <w:rPr>
          <w:rFonts w:hAnsi="宋体" w:cs="宋体"/>
        </w:rPr>
      </w:pPr>
    </w:p>
    <w:p>
      <w:pPr>
        <w:pStyle w:val="25"/>
        <w:ind w:firstLine="420" w:firstLineChars="200"/>
        <w:rPr>
          <w:rFonts w:ascii="Times New Roman" w:hAnsi="Times New Roman" w:eastAsia="仿宋_GB2312"/>
        </w:rPr>
      </w:pPr>
    </w:p>
    <w:p>
      <w:pPr>
        <w:pStyle w:val="25"/>
        <w:rPr>
          <w:rFonts w:ascii="Times New Roman" w:hAnsi="Times New Roman" w:eastAsia="MingLiU_HKSCS"/>
        </w:rPr>
      </w:pPr>
      <w:r>
        <w:rPr>
          <w:rFonts w:hint="eastAsia" w:ascii="Times New Roman" w:hAnsi="Times New Roman" w:eastAsia="仿宋_GB2312"/>
          <w:b/>
          <w:bCs/>
        </w:rPr>
        <w:t>说明：</w:t>
      </w:r>
      <w:r>
        <w:rPr>
          <w:rFonts w:hint="eastAsia" w:ascii="Times New Roman" w:hAnsi="Times New Roman" w:eastAsia="仿宋_GB2312"/>
        </w:rPr>
        <w:t>授权用投标专用章的</w:t>
      </w:r>
      <w:r>
        <w:rPr>
          <w:rFonts w:hint="eastAsia" w:hAnsi="宋体" w:cs="MingLiU_HKSCS"/>
        </w:rPr>
        <w:t>，</w:t>
      </w:r>
      <w:r>
        <w:rPr>
          <w:rFonts w:hint="eastAsia" w:ascii="Times New Roman" w:hAnsi="Times New Roman" w:eastAsia="仿宋_GB2312"/>
        </w:rPr>
        <w:t>与公章具有相同法律效力。</w:t>
      </w:r>
    </w:p>
    <w:p>
      <w:pPr>
        <w:pStyle w:val="25"/>
        <w:outlineLvl w:val="3"/>
        <w:rPr>
          <w:rFonts w:hAnsi="宋体" w:cs="宋体"/>
        </w:rPr>
      </w:pPr>
      <w:r>
        <w:rPr>
          <w:rFonts w:ascii="Times New Roman" w:hAnsi="Times New Roman"/>
        </w:rPr>
        <w:br w:type="page"/>
      </w:r>
      <w:r>
        <w:rPr>
          <w:rFonts w:hint="eastAsia" w:hAnsi="宋体" w:cs="宋体"/>
          <w:b/>
          <w:bCs/>
        </w:rPr>
        <w:t>五、投标保证金</w:t>
      </w:r>
      <w:r>
        <w:rPr>
          <w:rFonts w:hint="eastAsia" w:hAnsi="宋体" w:cs="宋体"/>
        </w:rPr>
        <w:t>（示例略）</w:t>
      </w:r>
    </w:p>
    <w:p>
      <w:pPr>
        <w:pStyle w:val="25"/>
        <w:ind w:firstLine="420" w:firstLineChars="200"/>
        <w:rPr>
          <w:rFonts w:ascii="Times New Roman" w:hAnsi="Times New Roman" w:eastAsia="仿宋_GB2312"/>
        </w:rPr>
      </w:pPr>
    </w:p>
    <w:p>
      <w:pPr>
        <w:pStyle w:val="25"/>
        <w:ind w:firstLine="420" w:firstLineChars="200"/>
        <w:rPr>
          <w:rFonts w:ascii="Times New Roman" w:hAnsi="Times New Roman" w:eastAsia="MingLiU_HKSCS"/>
        </w:rPr>
      </w:pPr>
      <w:r>
        <w:rPr>
          <w:rFonts w:hint="eastAsia" w:ascii="Times New Roman" w:hAnsi="Times New Roman" w:eastAsia="仿宋_GB2312"/>
        </w:rPr>
        <w:t>备注：提供付款凭证复印件或金融机构、担保机构出具的保函原件。</w:t>
      </w:r>
    </w:p>
    <w:p>
      <w:pPr>
        <w:pStyle w:val="25"/>
        <w:outlineLvl w:val="3"/>
        <w:rPr>
          <w:rFonts w:hAnsi="宋体" w:cs="宋体"/>
          <w:b/>
          <w:bCs/>
        </w:rPr>
      </w:pPr>
      <w:r>
        <w:rPr>
          <w:rFonts w:ascii="Times New Roman" w:hAnsi="Times New Roman"/>
        </w:rPr>
        <w:br w:type="page"/>
      </w:r>
      <w:r>
        <w:rPr>
          <w:rFonts w:hint="eastAsia" w:hAnsi="宋体" w:cs="宋体"/>
          <w:b/>
          <w:bCs/>
        </w:rPr>
        <w:t>六、</w:t>
      </w:r>
      <w:bookmarkStart w:id="45" w:name="_Hlk24019244"/>
      <w:r>
        <w:rPr>
          <w:rFonts w:hint="eastAsia" w:hAnsi="宋体" w:cs="宋体"/>
          <w:b/>
          <w:bCs/>
        </w:rPr>
        <w:t>提供</w:t>
      </w:r>
      <w:bookmarkEnd w:id="45"/>
      <w:r>
        <w:rPr>
          <w:rFonts w:hint="eastAsia" w:hAnsi="宋体" w:cs="宋体"/>
          <w:b/>
          <w:bCs/>
        </w:rPr>
        <w:t>符合政府采购政策的证明材料</w:t>
      </w:r>
    </w:p>
    <w:p>
      <w:pPr>
        <w:pStyle w:val="25"/>
        <w:rPr>
          <w:rFonts w:hAnsi="宋体" w:cs="宋体"/>
          <w:b/>
          <w:bCs/>
          <w:sz w:val="24"/>
          <w:szCs w:val="24"/>
        </w:rPr>
      </w:pPr>
    </w:p>
    <w:p>
      <w:pPr>
        <w:adjustRightInd w:val="0"/>
        <w:snapToGrid w:val="0"/>
        <w:spacing w:line="360" w:lineRule="auto"/>
        <w:ind w:firstLine="446" w:firstLineChars="200"/>
        <w:rPr>
          <w:rFonts w:ascii="宋体" w:hAnsi="宋体" w:cs="宋体"/>
          <w:b/>
          <w:spacing w:val="6"/>
          <w:kern w:val="0"/>
          <w:szCs w:val="21"/>
        </w:rPr>
      </w:pPr>
      <w:r>
        <w:rPr>
          <w:rFonts w:hint="eastAsia" w:ascii="宋体" w:hAnsi="宋体" w:cs="宋体"/>
          <w:b/>
          <w:spacing w:val="6"/>
          <w:kern w:val="0"/>
          <w:szCs w:val="21"/>
        </w:rPr>
        <w:t>投标人符合第二章第9款规定的，应当提供下列证明资料，并填写相关数据。否则，评审时不予以考虑。</w:t>
      </w:r>
    </w:p>
    <w:p>
      <w:pPr>
        <w:pStyle w:val="25"/>
        <w:rPr>
          <w:rFonts w:hAnsi="宋体" w:cs="宋体"/>
          <w:b/>
          <w:bCs/>
          <w:sz w:val="24"/>
          <w:szCs w:val="24"/>
        </w:rPr>
      </w:pPr>
    </w:p>
    <w:p>
      <w:pPr>
        <w:pStyle w:val="25"/>
        <w:rPr>
          <w:rFonts w:ascii="Times New Roman" w:hAnsi="Times New Roman" w:eastAsia="MingLiU_HKSCS"/>
          <w:b/>
          <w:bCs/>
        </w:rPr>
      </w:pPr>
      <w:r>
        <w:rPr>
          <w:rFonts w:hint="eastAsia" w:ascii="Times New Roman" w:hAnsi="Times New Roman"/>
          <w:b/>
          <w:bCs/>
        </w:rPr>
        <w:t>附件</w:t>
      </w:r>
      <w:r>
        <w:rPr>
          <w:rFonts w:ascii="Times New Roman" w:hAnsi="Times New Roman"/>
          <w:b/>
          <w:bCs/>
        </w:rPr>
        <w:t>6</w:t>
      </w:r>
      <w:r>
        <w:rPr>
          <w:rFonts w:hint="eastAsia" w:ascii="Times New Roman" w:hAnsi="Times New Roman"/>
          <w:b/>
          <w:bCs/>
        </w:rPr>
        <w:t>－</w:t>
      </w:r>
      <w:r>
        <w:rPr>
          <w:rFonts w:ascii="Times New Roman" w:hAnsi="Times New Roman"/>
          <w:b/>
          <w:bCs/>
        </w:rPr>
        <w:t>1</w:t>
      </w:r>
    </w:p>
    <w:p>
      <w:pPr>
        <w:pStyle w:val="25"/>
        <w:ind w:firstLine="482" w:firstLineChars="200"/>
        <w:jc w:val="center"/>
        <w:rPr>
          <w:rFonts w:hAnsi="宋体" w:cs="宋体"/>
          <w:b/>
          <w:bCs/>
          <w:sz w:val="24"/>
          <w:szCs w:val="24"/>
        </w:rPr>
      </w:pPr>
    </w:p>
    <w:p>
      <w:pPr>
        <w:adjustRightInd w:val="0"/>
        <w:snapToGrid w:val="0"/>
        <w:spacing w:line="360" w:lineRule="auto"/>
        <w:jc w:val="center"/>
        <w:rPr>
          <w:rFonts w:ascii="黑体" w:hAnsi="黑体" w:eastAsia="黑体"/>
          <w:b/>
          <w:spacing w:val="6"/>
          <w:sz w:val="28"/>
          <w:szCs w:val="28"/>
        </w:rPr>
      </w:pPr>
      <w:bookmarkStart w:id="46" w:name="_Hlk80796181"/>
      <w:r>
        <w:rPr>
          <w:rFonts w:ascii="黑体" w:hAnsi="黑体" w:eastAsia="黑体"/>
          <w:b/>
          <w:spacing w:val="6"/>
          <w:sz w:val="28"/>
          <w:szCs w:val="28"/>
        </w:rPr>
        <w:t>中小企业声明函（服务）</w:t>
      </w:r>
    </w:p>
    <w:p>
      <w:pPr>
        <w:widowControl/>
        <w:adjustRightInd w:val="0"/>
        <w:snapToGrid w:val="0"/>
        <w:spacing w:line="360" w:lineRule="auto"/>
        <w:jc w:val="center"/>
        <w:rPr>
          <w:rFonts w:ascii="宋体" w:cs="宋体"/>
          <w:b/>
          <w:spacing w:val="6"/>
          <w:kern w:val="0"/>
          <w:szCs w:val="21"/>
        </w:rPr>
      </w:pPr>
      <w:r>
        <w:rPr>
          <w:rFonts w:hint="eastAsia" w:ascii="宋体" w:hAnsi="宋体" w:cs="宋体"/>
          <w:b/>
          <w:spacing w:val="6"/>
          <w:kern w:val="0"/>
          <w:szCs w:val="21"/>
        </w:rPr>
        <w:t>（不满足以下条件的无需填写）</w:t>
      </w:r>
    </w:p>
    <w:p>
      <w:pPr>
        <w:pStyle w:val="25"/>
        <w:ind w:firstLine="482" w:firstLineChars="200"/>
        <w:jc w:val="center"/>
        <w:rPr>
          <w:rFonts w:hAnsi="宋体" w:cs="宋体"/>
          <w:b/>
          <w:bCs/>
          <w:sz w:val="24"/>
          <w:szCs w:val="24"/>
        </w:rPr>
      </w:pPr>
    </w:p>
    <w:p>
      <w:pPr>
        <w:pStyle w:val="25"/>
        <w:spacing w:before="120" w:beforeLines="50" w:line="360" w:lineRule="auto"/>
        <w:ind w:firstLine="420" w:firstLineChars="200"/>
        <w:jc w:val="left"/>
      </w:pPr>
      <w:r>
        <w:t>本公司（联合体）郑重声明，根据《</w:t>
      </w:r>
      <w:bookmarkStart w:id="47" w:name="_Hlk80796084"/>
      <w:r>
        <w:t>政府采购促进中小企业发展管理办法</w:t>
      </w:r>
      <w:bookmarkEnd w:id="47"/>
      <w:r>
        <w:t>》（</w:t>
      </w:r>
      <w:bookmarkStart w:id="48" w:name="_Hlk80796094"/>
      <w:r>
        <w:t>财库﹝2020﹞46号</w:t>
      </w:r>
      <w:bookmarkEnd w:id="48"/>
      <w:r>
        <w:t>）的规定，本公司（联合体）参加</w:t>
      </w:r>
      <w:r>
        <w:rPr>
          <w:rFonts w:hint="eastAsia"/>
        </w:rPr>
        <w:t>_</w:t>
      </w:r>
      <w:r>
        <w:t>_______（单位名称）的</w:t>
      </w:r>
      <w:r>
        <w:rPr>
          <w:rFonts w:hint="eastAsia"/>
        </w:rPr>
        <w:t>_</w:t>
      </w:r>
      <w:r>
        <w:t>__________（项目名称）采购活动，服务全部由符合政策要求的中小企业承接。相关企业（含联合体中的中小企业、签订分包意向协议的中小企业）的具体情况如下：</w:t>
      </w:r>
    </w:p>
    <w:p>
      <w:pPr>
        <w:pStyle w:val="25"/>
        <w:spacing w:before="120" w:beforeLines="50" w:line="360" w:lineRule="auto"/>
        <w:ind w:firstLine="420" w:firstLineChars="200"/>
        <w:jc w:val="left"/>
      </w:pPr>
      <w:r>
        <w:t>1.</w:t>
      </w:r>
      <w:r>
        <w:rPr>
          <w:u w:val="single"/>
        </w:rPr>
        <w:t xml:space="preserve"> （标的名称） </w:t>
      </w:r>
      <w:r>
        <w:t>，属于</w:t>
      </w:r>
      <w:r>
        <w:rPr>
          <w:u w:val="single"/>
        </w:rPr>
        <w:t>（采购文件中明确的所属行业）</w:t>
      </w:r>
      <w:r>
        <w:t>；承接企业为</w:t>
      </w:r>
      <w:r>
        <w:rPr>
          <w:u w:val="single"/>
        </w:rPr>
        <w:t>（企业名称）</w:t>
      </w:r>
      <w:r>
        <w:t>，从业人员___人，营业收入为</w:t>
      </w:r>
      <w:r>
        <w:rPr>
          <w:rFonts w:hint="eastAsia"/>
        </w:rPr>
        <w:t>_</w:t>
      </w:r>
      <w:r>
        <w:t>____万元，资产总额为</w:t>
      </w:r>
      <w:r>
        <w:rPr>
          <w:rFonts w:hint="eastAsia"/>
        </w:rPr>
        <w:t>_</w:t>
      </w:r>
      <w:r>
        <w:t>_____万元，属于</w:t>
      </w:r>
      <w:r>
        <w:rPr>
          <w:u w:val="single"/>
        </w:rPr>
        <w:t>（中型企业、小型企业、微型企业）</w:t>
      </w:r>
      <w:r>
        <w:t>；</w:t>
      </w:r>
    </w:p>
    <w:p>
      <w:pPr>
        <w:pStyle w:val="25"/>
        <w:spacing w:before="120" w:beforeLines="50" w:line="360" w:lineRule="auto"/>
        <w:ind w:firstLine="420" w:firstLineChars="200"/>
        <w:jc w:val="left"/>
      </w:pPr>
      <w:r>
        <w:t>2.</w:t>
      </w:r>
      <w:r>
        <w:rPr>
          <w:u w:val="single"/>
        </w:rPr>
        <w:t xml:space="preserve"> （标的名称） </w:t>
      </w:r>
      <w:r>
        <w:t>，属于</w:t>
      </w:r>
      <w:r>
        <w:rPr>
          <w:u w:val="single"/>
        </w:rPr>
        <w:t>（采购文件中明确的所属行业）</w:t>
      </w:r>
      <w:r>
        <w:t>；承接企业为</w:t>
      </w:r>
      <w:r>
        <w:rPr>
          <w:u w:val="single"/>
        </w:rPr>
        <w:t>（企业名称）</w:t>
      </w:r>
      <w:r>
        <w:t>，从业人员___人，营业收入为</w:t>
      </w:r>
      <w:r>
        <w:rPr>
          <w:rFonts w:hint="eastAsia"/>
        </w:rPr>
        <w:t>_</w:t>
      </w:r>
      <w:r>
        <w:t>____万元，资产总额为</w:t>
      </w:r>
      <w:r>
        <w:rPr>
          <w:rFonts w:hint="eastAsia"/>
        </w:rPr>
        <w:t>_</w:t>
      </w:r>
      <w:r>
        <w:t>_____万元，属于</w:t>
      </w:r>
      <w:r>
        <w:rPr>
          <w:u w:val="single"/>
        </w:rPr>
        <w:t>（中型企业、小型企业、微型企业）</w:t>
      </w:r>
      <w:r>
        <w:t>；</w:t>
      </w:r>
    </w:p>
    <w:p>
      <w:pPr>
        <w:pStyle w:val="25"/>
        <w:spacing w:before="120" w:beforeLines="50" w:line="360" w:lineRule="auto"/>
        <w:ind w:firstLine="420" w:firstLineChars="200"/>
        <w:jc w:val="left"/>
      </w:pPr>
      <w:r>
        <w:rPr>
          <w:rFonts w:hint="eastAsia"/>
        </w:rPr>
        <w:t>……</w:t>
      </w:r>
    </w:p>
    <w:p>
      <w:pPr>
        <w:pStyle w:val="25"/>
        <w:spacing w:before="120" w:beforeLines="50" w:line="360" w:lineRule="auto"/>
        <w:ind w:firstLine="420" w:firstLineChars="200"/>
        <w:jc w:val="left"/>
      </w:pPr>
      <w: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25"/>
        <w:spacing w:before="120" w:beforeLines="50" w:line="360" w:lineRule="auto"/>
        <w:ind w:firstLine="420" w:firstLineChars="200"/>
        <w:jc w:val="left"/>
      </w:pPr>
    </w:p>
    <w:p>
      <w:pPr>
        <w:pStyle w:val="25"/>
        <w:spacing w:before="120" w:beforeLines="50" w:line="360" w:lineRule="auto"/>
        <w:ind w:firstLine="5250" w:firstLineChars="2500"/>
        <w:jc w:val="left"/>
      </w:pPr>
      <w:r>
        <w:t>企业名称（盖章）：</w:t>
      </w:r>
    </w:p>
    <w:p>
      <w:pPr>
        <w:pStyle w:val="25"/>
        <w:spacing w:before="120" w:beforeLines="50" w:line="360" w:lineRule="auto"/>
        <w:ind w:firstLine="5250" w:firstLineChars="2500"/>
        <w:jc w:val="left"/>
      </w:pPr>
      <w:r>
        <w:t>日    期：</w:t>
      </w:r>
    </w:p>
    <w:p>
      <w:pPr>
        <w:pStyle w:val="25"/>
        <w:spacing w:before="120" w:beforeLines="50" w:line="360" w:lineRule="auto"/>
        <w:ind w:firstLine="420" w:firstLineChars="200"/>
        <w:jc w:val="center"/>
        <w:rPr>
          <w:rFonts w:hAnsi="宋体" w:cs="宋体"/>
        </w:rPr>
      </w:pPr>
    </w:p>
    <w:p>
      <w:pPr>
        <w:pStyle w:val="25"/>
        <w:ind w:firstLine="422" w:firstLineChars="200"/>
        <w:rPr>
          <w:rFonts w:ascii="Times New Roman" w:hAnsi="Times New Roman" w:eastAsia="仿宋_GB2312"/>
          <w:b/>
          <w:bCs/>
        </w:rPr>
      </w:pPr>
    </w:p>
    <w:p>
      <w:pPr>
        <w:pStyle w:val="25"/>
        <w:ind w:firstLine="422" w:firstLineChars="200"/>
        <w:rPr>
          <w:rFonts w:ascii="Times New Roman" w:hAnsi="Times New Roman" w:eastAsia="仿宋_GB2312"/>
          <w:b/>
          <w:bCs/>
        </w:rPr>
      </w:pPr>
    </w:p>
    <w:p>
      <w:pPr>
        <w:pStyle w:val="25"/>
        <w:spacing w:line="360" w:lineRule="auto"/>
        <w:rPr>
          <w:rFonts w:ascii="MingLiU_HKSCS" w:hAnsi="MingLiU_HKSCS" w:eastAsia="MingLiU_HKSCS" w:cs="MingLiU_HKSCS"/>
        </w:rPr>
      </w:pPr>
      <w:r>
        <w:rPr>
          <w:rFonts w:hint="eastAsia" w:ascii="Times New Roman" w:hAnsi="Times New Roman" w:eastAsia="仿宋_GB2312"/>
          <w:b/>
          <w:bCs/>
        </w:rPr>
        <w:t>备注：</w:t>
      </w:r>
      <w:r>
        <w:rPr>
          <w:rFonts w:hint="eastAsia" w:ascii="Times New Roman" w:hAnsi="Times New Roman" w:eastAsia="仿宋_GB2312"/>
        </w:rPr>
        <w:t>1、填写前请认真阅读《关于印发中小企业划型标准规定的通知》（</w:t>
      </w:r>
      <w:r>
        <w:rPr>
          <w:rFonts w:ascii="Times New Roman" w:hAnsi="Times New Roman" w:eastAsia="仿宋_GB2312"/>
        </w:rPr>
        <w:t>工信部联企业〔2011〕300号</w:t>
      </w:r>
      <w:r>
        <w:rPr>
          <w:rFonts w:hint="eastAsia" w:ascii="Times New Roman" w:hAnsi="Times New Roman" w:eastAsia="仿宋_GB2312"/>
        </w:rPr>
        <w:t>）和《政府采购促进中小企业发展管理办法》（财库〔2020〕46号）相关规定。</w:t>
      </w:r>
    </w:p>
    <w:p>
      <w:pPr>
        <w:pStyle w:val="25"/>
        <w:spacing w:line="360" w:lineRule="auto"/>
        <w:ind w:firstLine="630" w:firstLineChars="300"/>
        <w:rPr>
          <w:rFonts w:ascii="Times New Roman" w:hAnsi="Times New Roman" w:eastAsia="仿宋_GB2312"/>
        </w:rPr>
      </w:pPr>
      <w:r>
        <w:rPr>
          <w:rFonts w:hint="eastAsia" w:ascii="Times New Roman" w:hAnsi="Times New Roman" w:eastAsia="仿宋_GB2312"/>
        </w:rPr>
        <w:t>2、从业人员、营业收入、资产总额填报上一年度数据，无上一年度数据的新成立企业可不填报。</w:t>
      </w:r>
      <w:bookmarkEnd w:id="46"/>
    </w:p>
    <w:p>
      <w:pPr>
        <w:pStyle w:val="25"/>
        <w:rPr>
          <w:rFonts w:ascii="MingLiU_HKSCS" w:hAnsi="MingLiU_HKSCS" w:cs="MingLiU_HKSCS"/>
        </w:rPr>
      </w:pPr>
    </w:p>
    <w:p/>
    <w:p>
      <w:pPr>
        <w:pStyle w:val="25"/>
        <w:rPr>
          <w:rFonts w:ascii="Times New Roman" w:hAnsi="Times New Roman"/>
          <w:b/>
          <w:bCs/>
        </w:rPr>
      </w:pPr>
      <w:r>
        <w:br w:type="page"/>
      </w:r>
      <w:r>
        <w:rPr>
          <w:rFonts w:hint="eastAsia" w:ascii="Times New Roman" w:hAnsi="Times New Roman"/>
          <w:b/>
          <w:bCs/>
        </w:rPr>
        <w:t>附件</w:t>
      </w:r>
      <w:r>
        <w:rPr>
          <w:rFonts w:ascii="Times New Roman" w:hAnsi="Times New Roman"/>
          <w:b/>
          <w:bCs/>
        </w:rPr>
        <w:t>6</w:t>
      </w:r>
      <w:r>
        <w:rPr>
          <w:rFonts w:hint="eastAsia" w:ascii="Times New Roman" w:hAnsi="Times New Roman"/>
          <w:b/>
          <w:bCs/>
        </w:rPr>
        <w:t>－2　</w:t>
      </w:r>
    </w:p>
    <w:p/>
    <w:p>
      <w:pPr>
        <w:pStyle w:val="280"/>
        <w:ind w:firstLine="562" w:firstLineChars="200"/>
        <w:jc w:val="center"/>
        <w:rPr>
          <w:rFonts w:hAnsi="宋体" w:cs="宋体"/>
          <w:b/>
          <w:bCs/>
          <w:sz w:val="28"/>
          <w:szCs w:val="28"/>
        </w:rPr>
      </w:pPr>
      <w:bookmarkStart w:id="49" w:name="_Toc17730"/>
      <w:r>
        <w:rPr>
          <w:rFonts w:hint="eastAsia" w:hAnsi="宋体" w:cs="宋体"/>
          <w:b/>
          <w:bCs/>
          <w:sz w:val="28"/>
          <w:szCs w:val="28"/>
        </w:rPr>
        <w:t>残疾人福利性单位声明函</w:t>
      </w:r>
    </w:p>
    <w:p>
      <w:pPr>
        <w:spacing w:line="520" w:lineRule="exact"/>
        <w:rPr>
          <w:rFonts w:ascii="仿宋_GB2312" w:eastAsia="仿宋_GB2312"/>
          <w:b/>
          <w:spacing w:val="6"/>
          <w:sz w:val="30"/>
          <w:szCs w:val="30"/>
        </w:rPr>
      </w:pPr>
    </w:p>
    <w:p>
      <w:pPr>
        <w:spacing w:line="48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480" w:lineRule="exact"/>
        <w:ind w:firstLine="444" w:firstLineChars="200"/>
        <w:rPr>
          <w:rFonts w:ascii="宋体" w:hAnsi="宋体" w:cs="宋体"/>
          <w:spacing w:val="6"/>
          <w:szCs w:val="21"/>
        </w:rPr>
      </w:pPr>
    </w:p>
    <w:p>
      <w:pPr>
        <w:pStyle w:val="25"/>
        <w:spacing w:before="120" w:beforeLines="50" w:line="360" w:lineRule="auto"/>
        <w:ind w:firstLine="420" w:firstLineChars="200"/>
        <w:jc w:val="center"/>
        <w:rPr>
          <w:rFonts w:hAnsi="宋体" w:cs="宋体"/>
        </w:rPr>
      </w:pPr>
      <w:r>
        <w:rPr>
          <w:rFonts w:hint="eastAsia" w:hAnsi="宋体" w:cs="宋体"/>
        </w:rPr>
        <w:t>企业名称（公章）：________</w:t>
      </w:r>
    </w:p>
    <w:p>
      <w:pPr>
        <w:pStyle w:val="25"/>
        <w:spacing w:before="120" w:beforeLines="50" w:line="360" w:lineRule="auto"/>
        <w:ind w:firstLine="420" w:firstLineChars="200"/>
        <w:jc w:val="center"/>
        <w:rPr>
          <w:rFonts w:hAnsi="宋体" w:cs="宋体"/>
        </w:rPr>
      </w:pPr>
      <w:r>
        <w:rPr>
          <w:rFonts w:hint="eastAsia" w:hAnsi="宋体" w:cs="宋体"/>
        </w:rPr>
        <w:t xml:space="preserve">                                 日期：________________</w:t>
      </w:r>
    </w:p>
    <w:p>
      <w:pPr>
        <w:autoSpaceDE w:val="0"/>
        <w:autoSpaceDN w:val="0"/>
        <w:adjustRightInd w:val="0"/>
        <w:spacing w:line="480" w:lineRule="exact"/>
        <w:jc w:val="center"/>
        <w:rPr>
          <w:rFonts w:ascii="宋体" w:hAnsi="宋体" w:cs="宋体"/>
          <w:spacing w:val="6"/>
          <w:szCs w:val="21"/>
        </w:rPr>
      </w:pPr>
    </w:p>
    <w:p>
      <w:pPr>
        <w:autoSpaceDE w:val="0"/>
        <w:autoSpaceDN w:val="0"/>
        <w:adjustRightInd w:val="0"/>
        <w:spacing w:line="480" w:lineRule="exact"/>
        <w:jc w:val="center"/>
        <w:rPr>
          <w:rFonts w:ascii="宋体" w:hAnsi="宋体" w:cs="宋体"/>
          <w:spacing w:val="6"/>
          <w:szCs w:val="21"/>
        </w:rPr>
      </w:pPr>
    </w:p>
    <w:p>
      <w:pPr>
        <w:pStyle w:val="25"/>
        <w:rPr>
          <w:rFonts w:ascii="Times New Roman" w:hAnsi="Times New Roman" w:eastAsia="仿宋_GB2312"/>
        </w:rPr>
      </w:pPr>
      <w:r>
        <w:rPr>
          <w:rFonts w:hint="eastAsia" w:ascii="Times New Roman" w:hAnsi="Times New Roman" w:eastAsia="仿宋_GB2312"/>
        </w:rPr>
        <w:t>备注：授权用投标专用章的，与公章具有相同法律效力。</w:t>
      </w:r>
    </w:p>
    <w:p>
      <w:pPr>
        <w:adjustRightInd w:val="0"/>
        <w:snapToGrid w:val="0"/>
        <w:spacing w:before="120" w:beforeLines="50" w:line="360" w:lineRule="auto"/>
        <w:outlineLvl w:val="2"/>
        <w:rPr>
          <w:rFonts w:ascii="宋体" w:hAnsi="宋体"/>
          <w:b/>
          <w:bCs/>
          <w:sz w:val="22"/>
        </w:rPr>
      </w:pPr>
    </w:p>
    <w:p>
      <w:pPr>
        <w:adjustRightInd w:val="0"/>
        <w:snapToGrid w:val="0"/>
        <w:spacing w:before="120" w:beforeLines="50" w:line="360" w:lineRule="auto"/>
        <w:outlineLvl w:val="2"/>
        <w:rPr>
          <w:rFonts w:ascii="宋体" w:hAnsi="宋体"/>
          <w:b/>
          <w:bCs/>
          <w:sz w:val="22"/>
        </w:rPr>
      </w:pPr>
    </w:p>
    <w:p>
      <w:pPr>
        <w:pStyle w:val="25"/>
        <w:rPr>
          <w:rFonts w:ascii="Times New Roman" w:hAnsi="Times New Roman" w:eastAsia="MingLiU_HKSCS"/>
          <w:b/>
          <w:bCs/>
        </w:rPr>
      </w:pPr>
      <w:r>
        <w:rPr>
          <w:rFonts w:hint="eastAsia" w:ascii="Times New Roman" w:hAnsi="Times New Roman"/>
          <w:b/>
          <w:bCs/>
        </w:rPr>
        <w:t>附件</w:t>
      </w:r>
      <w:r>
        <w:rPr>
          <w:rFonts w:ascii="Times New Roman" w:hAnsi="Times New Roman"/>
          <w:b/>
          <w:bCs/>
        </w:rPr>
        <w:t>6</w:t>
      </w:r>
      <w:r>
        <w:rPr>
          <w:rFonts w:hint="eastAsia" w:ascii="Times New Roman" w:hAnsi="Times New Roman"/>
          <w:b/>
          <w:bCs/>
        </w:rPr>
        <w:t>－3　</w:t>
      </w:r>
    </w:p>
    <w:p>
      <w:pPr>
        <w:adjustRightInd w:val="0"/>
        <w:snapToGrid w:val="0"/>
        <w:spacing w:before="120" w:beforeLines="50" w:line="360" w:lineRule="auto"/>
        <w:outlineLvl w:val="2"/>
        <w:rPr>
          <w:rFonts w:ascii="宋体" w:hAnsi="宋体"/>
          <w:b/>
          <w:bCs/>
          <w:sz w:val="22"/>
        </w:rPr>
      </w:pPr>
    </w:p>
    <w:p>
      <w:pPr>
        <w:pStyle w:val="9"/>
        <w:spacing w:after="240" w:line="319" w:lineRule="auto"/>
        <w:jc w:val="center"/>
        <w:rPr>
          <w:rFonts w:ascii="Times New Roman" w:hAnsi="Times New Roman"/>
          <w:sz w:val="28"/>
          <w:szCs w:val="28"/>
        </w:rPr>
      </w:pPr>
      <w:r>
        <w:rPr>
          <w:rFonts w:hint="eastAsia" w:ascii="Times New Roman" w:hAnsi="Times New Roman"/>
          <w:sz w:val="28"/>
          <w:szCs w:val="28"/>
        </w:rPr>
        <w:t>监狱企业证明文件</w:t>
      </w:r>
    </w:p>
    <w:p>
      <w:pPr>
        <w:pStyle w:val="25"/>
        <w:spacing w:line="360" w:lineRule="auto"/>
        <w:jc w:val="left"/>
        <w:rPr>
          <w:rFonts w:ascii="Times New Roman" w:hAnsi="Times New Roman"/>
        </w:rPr>
      </w:pPr>
    </w:p>
    <w:p>
      <w:pPr>
        <w:pStyle w:val="280"/>
        <w:spacing w:line="480" w:lineRule="exact"/>
        <w:ind w:firstLine="420" w:firstLineChars="200"/>
        <w:rPr>
          <w:rFonts w:hAnsi="宋体" w:cs="Times New Roman"/>
        </w:rPr>
      </w:pPr>
      <w:r>
        <w:rPr>
          <w:rFonts w:hint="eastAsia" w:hAnsi="宋体" w:cs="Times New Roman"/>
        </w:rPr>
        <w:t>备注：</w:t>
      </w:r>
      <w:r>
        <w:rPr>
          <w:rFonts w:hAnsi="宋体" w:cs="Times New Roman"/>
        </w:rPr>
        <w:t>1.</w:t>
      </w:r>
      <w:r>
        <w:rPr>
          <w:rFonts w:hint="eastAsia" w:hAnsi="宋体" w:cs="Times New Roman"/>
        </w:rPr>
        <w:t>填写前请认真阅读</w:t>
      </w:r>
      <w:r>
        <w:rPr>
          <w:rFonts w:hAnsi="宋体" w:cs="Times New Roman"/>
        </w:rPr>
        <w:t>《</w:t>
      </w:r>
      <w:r>
        <w:rPr>
          <w:rFonts w:hint="eastAsia" w:hAnsi="宋体" w:cs="Times New Roman"/>
        </w:rPr>
        <w:t>财政部 司法部关于政府采购支持监狱企业发展有关问题的通知</w:t>
      </w:r>
      <w:r>
        <w:rPr>
          <w:rFonts w:hAnsi="宋体" w:cs="Times New Roman"/>
        </w:rPr>
        <w:t>》（财库〔2014〕68号）</w:t>
      </w:r>
      <w:r>
        <w:rPr>
          <w:rFonts w:hint="eastAsia" w:hAnsi="宋体" w:cs="Times New Roman"/>
        </w:rPr>
        <w:t>相关规定。监狱企业参加政府采购活动时，应当提供由省级以上监狱管理局、戒毒管理局（含新疆生产建设兵团）出具的属于监狱企业的证明文件。</w:t>
      </w:r>
    </w:p>
    <w:p>
      <w:pPr>
        <w:pStyle w:val="280"/>
        <w:spacing w:line="480" w:lineRule="exact"/>
        <w:ind w:firstLine="420" w:firstLineChars="200"/>
        <w:rPr>
          <w:rFonts w:hAnsi="宋体" w:cs="Times New Roman"/>
        </w:rPr>
      </w:pPr>
    </w:p>
    <w:p>
      <w:pPr>
        <w:adjustRightInd w:val="0"/>
        <w:snapToGrid w:val="0"/>
        <w:spacing w:before="120" w:beforeLines="50" w:line="360" w:lineRule="auto"/>
        <w:outlineLvl w:val="2"/>
        <w:rPr>
          <w:rFonts w:ascii="宋体" w:hAnsi="宋体"/>
          <w:b/>
          <w:bCs/>
          <w:sz w:val="22"/>
        </w:rPr>
        <w:sectPr>
          <w:pgSz w:w="11906" w:h="16838"/>
          <w:pgMar w:top="1304" w:right="1247" w:bottom="1134" w:left="1304" w:header="850" w:footer="850" w:gutter="0"/>
          <w:cols w:space="720" w:num="1"/>
          <w:titlePg/>
          <w:docGrid w:linePitch="324" w:charSpace="0"/>
        </w:sectPr>
      </w:pPr>
    </w:p>
    <w:p>
      <w:pPr>
        <w:pStyle w:val="25"/>
        <w:rPr>
          <w:rFonts w:ascii="Times New Roman" w:hAnsi="Times New Roman" w:eastAsia="MingLiU_HKSCS"/>
          <w:b/>
          <w:bCs/>
        </w:rPr>
      </w:pPr>
      <w:r>
        <w:rPr>
          <w:rFonts w:hint="eastAsia" w:ascii="Times New Roman" w:hAnsi="Times New Roman"/>
          <w:b/>
          <w:bCs/>
        </w:rPr>
        <w:t>附件</w:t>
      </w:r>
      <w:r>
        <w:rPr>
          <w:rFonts w:ascii="Times New Roman" w:hAnsi="Times New Roman"/>
          <w:b/>
          <w:bCs/>
        </w:rPr>
        <w:t>6</w:t>
      </w:r>
      <w:r>
        <w:rPr>
          <w:rFonts w:hint="eastAsia" w:ascii="Times New Roman" w:hAnsi="Times New Roman"/>
          <w:b/>
          <w:bCs/>
        </w:rPr>
        <w:t>－4　</w:t>
      </w:r>
      <w:r>
        <w:rPr>
          <w:rFonts w:hint="eastAsia" w:hAnsi="宋体"/>
          <w:b/>
          <w:bCs/>
        </w:rPr>
        <w:t>“</w:t>
      </w:r>
      <w:r>
        <w:rPr>
          <w:rFonts w:hint="eastAsia" w:ascii="Times New Roman" w:hAnsi="Times New Roman"/>
          <w:b/>
          <w:bCs/>
        </w:rPr>
        <w:t>节能产品</w:t>
      </w:r>
      <w:r>
        <w:rPr>
          <w:rFonts w:hint="eastAsia" w:hAnsi="宋体"/>
          <w:b/>
          <w:bCs/>
        </w:rPr>
        <w:t>”“</w:t>
      </w:r>
      <w:r>
        <w:rPr>
          <w:rFonts w:hint="eastAsia" w:ascii="Times New Roman" w:hAnsi="Times New Roman"/>
          <w:b/>
          <w:bCs/>
        </w:rPr>
        <w:t>环境标志产品</w:t>
      </w:r>
      <w:r>
        <w:rPr>
          <w:rFonts w:hint="eastAsia" w:hAnsi="宋体"/>
          <w:b/>
          <w:bCs/>
        </w:rPr>
        <w:t>”</w:t>
      </w:r>
      <w:r>
        <w:rPr>
          <w:rFonts w:hint="eastAsia" w:ascii="Times New Roman" w:hAnsi="Times New Roman"/>
          <w:b/>
          <w:bCs/>
        </w:rPr>
        <w:t>等政府采购法律法规规定的其他证明材料文件</w:t>
      </w:r>
    </w:p>
    <w:p>
      <w:pPr>
        <w:pStyle w:val="25"/>
        <w:ind w:firstLine="420" w:firstLineChars="200"/>
        <w:rPr>
          <w:rFonts w:ascii="Times New Roman" w:hAnsi="Times New Roman"/>
        </w:rPr>
      </w:pPr>
    </w:p>
    <w:p>
      <w:pPr>
        <w:pStyle w:val="25"/>
        <w:spacing w:line="400" w:lineRule="exact"/>
        <w:rPr>
          <w:rFonts w:hAnsi="宋体"/>
          <w:b/>
          <w:bCs/>
        </w:rPr>
      </w:pPr>
      <w:r>
        <w:rPr>
          <w:rFonts w:hint="eastAsia" w:hAnsi="宋体"/>
          <w:b/>
          <w:bCs/>
        </w:rPr>
        <w:t>说明：</w:t>
      </w:r>
    </w:p>
    <w:p>
      <w:pPr>
        <w:pStyle w:val="25"/>
        <w:spacing w:line="400" w:lineRule="exact"/>
        <w:ind w:firstLine="420" w:firstLineChars="200"/>
        <w:rPr>
          <w:rFonts w:hAnsi="宋体"/>
        </w:rPr>
      </w:pPr>
      <w:r>
        <w:rPr>
          <w:rFonts w:hAnsi="宋体"/>
        </w:rPr>
        <w:t>1</w:t>
      </w:r>
      <w:r>
        <w:rPr>
          <w:rFonts w:hint="eastAsia" w:hAnsi="宋体"/>
        </w:rPr>
        <w:t>、供应商提供的产品属于《节能产品政府采购品目清单》、《环境标志产品政府采购品目清单》内产品的，应</w:t>
      </w:r>
      <w:r>
        <w:rPr>
          <w:rFonts w:hint="eastAsia" w:hAnsi="宋体" w:cs="宋体"/>
        </w:rPr>
        <w:t>当</w:t>
      </w:r>
      <w:r>
        <w:rPr>
          <w:rFonts w:hint="eastAsia" w:hAnsi="宋体"/>
        </w:rPr>
        <w:t>提供</w:t>
      </w:r>
      <w:r>
        <w:rPr>
          <w:rFonts w:hint="eastAsia" w:hAnsi="宋体"/>
          <w:color w:val="333333"/>
          <w:shd w:val="clear" w:color="auto" w:fill="FFFFFF"/>
        </w:rPr>
        <w:t>国家确定的认证机构出具的、处于有效期之内的节能产品、环境标志产品认证证书复印件</w:t>
      </w:r>
      <w:r>
        <w:rPr>
          <w:rFonts w:hint="eastAsia" w:hAnsi="宋体"/>
        </w:rPr>
        <w:t>，并加盖供应商单位章；</w:t>
      </w:r>
    </w:p>
    <w:p>
      <w:pPr>
        <w:pStyle w:val="25"/>
        <w:spacing w:line="400" w:lineRule="exact"/>
        <w:ind w:firstLine="420" w:firstLineChars="200"/>
        <w:rPr>
          <w:rFonts w:hAnsi="宋体"/>
        </w:rPr>
      </w:pPr>
      <w:r>
        <w:rPr>
          <w:rFonts w:hAnsi="宋体"/>
        </w:rPr>
        <w:t>2</w:t>
      </w:r>
      <w:r>
        <w:rPr>
          <w:rFonts w:hint="eastAsia" w:hAnsi="宋体"/>
        </w:rPr>
        <w:t>、未按上述要求提供证书，并按附页</w:t>
      </w:r>
      <w:r>
        <w:rPr>
          <w:rFonts w:hAnsi="宋体"/>
        </w:rPr>
        <w:t>1</w:t>
      </w:r>
      <w:r>
        <w:rPr>
          <w:rFonts w:hint="eastAsia" w:hAnsi="宋体"/>
        </w:rPr>
        <w:t>提供《</w:t>
      </w:r>
      <w:r>
        <w:rPr>
          <w:rFonts w:hint="eastAsia" w:ascii="黑体" w:hAnsi="宋体"/>
        </w:rPr>
        <w:t>优先采购产品清单》表格的</w:t>
      </w:r>
      <w:r>
        <w:rPr>
          <w:rFonts w:hint="eastAsia" w:hAnsi="宋体"/>
        </w:rPr>
        <w:t>评标时不予以考虑。</w:t>
      </w:r>
    </w:p>
    <w:p>
      <w:pPr>
        <w:pStyle w:val="25"/>
        <w:spacing w:line="400" w:lineRule="exact"/>
        <w:ind w:firstLine="420" w:firstLineChars="200"/>
        <w:rPr>
          <w:rFonts w:hAnsi="宋体"/>
        </w:rPr>
      </w:pPr>
    </w:p>
    <w:p>
      <w:pPr>
        <w:adjustRightInd w:val="0"/>
        <w:snapToGrid w:val="0"/>
        <w:spacing w:before="120" w:beforeLines="50" w:line="360" w:lineRule="auto"/>
        <w:outlineLvl w:val="2"/>
        <w:rPr>
          <w:rFonts w:ascii="宋体" w:hAnsi="宋体"/>
          <w:b/>
          <w:bCs/>
          <w:sz w:val="22"/>
        </w:rPr>
        <w:sectPr>
          <w:pgSz w:w="11906" w:h="16838"/>
          <w:pgMar w:top="1304" w:right="1247" w:bottom="1134" w:left="1304" w:header="850" w:footer="850" w:gutter="0"/>
          <w:cols w:space="720" w:num="1"/>
          <w:titlePg/>
          <w:docGrid w:linePitch="324" w:charSpace="0"/>
        </w:sectPr>
      </w:pPr>
    </w:p>
    <w:p>
      <w:pPr>
        <w:pStyle w:val="7"/>
        <w:ind w:firstLine="0" w:firstLineChars="0"/>
        <w:jc w:val="left"/>
        <w:rPr>
          <w:rFonts w:ascii="宋体" w:hAnsi="宋体"/>
          <w:sz w:val="21"/>
          <w:szCs w:val="21"/>
        </w:rPr>
      </w:pPr>
      <w:bookmarkStart w:id="50" w:name="_Toc24933787"/>
      <w:r>
        <w:rPr>
          <w:rFonts w:hint="eastAsia" w:ascii="宋体" w:hAnsi="宋体" w:cs="宋体"/>
          <w:spacing w:val="6"/>
          <w:kern w:val="0"/>
          <w:sz w:val="21"/>
          <w:szCs w:val="21"/>
        </w:rPr>
        <w:t xml:space="preserve">附页 </w:t>
      </w:r>
      <w:r>
        <w:rPr>
          <w:rFonts w:ascii="宋体" w:hAnsi="宋体" w:cs="宋体"/>
          <w:spacing w:val="6"/>
          <w:kern w:val="0"/>
          <w:sz w:val="21"/>
          <w:szCs w:val="21"/>
        </w:rPr>
        <w:t>1</w:t>
      </w:r>
      <w:r>
        <w:rPr>
          <w:rFonts w:hint="eastAsia" w:ascii="宋体" w:hAnsi="宋体"/>
          <w:sz w:val="21"/>
          <w:szCs w:val="21"/>
        </w:rPr>
        <w:t>优先采购产品清单</w:t>
      </w:r>
      <w:bookmarkEnd w:id="50"/>
    </w:p>
    <w:p>
      <w:pPr>
        <w:pStyle w:val="9"/>
        <w:spacing w:after="240" w:line="319" w:lineRule="auto"/>
        <w:jc w:val="center"/>
        <w:rPr>
          <w:rFonts w:ascii="Times New Roman" w:hAnsi="Times New Roman"/>
          <w:sz w:val="28"/>
          <w:szCs w:val="28"/>
        </w:rPr>
      </w:pPr>
      <w:r>
        <w:rPr>
          <w:rFonts w:hint="eastAsia" w:ascii="Times New Roman" w:hAnsi="Times New Roman"/>
          <w:sz w:val="28"/>
          <w:szCs w:val="28"/>
        </w:rPr>
        <w:t>优先采购产品清单</w:t>
      </w:r>
    </w:p>
    <w:p>
      <w:pPr>
        <w:pStyle w:val="25"/>
        <w:spacing w:line="380" w:lineRule="exact"/>
        <w:rPr>
          <w:rFonts w:ascii="Times New Roman" w:hAnsi="Times New Roman"/>
        </w:rPr>
      </w:pPr>
      <w:r>
        <w:rPr>
          <w:rFonts w:hint="eastAsia" w:ascii="Times New Roman" w:hAnsi="Times New Roman"/>
        </w:rPr>
        <w:t>项目名称：</w:t>
      </w:r>
      <w:r>
        <w:rPr>
          <w:rFonts w:ascii="Times New Roman" w:hAnsi="Times New Roman"/>
        </w:rPr>
        <w:t>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项目编号：_</w:t>
      </w:r>
      <w:r>
        <w:rPr>
          <w:rFonts w:ascii="Times New Roman" w:hAnsi="Times New Roman"/>
        </w:rPr>
        <w:t>_______________</w:t>
      </w:r>
    </w:p>
    <w:p>
      <w:pPr>
        <w:pStyle w:val="25"/>
        <w:spacing w:line="380" w:lineRule="exact"/>
        <w:rPr>
          <w:rFonts w:ascii="Times New Roman" w:hAnsi="Times New Roman" w:eastAsia="MingLiU_HKSCS"/>
        </w:rPr>
      </w:pPr>
      <w:r>
        <w:rPr>
          <w:rFonts w:hint="eastAsia" w:ascii="Times New Roman" w:hAnsi="Times New Roman"/>
        </w:rPr>
        <w:t>包号及名称：_</w:t>
      </w:r>
      <w:r>
        <w:rPr>
          <w:rFonts w:ascii="Times New Roman" w:hAnsi="Times New Roman"/>
        </w:rPr>
        <w:t>__________________________</w:t>
      </w:r>
    </w:p>
    <w:tbl>
      <w:tblPr>
        <w:tblStyle w:val="4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39"/>
        <w:gridCol w:w="1134"/>
        <w:gridCol w:w="1418"/>
        <w:gridCol w:w="1984"/>
        <w:gridCol w:w="25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4" w:hRule="atLeast"/>
        </w:trPr>
        <w:tc>
          <w:tcPr>
            <w:tcW w:w="9483" w:type="dxa"/>
            <w:gridSpan w:val="6"/>
            <w:vAlign w:val="center"/>
          </w:tcPr>
          <w:p>
            <w:pPr>
              <w:widowControl/>
              <w:adjustRightInd w:val="0"/>
              <w:snapToGrid w:val="0"/>
              <w:spacing w:line="340" w:lineRule="exact"/>
              <w:ind w:firstLine="422" w:firstLineChars="200"/>
              <w:jc w:val="left"/>
              <w:rPr>
                <w:rFonts w:ascii="宋体" w:hAnsi="宋体"/>
                <w:b/>
                <w:bCs/>
                <w:kern w:val="0"/>
                <w:szCs w:val="21"/>
              </w:rPr>
            </w:pPr>
            <w:r>
              <w:rPr>
                <w:rFonts w:hint="eastAsia" w:ascii="宋体" w:hAnsi="宋体"/>
                <w:b/>
                <w:bCs/>
                <w:kern w:val="0"/>
                <w:szCs w:val="21"/>
              </w:rPr>
              <w:t>以下为我单位提供的政府采购优先采购产品，我单位对本表的真实性负责。如有虚假，将依法承担相应责任。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71" w:type="dxa"/>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1</w:t>
            </w:r>
          </w:p>
        </w:tc>
        <w:tc>
          <w:tcPr>
            <w:tcW w:w="1739" w:type="dxa"/>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2</w:t>
            </w:r>
          </w:p>
        </w:tc>
        <w:tc>
          <w:tcPr>
            <w:tcW w:w="1134" w:type="dxa"/>
            <w:tcBorders>
              <w:right w:val="single" w:color="auto" w:sz="4" w:space="0"/>
            </w:tcBorders>
            <w:vAlign w:val="center"/>
          </w:tcPr>
          <w:p>
            <w:pPr>
              <w:adjustRightInd w:val="0"/>
              <w:snapToGrid w:val="0"/>
              <w:spacing w:line="340" w:lineRule="exact"/>
              <w:jc w:val="center"/>
              <w:rPr>
                <w:rFonts w:ascii="宋体" w:hAnsi="宋体"/>
                <w:kern w:val="0"/>
                <w:szCs w:val="21"/>
              </w:rPr>
            </w:pPr>
            <w:r>
              <w:rPr>
                <w:rFonts w:hint="eastAsia" w:ascii="宋体" w:hAnsi="宋体"/>
                <w:kern w:val="0"/>
                <w:szCs w:val="21"/>
              </w:rPr>
              <w:t>3</w:t>
            </w:r>
          </w:p>
        </w:tc>
        <w:tc>
          <w:tcPr>
            <w:tcW w:w="1418" w:type="dxa"/>
            <w:tcBorders>
              <w:left w:val="single" w:color="auto" w:sz="4" w:space="0"/>
            </w:tcBorders>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4</w:t>
            </w:r>
          </w:p>
        </w:tc>
        <w:tc>
          <w:tcPr>
            <w:tcW w:w="1984" w:type="dxa"/>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5</w:t>
            </w:r>
          </w:p>
        </w:tc>
        <w:tc>
          <w:tcPr>
            <w:tcW w:w="2537" w:type="dxa"/>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1" w:type="dxa"/>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序号</w:t>
            </w:r>
          </w:p>
        </w:tc>
        <w:tc>
          <w:tcPr>
            <w:tcW w:w="1739" w:type="dxa"/>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货物名称</w:t>
            </w:r>
          </w:p>
        </w:tc>
        <w:tc>
          <w:tcPr>
            <w:tcW w:w="1134" w:type="dxa"/>
            <w:tcBorders>
              <w:right w:val="single" w:color="auto" w:sz="4" w:space="0"/>
            </w:tcBorders>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规格型号</w:t>
            </w:r>
          </w:p>
        </w:tc>
        <w:tc>
          <w:tcPr>
            <w:tcW w:w="1418" w:type="dxa"/>
            <w:tcBorders>
              <w:left w:val="single" w:color="auto" w:sz="4" w:space="0"/>
            </w:tcBorders>
            <w:vAlign w:val="center"/>
          </w:tcPr>
          <w:p>
            <w:pPr>
              <w:adjustRightInd w:val="0"/>
              <w:snapToGrid w:val="0"/>
              <w:spacing w:line="340" w:lineRule="exact"/>
              <w:jc w:val="center"/>
              <w:rPr>
                <w:rFonts w:ascii="宋体" w:hAnsi="宋体"/>
                <w:kern w:val="0"/>
                <w:szCs w:val="21"/>
              </w:rPr>
            </w:pPr>
            <w:r>
              <w:rPr>
                <w:rFonts w:hint="eastAsia" w:ascii="宋体" w:hAnsi="宋体"/>
                <w:kern w:val="0"/>
                <w:szCs w:val="21"/>
              </w:rPr>
              <w:t>价格（元）</w:t>
            </w:r>
          </w:p>
        </w:tc>
        <w:tc>
          <w:tcPr>
            <w:tcW w:w="1984" w:type="dxa"/>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货物制造商名称</w:t>
            </w:r>
          </w:p>
        </w:tc>
        <w:tc>
          <w:tcPr>
            <w:tcW w:w="2537" w:type="dxa"/>
            <w:vAlign w:val="center"/>
          </w:tcPr>
          <w:p>
            <w:pPr>
              <w:widowControl/>
              <w:adjustRightInd w:val="0"/>
              <w:snapToGrid w:val="0"/>
              <w:spacing w:line="340" w:lineRule="exact"/>
              <w:jc w:val="center"/>
              <w:rPr>
                <w:rFonts w:ascii="宋体" w:hAnsi="宋体"/>
                <w:kern w:val="0"/>
                <w:szCs w:val="21"/>
              </w:rPr>
            </w:pPr>
            <w:r>
              <w:rPr>
                <w:rFonts w:hint="eastAsia" w:ascii="宋体" w:hAnsi="宋体"/>
                <w:kern w:val="0"/>
                <w:szCs w:val="21"/>
              </w:rPr>
              <w:t>政策功能编码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9483" w:type="dxa"/>
            <w:gridSpan w:val="6"/>
            <w:vAlign w:val="center"/>
          </w:tcPr>
          <w:p>
            <w:pPr>
              <w:adjustRightInd w:val="0"/>
              <w:snapToGrid w:val="0"/>
              <w:spacing w:line="340" w:lineRule="exact"/>
              <w:jc w:val="left"/>
              <w:rPr>
                <w:rFonts w:ascii="宋体" w:hAnsi="宋体"/>
                <w:b/>
                <w:szCs w:val="21"/>
              </w:rPr>
            </w:pPr>
            <w:r>
              <w:rPr>
                <w:rFonts w:hint="eastAsia" w:ascii="宋体" w:hAnsi="宋体"/>
                <w:b/>
                <w:szCs w:val="21"/>
              </w:rPr>
              <w:t>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40" w:lineRule="exact"/>
              <w:jc w:val="center"/>
              <w:rPr>
                <w:rFonts w:ascii="宋体" w:hAnsi="宋体"/>
                <w:b/>
                <w:szCs w:val="21"/>
              </w:rPr>
            </w:pPr>
          </w:p>
        </w:tc>
        <w:tc>
          <w:tcPr>
            <w:tcW w:w="1739" w:type="dxa"/>
            <w:vAlign w:val="center"/>
          </w:tcPr>
          <w:p>
            <w:pPr>
              <w:adjustRightInd w:val="0"/>
              <w:snapToGrid w:val="0"/>
              <w:spacing w:line="340" w:lineRule="exact"/>
              <w:jc w:val="center"/>
              <w:rPr>
                <w:rFonts w:ascii="宋体" w:hAnsi="宋体"/>
                <w:b/>
                <w:szCs w:val="21"/>
              </w:rPr>
            </w:pPr>
          </w:p>
        </w:tc>
        <w:tc>
          <w:tcPr>
            <w:tcW w:w="1134" w:type="dxa"/>
            <w:tcBorders>
              <w:right w:val="single" w:color="auto" w:sz="4" w:space="0"/>
            </w:tcBorders>
            <w:vAlign w:val="center"/>
          </w:tcPr>
          <w:p>
            <w:pPr>
              <w:adjustRightInd w:val="0"/>
              <w:snapToGrid w:val="0"/>
              <w:spacing w:line="340" w:lineRule="exact"/>
              <w:jc w:val="left"/>
              <w:rPr>
                <w:rFonts w:ascii="宋体" w:hAnsi="宋体"/>
                <w:b/>
                <w:szCs w:val="21"/>
              </w:rPr>
            </w:pPr>
          </w:p>
        </w:tc>
        <w:tc>
          <w:tcPr>
            <w:tcW w:w="1418" w:type="dxa"/>
            <w:tcBorders>
              <w:left w:val="single" w:color="auto" w:sz="4" w:space="0"/>
            </w:tcBorders>
            <w:vAlign w:val="center"/>
          </w:tcPr>
          <w:p>
            <w:pPr>
              <w:adjustRightInd w:val="0"/>
              <w:snapToGrid w:val="0"/>
              <w:spacing w:line="340" w:lineRule="exact"/>
              <w:jc w:val="left"/>
              <w:rPr>
                <w:rFonts w:ascii="宋体" w:hAnsi="宋体"/>
                <w:b/>
                <w:szCs w:val="21"/>
              </w:rPr>
            </w:pPr>
          </w:p>
        </w:tc>
        <w:tc>
          <w:tcPr>
            <w:tcW w:w="1984" w:type="dxa"/>
            <w:vAlign w:val="center"/>
          </w:tcPr>
          <w:p>
            <w:pPr>
              <w:adjustRightInd w:val="0"/>
              <w:snapToGrid w:val="0"/>
              <w:spacing w:line="340" w:lineRule="exact"/>
              <w:jc w:val="center"/>
              <w:rPr>
                <w:rFonts w:ascii="宋体" w:hAnsi="宋体"/>
                <w:b/>
                <w:szCs w:val="21"/>
              </w:rPr>
            </w:pPr>
          </w:p>
        </w:tc>
        <w:tc>
          <w:tcPr>
            <w:tcW w:w="2537" w:type="dxa"/>
          </w:tcPr>
          <w:p>
            <w:pPr>
              <w:adjustRightInd w:val="0"/>
              <w:snapToGrid w:val="0"/>
              <w:spacing w:line="340" w:lineRule="exact"/>
              <w:jc w:val="center"/>
              <w:rPr>
                <w:rFonts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40" w:lineRule="exact"/>
              <w:jc w:val="center"/>
              <w:rPr>
                <w:rFonts w:ascii="宋体" w:hAnsi="宋体"/>
                <w:szCs w:val="21"/>
              </w:rPr>
            </w:pPr>
            <w:r>
              <w:rPr>
                <w:rFonts w:hint="eastAsia" w:ascii="宋体" w:hAnsi="宋体"/>
                <w:szCs w:val="21"/>
              </w:rPr>
              <w:t>小计</w:t>
            </w:r>
          </w:p>
        </w:tc>
        <w:tc>
          <w:tcPr>
            <w:tcW w:w="1739" w:type="dxa"/>
            <w:vAlign w:val="center"/>
          </w:tcPr>
          <w:p>
            <w:pPr>
              <w:adjustRightInd w:val="0"/>
              <w:snapToGrid w:val="0"/>
              <w:spacing w:line="340" w:lineRule="exact"/>
              <w:jc w:val="center"/>
              <w:rPr>
                <w:rFonts w:ascii="宋体" w:hAnsi="宋体"/>
                <w:b/>
                <w:szCs w:val="21"/>
              </w:rPr>
            </w:pPr>
            <w:r>
              <w:rPr>
                <w:rFonts w:hint="eastAsia" w:ascii="宋体" w:hAnsi="宋体"/>
                <w:b/>
                <w:szCs w:val="21"/>
              </w:rPr>
              <w:t>/</w:t>
            </w:r>
          </w:p>
        </w:tc>
        <w:tc>
          <w:tcPr>
            <w:tcW w:w="1134" w:type="dxa"/>
            <w:tcBorders>
              <w:right w:val="single" w:color="auto" w:sz="4" w:space="0"/>
            </w:tcBorders>
            <w:vAlign w:val="center"/>
          </w:tcPr>
          <w:p>
            <w:pPr>
              <w:adjustRightInd w:val="0"/>
              <w:snapToGrid w:val="0"/>
              <w:spacing w:line="340" w:lineRule="exact"/>
              <w:jc w:val="left"/>
              <w:rPr>
                <w:rFonts w:ascii="宋体" w:hAnsi="宋体"/>
                <w:b/>
                <w:szCs w:val="21"/>
              </w:rPr>
            </w:pPr>
          </w:p>
        </w:tc>
        <w:tc>
          <w:tcPr>
            <w:tcW w:w="1418" w:type="dxa"/>
            <w:tcBorders>
              <w:left w:val="single" w:color="auto" w:sz="4" w:space="0"/>
            </w:tcBorders>
            <w:vAlign w:val="center"/>
          </w:tcPr>
          <w:p>
            <w:pPr>
              <w:adjustRightInd w:val="0"/>
              <w:snapToGrid w:val="0"/>
              <w:spacing w:line="340" w:lineRule="exact"/>
              <w:jc w:val="left"/>
              <w:rPr>
                <w:rFonts w:ascii="宋体" w:hAnsi="宋体"/>
                <w:b/>
                <w:szCs w:val="21"/>
              </w:rPr>
            </w:pPr>
          </w:p>
        </w:tc>
        <w:tc>
          <w:tcPr>
            <w:tcW w:w="1984" w:type="dxa"/>
            <w:vAlign w:val="center"/>
          </w:tcPr>
          <w:p>
            <w:pPr>
              <w:adjustRightInd w:val="0"/>
              <w:snapToGrid w:val="0"/>
              <w:spacing w:line="340" w:lineRule="exact"/>
              <w:jc w:val="center"/>
              <w:rPr>
                <w:rFonts w:ascii="宋体" w:hAnsi="宋体"/>
                <w:b/>
                <w:szCs w:val="21"/>
              </w:rPr>
            </w:pPr>
            <w:r>
              <w:rPr>
                <w:rFonts w:hint="eastAsia" w:ascii="宋体" w:hAnsi="宋体"/>
                <w:b/>
                <w:szCs w:val="21"/>
              </w:rPr>
              <w:t>/</w:t>
            </w:r>
          </w:p>
        </w:tc>
        <w:tc>
          <w:tcPr>
            <w:tcW w:w="2537" w:type="dxa"/>
          </w:tcPr>
          <w:p>
            <w:pPr>
              <w:adjustRightInd w:val="0"/>
              <w:snapToGrid w:val="0"/>
              <w:spacing w:line="340" w:lineRule="exact"/>
              <w:jc w:val="center"/>
              <w:rPr>
                <w:rFonts w:ascii="宋体" w:hAnsi="宋体"/>
                <w:b/>
                <w:szCs w:val="21"/>
              </w:rPr>
            </w:pPr>
            <w:r>
              <w:rPr>
                <w:rFonts w:hint="eastAsia" w:ascii="宋体" w:hAnsi="宋体"/>
                <w:b/>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9483" w:type="dxa"/>
            <w:gridSpan w:val="6"/>
            <w:vAlign w:val="center"/>
          </w:tcPr>
          <w:p>
            <w:pPr>
              <w:adjustRightInd w:val="0"/>
              <w:snapToGrid w:val="0"/>
              <w:spacing w:line="340" w:lineRule="exact"/>
              <w:jc w:val="left"/>
              <w:rPr>
                <w:rFonts w:ascii="宋体" w:hAnsi="宋体"/>
                <w:b/>
                <w:szCs w:val="21"/>
              </w:rPr>
            </w:pPr>
            <w:r>
              <w:rPr>
                <w:rFonts w:hint="eastAsia" w:ascii="宋体" w:hAnsi="宋体"/>
                <w:b/>
                <w:szCs w:val="21"/>
              </w:rPr>
              <w:t>环境标志产品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40" w:lineRule="exact"/>
              <w:jc w:val="center"/>
              <w:rPr>
                <w:rFonts w:ascii="宋体" w:hAnsi="宋体"/>
                <w:b/>
                <w:szCs w:val="21"/>
              </w:rPr>
            </w:pPr>
          </w:p>
        </w:tc>
        <w:tc>
          <w:tcPr>
            <w:tcW w:w="1739" w:type="dxa"/>
            <w:vAlign w:val="center"/>
          </w:tcPr>
          <w:p>
            <w:pPr>
              <w:adjustRightInd w:val="0"/>
              <w:snapToGrid w:val="0"/>
              <w:spacing w:line="340" w:lineRule="exact"/>
              <w:jc w:val="center"/>
              <w:rPr>
                <w:rFonts w:ascii="宋体" w:hAnsi="宋体"/>
                <w:b/>
                <w:szCs w:val="21"/>
              </w:rPr>
            </w:pPr>
          </w:p>
        </w:tc>
        <w:tc>
          <w:tcPr>
            <w:tcW w:w="1134" w:type="dxa"/>
            <w:tcBorders>
              <w:right w:val="single" w:color="auto" w:sz="4" w:space="0"/>
            </w:tcBorders>
            <w:vAlign w:val="center"/>
          </w:tcPr>
          <w:p>
            <w:pPr>
              <w:adjustRightInd w:val="0"/>
              <w:snapToGrid w:val="0"/>
              <w:spacing w:line="340" w:lineRule="exact"/>
              <w:jc w:val="left"/>
              <w:rPr>
                <w:rFonts w:ascii="宋体" w:hAnsi="宋体"/>
                <w:b/>
                <w:szCs w:val="21"/>
              </w:rPr>
            </w:pPr>
          </w:p>
        </w:tc>
        <w:tc>
          <w:tcPr>
            <w:tcW w:w="1418" w:type="dxa"/>
            <w:tcBorders>
              <w:left w:val="single" w:color="auto" w:sz="4" w:space="0"/>
            </w:tcBorders>
            <w:vAlign w:val="center"/>
          </w:tcPr>
          <w:p>
            <w:pPr>
              <w:adjustRightInd w:val="0"/>
              <w:snapToGrid w:val="0"/>
              <w:spacing w:line="340" w:lineRule="exact"/>
              <w:jc w:val="left"/>
              <w:rPr>
                <w:rFonts w:ascii="宋体" w:hAnsi="宋体"/>
                <w:b/>
                <w:szCs w:val="21"/>
              </w:rPr>
            </w:pPr>
          </w:p>
        </w:tc>
        <w:tc>
          <w:tcPr>
            <w:tcW w:w="1984" w:type="dxa"/>
            <w:vAlign w:val="center"/>
          </w:tcPr>
          <w:p>
            <w:pPr>
              <w:adjustRightInd w:val="0"/>
              <w:snapToGrid w:val="0"/>
              <w:spacing w:line="340" w:lineRule="exact"/>
              <w:jc w:val="center"/>
              <w:rPr>
                <w:rFonts w:ascii="宋体" w:hAnsi="宋体"/>
                <w:b/>
                <w:szCs w:val="21"/>
              </w:rPr>
            </w:pPr>
          </w:p>
        </w:tc>
        <w:tc>
          <w:tcPr>
            <w:tcW w:w="2537" w:type="dxa"/>
          </w:tcPr>
          <w:p>
            <w:pPr>
              <w:adjustRightInd w:val="0"/>
              <w:snapToGrid w:val="0"/>
              <w:spacing w:line="340" w:lineRule="exact"/>
              <w:jc w:val="center"/>
              <w:rPr>
                <w:rFonts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40" w:lineRule="exact"/>
              <w:jc w:val="center"/>
              <w:rPr>
                <w:rFonts w:ascii="宋体" w:hAnsi="宋体"/>
                <w:szCs w:val="21"/>
              </w:rPr>
            </w:pPr>
            <w:r>
              <w:rPr>
                <w:rFonts w:hint="eastAsia" w:ascii="宋体" w:hAnsi="宋体"/>
                <w:szCs w:val="21"/>
              </w:rPr>
              <w:t>小计</w:t>
            </w:r>
          </w:p>
        </w:tc>
        <w:tc>
          <w:tcPr>
            <w:tcW w:w="1739" w:type="dxa"/>
            <w:vAlign w:val="center"/>
          </w:tcPr>
          <w:p>
            <w:pPr>
              <w:adjustRightInd w:val="0"/>
              <w:snapToGrid w:val="0"/>
              <w:spacing w:line="340" w:lineRule="exact"/>
              <w:jc w:val="center"/>
              <w:rPr>
                <w:rFonts w:ascii="宋体" w:hAnsi="宋体"/>
                <w:b/>
                <w:szCs w:val="21"/>
              </w:rPr>
            </w:pPr>
            <w:r>
              <w:rPr>
                <w:rFonts w:hint="eastAsia" w:ascii="宋体" w:hAnsi="宋体"/>
                <w:b/>
                <w:szCs w:val="21"/>
              </w:rPr>
              <w:t>/</w:t>
            </w:r>
          </w:p>
        </w:tc>
        <w:tc>
          <w:tcPr>
            <w:tcW w:w="1134" w:type="dxa"/>
            <w:tcBorders>
              <w:right w:val="single" w:color="auto" w:sz="4" w:space="0"/>
            </w:tcBorders>
            <w:vAlign w:val="center"/>
          </w:tcPr>
          <w:p>
            <w:pPr>
              <w:adjustRightInd w:val="0"/>
              <w:snapToGrid w:val="0"/>
              <w:spacing w:line="340" w:lineRule="exact"/>
              <w:jc w:val="left"/>
              <w:rPr>
                <w:rFonts w:ascii="宋体" w:hAnsi="宋体"/>
                <w:b/>
                <w:szCs w:val="21"/>
              </w:rPr>
            </w:pPr>
          </w:p>
        </w:tc>
        <w:tc>
          <w:tcPr>
            <w:tcW w:w="1418" w:type="dxa"/>
            <w:tcBorders>
              <w:left w:val="single" w:color="auto" w:sz="4" w:space="0"/>
            </w:tcBorders>
            <w:vAlign w:val="center"/>
          </w:tcPr>
          <w:p>
            <w:pPr>
              <w:adjustRightInd w:val="0"/>
              <w:snapToGrid w:val="0"/>
              <w:spacing w:line="340" w:lineRule="exact"/>
              <w:jc w:val="left"/>
              <w:rPr>
                <w:rFonts w:ascii="宋体" w:hAnsi="宋体"/>
                <w:b/>
                <w:szCs w:val="21"/>
              </w:rPr>
            </w:pPr>
          </w:p>
        </w:tc>
        <w:tc>
          <w:tcPr>
            <w:tcW w:w="1984" w:type="dxa"/>
            <w:vAlign w:val="center"/>
          </w:tcPr>
          <w:p>
            <w:pPr>
              <w:adjustRightInd w:val="0"/>
              <w:snapToGrid w:val="0"/>
              <w:spacing w:line="340" w:lineRule="exact"/>
              <w:jc w:val="center"/>
              <w:rPr>
                <w:rFonts w:ascii="宋体" w:hAnsi="宋体"/>
                <w:b/>
                <w:szCs w:val="21"/>
              </w:rPr>
            </w:pPr>
            <w:r>
              <w:rPr>
                <w:rFonts w:hint="eastAsia" w:ascii="宋体" w:hAnsi="宋体"/>
                <w:b/>
                <w:szCs w:val="21"/>
              </w:rPr>
              <w:t>/</w:t>
            </w:r>
          </w:p>
        </w:tc>
        <w:tc>
          <w:tcPr>
            <w:tcW w:w="2537" w:type="dxa"/>
          </w:tcPr>
          <w:p>
            <w:pPr>
              <w:adjustRightInd w:val="0"/>
              <w:snapToGrid w:val="0"/>
              <w:spacing w:line="340" w:lineRule="exact"/>
              <w:jc w:val="center"/>
              <w:rPr>
                <w:rFonts w:ascii="宋体" w:hAnsi="宋体"/>
                <w:b/>
                <w:szCs w:val="21"/>
              </w:rPr>
            </w:pPr>
            <w:r>
              <w:rPr>
                <w:rFonts w:hint="eastAsia" w:ascii="宋体" w:hAnsi="宋体"/>
                <w:b/>
                <w:szCs w:val="21"/>
              </w:rPr>
              <w:t>/</w:t>
            </w:r>
          </w:p>
        </w:tc>
      </w:tr>
    </w:tbl>
    <w:p>
      <w:pPr>
        <w:adjustRightInd w:val="0"/>
        <w:snapToGrid w:val="0"/>
        <w:spacing w:before="120" w:beforeLines="50" w:line="360" w:lineRule="auto"/>
        <w:jc w:val="left"/>
        <w:rPr>
          <w:rFonts w:ascii="宋体" w:hAnsi="宋体"/>
          <w:szCs w:val="21"/>
        </w:rPr>
      </w:pPr>
      <w:r>
        <w:rPr>
          <w:rFonts w:hint="eastAsia" w:ascii="宋体" w:hAnsi="宋体"/>
          <w:szCs w:val="21"/>
        </w:rPr>
        <w:t>说明：</w:t>
      </w:r>
      <w:r>
        <w:rPr>
          <w:rFonts w:hint="eastAsia" w:ascii="宋体" w:hAnsi="宋体"/>
          <w:bCs/>
          <w:szCs w:val="21"/>
        </w:rPr>
        <w:t>1、</w:t>
      </w:r>
      <w:r>
        <w:rPr>
          <w:rFonts w:hint="eastAsia" w:ascii="宋体" w:hAnsi="宋体"/>
          <w:szCs w:val="21"/>
        </w:rPr>
        <w:t>本表用于计算政府采购优先采购产品（节能产品或环境标志产品）的政府采购政策加分或者价格扣除。</w:t>
      </w:r>
    </w:p>
    <w:p>
      <w:pPr>
        <w:adjustRightInd w:val="0"/>
        <w:snapToGrid w:val="0"/>
        <w:spacing w:line="360" w:lineRule="auto"/>
        <w:ind w:firstLine="630" w:firstLineChars="300"/>
        <w:rPr>
          <w:rFonts w:ascii="宋体" w:hAnsi="宋体"/>
          <w:szCs w:val="21"/>
        </w:rPr>
      </w:pPr>
      <w:r>
        <w:rPr>
          <w:rFonts w:hint="eastAsia" w:ascii="宋体" w:hAnsi="宋体"/>
          <w:szCs w:val="21"/>
        </w:rPr>
        <w:t>2、栏目4“价格”为该项采购内容的综合单价。</w:t>
      </w:r>
    </w:p>
    <w:p>
      <w:pPr>
        <w:adjustRightInd w:val="0"/>
        <w:snapToGrid w:val="0"/>
        <w:spacing w:line="360" w:lineRule="auto"/>
        <w:ind w:firstLine="630" w:firstLineChars="300"/>
        <w:jc w:val="left"/>
        <w:rPr>
          <w:rFonts w:ascii="宋体" w:hAnsi="宋体"/>
          <w:szCs w:val="21"/>
        </w:rPr>
      </w:pPr>
      <w:r>
        <w:rPr>
          <w:rFonts w:hint="eastAsia" w:ascii="宋体" w:hAnsi="宋体"/>
          <w:szCs w:val="21"/>
        </w:rPr>
        <w:t>3、栏目6“政策功能编码”是指货物的中国环境标志认证证书编号、中国节能标志认证证书号（货物同时属于节能产品、环境标志产品的，只能填写一种）。</w:t>
      </w:r>
    </w:p>
    <w:p>
      <w:pPr>
        <w:adjustRightInd w:val="0"/>
        <w:snapToGrid w:val="0"/>
        <w:spacing w:line="360" w:lineRule="auto"/>
        <w:ind w:firstLine="630" w:firstLineChars="300"/>
        <w:rPr>
          <w:rFonts w:ascii="宋体" w:hAnsi="宋体"/>
          <w:szCs w:val="21"/>
        </w:rPr>
      </w:pPr>
      <w:r>
        <w:rPr>
          <w:rFonts w:ascii="宋体" w:hAnsi="宋体"/>
          <w:szCs w:val="21"/>
        </w:rPr>
        <w:t>4</w:t>
      </w:r>
      <w:r>
        <w:rPr>
          <w:rFonts w:hint="eastAsia" w:ascii="宋体" w:hAnsi="宋体"/>
          <w:szCs w:val="21"/>
        </w:rPr>
        <w:t>、本表内容应</w:t>
      </w:r>
      <w:r>
        <w:rPr>
          <w:rFonts w:hint="eastAsia" w:hAnsi="宋体" w:cs="宋体"/>
        </w:rPr>
        <w:t>当</w:t>
      </w:r>
      <w:r>
        <w:rPr>
          <w:rFonts w:hint="eastAsia" w:ascii="宋体" w:hAnsi="宋体"/>
          <w:szCs w:val="21"/>
        </w:rPr>
        <w:t>完整填写，</w:t>
      </w:r>
      <w:r>
        <w:rPr>
          <w:rFonts w:hint="eastAsia" w:ascii="宋体" w:hAnsi="宋体"/>
          <w:bCs/>
          <w:szCs w:val="21"/>
        </w:rPr>
        <w:t>否则，评审时涉及本表所有优惠不予以考虑。</w:t>
      </w:r>
    </w:p>
    <w:p>
      <w:pPr>
        <w:adjustRightInd w:val="0"/>
        <w:snapToGrid w:val="0"/>
        <w:spacing w:line="360" w:lineRule="auto"/>
        <w:ind w:firstLine="630" w:firstLineChars="300"/>
        <w:rPr>
          <w:rFonts w:ascii="宋体" w:hAnsi="宋体"/>
          <w:b/>
          <w:szCs w:val="21"/>
        </w:rPr>
      </w:pPr>
      <w:r>
        <w:rPr>
          <w:rFonts w:ascii="宋体" w:hAnsi="宋体"/>
          <w:szCs w:val="21"/>
        </w:rPr>
        <w:t>5</w:t>
      </w:r>
      <w:r>
        <w:rPr>
          <w:rFonts w:hint="eastAsia" w:ascii="宋体" w:hAnsi="宋体"/>
          <w:szCs w:val="21"/>
        </w:rPr>
        <w:t>、</w:t>
      </w:r>
      <w:r>
        <w:rPr>
          <w:rFonts w:hint="eastAsia" w:ascii="宋体" w:hAnsi="宋体"/>
          <w:bCs/>
          <w:szCs w:val="21"/>
        </w:rPr>
        <w:t>投标人在投标截止时间前修改“开标一览表”中的投标报价的，应</w:t>
      </w:r>
      <w:r>
        <w:rPr>
          <w:rFonts w:hint="eastAsia" w:hAnsi="宋体" w:cs="宋体"/>
        </w:rPr>
        <w:t>当</w:t>
      </w:r>
      <w:r>
        <w:rPr>
          <w:rFonts w:hint="eastAsia" w:ascii="宋体" w:hAnsi="宋体"/>
          <w:bCs/>
          <w:szCs w:val="21"/>
        </w:rPr>
        <w:t>按第二章第</w:t>
      </w:r>
      <w:r>
        <w:rPr>
          <w:rFonts w:hint="eastAsia" w:ascii="宋体" w:hAnsi="宋体"/>
          <w:szCs w:val="21"/>
        </w:rPr>
        <w:t>21</w:t>
      </w:r>
      <w:r>
        <w:rPr>
          <w:rFonts w:hint="eastAsia" w:ascii="宋体" w:hAnsi="宋体"/>
          <w:bCs/>
          <w:szCs w:val="21"/>
        </w:rPr>
        <w:t>款规定修改本表相应内容。否则，评审时涉及本表所有优惠不予以考虑</w:t>
      </w:r>
    </w:p>
    <w:p>
      <w:pPr>
        <w:adjustRightInd w:val="0"/>
        <w:snapToGrid w:val="0"/>
        <w:spacing w:before="120" w:beforeLines="50" w:line="360" w:lineRule="auto"/>
        <w:outlineLvl w:val="2"/>
        <w:rPr>
          <w:rFonts w:ascii="宋体" w:hAnsi="宋体"/>
          <w:b/>
          <w:bCs/>
          <w:sz w:val="22"/>
        </w:rPr>
      </w:pPr>
    </w:p>
    <w:p>
      <w:pPr>
        <w:pStyle w:val="25"/>
        <w:spacing w:line="360" w:lineRule="auto"/>
        <w:rPr>
          <w:rFonts w:hAnsi="宋体" w:cs="宋体"/>
        </w:rPr>
      </w:pPr>
      <w:r>
        <w:rPr>
          <w:rFonts w:hint="eastAsia" w:hAnsi="宋体" w:cs="宋体"/>
        </w:rPr>
        <w:t>投标人名称（公章）：________________</w:t>
      </w:r>
    </w:p>
    <w:p>
      <w:pPr>
        <w:pStyle w:val="25"/>
        <w:spacing w:line="360" w:lineRule="auto"/>
        <w:rPr>
          <w:rFonts w:hAnsi="宋体" w:cs="宋体"/>
        </w:rPr>
      </w:pPr>
      <w:r>
        <w:rPr>
          <w:rFonts w:hint="eastAsia" w:hAnsi="宋体" w:cs="宋体"/>
        </w:rPr>
        <w:t>法定代表人或其授权代表签字：________________</w:t>
      </w:r>
    </w:p>
    <w:p>
      <w:pPr>
        <w:pStyle w:val="25"/>
        <w:spacing w:line="360" w:lineRule="auto"/>
        <w:rPr>
          <w:rFonts w:hAnsi="宋体" w:cs="宋体"/>
        </w:rPr>
      </w:pPr>
      <w:r>
        <w:rPr>
          <w:rFonts w:hint="eastAsia" w:hAnsi="宋体" w:cs="宋体"/>
        </w:rPr>
        <w:t>日期：______年______月______日</w:t>
      </w:r>
    </w:p>
    <w:p>
      <w:pPr>
        <w:pStyle w:val="25"/>
        <w:ind w:firstLine="420" w:firstLineChars="200"/>
        <w:rPr>
          <w:rFonts w:ascii="Times New Roman" w:hAnsi="Times New Roman" w:eastAsia="仿宋_GB2312"/>
        </w:rPr>
      </w:pPr>
    </w:p>
    <w:p>
      <w:pPr>
        <w:pStyle w:val="25"/>
        <w:rPr>
          <w:rFonts w:ascii="Times New Roman" w:hAnsi="Times New Roman" w:eastAsia="MingLiU_HKSCS"/>
        </w:rPr>
      </w:pPr>
      <w:r>
        <w:rPr>
          <w:rFonts w:hint="eastAsia" w:ascii="Times New Roman" w:hAnsi="Times New Roman" w:eastAsia="仿宋_GB2312"/>
          <w:b/>
          <w:bCs/>
        </w:rPr>
        <w:t>说明：</w:t>
      </w:r>
      <w:r>
        <w:rPr>
          <w:rFonts w:hint="eastAsia" w:ascii="Times New Roman" w:hAnsi="Times New Roman" w:eastAsia="仿宋_GB2312"/>
        </w:rPr>
        <w:t>授权用投标专用章的</w:t>
      </w:r>
      <w:r>
        <w:rPr>
          <w:rFonts w:hint="eastAsia" w:hAnsi="宋体" w:cs="MingLiU_HKSCS"/>
        </w:rPr>
        <w:t>，</w:t>
      </w:r>
      <w:r>
        <w:rPr>
          <w:rFonts w:hint="eastAsia" w:ascii="Times New Roman" w:hAnsi="Times New Roman" w:eastAsia="仿宋_GB2312"/>
        </w:rPr>
        <w:t>与公章具有相同法律效力。</w:t>
      </w:r>
    </w:p>
    <w:p>
      <w:pPr>
        <w:adjustRightInd w:val="0"/>
        <w:snapToGrid w:val="0"/>
        <w:spacing w:before="120" w:beforeLines="50" w:line="360" w:lineRule="auto"/>
        <w:outlineLvl w:val="2"/>
        <w:rPr>
          <w:rFonts w:ascii="宋体" w:hAnsi="宋体"/>
          <w:b/>
          <w:bCs/>
          <w:sz w:val="22"/>
        </w:rPr>
      </w:pPr>
    </w:p>
    <w:p>
      <w:pPr>
        <w:adjustRightInd w:val="0"/>
        <w:snapToGrid w:val="0"/>
        <w:spacing w:before="120" w:beforeLines="50" w:line="360" w:lineRule="auto"/>
        <w:outlineLvl w:val="2"/>
        <w:rPr>
          <w:rFonts w:ascii="宋体" w:hAnsi="宋体"/>
          <w:b/>
          <w:bCs/>
          <w:sz w:val="22"/>
        </w:rPr>
        <w:sectPr>
          <w:pgSz w:w="11906" w:h="16838"/>
          <w:pgMar w:top="1304" w:right="1247" w:bottom="1134" w:left="1304" w:header="850" w:footer="850" w:gutter="0"/>
          <w:cols w:space="720" w:num="1"/>
          <w:titlePg/>
          <w:docGrid w:linePitch="324" w:charSpace="0"/>
        </w:sectPr>
      </w:pPr>
    </w:p>
    <w:p>
      <w:pPr>
        <w:adjustRightInd w:val="0"/>
        <w:snapToGrid w:val="0"/>
        <w:spacing w:before="120" w:beforeLines="50" w:line="360" w:lineRule="auto"/>
        <w:outlineLvl w:val="2"/>
        <w:rPr>
          <w:rFonts w:ascii="黑体" w:hAnsi="Courier New" w:eastAsia="黑体" w:cs="Courier New"/>
          <w:bCs/>
          <w:sz w:val="28"/>
          <w:szCs w:val="28"/>
        </w:rPr>
      </w:pPr>
      <w:bookmarkStart w:id="51" w:name="_Toc21647444"/>
      <w:bookmarkStart w:id="52" w:name="_Toc529654041"/>
      <w:bookmarkStart w:id="53" w:name="_Toc529050589"/>
      <w:r>
        <w:rPr>
          <w:rFonts w:hint="eastAsia" w:ascii="宋体" w:hAnsi="宋体"/>
          <w:b/>
          <w:bCs/>
          <w:sz w:val="22"/>
        </w:rPr>
        <w:t>第三部分、技术文件</w:t>
      </w:r>
      <w:bookmarkEnd w:id="49"/>
      <w:bookmarkEnd w:id="51"/>
      <w:bookmarkEnd w:id="52"/>
      <w:bookmarkEnd w:id="53"/>
    </w:p>
    <w:p/>
    <w:p/>
    <w:p/>
    <w:p/>
    <w:p/>
    <w:p>
      <w:pPr>
        <w:pStyle w:val="25"/>
        <w:adjustRightInd w:val="0"/>
        <w:snapToGrid w:val="0"/>
        <w:spacing w:line="400" w:lineRule="atLeast"/>
        <w:jc w:val="center"/>
        <w:rPr>
          <w:rFonts w:hAnsi="宋体"/>
          <w:b/>
          <w:bCs/>
          <w:sz w:val="72"/>
          <w:szCs w:val="72"/>
        </w:rPr>
      </w:pPr>
      <w:r>
        <w:rPr>
          <w:rFonts w:hint="eastAsia" w:hAnsi="宋体"/>
          <w:b/>
          <w:bCs/>
          <w:sz w:val="72"/>
          <w:szCs w:val="72"/>
        </w:rPr>
        <w:t>政府采购</w:t>
      </w:r>
    </w:p>
    <w:p>
      <w:pPr>
        <w:adjustRightInd w:val="0"/>
        <w:snapToGrid w:val="0"/>
        <w:spacing w:before="120" w:beforeLines="50" w:line="400" w:lineRule="atLeast"/>
        <w:jc w:val="center"/>
        <w:rPr>
          <w:rFonts w:ascii="宋体" w:hAnsi="宋体"/>
          <w:b/>
          <w:bCs/>
          <w:sz w:val="84"/>
          <w:szCs w:val="84"/>
        </w:rPr>
      </w:pPr>
      <w:r>
        <w:rPr>
          <w:rFonts w:hint="eastAsia" w:ascii="宋体" w:hAnsi="宋体"/>
          <w:b/>
          <w:bCs/>
          <w:sz w:val="84"/>
          <w:szCs w:val="84"/>
        </w:rPr>
        <w:t>投 标 文 件</w:t>
      </w:r>
    </w:p>
    <w:p>
      <w:pPr>
        <w:tabs>
          <w:tab w:val="center" w:pos="4422"/>
          <w:tab w:val="left" w:pos="6570"/>
        </w:tabs>
        <w:spacing w:before="240" w:beforeLines="100"/>
        <w:jc w:val="left"/>
        <w:rPr>
          <w:rFonts w:ascii="宋体" w:hAnsi="宋体"/>
          <w:b/>
          <w:sz w:val="44"/>
          <w:szCs w:val="44"/>
        </w:rPr>
      </w:pPr>
      <w:r>
        <w:rPr>
          <w:rFonts w:ascii="宋体" w:hAnsi="宋体"/>
          <w:b/>
          <w:sz w:val="44"/>
          <w:szCs w:val="44"/>
        </w:rPr>
        <w:tab/>
      </w:r>
      <w:r>
        <w:rPr>
          <w:rFonts w:ascii="宋体" w:hAnsi="宋体"/>
          <w:b/>
          <w:sz w:val="44"/>
          <w:szCs w:val="44"/>
        </w:rPr>
        <w:tab/>
      </w:r>
    </w:p>
    <w:p>
      <w:pPr>
        <w:spacing w:before="240" w:beforeLines="100"/>
        <w:jc w:val="center"/>
        <w:rPr>
          <w:rFonts w:ascii="宋体" w:hAnsi="宋体"/>
          <w:b/>
          <w:sz w:val="44"/>
          <w:szCs w:val="44"/>
        </w:rPr>
      </w:pPr>
      <w:r>
        <w:rPr>
          <w:rFonts w:hint="eastAsia" w:ascii="宋体" w:hAnsi="宋体"/>
          <w:b/>
          <w:sz w:val="44"/>
          <w:szCs w:val="44"/>
        </w:rPr>
        <w:t>（技术文件）</w:t>
      </w:r>
    </w:p>
    <w:p>
      <w:pPr>
        <w:rPr>
          <w:rFonts w:ascii="宋体" w:hAnsi="宋体"/>
          <w:sz w:val="28"/>
          <w:szCs w:val="28"/>
        </w:rPr>
      </w:pPr>
    </w:p>
    <w:p>
      <w:pPr>
        <w:rPr>
          <w:rFonts w:ascii="黑体" w:hAnsi="宋体" w:eastAsia="黑体"/>
          <w:sz w:val="30"/>
          <w:szCs w:val="30"/>
        </w:rPr>
      </w:pPr>
    </w:p>
    <w:p>
      <w:pPr>
        <w:pStyle w:val="25"/>
        <w:ind w:firstLine="3120" w:firstLineChars="1300"/>
        <w:rPr>
          <w:rFonts w:hAnsi="宋体" w:cs="宋体"/>
          <w:sz w:val="24"/>
          <w:szCs w:val="24"/>
          <w:u w:val="single"/>
        </w:rPr>
      </w:pPr>
      <w:r>
        <w:rPr>
          <w:rFonts w:hint="eastAsia" w:hAnsi="宋体" w:cs="宋体"/>
          <w:sz w:val="24"/>
          <w:szCs w:val="24"/>
        </w:rPr>
        <w:t>项目名称：_____________________</w:t>
      </w:r>
    </w:p>
    <w:p>
      <w:pPr>
        <w:pStyle w:val="25"/>
        <w:ind w:firstLine="480" w:firstLineChars="200"/>
        <w:jc w:val="center"/>
        <w:rPr>
          <w:rFonts w:hAnsi="宋体" w:cs="宋体"/>
          <w:sz w:val="24"/>
          <w:szCs w:val="24"/>
        </w:rPr>
      </w:pPr>
    </w:p>
    <w:p>
      <w:pPr>
        <w:pStyle w:val="25"/>
        <w:rPr>
          <w:rFonts w:hAnsi="宋体" w:cs="宋体"/>
          <w:sz w:val="24"/>
          <w:szCs w:val="24"/>
          <w:u w:val="single"/>
        </w:rPr>
      </w:pPr>
      <w:r>
        <w:rPr>
          <w:rFonts w:hint="eastAsia" w:hAnsi="宋体" w:cs="宋体"/>
          <w:sz w:val="24"/>
          <w:szCs w:val="24"/>
        </w:rPr>
        <w:t xml:space="preserve">                          项目编号：___________________</w:t>
      </w:r>
    </w:p>
    <w:p>
      <w:pPr>
        <w:pStyle w:val="25"/>
        <w:ind w:firstLine="480" w:firstLineChars="200"/>
        <w:jc w:val="center"/>
        <w:rPr>
          <w:rFonts w:hAnsi="宋体" w:cs="宋体"/>
          <w:sz w:val="24"/>
          <w:szCs w:val="24"/>
        </w:rPr>
      </w:pPr>
    </w:p>
    <w:p>
      <w:pPr>
        <w:pStyle w:val="25"/>
        <w:ind w:firstLine="480" w:firstLineChars="200"/>
        <w:rPr>
          <w:rFonts w:hAnsi="宋体" w:cs="宋体"/>
          <w:sz w:val="24"/>
          <w:szCs w:val="24"/>
          <w:u w:val="single"/>
        </w:rPr>
      </w:pPr>
      <w:r>
        <w:rPr>
          <w:rFonts w:hint="eastAsia" w:hAnsi="宋体" w:cs="宋体"/>
          <w:sz w:val="24"/>
          <w:szCs w:val="24"/>
        </w:rPr>
        <w:t xml:space="preserve">                      投标人名称：____________________</w:t>
      </w:r>
    </w:p>
    <w:p>
      <w:pPr>
        <w:pStyle w:val="25"/>
        <w:ind w:firstLine="480" w:firstLineChars="200"/>
        <w:rPr>
          <w:rFonts w:hAnsi="宋体" w:cs="宋体"/>
          <w:sz w:val="24"/>
          <w:szCs w:val="24"/>
        </w:rPr>
      </w:pPr>
    </w:p>
    <w:p>
      <w:pPr>
        <w:pStyle w:val="25"/>
        <w:ind w:firstLine="480" w:firstLineChars="200"/>
        <w:jc w:val="center"/>
        <w:rPr>
          <w:rFonts w:hAnsi="宋体" w:cs="宋体"/>
          <w:sz w:val="24"/>
          <w:szCs w:val="24"/>
        </w:rPr>
      </w:pPr>
      <w:r>
        <w:rPr>
          <w:rFonts w:hint="eastAsia" w:hAnsi="宋体" w:cs="宋体"/>
          <w:sz w:val="24"/>
          <w:szCs w:val="24"/>
        </w:rPr>
        <w:t>　　</w:t>
      </w: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p>
    <w:p>
      <w:pPr>
        <w:pStyle w:val="25"/>
        <w:rPr>
          <w:rFonts w:hAnsi="宋体" w:cs="宋体"/>
          <w:sz w:val="24"/>
          <w:szCs w:val="24"/>
        </w:rPr>
      </w:pPr>
    </w:p>
    <w:p>
      <w:pPr>
        <w:pStyle w:val="25"/>
        <w:ind w:firstLine="480" w:firstLineChars="200"/>
        <w:jc w:val="center"/>
        <w:rPr>
          <w:rFonts w:hAnsi="宋体" w:cs="宋体"/>
          <w:sz w:val="24"/>
          <w:szCs w:val="24"/>
        </w:rPr>
      </w:pPr>
    </w:p>
    <w:p>
      <w:pPr>
        <w:pStyle w:val="25"/>
        <w:ind w:firstLine="480" w:firstLineChars="200"/>
        <w:jc w:val="center"/>
        <w:rPr>
          <w:rFonts w:hAnsi="宋体" w:cs="宋体"/>
          <w:sz w:val="24"/>
          <w:szCs w:val="24"/>
        </w:rPr>
      </w:pPr>
      <w:r>
        <w:rPr>
          <w:rFonts w:hint="eastAsia" w:hAnsi="宋体" w:cs="宋体"/>
          <w:sz w:val="24"/>
          <w:szCs w:val="24"/>
        </w:rPr>
        <w:t>______年______月______日</w:t>
      </w:r>
    </w:p>
    <w:p>
      <w:pPr>
        <w:pStyle w:val="25"/>
        <w:outlineLvl w:val="3"/>
        <w:rPr>
          <w:rFonts w:ascii="Times New Roman" w:hAnsi="Times New Roman"/>
          <w:b/>
          <w:bCs/>
          <w:sz w:val="24"/>
          <w:szCs w:val="24"/>
        </w:rPr>
      </w:pPr>
      <w:r>
        <w:rPr>
          <w:rFonts w:hint="eastAsia" w:hAnsi="宋体" w:cs="宋体"/>
          <w:sz w:val="24"/>
          <w:szCs w:val="24"/>
        </w:rPr>
        <w:br w:type="page"/>
      </w:r>
      <w:r>
        <w:rPr>
          <w:rFonts w:hint="eastAsia" w:hAnsi="宋体" w:cs="宋体"/>
          <w:b/>
          <w:sz w:val="24"/>
          <w:szCs w:val="24"/>
        </w:rPr>
        <w:t>七、</w:t>
      </w:r>
      <w:r>
        <w:rPr>
          <w:rFonts w:hint="eastAsia" w:ascii="Times New Roman" w:hAnsi="Times New Roman"/>
          <w:b/>
          <w:bCs/>
          <w:sz w:val="24"/>
          <w:szCs w:val="24"/>
        </w:rPr>
        <w:t>技术条款响应与偏离表</w:t>
      </w:r>
    </w:p>
    <w:p>
      <w:pPr>
        <w:pStyle w:val="25"/>
        <w:rPr>
          <w:rFonts w:ascii="Times New Roman" w:hAnsi="Times New Roman"/>
          <w:b/>
          <w:bCs/>
        </w:rPr>
      </w:pPr>
    </w:p>
    <w:p>
      <w:pPr>
        <w:pStyle w:val="25"/>
        <w:jc w:val="center"/>
        <w:rPr>
          <w:rFonts w:hAnsi="宋体" w:cs="宋体"/>
          <w:b/>
          <w:kern w:val="44"/>
          <w:sz w:val="28"/>
          <w:szCs w:val="28"/>
        </w:rPr>
      </w:pPr>
      <w:r>
        <w:rPr>
          <w:rFonts w:hint="eastAsia" w:hAnsi="宋体" w:cs="宋体"/>
          <w:b/>
          <w:kern w:val="44"/>
          <w:sz w:val="28"/>
          <w:szCs w:val="28"/>
        </w:rPr>
        <w:t>技术条款响应与偏离表</w:t>
      </w:r>
    </w:p>
    <w:p>
      <w:pPr>
        <w:pStyle w:val="25"/>
        <w:spacing w:line="380" w:lineRule="exact"/>
        <w:rPr>
          <w:rFonts w:ascii="Times New Roman" w:hAnsi="Times New Roman"/>
        </w:rPr>
      </w:pPr>
      <w:r>
        <w:rPr>
          <w:rFonts w:hint="eastAsia" w:ascii="Times New Roman" w:hAnsi="Times New Roman"/>
        </w:rPr>
        <w:t>项目名称：</w:t>
      </w:r>
      <w:r>
        <w:rPr>
          <w:rFonts w:ascii="Times New Roman" w:hAnsi="Times New Roman"/>
        </w:rPr>
        <w:t>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项目编号：_</w:t>
      </w:r>
      <w:r>
        <w:rPr>
          <w:rFonts w:ascii="Times New Roman" w:hAnsi="Times New Roman"/>
        </w:rPr>
        <w:t>_______________</w:t>
      </w:r>
    </w:p>
    <w:p>
      <w:pPr>
        <w:pStyle w:val="25"/>
        <w:spacing w:line="380" w:lineRule="exact"/>
        <w:rPr>
          <w:rFonts w:ascii="Times New Roman" w:hAnsi="Times New Roman" w:eastAsia="MingLiU_HKSCS"/>
        </w:rPr>
      </w:pPr>
      <w:r>
        <w:rPr>
          <w:rFonts w:hint="eastAsia" w:ascii="Times New Roman" w:hAnsi="Times New Roman"/>
        </w:rPr>
        <w:t>包号及名称：_</w:t>
      </w:r>
      <w:r>
        <w:rPr>
          <w:rFonts w:ascii="Times New Roman" w:hAnsi="Times New Roman"/>
        </w:rPr>
        <w:t>__________________________</w:t>
      </w:r>
    </w:p>
    <w:tbl>
      <w:tblPr>
        <w:tblStyle w:val="45"/>
        <w:tblW w:w="947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43"/>
        <w:gridCol w:w="1275"/>
        <w:gridCol w:w="1701"/>
        <w:gridCol w:w="1633"/>
        <w:gridCol w:w="915"/>
        <w:gridCol w:w="1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6" w:type="dxa"/>
            <w:vAlign w:val="center"/>
          </w:tcPr>
          <w:p>
            <w:pPr>
              <w:pStyle w:val="25"/>
              <w:jc w:val="center"/>
              <w:rPr>
                <w:rFonts w:ascii="Times New Roman" w:hAnsi="Times New Roman" w:cs="Courier New"/>
              </w:rPr>
            </w:pPr>
            <w:r>
              <w:rPr>
                <w:rFonts w:hint="eastAsia" w:ascii="Times New Roman" w:hAnsi="Times New Roman" w:cs="Courier New"/>
              </w:rPr>
              <w:t>序号</w:t>
            </w:r>
          </w:p>
        </w:tc>
        <w:tc>
          <w:tcPr>
            <w:tcW w:w="1843" w:type="dxa"/>
            <w:vAlign w:val="center"/>
          </w:tcPr>
          <w:p>
            <w:pPr>
              <w:pStyle w:val="25"/>
              <w:jc w:val="center"/>
              <w:rPr>
                <w:rFonts w:ascii="Times New Roman" w:hAnsi="Times New Roman" w:cs="Courier New"/>
              </w:rPr>
            </w:pPr>
            <w:r>
              <w:rPr>
                <w:rFonts w:hint="eastAsia" w:ascii="Times New Roman" w:hAnsi="Times New Roman" w:cs="Courier New"/>
              </w:rPr>
              <w:t>货物（或服务分项）名称</w:t>
            </w:r>
          </w:p>
        </w:tc>
        <w:tc>
          <w:tcPr>
            <w:tcW w:w="1275" w:type="dxa"/>
            <w:vAlign w:val="center"/>
          </w:tcPr>
          <w:p>
            <w:pPr>
              <w:pStyle w:val="25"/>
              <w:jc w:val="center"/>
              <w:rPr>
                <w:rFonts w:ascii="Times New Roman" w:hAnsi="Times New Roman" w:cs="Courier New"/>
              </w:rPr>
            </w:pPr>
            <w:r>
              <w:rPr>
                <w:rFonts w:hint="eastAsia" w:ascii="Times New Roman" w:hAnsi="Times New Roman" w:cs="Courier New"/>
              </w:rPr>
              <w:t>招标规格</w:t>
            </w:r>
          </w:p>
        </w:tc>
        <w:tc>
          <w:tcPr>
            <w:tcW w:w="1701" w:type="dxa"/>
            <w:vAlign w:val="center"/>
          </w:tcPr>
          <w:p>
            <w:pPr>
              <w:pStyle w:val="25"/>
              <w:jc w:val="center"/>
              <w:rPr>
                <w:rFonts w:ascii="Times New Roman" w:hAnsi="Times New Roman" w:cs="Courier New"/>
              </w:rPr>
            </w:pPr>
            <w:r>
              <w:rPr>
                <w:rFonts w:hint="eastAsia" w:ascii="Times New Roman" w:hAnsi="Times New Roman" w:cs="Courier New"/>
              </w:rPr>
              <w:t>技术指标要求</w:t>
            </w:r>
          </w:p>
        </w:tc>
        <w:tc>
          <w:tcPr>
            <w:tcW w:w="1633" w:type="dxa"/>
            <w:vAlign w:val="center"/>
          </w:tcPr>
          <w:p>
            <w:pPr>
              <w:pStyle w:val="25"/>
              <w:jc w:val="center"/>
              <w:rPr>
                <w:rFonts w:ascii="Times New Roman" w:hAnsi="Times New Roman" w:cs="Courier New"/>
              </w:rPr>
            </w:pPr>
            <w:r>
              <w:rPr>
                <w:rFonts w:hint="eastAsia" w:ascii="Times New Roman" w:hAnsi="Times New Roman" w:cs="Courier New"/>
              </w:rPr>
              <w:t>投标响应情况</w:t>
            </w:r>
          </w:p>
        </w:tc>
        <w:tc>
          <w:tcPr>
            <w:tcW w:w="915" w:type="dxa"/>
            <w:vAlign w:val="center"/>
          </w:tcPr>
          <w:p>
            <w:pPr>
              <w:pStyle w:val="25"/>
              <w:jc w:val="center"/>
              <w:rPr>
                <w:rFonts w:ascii="Times New Roman" w:hAnsi="Times New Roman" w:cs="Courier New"/>
              </w:rPr>
            </w:pPr>
            <w:r>
              <w:rPr>
                <w:rFonts w:hint="eastAsia" w:ascii="Times New Roman" w:hAnsi="Times New Roman" w:cs="Courier New"/>
              </w:rPr>
              <w:t>偏离</w:t>
            </w:r>
          </w:p>
        </w:tc>
        <w:tc>
          <w:tcPr>
            <w:tcW w:w="1246" w:type="dxa"/>
            <w:vAlign w:val="center"/>
          </w:tcPr>
          <w:p>
            <w:pPr>
              <w:pStyle w:val="25"/>
              <w:jc w:val="center"/>
              <w:rPr>
                <w:rFonts w:ascii="Times New Roman" w:hAnsi="Times New Roman" w:eastAsia="MingLiU_HKSCS" w:cs="Courier New"/>
              </w:rPr>
            </w:pPr>
            <w:r>
              <w:rPr>
                <w:rFonts w:hint="eastAsia" w:ascii="Times New Roman" w:hAnsi="Times New Roman" w:cs="Courier New"/>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6" w:type="dxa"/>
            <w:vAlign w:val="center"/>
          </w:tcPr>
          <w:p>
            <w:pPr>
              <w:pStyle w:val="25"/>
              <w:jc w:val="center"/>
              <w:rPr>
                <w:rFonts w:ascii="Times New Roman" w:hAnsi="Times New Roman" w:cs="Courier New"/>
              </w:rPr>
            </w:pPr>
          </w:p>
        </w:tc>
        <w:tc>
          <w:tcPr>
            <w:tcW w:w="1843" w:type="dxa"/>
            <w:vAlign w:val="center"/>
          </w:tcPr>
          <w:p>
            <w:pPr>
              <w:pStyle w:val="25"/>
              <w:jc w:val="center"/>
              <w:rPr>
                <w:rFonts w:ascii="Times New Roman" w:hAnsi="Times New Roman" w:cs="Courier New"/>
              </w:rPr>
            </w:pPr>
          </w:p>
        </w:tc>
        <w:tc>
          <w:tcPr>
            <w:tcW w:w="1275" w:type="dxa"/>
            <w:vAlign w:val="center"/>
          </w:tcPr>
          <w:p>
            <w:pPr>
              <w:pStyle w:val="25"/>
              <w:jc w:val="center"/>
              <w:rPr>
                <w:rFonts w:ascii="Times New Roman" w:hAnsi="Times New Roman" w:cs="Courier New"/>
              </w:rPr>
            </w:pPr>
          </w:p>
        </w:tc>
        <w:tc>
          <w:tcPr>
            <w:tcW w:w="1701" w:type="dxa"/>
            <w:vAlign w:val="center"/>
          </w:tcPr>
          <w:p>
            <w:pPr>
              <w:pStyle w:val="25"/>
              <w:jc w:val="center"/>
              <w:rPr>
                <w:rFonts w:ascii="Times New Roman" w:hAnsi="Times New Roman" w:cs="Courier New"/>
              </w:rPr>
            </w:pPr>
          </w:p>
        </w:tc>
        <w:tc>
          <w:tcPr>
            <w:tcW w:w="1633"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246"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6" w:type="dxa"/>
            <w:vAlign w:val="center"/>
          </w:tcPr>
          <w:p>
            <w:pPr>
              <w:pStyle w:val="25"/>
              <w:jc w:val="center"/>
              <w:rPr>
                <w:rFonts w:ascii="Times New Roman" w:hAnsi="Times New Roman" w:cs="Courier New"/>
              </w:rPr>
            </w:pPr>
          </w:p>
        </w:tc>
        <w:tc>
          <w:tcPr>
            <w:tcW w:w="1843" w:type="dxa"/>
            <w:vAlign w:val="center"/>
          </w:tcPr>
          <w:p>
            <w:pPr>
              <w:pStyle w:val="25"/>
              <w:jc w:val="center"/>
              <w:rPr>
                <w:rFonts w:ascii="Times New Roman" w:hAnsi="Times New Roman" w:cs="Courier New"/>
              </w:rPr>
            </w:pPr>
          </w:p>
        </w:tc>
        <w:tc>
          <w:tcPr>
            <w:tcW w:w="1275" w:type="dxa"/>
            <w:vAlign w:val="center"/>
          </w:tcPr>
          <w:p>
            <w:pPr>
              <w:pStyle w:val="25"/>
              <w:jc w:val="center"/>
              <w:rPr>
                <w:rFonts w:ascii="Times New Roman" w:hAnsi="Times New Roman" w:cs="Courier New"/>
              </w:rPr>
            </w:pPr>
          </w:p>
        </w:tc>
        <w:tc>
          <w:tcPr>
            <w:tcW w:w="1701" w:type="dxa"/>
            <w:vAlign w:val="center"/>
          </w:tcPr>
          <w:p>
            <w:pPr>
              <w:pStyle w:val="25"/>
              <w:jc w:val="center"/>
              <w:rPr>
                <w:rFonts w:ascii="Times New Roman" w:hAnsi="Times New Roman" w:cs="Courier New"/>
              </w:rPr>
            </w:pPr>
          </w:p>
        </w:tc>
        <w:tc>
          <w:tcPr>
            <w:tcW w:w="1633"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246"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6" w:type="dxa"/>
            <w:vAlign w:val="center"/>
          </w:tcPr>
          <w:p>
            <w:pPr>
              <w:pStyle w:val="25"/>
              <w:jc w:val="center"/>
              <w:rPr>
                <w:rFonts w:ascii="Times New Roman" w:hAnsi="Times New Roman" w:cs="Courier New"/>
              </w:rPr>
            </w:pPr>
          </w:p>
        </w:tc>
        <w:tc>
          <w:tcPr>
            <w:tcW w:w="1843" w:type="dxa"/>
            <w:vAlign w:val="center"/>
          </w:tcPr>
          <w:p>
            <w:pPr>
              <w:pStyle w:val="25"/>
              <w:jc w:val="center"/>
              <w:rPr>
                <w:rFonts w:ascii="Times New Roman" w:hAnsi="Times New Roman" w:cs="Courier New"/>
              </w:rPr>
            </w:pPr>
          </w:p>
        </w:tc>
        <w:tc>
          <w:tcPr>
            <w:tcW w:w="1275" w:type="dxa"/>
            <w:vAlign w:val="center"/>
          </w:tcPr>
          <w:p>
            <w:pPr>
              <w:pStyle w:val="25"/>
              <w:jc w:val="center"/>
              <w:rPr>
                <w:rFonts w:ascii="Times New Roman" w:hAnsi="Times New Roman" w:cs="Courier New"/>
              </w:rPr>
            </w:pPr>
          </w:p>
        </w:tc>
        <w:tc>
          <w:tcPr>
            <w:tcW w:w="1701" w:type="dxa"/>
            <w:vAlign w:val="center"/>
          </w:tcPr>
          <w:p>
            <w:pPr>
              <w:pStyle w:val="25"/>
              <w:jc w:val="center"/>
              <w:rPr>
                <w:rFonts w:ascii="Times New Roman" w:hAnsi="Times New Roman" w:cs="Courier New"/>
              </w:rPr>
            </w:pPr>
          </w:p>
        </w:tc>
        <w:tc>
          <w:tcPr>
            <w:tcW w:w="1633"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246"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6" w:type="dxa"/>
            <w:vAlign w:val="center"/>
          </w:tcPr>
          <w:p>
            <w:pPr>
              <w:pStyle w:val="25"/>
              <w:jc w:val="center"/>
              <w:rPr>
                <w:rFonts w:ascii="Times New Roman" w:hAnsi="Times New Roman" w:cs="Courier New"/>
              </w:rPr>
            </w:pPr>
          </w:p>
        </w:tc>
        <w:tc>
          <w:tcPr>
            <w:tcW w:w="1843" w:type="dxa"/>
            <w:vAlign w:val="center"/>
          </w:tcPr>
          <w:p>
            <w:pPr>
              <w:pStyle w:val="25"/>
              <w:jc w:val="center"/>
              <w:rPr>
                <w:rFonts w:ascii="Times New Roman" w:hAnsi="Times New Roman" w:cs="Courier New"/>
              </w:rPr>
            </w:pPr>
          </w:p>
        </w:tc>
        <w:tc>
          <w:tcPr>
            <w:tcW w:w="1275" w:type="dxa"/>
            <w:vAlign w:val="center"/>
          </w:tcPr>
          <w:p>
            <w:pPr>
              <w:pStyle w:val="25"/>
              <w:jc w:val="center"/>
              <w:rPr>
                <w:rFonts w:ascii="Times New Roman" w:hAnsi="Times New Roman" w:cs="Courier New"/>
              </w:rPr>
            </w:pPr>
          </w:p>
        </w:tc>
        <w:tc>
          <w:tcPr>
            <w:tcW w:w="1701" w:type="dxa"/>
            <w:vAlign w:val="center"/>
          </w:tcPr>
          <w:p>
            <w:pPr>
              <w:pStyle w:val="25"/>
              <w:jc w:val="center"/>
              <w:rPr>
                <w:rFonts w:ascii="Times New Roman" w:hAnsi="Times New Roman" w:cs="Courier New"/>
              </w:rPr>
            </w:pPr>
          </w:p>
        </w:tc>
        <w:tc>
          <w:tcPr>
            <w:tcW w:w="1633"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246"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6" w:type="dxa"/>
            <w:vAlign w:val="center"/>
          </w:tcPr>
          <w:p>
            <w:pPr>
              <w:pStyle w:val="25"/>
              <w:jc w:val="center"/>
              <w:rPr>
                <w:rFonts w:ascii="Times New Roman" w:hAnsi="Times New Roman" w:cs="Courier New"/>
              </w:rPr>
            </w:pPr>
          </w:p>
        </w:tc>
        <w:tc>
          <w:tcPr>
            <w:tcW w:w="1843" w:type="dxa"/>
            <w:vAlign w:val="center"/>
          </w:tcPr>
          <w:p>
            <w:pPr>
              <w:pStyle w:val="25"/>
              <w:jc w:val="center"/>
              <w:rPr>
                <w:rFonts w:ascii="Times New Roman" w:hAnsi="Times New Roman" w:cs="Courier New"/>
              </w:rPr>
            </w:pPr>
          </w:p>
        </w:tc>
        <w:tc>
          <w:tcPr>
            <w:tcW w:w="1275" w:type="dxa"/>
            <w:vAlign w:val="center"/>
          </w:tcPr>
          <w:p>
            <w:pPr>
              <w:pStyle w:val="25"/>
              <w:jc w:val="center"/>
              <w:rPr>
                <w:rFonts w:ascii="Times New Roman" w:hAnsi="Times New Roman" w:cs="Courier New"/>
              </w:rPr>
            </w:pPr>
          </w:p>
        </w:tc>
        <w:tc>
          <w:tcPr>
            <w:tcW w:w="1701" w:type="dxa"/>
            <w:vAlign w:val="center"/>
          </w:tcPr>
          <w:p>
            <w:pPr>
              <w:pStyle w:val="25"/>
              <w:jc w:val="center"/>
              <w:rPr>
                <w:rFonts w:ascii="Times New Roman" w:hAnsi="Times New Roman" w:cs="Courier New"/>
              </w:rPr>
            </w:pPr>
          </w:p>
        </w:tc>
        <w:tc>
          <w:tcPr>
            <w:tcW w:w="1633"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246" w:type="dxa"/>
            <w:vAlign w:val="center"/>
          </w:tcPr>
          <w:p>
            <w:pPr>
              <w:pStyle w:val="25"/>
              <w:jc w:val="center"/>
              <w:rPr>
                <w:rFonts w:ascii="Times New Roman" w:hAnsi="Times New Roman" w:eastAsia="MingLiU_HKSCS" w:cs="Courier Ne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 w:type="dxa"/>
            <w:vAlign w:val="center"/>
          </w:tcPr>
          <w:p>
            <w:pPr>
              <w:pStyle w:val="25"/>
              <w:jc w:val="center"/>
              <w:rPr>
                <w:rFonts w:ascii="Times New Roman" w:hAnsi="Times New Roman" w:cs="Courier New"/>
              </w:rPr>
            </w:pPr>
          </w:p>
        </w:tc>
        <w:tc>
          <w:tcPr>
            <w:tcW w:w="1843" w:type="dxa"/>
            <w:vAlign w:val="center"/>
          </w:tcPr>
          <w:p>
            <w:pPr>
              <w:pStyle w:val="25"/>
              <w:jc w:val="center"/>
              <w:rPr>
                <w:rFonts w:ascii="Times New Roman" w:hAnsi="Times New Roman" w:cs="Courier New"/>
              </w:rPr>
            </w:pPr>
          </w:p>
        </w:tc>
        <w:tc>
          <w:tcPr>
            <w:tcW w:w="1275" w:type="dxa"/>
            <w:vAlign w:val="center"/>
          </w:tcPr>
          <w:p>
            <w:pPr>
              <w:pStyle w:val="25"/>
              <w:jc w:val="center"/>
              <w:rPr>
                <w:rFonts w:ascii="Times New Roman" w:hAnsi="Times New Roman" w:cs="Courier New"/>
              </w:rPr>
            </w:pPr>
          </w:p>
        </w:tc>
        <w:tc>
          <w:tcPr>
            <w:tcW w:w="1701" w:type="dxa"/>
            <w:vAlign w:val="center"/>
          </w:tcPr>
          <w:p>
            <w:pPr>
              <w:pStyle w:val="25"/>
              <w:jc w:val="center"/>
              <w:rPr>
                <w:rFonts w:ascii="Times New Roman" w:hAnsi="Times New Roman" w:cs="Courier New"/>
              </w:rPr>
            </w:pPr>
          </w:p>
        </w:tc>
        <w:tc>
          <w:tcPr>
            <w:tcW w:w="1633" w:type="dxa"/>
            <w:vAlign w:val="center"/>
          </w:tcPr>
          <w:p>
            <w:pPr>
              <w:pStyle w:val="25"/>
              <w:jc w:val="center"/>
              <w:rPr>
                <w:rFonts w:ascii="Times New Roman" w:hAnsi="Times New Roman" w:cs="Courier New"/>
              </w:rPr>
            </w:pPr>
          </w:p>
        </w:tc>
        <w:tc>
          <w:tcPr>
            <w:tcW w:w="915" w:type="dxa"/>
            <w:vAlign w:val="center"/>
          </w:tcPr>
          <w:p>
            <w:pPr>
              <w:pStyle w:val="25"/>
              <w:jc w:val="center"/>
              <w:rPr>
                <w:rFonts w:ascii="Times New Roman" w:hAnsi="Times New Roman" w:cs="Courier New"/>
              </w:rPr>
            </w:pPr>
          </w:p>
        </w:tc>
        <w:tc>
          <w:tcPr>
            <w:tcW w:w="1246" w:type="dxa"/>
            <w:vAlign w:val="center"/>
          </w:tcPr>
          <w:p>
            <w:pPr>
              <w:pStyle w:val="25"/>
              <w:jc w:val="center"/>
              <w:rPr>
                <w:rFonts w:ascii="MingLiU_HKSCS" w:hAnsi="MingLiU_HKSCS" w:eastAsia="MingLiU_HKSCS" w:cs="MingLiU_HKSCS"/>
              </w:rPr>
            </w:pPr>
          </w:p>
        </w:tc>
      </w:tr>
    </w:tbl>
    <w:p>
      <w:pPr>
        <w:pStyle w:val="25"/>
        <w:rPr>
          <w:rFonts w:ascii="Times New Roman" w:hAnsi="Times New Roman" w:eastAsia="仿宋_GB2312"/>
          <w:b/>
          <w:bCs/>
        </w:rPr>
      </w:pPr>
      <w:r>
        <w:rPr>
          <w:rFonts w:hint="eastAsia" w:ascii="Times New Roman" w:hAnsi="Times New Roman" w:eastAsia="仿宋_GB2312"/>
          <w:b/>
          <w:bCs/>
        </w:rPr>
        <w:t>备注：</w:t>
      </w:r>
      <w:r>
        <w:rPr>
          <w:rFonts w:hint="eastAsia" w:ascii="Times New Roman" w:hAnsi="Times New Roman" w:eastAsia="仿宋_GB2312"/>
        </w:rPr>
        <w:t>如有偏离项，则必须逐项填列注明正偏离或负偏离；未注明偏离的，视为完全响应。</w:t>
      </w:r>
    </w:p>
    <w:p>
      <w:pPr>
        <w:pStyle w:val="25"/>
        <w:ind w:firstLine="420" w:firstLineChars="200"/>
        <w:rPr>
          <w:rFonts w:ascii="MingLiU_HKSCS" w:hAnsi="MingLiU_HKSCS" w:eastAsia="MingLiU_HKSCS" w:cs="MingLiU_HKSCS"/>
        </w:rPr>
      </w:pPr>
    </w:p>
    <w:p>
      <w:pPr>
        <w:pStyle w:val="25"/>
        <w:spacing w:line="360" w:lineRule="auto"/>
        <w:rPr>
          <w:rFonts w:hAnsi="宋体" w:cs="宋体"/>
        </w:rPr>
      </w:pPr>
    </w:p>
    <w:p>
      <w:pPr>
        <w:pStyle w:val="25"/>
        <w:spacing w:line="360" w:lineRule="auto"/>
        <w:rPr>
          <w:rFonts w:hAnsi="宋体" w:cs="宋体"/>
        </w:rPr>
      </w:pPr>
      <w:r>
        <w:rPr>
          <w:rFonts w:hint="eastAsia" w:hAnsi="宋体" w:cs="宋体"/>
        </w:rPr>
        <w:t>投标人名称（公章）：________________</w:t>
      </w:r>
    </w:p>
    <w:p>
      <w:pPr>
        <w:pStyle w:val="25"/>
        <w:spacing w:line="360" w:lineRule="auto"/>
        <w:rPr>
          <w:rFonts w:hAnsi="宋体" w:cs="宋体"/>
        </w:rPr>
      </w:pPr>
      <w:r>
        <w:rPr>
          <w:rFonts w:hint="eastAsia" w:hAnsi="宋体" w:cs="宋体"/>
        </w:rPr>
        <w:t>法定代表人或其授权代表（签字或盖章）：________________</w:t>
      </w:r>
    </w:p>
    <w:p>
      <w:pPr>
        <w:pStyle w:val="25"/>
        <w:spacing w:line="360" w:lineRule="auto"/>
        <w:rPr>
          <w:rFonts w:hAnsi="宋体" w:cs="宋体"/>
        </w:rPr>
      </w:pPr>
      <w:r>
        <w:rPr>
          <w:rFonts w:hint="eastAsia" w:hAnsi="宋体" w:cs="宋体"/>
        </w:rPr>
        <w:t>日期：______年____月____日</w:t>
      </w:r>
    </w:p>
    <w:p>
      <w:pPr>
        <w:pStyle w:val="25"/>
        <w:ind w:firstLine="420" w:firstLineChars="200"/>
        <w:rPr>
          <w:rFonts w:ascii="Times New Roman" w:hAnsi="Times New Roman" w:eastAsia="仿宋_GB2312"/>
        </w:rPr>
      </w:pPr>
    </w:p>
    <w:p>
      <w:pPr>
        <w:pStyle w:val="25"/>
        <w:rPr>
          <w:rFonts w:ascii="MingLiU_HKSCS" w:hAnsi="MingLiU_HKSCS" w:eastAsia="MingLiU_HKSCS" w:cs="MingLiU_HKSCS"/>
        </w:rPr>
      </w:pPr>
      <w:r>
        <w:rPr>
          <w:rFonts w:hint="eastAsia" w:ascii="Times New Roman" w:hAnsi="Times New Roman" w:eastAsia="仿宋_GB2312"/>
          <w:b/>
          <w:bCs/>
        </w:rPr>
        <w:t>说明：</w:t>
      </w:r>
      <w:r>
        <w:rPr>
          <w:rFonts w:hint="eastAsia" w:ascii="Times New Roman" w:hAnsi="Times New Roman" w:eastAsia="仿宋_GB2312"/>
        </w:rPr>
        <w:t>授权用投标专用章的，与公章具有相同法律效力。</w:t>
      </w:r>
    </w:p>
    <w:p>
      <w:pPr>
        <w:pStyle w:val="25"/>
        <w:ind w:firstLine="420" w:firstLineChars="200"/>
        <w:rPr>
          <w:rFonts w:ascii="Times New Roman" w:hAnsi="Times New Roman" w:eastAsia="仿宋_GB2312"/>
        </w:rPr>
      </w:pPr>
    </w:p>
    <w:p>
      <w:pPr>
        <w:adjustRightInd w:val="0"/>
        <w:snapToGrid w:val="0"/>
        <w:spacing w:line="360" w:lineRule="auto"/>
        <w:outlineLvl w:val="3"/>
        <w:rPr>
          <w:rFonts w:cs="Courier New"/>
          <w:b/>
          <w:bCs/>
          <w:szCs w:val="21"/>
        </w:rPr>
      </w:pPr>
      <w:r>
        <w:br w:type="page"/>
      </w:r>
      <w:r>
        <w:rPr>
          <w:rFonts w:hint="eastAsia" w:cs="Courier New"/>
          <w:b/>
          <w:bCs/>
          <w:szCs w:val="21"/>
        </w:rPr>
        <w:t>八、技术、服务方案及承诺</w:t>
      </w:r>
    </w:p>
    <w:p>
      <w:pPr>
        <w:pStyle w:val="25"/>
        <w:jc w:val="center"/>
        <w:rPr>
          <w:rFonts w:ascii="Times New Roman" w:hAnsi="Times New Roman"/>
          <w:b/>
          <w:bCs/>
          <w:sz w:val="24"/>
          <w:szCs w:val="24"/>
        </w:rPr>
      </w:pPr>
    </w:p>
    <w:p>
      <w:pPr>
        <w:pStyle w:val="25"/>
        <w:jc w:val="center"/>
        <w:rPr>
          <w:b/>
          <w:bCs/>
          <w:color w:val="000000"/>
          <w:sz w:val="28"/>
          <w:szCs w:val="28"/>
        </w:rPr>
      </w:pPr>
      <w:r>
        <w:rPr>
          <w:rFonts w:hint="eastAsia"/>
          <w:b/>
          <w:bCs/>
          <w:color w:val="000000"/>
          <w:sz w:val="28"/>
          <w:szCs w:val="28"/>
        </w:rPr>
        <w:t>技术、服务方案及承诺</w:t>
      </w:r>
    </w:p>
    <w:p>
      <w:pPr>
        <w:pStyle w:val="25"/>
        <w:spacing w:before="240" w:beforeLines="100" w:after="120" w:afterLines="50"/>
        <w:jc w:val="center"/>
        <w:rPr>
          <w:rFonts w:ascii="MingLiU_HKSCS" w:hAnsi="MingLiU_HKSCS" w:eastAsia="MingLiU_HKSCS" w:cs="MingLiU_HKSCS"/>
          <w:color w:val="000000"/>
        </w:rPr>
      </w:pPr>
      <w:r>
        <w:rPr>
          <w:rFonts w:ascii="Times New Roman" w:hAnsi="Times New Roman" w:eastAsia="仿宋_GB2312"/>
          <w:color w:val="000000"/>
        </w:rPr>
        <w:t>（</w:t>
      </w:r>
      <w:r>
        <w:rPr>
          <w:rFonts w:hint="eastAsia" w:ascii="Times New Roman" w:hAnsi="Times New Roman" w:eastAsia="仿宋_GB2312"/>
          <w:color w:val="000000"/>
        </w:rPr>
        <w:t>示例略</w:t>
      </w:r>
      <w:r>
        <w:rPr>
          <w:rFonts w:ascii="Times New Roman" w:hAnsi="Times New Roman" w:eastAsia="仿宋_GB2312"/>
          <w:color w:val="000000"/>
        </w:rPr>
        <w:t>）</w:t>
      </w:r>
    </w:p>
    <w:p>
      <w:pPr>
        <w:spacing w:line="40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r>
        <w:rPr>
          <w:rFonts w:hint="eastAsia" w:ascii="宋体" w:hAnsi="宋体" w:cs="宋体"/>
          <w:b/>
          <w:color w:val="000000" w:themeColor="text1"/>
          <w:szCs w:val="21"/>
          <w14:textFill>
            <w14:solidFill>
              <w14:schemeClr w14:val="tx1"/>
            </w14:solidFill>
          </w14:textFill>
        </w:rPr>
        <w:t>供应商应当根据第六章规定及评分表要点编写技术、服务方案及承诺。</w:t>
      </w:r>
      <w:r>
        <w:rPr>
          <w:rFonts w:hint="eastAsia" w:hAnsi="宋体"/>
          <w:color w:val="000000" w:themeColor="text1"/>
          <w14:textFill>
            <w14:solidFill>
              <w14:schemeClr w14:val="tx1"/>
            </w14:solidFill>
          </w14:textFill>
        </w:rPr>
        <w:t>包括但不限于：</w:t>
      </w:r>
      <w:r>
        <w:rPr>
          <w:rFonts w:ascii="宋体" w:hAnsi="宋体" w:cs="宋体"/>
          <w:color w:val="000000" w:themeColor="text1"/>
          <w:szCs w:val="21"/>
          <w14:textFill>
            <w14:solidFill>
              <w14:schemeClr w14:val="tx1"/>
            </w14:solidFill>
          </w14:textFill>
        </w:rPr>
        <w:t>需求理解</w:t>
      </w:r>
      <w:r>
        <w:rPr>
          <w:rFonts w:hint="eastAsia" w:ascii="宋体" w:hAnsi="宋体" w:cs="宋体"/>
          <w:color w:val="000000" w:themeColor="text1"/>
          <w:szCs w:val="21"/>
          <w14:textFill>
            <w14:solidFill>
              <w14:schemeClr w14:val="tx1"/>
            </w14:solidFill>
          </w14:textFill>
        </w:rPr>
        <w:t>、整体设计</w:t>
      </w:r>
      <w:r>
        <w:rPr>
          <w:rFonts w:ascii="宋体" w:hAnsi="宋体" w:cs="宋体"/>
          <w:color w:val="000000" w:themeColor="text1"/>
          <w:szCs w:val="21"/>
          <w14:textFill>
            <w14:solidFill>
              <w14:schemeClr w14:val="tx1"/>
            </w14:solidFill>
          </w14:textFill>
        </w:rPr>
        <w:t>方案</w:t>
      </w:r>
      <w:r>
        <w:rPr>
          <w:rFonts w:hint="eastAsia" w:ascii="宋体" w:hAnsi="宋体" w:cs="宋体"/>
          <w:color w:val="000000" w:themeColor="text1"/>
          <w:szCs w:val="21"/>
          <w14:textFill>
            <w14:solidFill>
              <w14:schemeClr w14:val="tx1"/>
            </w14:solidFill>
          </w14:textFill>
        </w:rPr>
        <w:t>、实施方案、维保服务方案、质量管控方案、</w:t>
      </w:r>
      <w:r>
        <w:rPr>
          <w:rFonts w:hint="eastAsia" w:ascii="宋体" w:hAnsi="宋体" w:cs="仿宋"/>
          <w:color w:val="000000" w:themeColor="text1"/>
          <w:kern w:val="0"/>
          <w:szCs w:val="21"/>
          <w14:textFill>
            <w14:solidFill>
              <w14:schemeClr w14:val="tx1"/>
            </w14:solidFill>
          </w14:textFill>
        </w:rPr>
        <w:t>培训方案</w:t>
      </w:r>
      <w:r>
        <w:rPr>
          <w:rFonts w:ascii="宋体" w:hAnsi="宋体"/>
          <w:color w:val="000000" w:themeColor="text1"/>
          <w:szCs w:val="21"/>
          <w14:textFill>
            <w14:solidFill>
              <w14:schemeClr w14:val="tx1"/>
            </w14:solidFill>
          </w14:textFill>
        </w:rPr>
        <w:t>等</w:t>
      </w:r>
      <w:r>
        <w:rPr>
          <w:rFonts w:hint="eastAsia" w:hAnsi="宋体"/>
          <w:color w:val="000000" w:themeColor="text1"/>
          <w14:textFill>
            <w14:solidFill>
              <w14:schemeClr w14:val="tx1"/>
            </w14:solidFill>
          </w14:textFill>
        </w:rPr>
        <w:t>。</w:t>
      </w:r>
    </w:p>
    <w:p>
      <w:pPr>
        <w:pStyle w:val="25"/>
        <w:tabs>
          <w:tab w:val="left" w:pos="5414"/>
        </w:tabs>
        <w:spacing w:line="400" w:lineRule="exact"/>
        <w:jc w:val="left"/>
        <w:rPr>
          <w:rFonts w:hAnsi="宋体"/>
          <w:color w:val="FF0000"/>
        </w:rPr>
      </w:pPr>
      <w:r>
        <w:rPr>
          <w:rFonts w:hint="eastAsia" w:hAnsi="宋体"/>
          <w:color w:val="FF0000"/>
        </w:rPr>
        <w:tab/>
      </w:r>
    </w:p>
    <w:p>
      <w:pPr>
        <w:pStyle w:val="25"/>
        <w:spacing w:line="360" w:lineRule="auto"/>
        <w:ind w:firstLine="420" w:firstLineChars="200"/>
        <w:jc w:val="left"/>
        <w:rPr>
          <w:rFonts w:hAnsi="宋体"/>
        </w:rPr>
      </w:pPr>
      <w:r>
        <w:rPr>
          <w:rFonts w:hAnsi="宋体"/>
        </w:rPr>
        <w:tab/>
      </w:r>
    </w:p>
    <w:p>
      <w:pPr>
        <w:pStyle w:val="25"/>
        <w:jc w:val="left"/>
        <w:rPr>
          <w:rFonts w:ascii="Times New Roman" w:hAnsi="Times New Roman"/>
        </w:rPr>
      </w:pPr>
    </w:p>
    <w:p>
      <w:pPr>
        <w:pStyle w:val="25"/>
        <w:spacing w:line="360" w:lineRule="auto"/>
        <w:rPr>
          <w:rFonts w:hAnsi="宋体" w:cs="宋体"/>
        </w:rPr>
      </w:pPr>
      <w:r>
        <w:rPr>
          <w:rFonts w:hint="eastAsia" w:hAnsi="宋体" w:cs="宋体"/>
        </w:rPr>
        <w:t>投标人名称（公章）：________________</w:t>
      </w:r>
    </w:p>
    <w:p>
      <w:pPr>
        <w:pStyle w:val="25"/>
        <w:spacing w:line="360" w:lineRule="auto"/>
        <w:rPr>
          <w:rFonts w:hAnsi="宋体" w:cs="宋体"/>
        </w:rPr>
      </w:pPr>
      <w:r>
        <w:rPr>
          <w:rFonts w:hint="eastAsia" w:hAnsi="宋体" w:cs="宋体"/>
        </w:rPr>
        <w:t>法定代表人或其授权代表（签字或盖章）：________________</w:t>
      </w:r>
    </w:p>
    <w:p>
      <w:pPr>
        <w:pStyle w:val="25"/>
        <w:spacing w:line="360" w:lineRule="auto"/>
        <w:rPr>
          <w:rFonts w:hAnsi="宋体" w:cs="宋体"/>
        </w:rPr>
      </w:pPr>
      <w:r>
        <w:rPr>
          <w:rFonts w:hint="eastAsia" w:hAnsi="宋体" w:cs="宋体"/>
        </w:rPr>
        <w:t>日期：______年____月____日</w:t>
      </w:r>
    </w:p>
    <w:p>
      <w:pPr>
        <w:pStyle w:val="25"/>
        <w:spacing w:line="360" w:lineRule="auto"/>
        <w:rPr>
          <w:rFonts w:hAnsi="宋体" w:cs="宋体"/>
        </w:rPr>
      </w:pPr>
    </w:p>
    <w:p>
      <w:pPr>
        <w:pStyle w:val="25"/>
        <w:spacing w:line="360" w:lineRule="auto"/>
        <w:rPr>
          <w:rFonts w:hAnsi="宋体" w:cs="宋体"/>
        </w:rPr>
      </w:pPr>
    </w:p>
    <w:p>
      <w:pPr>
        <w:pStyle w:val="25"/>
        <w:rPr>
          <w:rFonts w:ascii="MingLiU_HKSCS" w:hAnsi="MingLiU_HKSCS" w:eastAsia="MingLiU_HKSCS" w:cs="MingLiU_HKSCS"/>
        </w:rPr>
      </w:pPr>
      <w:r>
        <w:rPr>
          <w:rFonts w:hint="eastAsia" w:ascii="Times New Roman" w:hAnsi="Times New Roman" w:eastAsia="仿宋_GB2312"/>
          <w:b/>
          <w:bCs/>
        </w:rPr>
        <w:t>说明：</w:t>
      </w:r>
      <w:r>
        <w:rPr>
          <w:rFonts w:hint="eastAsia" w:ascii="Times New Roman" w:hAnsi="Times New Roman" w:eastAsia="仿宋_GB2312"/>
        </w:rPr>
        <w:t>授权用投标专用章的，与公章具有相同法律效力。</w:t>
      </w:r>
    </w:p>
    <w:p>
      <w:pPr>
        <w:pStyle w:val="25"/>
        <w:spacing w:line="360" w:lineRule="auto"/>
        <w:rPr>
          <w:rFonts w:hAnsi="宋体" w:cs="宋体"/>
        </w:rPr>
      </w:pPr>
    </w:p>
    <w:p>
      <w:pPr>
        <w:pStyle w:val="25"/>
        <w:spacing w:line="360" w:lineRule="auto"/>
        <w:rPr>
          <w:rFonts w:hAnsi="宋体" w:cs="宋体"/>
        </w:rPr>
      </w:pPr>
    </w:p>
    <w:p>
      <w:pPr>
        <w:pStyle w:val="25"/>
        <w:spacing w:line="360" w:lineRule="auto"/>
        <w:rPr>
          <w:rFonts w:hAnsi="宋体" w:cs="宋体"/>
        </w:rPr>
      </w:pPr>
    </w:p>
    <w:p>
      <w:pPr>
        <w:pStyle w:val="25"/>
        <w:spacing w:line="360" w:lineRule="auto"/>
        <w:rPr>
          <w:rFonts w:hAnsi="宋体" w:cs="宋体"/>
        </w:rPr>
      </w:pPr>
    </w:p>
    <w:p>
      <w:pPr>
        <w:pStyle w:val="25"/>
        <w:spacing w:line="360" w:lineRule="auto"/>
        <w:rPr>
          <w:rFonts w:hAnsi="宋体" w:cs="宋体"/>
        </w:rPr>
      </w:pPr>
    </w:p>
    <w:p>
      <w:pPr>
        <w:pStyle w:val="25"/>
        <w:jc w:val="left"/>
        <w:outlineLvl w:val="3"/>
        <w:rPr>
          <w:rFonts w:ascii="Times New Roman" w:hAnsi="Times New Roman"/>
          <w:b/>
          <w:bCs/>
        </w:rPr>
        <w:sectPr>
          <w:pgSz w:w="11906" w:h="16838"/>
          <w:pgMar w:top="1304" w:right="1247" w:bottom="1134" w:left="1304" w:header="850" w:footer="850" w:gutter="0"/>
          <w:cols w:space="720" w:num="1"/>
          <w:titlePg/>
          <w:docGrid w:linePitch="324" w:charSpace="0"/>
        </w:sectPr>
      </w:pPr>
    </w:p>
    <w:p>
      <w:pPr>
        <w:pStyle w:val="25"/>
        <w:jc w:val="left"/>
        <w:outlineLvl w:val="3"/>
        <w:rPr>
          <w:rFonts w:ascii="Times New Roman" w:hAnsi="Times New Roman"/>
          <w:b/>
          <w:bCs/>
        </w:rPr>
      </w:pPr>
      <w:r>
        <w:rPr>
          <w:rFonts w:hint="eastAsia" w:ascii="Times New Roman" w:hAnsi="Times New Roman"/>
          <w:b/>
          <w:bCs/>
        </w:rPr>
        <w:t>九、投标货物（或服务）符合招标文件规定的证明文件</w:t>
      </w:r>
    </w:p>
    <w:p>
      <w:pPr>
        <w:pStyle w:val="25"/>
        <w:jc w:val="left"/>
        <w:rPr>
          <w:rFonts w:ascii="Times New Roman" w:hAnsi="Times New Roman"/>
          <w:b/>
          <w:bCs/>
        </w:rPr>
      </w:pPr>
    </w:p>
    <w:p>
      <w:pPr>
        <w:pStyle w:val="25"/>
        <w:jc w:val="center"/>
        <w:rPr>
          <w:rFonts w:ascii="Calibri" w:hAnsi="Calibri" w:eastAsia="方正小标宋_GBK"/>
          <w:bCs/>
          <w:kern w:val="44"/>
          <w:sz w:val="36"/>
          <w:szCs w:val="44"/>
        </w:rPr>
      </w:pPr>
    </w:p>
    <w:p>
      <w:pPr>
        <w:pStyle w:val="25"/>
        <w:jc w:val="center"/>
        <w:rPr>
          <w:rFonts w:ascii="Times New Roman" w:hAnsi="Times New Roman"/>
          <w:b/>
          <w:bCs/>
          <w:sz w:val="28"/>
          <w:szCs w:val="28"/>
        </w:rPr>
      </w:pPr>
      <w:r>
        <w:rPr>
          <w:rFonts w:hint="eastAsia" w:ascii="Times New Roman" w:hAnsi="Times New Roman"/>
          <w:b/>
          <w:bCs/>
          <w:sz w:val="28"/>
          <w:szCs w:val="28"/>
        </w:rPr>
        <w:t>投标货物（或服务）符合招标文件规定的证明文件</w:t>
      </w:r>
    </w:p>
    <w:p>
      <w:pPr>
        <w:pStyle w:val="25"/>
        <w:spacing w:before="120" w:beforeLines="50"/>
        <w:ind w:firstLine="420" w:firstLineChars="200"/>
        <w:jc w:val="center"/>
        <w:rPr>
          <w:rFonts w:ascii="MingLiU_HKSCS" w:hAnsi="MingLiU_HKSCS" w:eastAsia="MingLiU_HKSCS" w:cs="MingLiU_HKSCS"/>
        </w:rPr>
      </w:pPr>
      <w:r>
        <w:rPr>
          <w:rFonts w:ascii="Times New Roman" w:hAnsi="Times New Roman" w:eastAsia="仿宋_GB2312"/>
        </w:rPr>
        <w:t>（</w:t>
      </w:r>
      <w:r>
        <w:rPr>
          <w:rFonts w:hint="eastAsia" w:ascii="Times New Roman" w:hAnsi="Times New Roman" w:eastAsia="仿宋_GB2312"/>
        </w:rPr>
        <w:t>示例略</w:t>
      </w:r>
      <w:r>
        <w:rPr>
          <w:rFonts w:ascii="Times New Roman" w:hAnsi="Times New Roman" w:eastAsia="仿宋_GB2312"/>
        </w:rPr>
        <w:t>）</w:t>
      </w:r>
    </w:p>
    <w:p>
      <w:pPr>
        <w:pStyle w:val="25"/>
        <w:ind w:firstLine="420" w:firstLineChars="200"/>
        <w:rPr>
          <w:rFonts w:ascii="Times New Roman" w:hAnsi="Times New Roman" w:eastAsia="仿宋_GB2312"/>
        </w:rPr>
      </w:pPr>
    </w:p>
    <w:p>
      <w:pPr>
        <w:pStyle w:val="25"/>
        <w:rPr>
          <w:rFonts w:ascii="Times New Roman" w:hAnsi="Times New Roman" w:eastAsia="仿宋_GB2312"/>
        </w:rPr>
      </w:pPr>
      <w:r>
        <w:rPr>
          <w:rFonts w:hint="eastAsia" w:ascii="Times New Roman" w:hAnsi="Times New Roman" w:eastAsia="仿宋_GB2312"/>
          <w:b/>
          <w:bCs/>
        </w:rPr>
        <w:t>备注：</w:t>
      </w:r>
      <w:r>
        <w:rPr>
          <w:rFonts w:hint="eastAsia" w:ascii="Times New Roman" w:hAnsi="Times New Roman" w:eastAsia="仿宋_GB2312"/>
        </w:rPr>
        <w:t>提供第二章“投标人须知前附表”和第六章“项目需求”规定的证明材料复印件。</w:t>
      </w:r>
    </w:p>
    <w:p>
      <w:pPr>
        <w:pStyle w:val="25"/>
        <w:jc w:val="center"/>
        <w:rPr>
          <w:rFonts w:ascii="Times New Roman" w:hAnsi="Times New Roman" w:eastAsia="仿宋_GB2312"/>
        </w:rPr>
      </w:pPr>
    </w:p>
    <w:p>
      <w:pPr>
        <w:pStyle w:val="25"/>
        <w:jc w:val="center"/>
        <w:rPr>
          <w:rFonts w:ascii="Times New Roman" w:hAnsi="Times New Roman"/>
          <w:sz w:val="32"/>
          <w:szCs w:val="32"/>
        </w:rPr>
      </w:pPr>
      <w:r>
        <w:rPr>
          <w:rFonts w:ascii="Times New Roman" w:hAnsi="Times New Roman"/>
          <w:sz w:val="32"/>
          <w:szCs w:val="32"/>
        </w:rPr>
        <w:br w:type="page"/>
      </w:r>
    </w:p>
    <w:p>
      <w:pPr>
        <w:pStyle w:val="25"/>
        <w:ind w:firstLine="640" w:firstLineChars="200"/>
        <w:jc w:val="center"/>
        <w:rPr>
          <w:rFonts w:ascii="Times New Roman" w:hAnsi="Times New Roman"/>
          <w:sz w:val="32"/>
          <w:szCs w:val="32"/>
        </w:rPr>
      </w:pPr>
    </w:p>
    <w:p>
      <w:pPr>
        <w:pStyle w:val="25"/>
        <w:ind w:firstLine="640" w:firstLineChars="200"/>
        <w:jc w:val="center"/>
        <w:rPr>
          <w:rFonts w:ascii="Times New Roman" w:hAnsi="Times New Roman"/>
          <w:sz w:val="32"/>
          <w:szCs w:val="32"/>
        </w:rPr>
      </w:pPr>
    </w:p>
    <w:p>
      <w:pPr>
        <w:pStyle w:val="25"/>
        <w:ind w:firstLine="640" w:firstLineChars="200"/>
        <w:jc w:val="center"/>
        <w:rPr>
          <w:rFonts w:ascii="Times New Roman" w:hAnsi="Times New Roman"/>
          <w:sz w:val="32"/>
          <w:szCs w:val="32"/>
        </w:rPr>
      </w:pPr>
    </w:p>
    <w:p>
      <w:pPr>
        <w:pStyle w:val="25"/>
        <w:ind w:firstLine="640" w:firstLineChars="200"/>
        <w:jc w:val="center"/>
        <w:rPr>
          <w:rFonts w:ascii="Times New Roman" w:hAnsi="Times New Roman"/>
          <w:sz w:val="32"/>
          <w:szCs w:val="32"/>
        </w:rPr>
      </w:pPr>
    </w:p>
    <w:p>
      <w:pPr>
        <w:pStyle w:val="25"/>
        <w:ind w:firstLine="640" w:firstLineChars="200"/>
        <w:jc w:val="center"/>
        <w:rPr>
          <w:rFonts w:ascii="Times New Roman" w:hAnsi="Times New Roman"/>
          <w:sz w:val="32"/>
          <w:szCs w:val="32"/>
        </w:rPr>
      </w:pPr>
    </w:p>
    <w:p>
      <w:pPr>
        <w:pStyle w:val="25"/>
        <w:rPr>
          <w:rFonts w:ascii="Times New Roman" w:hAnsi="Times New Roman"/>
          <w:sz w:val="32"/>
          <w:szCs w:val="32"/>
        </w:rPr>
      </w:pPr>
    </w:p>
    <w:p>
      <w:pPr>
        <w:pStyle w:val="25"/>
        <w:ind w:firstLine="640" w:firstLineChars="200"/>
        <w:jc w:val="center"/>
        <w:rPr>
          <w:rFonts w:ascii="Times New Roman" w:hAnsi="Times New Roman"/>
          <w:sz w:val="32"/>
          <w:szCs w:val="32"/>
        </w:rPr>
      </w:pPr>
    </w:p>
    <w:p>
      <w:pPr>
        <w:pStyle w:val="25"/>
        <w:ind w:firstLine="640" w:firstLineChars="200"/>
        <w:jc w:val="center"/>
        <w:rPr>
          <w:rFonts w:ascii="Times New Roman" w:hAnsi="Times New Roman"/>
          <w:sz w:val="32"/>
          <w:szCs w:val="32"/>
        </w:rPr>
      </w:pPr>
    </w:p>
    <w:p>
      <w:pPr>
        <w:pStyle w:val="25"/>
        <w:ind w:firstLine="723" w:firstLineChars="200"/>
        <w:jc w:val="center"/>
        <w:outlineLvl w:val="0"/>
        <w:rPr>
          <w:rFonts w:hAnsi="宋体" w:cs="宋体"/>
          <w:bCs/>
          <w:kern w:val="44"/>
          <w:sz w:val="18"/>
          <w:szCs w:val="18"/>
        </w:rPr>
      </w:pPr>
      <w:bookmarkStart w:id="54" w:name="_Toc529050590"/>
      <w:bookmarkStart w:id="55" w:name="_Toc21647445"/>
      <w:bookmarkStart w:id="56" w:name="_Toc529654042"/>
      <w:r>
        <w:rPr>
          <w:rFonts w:hint="eastAsia" w:ascii="Calibri" w:hAnsi="Calibri" w:eastAsia="方正小标宋_GBK"/>
          <w:b/>
          <w:kern w:val="44"/>
          <w:sz w:val="36"/>
          <w:szCs w:val="44"/>
        </w:rPr>
        <w:t>第二卷　技术部分</w:t>
      </w:r>
      <w:bookmarkEnd w:id="34"/>
      <w:bookmarkEnd w:id="54"/>
      <w:bookmarkEnd w:id="55"/>
      <w:bookmarkEnd w:id="56"/>
    </w:p>
    <w:p>
      <w:pPr>
        <w:keepNext/>
        <w:keepLines/>
        <w:jc w:val="center"/>
        <w:rPr>
          <w:rFonts w:ascii="宋体" w:hAnsi="宋体" w:cs="宋体"/>
          <w:bCs/>
          <w:kern w:val="44"/>
          <w:sz w:val="18"/>
          <w:szCs w:val="18"/>
        </w:rPr>
      </w:pPr>
    </w:p>
    <w:p>
      <w:pPr>
        <w:keepNext/>
        <w:keepLines/>
        <w:jc w:val="center"/>
        <w:rPr>
          <w:rFonts w:ascii="宋体" w:hAnsi="宋体" w:cs="宋体"/>
          <w:bCs/>
          <w:kern w:val="44"/>
          <w:sz w:val="18"/>
          <w:szCs w:val="18"/>
        </w:rPr>
      </w:pPr>
    </w:p>
    <w:p>
      <w:pPr>
        <w:keepNext/>
        <w:keepLines/>
        <w:jc w:val="cente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jc w:val="center"/>
        <w:rPr>
          <w:rFonts w:ascii="宋体" w:hAnsi="宋体" w:cs="宋体"/>
          <w:color w:val="000000"/>
          <w:szCs w:val="21"/>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pPr>
    </w:p>
    <w:p>
      <w:pPr>
        <w:rPr>
          <w:rFonts w:ascii="宋体" w:hAnsi="宋体" w:cs="宋体"/>
          <w:bCs/>
          <w:kern w:val="44"/>
          <w:sz w:val="18"/>
          <w:szCs w:val="18"/>
        </w:rPr>
        <w:sectPr>
          <w:pgSz w:w="11906" w:h="16838"/>
          <w:pgMar w:top="1304" w:right="1247" w:bottom="1134" w:left="1304" w:header="850" w:footer="850" w:gutter="0"/>
          <w:cols w:space="720" w:num="1"/>
          <w:titlePg/>
          <w:docGrid w:linePitch="324" w:charSpace="0"/>
        </w:sectPr>
      </w:pPr>
    </w:p>
    <w:p>
      <w:pPr>
        <w:rPr>
          <w:rFonts w:ascii="宋体" w:hAnsi="宋体" w:cs="宋体"/>
          <w:bCs/>
          <w:kern w:val="44"/>
          <w:sz w:val="18"/>
          <w:szCs w:val="18"/>
        </w:rPr>
      </w:pPr>
    </w:p>
    <w:p>
      <w:pPr>
        <w:pStyle w:val="25"/>
        <w:spacing w:line="360" w:lineRule="auto"/>
        <w:jc w:val="center"/>
        <w:outlineLvl w:val="1"/>
        <w:rPr>
          <w:rFonts w:hAnsi="宋体" w:cs="宋体"/>
          <w:b/>
          <w:bCs/>
          <w:kern w:val="44"/>
          <w:sz w:val="28"/>
          <w:szCs w:val="28"/>
        </w:rPr>
      </w:pPr>
      <w:bookmarkStart w:id="57" w:name="_Toc529654043"/>
      <w:bookmarkStart w:id="58" w:name="_Toc529050591"/>
      <w:bookmarkStart w:id="59" w:name="_Toc21647446"/>
      <w:r>
        <w:rPr>
          <w:rFonts w:hint="eastAsia" w:hAnsi="宋体" w:cs="宋体"/>
          <w:b/>
          <w:bCs/>
          <w:kern w:val="44"/>
          <w:sz w:val="28"/>
          <w:szCs w:val="28"/>
        </w:rPr>
        <w:t>第六章　项目需求</w:t>
      </w:r>
      <w:bookmarkEnd w:id="0"/>
      <w:bookmarkEnd w:id="57"/>
      <w:bookmarkEnd w:id="58"/>
      <w:bookmarkEnd w:id="59"/>
    </w:p>
    <w:p>
      <w:pPr>
        <w:adjustRightInd w:val="0"/>
        <w:snapToGrid w:val="0"/>
        <w:spacing w:before="313" w:beforeLines="100" w:line="360" w:lineRule="auto"/>
        <w:rPr>
          <w:rFonts w:ascii="宋体" w:hAnsi="宋体" w:cs="宋体"/>
          <w:b/>
          <w:color w:val="000000"/>
          <w:sz w:val="24"/>
          <w:szCs w:val="24"/>
        </w:rPr>
      </w:pPr>
      <w:bookmarkStart w:id="60" w:name="_Toc4366"/>
      <w:r>
        <w:rPr>
          <w:rFonts w:hint="eastAsia" w:ascii="宋体" w:hAnsi="宋体" w:cs="宋体"/>
          <w:b/>
          <w:color w:val="000000"/>
          <w:sz w:val="24"/>
          <w:szCs w:val="24"/>
        </w:rPr>
        <w:t>一、采购项目名称</w:t>
      </w:r>
      <w:bookmarkEnd w:id="60"/>
    </w:p>
    <w:p>
      <w:pPr>
        <w:adjustRightInd w:val="0"/>
        <w:snapToGrid w:val="0"/>
        <w:spacing w:before="156" w:beforeLines="50" w:line="360" w:lineRule="auto"/>
        <w:ind w:firstLine="420" w:firstLineChars="200"/>
        <w:rPr>
          <w:rFonts w:hint="eastAsia" w:ascii="宋体" w:hAnsi="宋体" w:eastAsia="宋体" w:cs="宋体"/>
          <w:color w:val="000000"/>
          <w:szCs w:val="21"/>
          <w:lang w:eastAsia="zh-CN"/>
        </w:rPr>
      </w:pPr>
      <w:r>
        <w:rPr>
          <w:rFonts w:hint="eastAsia" w:ascii="宋体" w:hAnsi="宋体" w:cs="宋体"/>
          <w:szCs w:val="18"/>
          <w:lang w:eastAsia="zh-CN"/>
        </w:rPr>
        <w:t>国家税务总局湖南省税务局三年安全规划第一期项目（第三次）</w:t>
      </w:r>
    </w:p>
    <w:p>
      <w:pPr>
        <w:adjustRightInd w:val="0"/>
        <w:snapToGrid w:val="0"/>
        <w:spacing w:before="313" w:beforeLines="100" w:line="360" w:lineRule="auto"/>
        <w:rPr>
          <w:rFonts w:ascii="宋体" w:hAnsi="宋体" w:cs="宋体"/>
          <w:b/>
          <w:color w:val="000000"/>
          <w:sz w:val="24"/>
          <w:szCs w:val="24"/>
        </w:rPr>
      </w:pPr>
      <w:r>
        <w:rPr>
          <w:rFonts w:hint="eastAsia" w:ascii="宋体" w:hAnsi="宋体" w:cs="宋体"/>
          <w:b/>
          <w:color w:val="000000"/>
          <w:sz w:val="24"/>
          <w:szCs w:val="24"/>
        </w:rPr>
        <w:t>二、项目需求</w:t>
      </w:r>
    </w:p>
    <w:p>
      <w:pPr>
        <w:adjustRightInd w:val="0"/>
        <w:snapToGrid w:val="0"/>
        <w:spacing w:line="396" w:lineRule="auto"/>
        <w:rPr>
          <w:rFonts w:ascii="宋体" w:hAnsi="宋体" w:cs="黑体"/>
          <w:b/>
          <w:sz w:val="24"/>
          <w:szCs w:val="24"/>
        </w:rPr>
      </w:pPr>
      <w:r>
        <w:rPr>
          <w:rFonts w:hint="eastAsia" w:ascii="宋体" w:hAnsi="宋体" w:cs="黑体"/>
          <w:b/>
          <w:sz w:val="24"/>
          <w:szCs w:val="24"/>
        </w:rPr>
        <w:t>（一）项目概述</w:t>
      </w:r>
    </w:p>
    <w:p>
      <w:pPr>
        <w:adjustRightInd w:val="0"/>
        <w:snapToGrid w:val="0"/>
        <w:spacing w:line="396" w:lineRule="auto"/>
        <w:ind w:left="422"/>
        <w:jc w:val="left"/>
        <w:rPr>
          <w:rFonts w:ascii="宋体" w:hAnsi="宋体"/>
          <w:b/>
          <w:szCs w:val="21"/>
        </w:rPr>
      </w:pPr>
      <w:r>
        <w:rPr>
          <w:rFonts w:hint="eastAsia" w:ascii="宋体" w:hAnsi="宋体"/>
          <w:b/>
          <w:szCs w:val="21"/>
        </w:rPr>
        <w:t>1.项目背景</w:t>
      </w:r>
    </w:p>
    <w:p>
      <w:pPr>
        <w:adjustRightInd w:val="0"/>
        <w:snapToGrid w:val="0"/>
        <w:spacing w:before="156" w:beforeLines="50" w:line="360" w:lineRule="auto"/>
        <w:ind w:firstLine="422" w:firstLineChars="200"/>
        <w:rPr>
          <w:rFonts w:ascii="宋体" w:hAnsi="宋体" w:cs="宋体"/>
          <w:b/>
          <w:bCs/>
          <w:szCs w:val="21"/>
        </w:rPr>
      </w:pPr>
      <w:bookmarkStart w:id="61" w:name="_Toc22737532"/>
      <w:bookmarkStart w:id="62" w:name="_Toc44504959"/>
      <w:bookmarkStart w:id="63" w:name="_Toc1384725365"/>
      <w:bookmarkStart w:id="64" w:name="_Toc2543"/>
      <w:r>
        <w:rPr>
          <w:rFonts w:hint="eastAsia" w:ascii="宋体" w:hAnsi="宋体" w:cs="宋体"/>
          <w:b/>
          <w:bCs/>
          <w:szCs w:val="21"/>
        </w:rPr>
        <w:t>1.1税务系统网络安全建设背景</w:t>
      </w:r>
      <w:bookmarkEnd w:id="61"/>
      <w:bookmarkEnd w:id="62"/>
      <w:bookmarkEnd w:id="63"/>
      <w:bookmarkEnd w:id="64"/>
    </w:p>
    <w:p>
      <w:pPr>
        <w:adjustRightInd w:val="0"/>
        <w:snapToGrid w:val="0"/>
        <w:spacing w:before="156" w:beforeLines="50" w:line="360" w:lineRule="auto"/>
        <w:ind w:firstLine="420" w:firstLineChars="200"/>
        <w:rPr>
          <w:rFonts w:ascii="宋体" w:hAnsi="宋体" w:cs="宋体"/>
          <w:szCs w:val="21"/>
        </w:rPr>
      </w:pPr>
      <w:r>
        <w:rPr>
          <w:rFonts w:hint="eastAsia" w:ascii="宋体" w:hAnsi="宋体" w:cs="宋体"/>
          <w:szCs w:val="21"/>
        </w:rPr>
        <w:t>为了响应国家税务总局针对网络安全和信息化统一谋划、统一部署、统一推进、统一实施的要求，通过夯实基础、加强管控、纵深防御、监测预警、应急响应和业务安全等网络安全保障体系建设，需建设统一领导、严格管理、按章运行、全员参与、考核到位的新一代网络安全管理保障体系，即“管得严、防得住、看得见、辩得明、救得了”的新一代网络安全技术保障体系</w:t>
      </w:r>
    </w:p>
    <w:p>
      <w:pPr>
        <w:adjustRightInd w:val="0"/>
        <w:snapToGrid w:val="0"/>
        <w:spacing w:before="156" w:beforeLines="50" w:line="360" w:lineRule="auto"/>
        <w:ind w:firstLine="422" w:firstLineChars="200"/>
        <w:rPr>
          <w:rFonts w:ascii="宋体" w:hAnsi="宋体" w:cs="宋体"/>
          <w:b/>
          <w:bCs/>
          <w:szCs w:val="21"/>
        </w:rPr>
      </w:pPr>
      <w:r>
        <w:rPr>
          <w:rFonts w:hint="eastAsia" w:ascii="宋体" w:hAnsi="宋体" w:cs="宋体"/>
          <w:b/>
          <w:bCs/>
          <w:szCs w:val="21"/>
        </w:rPr>
        <w:t>1.2现有安全防护手段不足</w:t>
      </w:r>
    </w:p>
    <w:p>
      <w:pPr>
        <w:adjustRightInd w:val="0"/>
        <w:snapToGrid w:val="0"/>
        <w:spacing w:before="156" w:beforeLines="50" w:line="360" w:lineRule="auto"/>
        <w:ind w:firstLine="420" w:firstLineChars="200"/>
        <w:rPr>
          <w:rFonts w:ascii="宋体" w:hAnsi="宋体"/>
          <w:kern w:val="1"/>
          <w:szCs w:val="21"/>
        </w:rPr>
      </w:pPr>
      <w:r>
        <w:rPr>
          <w:rFonts w:hint="eastAsia" w:ascii="宋体" w:hAnsi="宋体"/>
          <w:kern w:val="1"/>
          <w:szCs w:val="21"/>
        </w:rPr>
        <w:t>传统网络</w:t>
      </w:r>
      <w:r>
        <w:rPr>
          <w:rFonts w:hint="eastAsia" w:ascii="宋体" w:hAnsi="宋体" w:cs="宋体"/>
          <w:szCs w:val="21"/>
        </w:rPr>
        <w:t>安全</w:t>
      </w:r>
      <w:r>
        <w:rPr>
          <w:rFonts w:hint="eastAsia" w:ascii="宋体" w:hAnsi="宋体"/>
          <w:kern w:val="1"/>
          <w:szCs w:val="21"/>
        </w:rPr>
        <w:t>防护，依靠传统的网络防火墙及入侵保护系统IPS，在网络中检查并实施数据库访问控制策略。但是网络防火墙只能实现对IP地址、端口及协议的访问控制，无法识别特定用户的具体数据库活动，比如某个用户使用数据库客户端删除某张数据库表等正常操作进行识别。而IPS虽然可以依赖特征库有限阻止数据库软件已知漏洞的攻击，但他同样无法判别具体的数据库用户活动，更谈不上细粒度的审计。因此，无论是防火墙，还是IPS都不能解决数据库特权滥用等问题。目前已知的网络防护设备无法对数据库形成有效的、有针对性的防御，如何保证系统在高性能、高可用的同时提升数据的安全性，确保关键信息不被泄露、自身利益不受损失已经迫在眉睫。</w:t>
      </w:r>
    </w:p>
    <w:p>
      <w:pPr>
        <w:adjustRightInd w:val="0"/>
        <w:snapToGrid w:val="0"/>
        <w:spacing w:before="156" w:beforeLines="50" w:line="360" w:lineRule="auto"/>
        <w:ind w:firstLine="422" w:firstLineChars="200"/>
        <w:rPr>
          <w:rFonts w:ascii="宋体" w:hAnsi="宋体" w:cs="宋体"/>
          <w:b/>
          <w:bCs/>
          <w:szCs w:val="21"/>
        </w:rPr>
      </w:pPr>
      <w:r>
        <w:rPr>
          <w:rFonts w:hint="eastAsia" w:ascii="宋体" w:hAnsi="宋体" w:cs="宋体"/>
          <w:b/>
          <w:bCs/>
          <w:szCs w:val="21"/>
        </w:rPr>
        <w:t>1.3数据库自身安全的需求</w:t>
      </w:r>
    </w:p>
    <w:p>
      <w:pPr>
        <w:spacing w:line="300" w:lineRule="auto"/>
        <w:ind w:firstLine="420" w:firstLineChars="200"/>
        <w:rPr>
          <w:rFonts w:ascii="宋体" w:hAnsi="宋体"/>
          <w:kern w:val="1"/>
          <w:szCs w:val="21"/>
        </w:rPr>
      </w:pPr>
      <w:r>
        <w:rPr>
          <w:rFonts w:hint="eastAsia" w:ascii="宋体" w:hAnsi="宋体"/>
          <w:kern w:val="1"/>
          <w:szCs w:val="21"/>
        </w:rPr>
        <w:t>数据库作为业务系统核心源泉其实性能的掌握对管理部门来说事关重大。需要对数据库的系统漏洞、用户弱口令、权限分配等内容进行定期扫描，发现风险及不合理的配置项，能及时通知管理员进行修复来保障数据库的可靠性和可用性。</w:t>
      </w:r>
    </w:p>
    <w:p>
      <w:pPr>
        <w:adjustRightInd w:val="0"/>
        <w:snapToGrid w:val="0"/>
        <w:spacing w:before="156" w:beforeLines="50" w:line="360" w:lineRule="auto"/>
        <w:ind w:firstLine="422" w:firstLineChars="200"/>
        <w:rPr>
          <w:rFonts w:ascii="宋体" w:hAnsi="宋体" w:cs="宋体"/>
          <w:b/>
          <w:bCs/>
          <w:szCs w:val="21"/>
        </w:rPr>
      </w:pPr>
      <w:r>
        <w:rPr>
          <w:rFonts w:hint="eastAsia" w:ascii="宋体" w:hAnsi="宋体" w:cs="宋体"/>
          <w:b/>
          <w:bCs/>
          <w:szCs w:val="21"/>
        </w:rPr>
        <w:t>1.4敏感数据安全管控的需求</w:t>
      </w:r>
    </w:p>
    <w:p>
      <w:pPr>
        <w:spacing w:line="300" w:lineRule="auto"/>
        <w:ind w:firstLine="420" w:firstLineChars="200"/>
        <w:rPr>
          <w:rFonts w:ascii="宋体" w:hAnsi="宋体"/>
          <w:kern w:val="1"/>
          <w:szCs w:val="21"/>
        </w:rPr>
      </w:pPr>
      <w:r>
        <w:rPr>
          <w:rFonts w:hint="eastAsia" w:ascii="宋体" w:hAnsi="宋体"/>
          <w:kern w:val="1"/>
          <w:szCs w:val="21"/>
        </w:rPr>
        <w:t>当数据库中存储有敏感的数据，如个人身份信息、企业财务信息等数据，需要考虑如何保证敏感数据的安全，确保数据不会被非法窃取、确保无关的人员不能看到明文的数据、确保开发测试数据不会产生泄露。那么就需要对敏感数据进行安全管控，采用适当的管控措施和技术手段，例如：细粒度的数据访问控制、敏感数据采用加密存储以及将开发测试数据中的敏感数据去标识化等安全措施。</w:t>
      </w:r>
    </w:p>
    <w:p>
      <w:pPr>
        <w:adjustRightInd w:val="0"/>
        <w:snapToGrid w:val="0"/>
        <w:spacing w:before="156" w:beforeLines="50" w:line="360" w:lineRule="auto"/>
        <w:ind w:firstLine="422" w:firstLineChars="200"/>
        <w:rPr>
          <w:rFonts w:ascii="宋体" w:hAnsi="宋体" w:cs="宋体"/>
          <w:b/>
          <w:bCs/>
          <w:szCs w:val="21"/>
        </w:rPr>
      </w:pPr>
      <w:r>
        <w:rPr>
          <w:rFonts w:hint="eastAsia" w:ascii="宋体" w:hAnsi="宋体" w:cs="宋体"/>
          <w:b/>
          <w:bCs/>
          <w:szCs w:val="21"/>
        </w:rPr>
        <w:t>1.5人员定责追踪溯源的需求</w:t>
      </w:r>
    </w:p>
    <w:p>
      <w:pPr>
        <w:spacing w:line="300" w:lineRule="auto"/>
        <w:ind w:firstLine="420" w:firstLineChars="200"/>
        <w:rPr>
          <w:rFonts w:ascii="宋体" w:hAnsi="宋体"/>
          <w:kern w:val="1"/>
          <w:szCs w:val="21"/>
        </w:rPr>
      </w:pPr>
      <w:r>
        <w:rPr>
          <w:rFonts w:hint="eastAsia" w:ascii="宋体" w:hAnsi="宋体"/>
          <w:kern w:val="1"/>
          <w:szCs w:val="21"/>
        </w:rPr>
        <w:t>在数据库系统中，数据库系统遭受入侵和非授权操作时，导致无法准确定位和追责黑客或非法人员破坏和泄露行为。尤其是B/S架构应用，很难将终端人员信息和数据库账号进行关联造成对终端操作人员的识别比较困难，对日后稽核部门调查取证造成严重阻碍。需要对数据库访问行为、对数据的操作过程、返回的结果以及业务人员信息进行精准识别并全称监控，当发生安全事件的时候能够及时发出告警并对事件进行人员定则和过程回溯。</w:t>
      </w:r>
    </w:p>
    <w:p>
      <w:pPr>
        <w:adjustRightInd w:val="0"/>
        <w:snapToGrid w:val="0"/>
        <w:spacing w:before="156" w:beforeLines="50" w:line="360" w:lineRule="auto"/>
        <w:ind w:firstLine="422" w:firstLineChars="200"/>
        <w:rPr>
          <w:rFonts w:ascii="宋体" w:hAnsi="宋体" w:cs="宋体"/>
          <w:b/>
          <w:bCs/>
          <w:szCs w:val="21"/>
        </w:rPr>
      </w:pPr>
      <w:r>
        <w:rPr>
          <w:rFonts w:hint="eastAsia" w:ascii="宋体" w:hAnsi="宋体" w:cs="宋体"/>
          <w:b/>
          <w:bCs/>
          <w:szCs w:val="21"/>
        </w:rPr>
        <w:t>2.项目内容</w:t>
      </w:r>
    </w:p>
    <w:p>
      <w:pPr>
        <w:adjustRightInd w:val="0"/>
        <w:snapToGrid w:val="0"/>
        <w:spacing w:before="156" w:beforeLines="50" w:line="360" w:lineRule="auto"/>
        <w:ind w:firstLine="422" w:firstLineChars="200"/>
        <w:rPr>
          <w:rFonts w:ascii="宋体" w:hAnsi="宋体" w:cs="宋体"/>
          <w:b/>
          <w:bCs/>
          <w:szCs w:val="21"/>
        </w:rPr>
      </w:pPr>
      <w:bookmarkStart w:id="65" w:name="_Toc356213294"/>
      <w:bookmarkStart w:id="66" w:name="_Toc272326043"/>
      <w:bookmarkStart w:id="67" w:name="_Toc272308842"/>
      <w:bookmarkStart w:id="68" w:name="_Toc22737535"/>
      <w:bookmarkStart w:id="69" w:name="_Toc44504962"/>
      <w:bookmarkStart w:id="70" w:name="_Toc27038"/>
      <w:bookmarkStart w:id="71" w:name="_Toc2058463192"/>
      <w:r>
        <w:rPr>
          <w:rFonts w:hint="eastAsia" w:ascii="宋体" w:hAnsi="宋体" w:cs="宋体"/>
          <w:b/>
          <w:bCs/>
          <w:szCs w:val="21"/>
        </w:rPr>
        <w:t>2.1项目建设</w:t>
      </w:r>
      <w:bookmarkEnd w:id="65"/>
      <w:bookmarkEnd w:id="66"/>
      <w:bookmarkEnd w:id="67"/>
      <w:r>
        <w:rPr>
          <w:rFonts w:hint="eastAsia" w:ascii="宋体" w:hAnsi="宋体" w:cs="宋体"/>
          <w:b/>
          <w:bCs/>
          <w:szCs w:val="21"/>
        </w:rPr>
        <w:t>目标</w:t>
      </w:r>
      <w:bookmarkEnd w:id="68"/>
      <w:bookmarkEnd w:id="69"/>
      <w:bookmarkEnd w:id="70"/>
      <w:bookmarkEnd w:id="71"/>
    </w:p>
    <w:p>
      <w:pPr>
        <w:spacing w:line="300" w:lineRule="auto"/>
        <w:ind w:firstLine="420" w:firstLineChars="200"/>
        <w:rPr>
          <w:rFonts w:ascii="宋体" w:hAnsi="宋体"/>
          <w:szCs w:val="21"/>
        </w:rPr>
      </w:pPr>
      <w:r>
        <w:rPr>
          <w:rFonts w:hint="eastAsia" w:ascii="宋体" w:hAnsi="宋体"/>
          <w:szCs w:val="21"/>
        </w:rPr>
        <w:t>本次税务系统通过数据安全防护体系建设，为数据安全设计全面可信的防御体系，保护数据，防止泄露和恶意篡改，有效保护数据在全生命周期过程中的安全，达到合法采集、合理利用、静态可知、动态可控的防护目标。</w:t>
      </w:r>
    </w:p>
    <w:p>
      <w:pPr>
        <w:adjustRightInd w:val="0"/>
        <w:snapToGrid w:val="0"/>
        <w:spacing w:before="156" w:beforeLines="50" w:line="360" w:lineRule="auto"/>
        <w:ind w:firstLine="422" w:firstLineChars="200"/>
        <w:rPr>
          <w:rFonts w:ascii="宋体" w:hAnsi="宋体" w:cs="宋体"/>
          <w:b/>
          <w:bCs/>
          <w:szCs w:val="21"/>
        </w:rPr>
      </w:pPr>
      <w:r>
        <w:rPr>
          <w:rFonts w:hint="eastAsia" w:ascii="宋体" w:hAnsi="宋体" w:cs="宋体"/>
          <w:b/>
          <w:bCs/>
          <w:szCs w:val="21"/>
        </w:rPr>
        <w:t>2.2项目总体架构</w:t>
      </w:r>
    </w:p>
    <w:p>
      <w:pPr>
        <w:spacing w:line="300" w:lineRule="auto"/>
        <w:ind w:firstLine="420" w:firstLineChars="200"/>
        <w:rPr>
          <w:rFonts w:ascii="宋体" w:hAnsi="宋体"/>
          <w:szCs w:val="21"/>
        </w:rPr>
      </w:pPr>
      <w:r>
        <w:rPr>
          <w:rFonts w:hint="eastAsia" w:ascii="宋体" w:hAnsi="宋体"/>
          <w:szCs w:val="21"/>
        </w:rPr>
        <w:t>根据项目建设的整体要求，数据安全防护体系整体架构图如下：</w:t>
      </w:r>
    </w:p>
    <w:p>
      <w:pPr>
        <w:spacing w:before="240" w:line="300" w:lineRule="auto"/>
        <w:ind w:firstLine="420" w:firstLineChars="200"/>
        <w:rPr>
          <w:rFonts w:ascii="宋体" w:hAnsi="宋体"/>
          <w:szCs w:val="21"/>
        </w:rPr>
      </w:pPr>
      <w:r>
        <w:rPr>
          <w:rFonts w:ascii="宋体" w:hAnsi="宋体"/>
          <w:szCs w:val="21"/>
        </w:rPr>
        <w:drawing>
          <wp:inline distT="0" distB="0" distL="0" distR="0">
            <wp:extent cx="5274310" cy="2468880"/>
            <wp:effectExtent l="0" t="0" r="254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print"/>
                    <a:stretch>
                      <a:fillRect/>
                    </a:stretch>
                  </pic:blipFill>
                  <pic:spPr>
                    <a:xfrm>
                      <a:off x="0" y="0"/>
                      <a:ext cx="5274310" cy="2469281"/>
                    </a:xfrm>
                    <a:prstGeom prst="rect">
                      <a:avLst/>
                    </a:prstGeom>
                  </pic:spPr>
                </pic:pic>
              </a:graphicData>
            </a:graphic>
          </wp:inline>
        </w:drawing>
      </w:r>
    </w:p>
    <w:p>
      <w:pPr>
        <w:spacing w:before="240" w:line="300" w:lineRule="auto"/>
        <w:ind w:firstLine="420" w:firstLineChars="200"/>
        <w:rPr>
          <w:rFonts w:ascii="宋体" w:hAnsi="宋体"/>
          <w:szCs w:val="21"/>
        </w:rPr>
      </w:pPr>
      <w:r>
        <w:rPr>
          <w:rFonts w:hint="eastAsia" w:ascii="宋体" w:hAnsi="宋体"/>
          <w:szCs w:val="21"/>
        </w:rPr>
        <w:t xml:space="preserve">                        图1数据安全防护体系平台架构图</w:t>
      </w:r>
    </w:p>
    <w:p>
      <w:pPr>
        <w:spacing w:line="300" w:lineRule="auto"/>
        <w:ind w:firstLine="420" w:firstLineChars="200"/>
        <w:rPr>
          <w:rFonts w:ascii="宋体" w:hAnsi="宋体"/>
          <w:kern w:val="1"/>
          <w:szCs w:val="21"/>
        </w:rPr>
      </w:pPr>
      <w:r>
        <w:rPr>
          <w:rFonts w:hint="eastAsia" w:ascii="宋体" w:hAnsi="宋体"/>
          <w:kern w:val="1"/>
          <w:szCs w:val="21"/>
        </w:rPr>
        <w:t>生产数据库前部署数据库安全网关产品，实时监测内部的访问行为，对高频高危操作行为进行告警和阻断。</w:t>
      </w:r>
    </w:p>
    <w:p>
      <w:pPr>
        <w:spacing w:line="300" w:lineRule="auto"/>
        <w:ind w:firstLine="420" w:firstLineChars="200"/>
        <w:rPr>
          <w:rFonts w:ascii="宋体" w:hAnsi="宋体"/>
          <w:szCs w:val="21"/>
        </w:rPr>
      </w:pPr>
      <w:r>
        <w:rPr>
          <w:rFonts w:hint="eastAsia" w:ascii="宋体" w:hAnsi="宋体"/>
          <w:kern w:val="1"/>
          <w:szCs w:val="21"/>
        </w:rPr>
        <w:t>在DMZ区网站服务器前部署数据库安全网关产品，实时监测来自于外部的访问行为，对黑客漏洞攻击以及脱库撞库等行为进行告警和阻断。</w:t>
      </w:r>
    </w:p>
    <w:p>
      <w:pPr>
        <w:spacing w:before="240" w:line="300" w:lineRule="auto"/>
        <w:ind w:firstLine="422" w:firstLineChars="200"/>
        <w:rPr>
          <w:rFonts w:ascii="宋体" w:hAnsi="宋体"/>
          <w:b/>
          <w:szCs w:val="21"/>
        </w:rPr>
      </w:pPr>
      <w:r>
        <w:rPr>
          <w:rFonts w:hint="eastAsia" w:ascii="宋体" w:hAnsi="宋体"/>
          <w:b/>
          <w:szCs w:val="21"/>
        </w:rPr>
        <w:t>3.采购内容与范围</w:t>
      </w:r>
    </w:p>
    <w:p>
      <w:pPr>
        <w:spacing w:line="360" w:lineRule="auto"/>
        <w:ind w:firstLine="420" w:firstLineChars="200"/>
        <w:rPr>
          <w:rFonts w:ascii="宋体" w:hAnsi="宋体"/>
          <w:szCs w:val="21"/>
        </w:rPr>
      </w:pPr>
      <w:r>
        <w:rPr>
          <w:rFonts w:hint="eastAsia" w:ascii="宋体" w:hAnsi="宋体"/>
          <w:szCs w:val="21"/>
        </w:rPr>
        <w:t>主要内容包括：</w:t>
      </w:r>
    </w:p>
    <w:p>
      <w:pPr>
        <w:spacing w:line="360" w:lineRule="auto"/>
        <w:ind w:firstLine="420" w:firstLineChars="200"/>
        <w:rPr>
          <w:rFonts w:ascii="宋体" w:hAnsi="宋体"/>
          <w:szCs w:val="21"/>
        </w:rPr>
      </w:pPr>
      <w:bookmarkStart w:id="72" w:name="_Hlk101295562"/>
      <w:r>
        <w:rPr>
          <w:rFonts w:hint="eastAsia" w:ascii="宋体" w:hAnsi="宋体"/>
          <w:szCs w:val="21"/>
        </w:rPr>
        <w:t>3.1</w:t>
      </w:r>
      <w:r>
        <w:rPr>
          <w:rFonts w:ascii="宋体" w:hAnsi="宋体"/>
          <w:szCs w:val="21"/>
        </w:rPr>
        <w:t>安全零信任系统</w:t>
      </w:r>
      <w:r>
        <w:rPr>
          <w:rFonts w:hint="eastAsia" w:ascii="宋体" w:hAnsi="宋体"/>
          <w:szCs w:val="21"/>
        </w:rPr>
        <w:t>（1套），</w:t>
      </w:r>
      <w:r>
        <w:rPr>
          <w:rFonts w:ascii="宋体" w:hAnsi="宋体"/>
          <w:szCs w:val="21"/>
        </w:rPr>
        <w:t>构建全省税务信息网络数据运维安全风险监测和处理能力</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3.2</w:t>
      </w:r>
      <w:r>
        <w:rPr>
          <w:rFonts w:ascii="宋体" w:hAnsi="宋体"/>
          <w:szCs w:val="21"/>
        </w:rPr>
        <w:t>应用发布</w:t>
      </w:r>
      <w:r>
        <w:rPr>
          <w:rFonts w:hint="eastAsia" w:ascii="宋体" w:hAnsi="宋体"/>
          <w:szCs w:val="21"/>
        </w:rPr>
        <w:t>系统</w:t>
      </w:r>
      <w:r>
        <w:rPr>
          <w:rFonts w:hint="eastAsia" w:ascii="宋体" w:hAnsi="宋体"/>
          <w:szCs w:val="21"/>
          <w:highlight w:val="none"/>
        </w:rPr>
        <w:t>（2套）</w:t>
      </w:r>
      <w:r>
        <w:rPr>
          <w:rFonts w:hint="eastAsia" w:ascii="宋体" w:hAnsi="宋体"/>
          <w:szCs w:val="21"/>
        </w:rPr>
        <w:t>，</w:t>
      </w:r>
      <w:r>
        <w:rPr>
          <w:rFonts w:ascii="宋体" w:hAnsi="宋体"/>
          <w:szCs w:val="21"/>
        </w:rPr>
        <w:t>实现对指定资源的访问</w:t>
      </w:r>
      <w:r>
        <w:rPr>
          <w:rFonts w:hint="eastAsia" w:ascii="宋体" w:hAnsi="宋体"/>
          <w:szCs w:val="21"/>
        </w:rPr>
        <w:t>和配置批量发布等。</w:t>
      </w:r>
    </w:p>
    <w:p>
      <w:pPr>
        <w:spacing w:line="360" w:lineRule="auto"/>
        <w:ind w:firstLine="420" w:firstLineChars="200"/>
        <w:rPr>
          <w:rFonts w:ascii="宋体" w:hAnsi="宋体"/>
          <w:szCs w:val="21"/>
        </w:rPr>
      </w:pPr>
      <w:r>
        <w:rPr>
          <w:rFonts w:hint="eastAsia" w:ascii="宋体" w:hAnsi="宋体"/>
          <w:szCs w:val="21"/>
        </w:rPr>
        <w:t>3.3应用主机安全防御及安全补丁升级平台（1套），为数据中心（897台）提供操作系统，中间件，数据库等基础支撑环境安全正式版补丁，补丁升级操作指南及一键式补丁升级等服务。</w:t>
      </w:r>
    </w:p>
    <w:p>
      <w:pPr>
        <w:spacing w:line="360" w:lineRule="auto"/>
        <w:ind w:firstLine="420" w:firstLineChars="200"/>
        <w:rPr>
          <w:rFonts w:ascii="宋体" w:hAnsi="宋体"/>
          <w:szCs w:val="21"/>
        </w:rPr>
      </w:pPr>
      <w:r>
        <w:rPr>
          <w:rFonts w:hint="eastAsia" w:ascii="宋体" w:hAnsi="宋体"/>
          <w:szCs w:val="21"/>
        </w:rPr>
        <w:t>3.4数据库审计防火墙（2套），计划覆盖目前所有数据库主机以及主机上安装的所有数据库实例（约155个），并在维保期内，提供覆盖所有新增数据库实例的服务。</w:t>
      </w:r>
    </w:p>
    <w:p>
      <w:pPr>
        <w:spacing w:line="360" w:lineRule="auto"/>
        <w:ind w:firstLine="420" w:firstLineChars="200"/>
        <w:rPr>
          <w:rFonts w:ascii="宋体" w:hAnsi="宋体"/>
          <w:szCs w:val="21"/>
        </w:rPr>
      </w:pPr>
      <w:r>
        <w:rPr>
          <w:rFonts w:hint="eastAsia" w:ascii="宋体" w:hAnsi="宋体"/>
          <w:szCs w:val="21"/>
        </w:rPr>
        <w:t>3.5数据监控大数据分析系统（1套，包含硬件1台），对当期税务系统的告警进行多维统计分析及3D展示，通过日志，流量分析精确产生告警并上报至总局态势感知平台。</w:t>
      </w:r>
    </w:p>
    <w:p>
      <w:pPr>
        <w:spacing w:line="360" w:lineRule="auto"/>
        <w:ind w:firstLine="420" w:firstLineChars="200"/>
        <w:rPr>
          <w:rFonts w:ascii="宋体" w:hAnsi="宋体"/>
          <w:szCs w:val="21"/>
        </w:rPr>
      </w:pPr>
      <w:r>
        <w:rPr>
          <w:rFonts w:hint="eastAsia" w:ascii="宋体" w:hAnsi="宋体"/>
          <w:szCs w:val="21"/>
        </w:rPr>
        <w:t>3.6数据库操作日志审计设备（1套），部署在省局外联区，审计多个金融机构的前置系统，数据交换系统，以及该区域部分系统通过防火墙系统访问省局内网中的某些数据库的行为。</w:t>
      </w:r>
    </w:p>
    <w:p>
      <w:pPr>
        <w:spacing w:line="360" w:lineRule="auto"/>
        <w:ind w:firstLine="420" w:firstLineChars="200"/>
        <w:rPr>
          <w:rFonts w:ascii="宋体" w:hAnsi="宋体"/>
          <w:szCs w:val="21"/>
        </w:rPr>
      </w:pPr>
      <w:r>
        <w:rPr>
          <w:rFonts w:hint="eastAsia" w:ascii="宋体" w:hAnsi="宋体"/>
          <w:szCs w:val="21"/>
        </w:rPr>
        <w:t>3.7</w:t>
      </w:r>
      <w:r>
        <w:rPr>
          <w:rFonts w:ascii="宋体" w:hAnsi="宋体"/>
          <w:szCs w:val="21"/>
        </w:rPr>
        <w:t>态势感知驻场运维服</w:t>
      </w:r>
      <w:r>
        <w:rPr>
          <w:rFonts w:ascii="宋体" w:hAnsi="宋体"/>
          <w:color w:val="000000" w:themeColor="text1"/>
          <w:szCs w:val="21"/>
          <w14:textFill>
            <w14:solidFill>
              <w14:schemeClr w14:val="tx1"/>
            </w14:solidFill>
          </w14:textFill>
        </w:rPr>
        <w:t>务</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2年，从合同签订之日起计算</w:t>
      </w:r>
      <w:r>
        <w:rPr>
          <w:rFonts w:hint="eastAsia" w:ascii="宋体" w:hAnsi="宋体"/>
          <w:color w:val="000000" w:themeColor="text1"/>
          <w:szCs w:val="21"/>
          <w14:textFill>
            <w14:solidFill>
              <w14:schemeClr w14:val="tx1"/>
            </w14:solidFill>
          </w14:textFill>
        </w:rPr>
        <w:t>）</w:t>
      </w:r>
      <w:r>
        <w:rPr>
          <w:rFonts w:hint="eastAsia" w:ascii="宋体" w:hAnsi="宋体"/>
          <w:szCs w:val="21"/>
        </w:rPr>
        <w:t>，</w:t>
      </w:r>
      <w:r>
        <w:rPr>
          <w:rFonts w:ascii="宋体" w:hAnsi="宋体"/>
          <w:szCs w:val="21"/>
        </w:rPr>
        <w:t>提供资产管理</w:t>
      </w:r>
      <w:r>
        <w:rPr>
          <w:rFonts w:hint="eastAsia" w:ascii="宋体" w:hAnsi="宋体"/>
          <w:szCs w:val="21"/>
        </w:rPr>
        <w:t>，</w:t>
      </w:r>
      <w:r>
        <w:rPr>
          <w:rFonts w:ascii="宋体" w:hAnsi="宋体"/>
          <w:szCs w:val="21"/>
        </w:rPr>
        <w:t>平台巡检</w:t>
      </w:r>
      <w:r>
        <w:rPr>
          <w:rFonts w:hint="eastAsia" w:ascii="宋体" w:hAnsi="宋体"/>
          <w:szCs w:val="21"/>
        </w:rPr>
        <w:t>，</w:t>
      </w:r>
      <w:r>
        <w:rPr>
          <w:rFonts w:ascii="宋体" w:hAnsi="宋体"/>
          <w:szCs w:val="21"/>
        </w:rPr>
        <w:t>安全检测与分析服务</w:t>
      </w:r>
      <w:r>
        <w:rPr>
          <w:rFonts w:hint="eastAsia" w:ascii="宋体" w:hAnsi="宋体"/>
          <w:szCs w:val="21"/>
        </w:rPr>
        <w:t>，</w:t>
      </w:r>
      <w:r>
        <w:rPr>
          <w:rFonts w:ascii="宋体" w:hAnsi="宋体"/>
          <w:szCs w:val="21"/>
        </w:rPr>
        <w:t>漏洞管理服务等</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3.8</w:t>
      </w:r>
      <w:r>
        <w:rPr>
          <w:rFonts w:ascii="宋体" w:hAnsi="宋体"/>
          <w:szCs w:val="21"/>
        </w:rPr>
        <w:t>网络可视化</w:t>
      </w:r>
      <w:r>
        <w:rPr>
          <w:rFonts w:hint="eastAsia" w:ascii="宋体" w:hAnsi="宋体"/>
          <w:szCs w:val="21"/>
        </w:rPr>
        <w:t>设备（2台），对需要分析监控的网络流量进行汇聚、过滤、分流、复制、负载均衡等处理，为与其相连的各种后端监控系统提供高效易行的前置平台。</w:t>
      </w:r>
    </w:p>
    <w:p>
      <w:pPr>
        <w:spacing w:line="360" w:lineRule="auto"/>
        <w:ind w:firstLine="420" w:firstLineChars="200"/>
        <w:rPr>
          <w:rFonts w:ascii="宋体" w:hAnsi="宋体"/>
          <w:szCs w:val="21"/>
        </w:rPr>
      </w:pPr>
      <w:r>
        <w:rPr>
          <w:rFonts w:hint="eastAsia" w:ascii="宋体" w:hAnsi="宋体"/>
          <w:szCs w:val="21"/>
        </w:rPr>
        <w:t>3.9</w:t>
      </w:r>
      <w:r>
        <w:rPr>
          <w:rFonts w:ascii="宋体" w:hAnsi="宋体"/>
          <w:szCs w:val="21"/>
        </w:rPr>
        <w:t>数据水印标记系统</w:t>
      </w:r>
      <w:r>
        <w:rPr>
          <w:rFonts w:hint="eastAsia" w:ascii="宋体" w:hAnsi="宋体"/>
          <w:szCs w:val="21"/>
        </w:rPr>
        <w:t>（1套），</w:t>
      </w:r>
      <w:r>
        <w:rPr>
          <w:rFonts w:ascii="宋体" w:hAnsi="宋体"/>
          <w:szCs w:val="21"/>
        </w:rPr>
        <w:t>实现</w:t>
      </w:r>
      <w:r>
        <w:rPr>
          <w:rFonts w:hint="eastAsia" w:ascii="宋体" w:hAnsi="宋体"/>
          <w:szCs w:val="21"/>
        </w:rPr>
        <w:t>核心征管主要查询界面中加载数字水印，在数据显示环节对信息泄露加载可追溯信息，并对违规操作者形成威慑。</w:t>
      </w:r>
    </w:p>
    <w:p>
      <w:pPr>
        <w:spacing w:line="360" w:lineRule="auto"/>
        <w:ind w:firstLine="420" w:firstLineChars="200"/>
      </w:pPr>
      <w:r>
        <w:rPr>
          <w:rFonts w:hint="eastAsia" w:ascii="宋体" w:hAnsi="宋体"/>
          <w:szCs w:val="21"/>
        </w:rPr>
        <w:t>3.10采购人在项目实施过程中提出的其他相关配套服务。</w:t>
      </w:r>
    </w:p>
    <w:bookmarkEnd w:id="72"/>
    <w:p>
      <w:pPr>
        <w:spacing w:before="240" w:line="300" w:lineRule="auto"/>
        <w:ind w:firstLine="422" w:firstLineChars="200"/>
        <w:rPr>
          <w:rFonts w:ascii="宋体" w:hAnsi="宋体"/>
          <w:b/>
          <w:szCs w:val="21"/>
        </w:rPr>
      </w:pPr>
      <w:r>
        <w:rPr>
          <w:rFonts w:hint="eastAsia" w:ascii="宋体" w:hAnsi="宋体"/>
          <w:b/>
          <w:szCs w:val="21"/>
        </w:rPr>
        <w:t>4.依据政策及标准</w:t>
      </w:r>
    </w:p>
    <w:p>
      <w:pPr>
        <w:spacing w:before="120" w:line="300" w:lineRule="auto"/>
        <w:ind w:firstLine="420" w:firstLineChars="200"/>
        <w:rPr>
          <w:rFonts w:ascii="宋体" w:hAnsi="宋体"/>
          <w:szCs w:val="21"/>
        </w:rPr>
      </w:pPr>
      <w:r>
        <w:rPr>
          <w:rFonts w:hint="eastAsia" w:ascii="宋体" w:hAnsi="宋体"/>
          <w:szCs w:val="21"/>
        </w:rPr>
        <w:t>4.1 GAT 911-2010 信息安全技术 日志分析产品安全技术要求</w:t>
      </w:r>
    </w:p>
    <w:p>
      <w:pPr>
        <w:spacing w:before="120" w:line="300" w:lineRule="auto"/>
        <w:ind w:firstLine="420" w:firstLineChars="200"/>
        <w:rPr>
          <w:rFonts w:ascii="宋体" w:hAnsi="宋体"/>
          <w:szCs w:val="21"/>
        </w:rPr>
      </w:pPr>
      <w:r>
        <w:rPr>
          <w:rFonts w:hint="eastAsia" w:ascii="宋体" w:hAnsi="宋体"/>
          <w:szCs w:val="21"/>
        </w:rPr>
        <w:t>4.2 GBT 22239-2019 《信息安全技术网络安全等级保护基本要求》</w:t>
      </w:r>
    </w:p>
    <w:p>
      <w:pPr>
        <w:spacing w:before="120" w:line="300" w:lineRule="auto"/>
        <w:ind w:firstLine="420" w:firstLineChars="200"/>
        <w:rPr>
          <w:rFonts w:ascii="宋体" w:hAnsi="宋体" w:cs="Arial"/>
          <w:color w:val="333333"/>
          <w:shd w:val="clear" w:color="auto" w:fill="FFFFFF"/>
        </w:rPr>
      </w:pPr>
      <w:r>
        <w:rPr>
          <w:rFonts w:hint="eastAsia" w:ascii="宋体" w:hAnsi="宋体"/>
          <w:szCs w:val="21"/>
        </w:rPr>
        <w:t>4.3</w:t>
      </w:r>
      <w:r>
        <w:rPr>
          <w:rFonts w:ascii="宋体" w:hAnsi="宋体" w:cs="Arial"/>
          <w:color w:val="333333"/>
          <w:shd w:val="clear" w:color="auto" w:fill="FFFFFF"/>
        </w:rPr>
        <w:t>《国家信息化领导小组关于加强信息安全保障工作的意见》(中办发[2003]27号)</w:t>
      </w:r>
    </w:p>
    <w:p>
      <w:pPr>
        <w:spacing w:before="120" w:line="300" w:lineRule="auto"/>
        <w:ind w:firstLine="420" w:firstLineChars="200"/>
        <w:rPr>
          <w:rFonts w:ascii="宋体" w:hAnsi="宋体" w:cs="宋体"/>
          <w:color w:val="000000"/>
          <w:szCs w:val="21"/>
        </w:rPr>
      </w:pPr>
      <w:r>
        <w:rPr>
          <w:rFonts w:hint="eastAsia" w:ascii="宋体" w:hAnsi="宋体" w:cs="Arial"/>
          <w:color w:val="333333"/>
          <w:shd w:val="clear" w:color="auto" w:fill="FFFFFF"/>
        </w:rPr>
        <w:t>4.4</w:t>
      </w:r>
      <w:r>
        <w:rPr>
          <w:rFonts w:hint="eastAsia" w:ascii="宋体" w:hAnsi="宋体" w:cs="宋体"/>
          <w:color w:val="000000"/>
          <w:szCs w:val="21"/>
        </w:rPr>
        <w:t>信息安全技术网络安全等级保护安全设计技术要求（GB/T25070-2019）</w:t>
      </w:r>
    </w:p>
    <w:p>
      <w:pPr>
        <w:spacing w:before="120" w:line="300" w:lineRule="auto"/>
        <w:ind w:firstLine="420" w:firstLineChars="200"/>
        <w:rPr>
          <w:rFonts w:ascii="宋体" w:hAnsi="宋体" w:cs="宋体"/>
          <w:bCs/>
          <w:color w:val="000000"/>
          <w:szCs w:val="21"/>
        </w:rPr>
      </w:pPr>
      <w:r>
        <w:rPr>
          <w:rFonts w:hint="eastAsia" w:ascii="宋体" w:hAnsi="宋体" w:cs="宋体"/>
          <w:color w:val="000000"/>
          <w:szCs w:val="21"/>
        </w:rPr>
        <w:t>4.5</w:t>
      </w:r>
      <w:r>
        <w:rPr>
          <w:rFonts w:hint="eastAsia" w:ascii="宋体" w:hAnsi="宋体" w:cs="宋体"/>
          <w:bCs/>
          <w:color w:val="000000"/>
          <w:szCs w:val="21"/>
        </w:rPr>
        <w:t>国家税务总局办公厅关于印发《税务工作人员网络安全管理规定》的通知 税总办发（2016）10号</w:t>
      </w:r>
      <w:bookmarkStart w:id="73" w:name="_Toc22737839"/>
      <w:bookmarkStart w:id="74" w:name="_Toc24078"/>
      <w:bookmarkStart w:id="75" w:name="_Toc44505001"/>
    </w:p>
    <w:p>
      <w:pPr>
        <w:spacing w:before="240" w:line="300" w:lineRule="auto"/>
        <w:rPr>
          <w:rFonts w:ascii="宋体" w:hAnsi="宋体"/>
          <w:b/>
          <w:sz w:val="24"/>
          <w:szCs w:val="24"/>
        </w:rPr>
      </w:pPr>
      <w:r>
        <w:rPr>
          <w:rFonts w:hint="eastAsia" w:ascii="宋体" w:hAnsi="宋体"/>
          <w:b/>
          <w:sz w:val="24"/>
          <w:szCs w:val="24"/>
        </w:rPr>
        <w:t>（二）项目技术要求</w:t>
      </w:r>
    </w:p>
    <w:tbl>
      <w:tblPr>
        <w:tblStyle w:val="45"/>
        <w:tblW w:w="94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0"/>
        <w:gridCol w:w="992"/>
        <w:gridCol w:w="1134"/>
        <w:gridCol w:w="6042"/>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60" w:type="dxa"/>
            <w:vMerge w:val="restart"/>
            <w:shd w:val="clear" w:color="auto" w:fill="FFFFFF"/>
            <w:noWrap/>
            <w:tcMar>
              <w:top w:w="15" w:type="dxa"/>
              <w:left w:w="15" w:type="dxa"/>
              <w:right w:w="15" w:type="dxa"/>
            </w:tcMar>
            <w:vAlign w:val="center"/>
          </w:tcPr>
          <w:p>
            <w:pPr>
              <w:spacing w:line="32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序号</w:t>
            </w:r>
          </w:p>
        </w:tc>
        <w:tc>
          <w:tcPr>
            <w:tcW w:w="2126" w:type="dxa"/>
            <w:gridSpan w:val="2"/>
            <w:shd w:val="clear" w:color="auto" w:fill="FFFFFF"/>
            <w:noWrap/>
            <w:tcMar>
              <w:top w:w="15" w:type="dxa"/>
              <w:left w:w="15" w:type="dxa"/>
              <w:right w:w="15" w:type="dxa"/>
            </w:tcMar>
            <w:vAlign w:val="center"/>
          </w:tcPr>
          <w:p>
            <w:pPr>
              <w:widowControl/>
              <w:spacing w:line="32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项目（或服务）名称</w:t>
            </w:r>
          </w:p>
        </w:tc>
        <w:tc>
          <w:tcPr>
            <w:tcW w:w="6042" w:type="dxa"/>
            <w:vMerge w:val="restart"/>
            <w:noWrap/>
            <w:tcMar>
              <w:top w:w="15" w:type="dxa"/>
              <w:left w:w="15" w:type="dxa"/>
              <w:right w:w="15" w:type="dxa"/>
            </w:tcMar>
            <w:vAlign w:val="center"/>
          </w:tcPr>
          <w:p>
            <w:pPr>
              <w:spacing w:line="32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参数要求</w:t>
            </w:r>
          </w:p>
        </w:tc>
        <w:tc>
          <w:tcPr>
            <w:tcW w:w="851" w:type="dxa"/>
            <w:vMerge w:val="restart"/>
            <w:noWrap/>
            <w:tcMar>
              <w:top w:w="15" w:type="dxa"/>
              <w:left w:w="15" w:type="dxa"/>
              <w:right w:w="15" w:type="dxa"/>
            </w:tcMar>
            <w:vAlign w:val="center"/>
          </w:tcPr>
          <w:p>
            <w:pPr>
              <w:spacing w:line="32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60" w:type="dxa"/>
            <w:vMerge w:val="continue"/>
            <w:shd w:val="clear" w:color="auto" w:fill="FFFFFF"/>
            <w:noWrap/>
            <w:tcMar>
              <w:top w:w="15" w:type="dxa"/>
              <w:left w:w="15" w:type="dxa"/>
              <w:right w:w="15" w:type="dxa"/>
            </w:tcMar>
            <w:vAlign w:val="center"/>
          </w:tcPr>
          <w:p>
            <w:pPr>
              <w:widowControl/>
              <w:spacing w:line="320" w:lineRule="exact"/>
              <w:jc w:val="center"/>
              <w:textAlignment w:val="center"/>
              <w:rPr>
                <w:rFonts w:ascii="宋体" w:hAnsi="宋体" w:cs="宋体"/>
                <w:b/>
                <w:color w:val="000000"/>
                <w:szCs w:val="21"/>
              </w:rPr>
            </w:pPr>
          </w:p>
        </w:tc>
        <w:tc>
          <w:tcPr>
            <w:tcW w:w="992" w:type="dxa"/>
            <w:shd w:val="clear" w:color="auto" w:fill="FFFFFF"/>
            <w:noWrap/>
            <w:tcMar>
              <w:top w:w="15" w:type="dxa"/>
              <w:left w:w="15" w:type="dxa"/>
              <w:right w:w="15" w:type="dxa"/>
            </w:tcMar>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b/>
                <w:color w:val="000000"/>
                <w:kern w:val="0"/>
                <w:szCs w:val="21"/>
              </w:rPr>
              <w:t>建设内容</w:t>
            </w:r>
          </w:p>
        </w:tc>
        <w:tc>
          <w:tcPr>
            <w:tcW w:w="1134" w:type="dxa"/>
            <w:shd w:val="clear" w:color="auto" w:fill="FFFFFF"/>
            <w:noWrap/>
            <w:tcMar>
              <w:top w:w="15" w:type="dxa"/>
              <w:left w:w="15" w:type="dxa"/>
              <w:right w:w="15" w:type="dxa"/>
            </w:tcMar>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b/>
                <w:color w:val="000000"/>
                <w:kern w:val="0"/>
                <w:szCs w:val="21"/>
              </w:rPr>
              <w:t>核心功能</w:t>
            </w:r>
          </w:p>
        </w:tc>
        <w:tc>
          <w:tcPr>
            <w:tcW w:w="6042"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color w:val="000000"/>
                <w:szCs w:val="21"/>
              </w:rPr>
            </w:pPr>
          </w:p>
        </w:tc>
        <w:tc>
          <w:tcPr>
            <w:tcW w:w="851"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60" w:type="dxa"/>
            <w:vMerge w:val="restart"/>
            <w:noWrap/>
            <w:tcMar>
              <w:top w:w="15" w:type="dxa"/>
              <w:left w:w="15" w:type="dxa"/>
              <w:right w:w="15" w:type="dxa"/>
            </w:tcMar>
            <w:vAlign w:val="center"/>
          </w:tcPr>
          <w:p>
            <w:pPr>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992" w:type="dxa"/>
            <w:vMerge w:val="restart"/>
            <w:noWrap/>
            <w:tcMar>
              <w:top w:w="15" w:type="dxa"/>
              <w:left w:w="15" w:type="dxa"/>
              <w:right w:w="15" w:type="dxa"/>
            </w:tcMar>
            <w:vAlign w:val="center"/>
          </w:tcPr>
          <w:p>
            <w:pPr>
              <w:spacing w:line="320" w:lineRule="exact"/>
              <w:jc w:val="center"/>
              <w:textAlignment w:val="center"/>
              <w:rPr>
                <w:rFonts w:ascii="宋体" w:hAnsi="宋体" w:cs="宋体"/>
                <w:color w:val="000000"/>
                <w:kern w:val="0"/>
                <w:szCs w:val="21"/>
              </w:rPr>
            </w:pPr>
            <w:bookmarkStart w:id="76" w:name="_Hlk100241126"/>
            <w:r>
              <w:rPr>
                <w:rFonts w:hint="eastAsia" w:ascii="宋体" w:hAnsi="宋体" w:cs="宋体"/>
                <w:color w:val="000000"/>
                <w:kern w:val="0"/>
                <w:szCs w:val="21"/>
              </w:rPr>
              <w:t>安全零信任系统</w:t>
            </w:r>
            <w:bookmarkEnd w:id="76"/>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硬件规格</w:t>
            </w:r>
          </w:p>
        </w:tc>
        <w:tc>
          <w:tcPr>
            <w:tcW w:w="6042" w:type="dxa"/>
            <w:noWrap/>
            <w:tcMar>
              <w:top w:w="15" w:type="dxa"/>
              <w:left w:w="15" w:type="dxa"/>
              <w:right w:w="15" w:type="dxa"/>
            </w:tcMar>
            <w:vAlign w:val="center"/>
          </w:tcPr>
          <w:p>
            <w:pPr>
              <w:spacing w:line="320" w:lineRule="exact"/>
              <w:rPr>
                <w:rFonts w:ascii="宋体" w:hAnsi="宋体" w:cs="宋体"/>
                <w:color w:val="000000"/>
                <w:szCs w:val="21"/>
              </w:rPr>
            </w:pPr>
            <w:r>
              <w:rPr>
                <w:rFonts w:hint="eastAsia" w:ascii="宋体" w:hAnsi="宋体" w:cs="宋体"/>
                <w:color w:val="000000"/>
                <w:kern w:val="0"/>
                <w:szCs w:val="21"/>
              </w:rPr>
              <w:t>24核CPU， 32G*4内存，4TSATA硬盘，板载4*GE接口,双电源。</w:t>
            </w:r>
          </w:p>
        </w:tc>
        <w:tc>
          <w:tcPr>
            <w:tcW w:w="851" w:type="dxa"/>
            <w:vMerge w:val="restart"/>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60"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color w:val="000000"/>
                <w:szCs w:val="21"/>
              </w:rPr>
            </w:pPr>
          </w:p>
        </w:tc>
        <w:tc>
          <w:tcPr>
            <w:tcW w:w="992"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身份认证</w:t>
            </w:r>
          </w:p>
        </w:tc>
        <w:tc>
          <w:tcPr>
            <w:tcW w:w="6042" w:type="dxa"/>
            <w:noWrap/>
            <w:tcMar>
              <w:top w:w="15" w:type="dxa"/>
              <w:left w:w="15" w:type="dxa"/>
              <w:right w:w="15" w:type="dxa"/>
            </w:tcMar>
            <w:vAlign w:val="center"/>
          </w:tcPr>
          <w:p>
            <w:pPr>
              <w:tabs>
                <w:tab w:val="left" w:pos="312"/>
              </w:tabs>
              <w:spacing w:line="320" w:lineRule="exact"/>
              <w:rPr>
                <w:rFonts w:ascii="宋体" w:hAnsi="宋体" w:cs="宋体"/>
                <w:color w:val="000000"/>
                <w:kern w:val="0"/>
                <w:szCs w:val="21"/>
              </w:rPr>
            </w:pPr>
            <w:r>
              <w:rPr>
                <w:rFonts w:hint="eastAsia" w:ascii="宋体" w:hAnsi="宋体" w:cs="宋体"/>
                <w:color w:val="000000"/>
                <w:kern w:val="0"/>
                <w:szCs w:val="21"/>
              </w:rPr>
              <w:t>1.支持对外提供统一身份信息的存储管理，包含用户身份信息（包括但不限于姓名、身份证号、性别、手机号、邮箱、个人近照、所属机构、职位等）和终端设备信息（包括但不限于硬件特征码、MAC、IP、操作系统产品ID等）。</w:t>
            </w:r>
          </w:p>
          <w:p>
            <w:pPr>
              <w:tabs>
                <w:tab w:val="left" w:pos="312"/>
              </w:tabs>
              <w:spacing w:line="320" w:lineRule="exac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.支持敏感信息（如凭证信息）加密存储，加密算法和规则支持通过安全策略进行设置。</w:t>
            </w:r>
          </w:p>
          <w:p>
            <w:pPr>
              <w:tabs>
                <w:tab w:val="left" w:pos="312"/>
              </w:tabs>
              <w:spacing w:line="32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.持续认证：支持发现异常用户行为时进行强制二次认证，动态控制和调整用户访问权限。</w:t>
            </w:r>
          </w:p>
          <w:p>
            <w:pPr>
              <w:tabs>
                <w:tab w:val="left" w:pos="312"/>
              </w:tabs>
              <w:spacing w:line="320" w:lineRule="exact"/>
              <w:rPr>
                <w:rFonts w:ascii="宋体" w:hAnsi="宋体"/>
                <w:szCs w:val="21"/>
              </w:rPr>
            </w:pPr>
            <w:r>
              <w:rPr>
                <w:rFonts w:ascii="宋体" w:hAnsi="宋体" w:cs="宋体"/>
                <w:color w:val="000000"/>
                <w:kern w:val="0"/>
                <w:szCs w:val="21"/>
              </w:rPr>
              <w:t>4</w:t>
            </w:r>
            <w:r>
              <w:rPr>
                <w:rFonts w:hint="eastAsia" w:ascii="宋体" w:hAnsi="宋体" w:cs="宋体"/>
                <w:color w:val="000000"/>
                <w:kern w:val="0"/>
                <w:szCs w:val="21"/>
              </w:rPr>
              <w:t>.支持与阿里云、腾</w:t>
            </w:r>
            <w:r>
              <w:rPr>
                <w:rFonts w:hint="eastAsia" w:ascii="宋体" w:hAnsi="宋体" w:cs="宋体"/>
                <w:color w:val="000000" w:themeColor="text1"/>
                <w:kern w:val="0"/>
                <w:szCs w:val="21"/>
                <w14:textFill>
                  <w14:solidFill>
                    <w14:schemeClr w14:val="tx1"/>
                  </w14:solidFill>
                </w14:textFill>
              </w:rPr>
              <w:t>讯云、鸿联九五的短信接口配置。（提供截图证明，加盖投标人公章）</w:t>
            </w:r>
          </w:p>
        </w:tc>
        <w:tc>
          <w:tcPr>
            <w:tcW w:w="851" w:type="dxa"/>
            <w:vMerge w:val="continue"/>
            <w:noWrap/>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管理功能</w:t>
            </w:r>
          </w:p>
        </w:tc>
        <w:tc>
          <w:tcPr>
            <w:tcW w:w="6042" w:type="dxa"/>
            <w:noWrap/>
            <w:tcMar>
              <w:top w:w="15" w:type="dxa"/>
              <w:left w:w="15" w:type="dxa"/>
              <w:right w:w="15" w:type="dxa"/>
            </w:tcMar>
            <w:vAlign w:val="center"/>
          </w:tcPr>
          <w:p>
            <w:pPr>
              <w:spacing w:line="320" w:lineRule="exact"/>
              <w:rPr>
                <w:rFonts w:ascii="宋体" w:hAnsi="宋体" w:cs="宋体"/>
                <w:color w:val="000000"/>
                <w:kern w:val="0"/>
                <w:szCs w:val="21"/>
              </w:rPr>
            </w:pPr>
            <w:r>
              <w:rPr>
                <w:rFonts w:hint="eastAsia" w:ascii="宋体" w:hAnsi="宋体" w:cs="宋体"/>
                <w:color w:val="000000"/>
                <w:kern w:val="0"/>
                <w:szCs w:val="21"/>
              </w:rPr>
              <w:t>1.统一访问入口：支持用户个性化首页门户，支持集成SSO单点登录功能。</w:t>
            </w:r>
          </w:p>
          <w:p>
            <w:pPr>
              <w:spacing w:line="320" w:lineRule="exact"/>
              <w:rPr>
                <w:rFonts w:ascii="宋体" w:hAnsi="宋体" w:cs="宋体"/>
                <w:color w:val="000000"/>
                <w:kern w:val="0"/>
                <w:szCs w:val="21"/>
              </w:rPr>
            </w:pPr>
            <w:r>
              <w:rPr>
                <w:rFonts w:hint="eastAsia" w:ascii="宋体" w:hAnsi="宋体" w:cs="宋体"/>
                <w:color w:val="000000"/>
                <w:kern w:val="0"/>
                <w:szCs w:val="21"/>
              </w:rPr>
              <w:t>2.统一远程管理：支持对客户端、网关进行统一进行配置下发。</w:t>
            </w:r>
          </w:p>
          <w:p>
            <w:pPr>
              <w:spacing w:line="320" w:lineRule="exact"/>
              <w:rPr>
                <w:rFonts w:ascii="宋体" w:hAnsi="宋体" w:cs="宋体"/>
                <w:color w:val="000000"/>
                <w:kern w:val="0"/>
                <w:szCs w:val="21"/>
              </w:rPr>
            </w:pPr>
            <w:r>
              <w:rPr>
                <w:rFonts w:hint="eastAsia" w:ascii="宋体" w:hAnsi="宋体" w:cs="宋体"/>
                <w:color w:val="000000"/>
                <w:kern w:val="0"/>
                <w:szCs w:val="21"/>
              </w:rPr>
              <w:t>3.支持对网关设备进行状态监控：包含CPU、内存、磁盘使用率、在线情况等。</w:t>
            </w:r>
          </w:p>
          <w:p>
            <w:pPr>
              <w:spacing w:line="320" w:lineRule="exac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.支持针对单用户账号的多设备登录策略设置；支持用户密码的定期更换时间配置；支持僵尸账号的禁用设置；支持默认密码的强制更换。</w:t>
            </w:r>
          </w:p>
        </w:tc>
        <w:tc>
          <w:tcPr>
            <w:tcW w:w="851" w:type="dxa"/>
            <w:vMerge w:val="continue"/>
            <w:noWrap/>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三方接口对接</w:t>
            </w:r>
          </w:p>
        </w:tc>
        <w:tc>
          <w:tcPr>
            <w:tcW w:w="6042" w:type="dxa"/>
            <w:noWrap/>
            <w:tcMar>
              <w:top w:w="15" w:type="dxa"/>
              <w:left w:w="15" w:type="dxa"/>
              <w:right w:w="15" w:type="dxa"/>
            </w:tcMar>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支持对接第三方数据源，同步用户的账号、密码，组织架构等信息。</w:t>
            </w:r>
          </w:p>
          <w:p>
            <w:pPr>
              <w:spacing w:line="320" w:lineRule="exact"/>
              <w:rPr>
                <w:rFonts w:ascii="宋体" w:hAnsi="宋体" w:cs="宋体"/>
                <w:color w:val="000000"/>
                <w:szCs w:val="21"/>
              </w:rPr>
            </w:pPr>
            <w:r>
              <w:rPr>
                <w:rFonts w:hint="eastAsia" w:ascii="宋体" w:hAnsi="宋体" w:cs="宋体"/>
                <w:color w:val="000000"/>
                <w:kern w:val="0"/>
                <w:szCs w:val="21"/>
              </w:rPr>
              <w:t>按实际使用需求对接总局密码组件系统，在数据传输加密和数据存储加密上符合总局在数字证书及密码应用上的要求。</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部署要求</w:t>
            </w:r>
          </w:p>
        </w:tc>
        <w:tc>
          <w:tcPr>
            <w:tcW w:w="6042" w:type="dxa"/>
            <w:noWrap/>
            <w:tcMar>
              <w:top w:w="15" w:type="dxa"/>
              <w:left w:w="15" w:type="dxa"/>
              <w:right w:w="15" w:type="dxa"/>
            </w:tcMar>
            <w:vAlign w:val="center"/>
          </w:tcPr>
          <w:p>
            <w:pPr>
              <w:spacing w:line="320" w:lineRule="exact"/>
              <w:rPr>
                <w:rFonts w:ascii="宋体" w:hAnsi="宋体" w:cs="宋体"/>
                <w:color w:val="000000"/>
                <w:kern w:val="0"/>
                <w:szCs w:val="21"/>
              </w:rPr>
            </w:pPr>
            <w:r>
              <w:rPr>
                <w:rFonts w:hint="eastAsia" w:ascii="宋体" w:hAnsi="宋体" w:cs="宋体"/>
                <w:color w:val="000000"/>
                <w:kern w:val="0"/>
                <w:szCs w:val="21"/>
              </w:rPr>
              <w:t>1.支持旁路和串接模式部署。</w:t>
            </w:r>
          </w:p>
          <w:p>
            <w:pPr>
              <w:spacing w:line="320" w:lineRule="exact"/>
              <w:rPr>
                <w:rFonts w:ascii="宋体" w:hAnsi="宋体" w:cs="宋体"/>
                <w:color w:val="000000"/>
                <w:kern w:val="0"/>
                <w:szCs w:val="21"/>
              </w:rPr>
            </w:pPr>
            <w:r>
              <w:rPr>
                <w:rFonts w:hint="eastAsia" w:ascii="宋体" w:hAnsi="宋体" w:cs="宋体"/>
                <w:color w:val="000000"/>
                <w:kern w:val="0"/>
                <w:szCs w:val="21"/>
              </w:rPr>
              <w:t>2.支持通过负载均衡和集群部署等形式，确保应用隧道的持续可用。</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vMerge w:val="restart"/>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功能要求</w:t>
            </w:r>
          </w:p>
        </w:tc>
        <w:tc>
          <w:tcPr>
            <w:tcW w:w="6042" w:type="dxa"/>
            <w:noWrap/>
            <w:tcMar>
              <w:top w:w="15" w:type="dxa"/>
              <w:left w:w="15" w:type="dxa"/>
              <w:right w:w="15" w:type="dxa"/>
            </w:tcMar>
            <w:vAlign w:val="center"/>
          </w:tcPr>
          <w:p>
            <w:pPr>
              <w:spacing w:line="320" w:lineRule="exac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.支持发布WEB应用，包含HTTP/HTTPS应用，不需要做任何URL改写。</w:t>
            </w:r>
          </w:p>
          <w:p>
            <w:pPr>
              <w:spacing w:line="320" w:lineRule="exac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.支持发布telnet,ssh,rdp,vnc等多种协议类型远程桌面，并支持通过WEB浏览器投屏使用。</w:t>
            </w:r>
          </w:p>
          <w:p>
            <w:pPr>
              <w:spacing w:line="32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.支持不同用户建立自己的独立加密应用隧道，隧道之间相互隔离，即相互不可见，网络不可达。</w:t>
            </w:r>
          </w:p>
          <w:p>
            <w:pPr>
              <w:spacing w:line="320" w:lineRule="exact"/>
              <w:rPr>
                <w:rFonts w:ascii="宋体" w:hAnsi="宋体" w:cs="宋体"/>
                <w:color w:val="FF0000"/>
                <w:kern w:val="0"/>
                <w:szCs w:val="21"/>
              </w:rPr>
            </w:pPr>
            <w:r>
              <w:rPr>
                <w:rFonts w:ascii="宋体" w:hAnsi="宋体" w:cs="宋体"/>
                <w:color w:val="000000"/>
                <w:kern w:val="0"/>
                <w:szCs w:val="21"/>
              </w:rPr>
              <w:t>4</w:t>
            </w:r>
            <w:r>
              <w:rPr>
                <w:rFonts w:hint="eastAsia" w:ascii="宋体" w:hAnsi="宋体" w:cs="宋体"/>
                <w:color w:val="000000"/>
                <w:kern w:val="0"/>
                <w:szCs w:val="21"/>
              </w:rPr>
              <w:t>.支持应用系统中的文档不落地通道对接，保障数据不泄密。</w:t>
            </w:r>
          </w:p>
          <w:p>
            <w:pPr>
              <w:spacing w:line="320" w:lineRule="exact"/>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.支持关闭所有端口，仅允许合法身份用户正常访问，只对经过合法身份验证的用户，合法IP地址定向开放唯一端口。</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p>
        </w:tc>
        <w:tc>
          <w:tcPr>
            <w:tcW w:w="6042" w:type="dxa"/>
            <w:noWrap/>
            <w:tcMar>
              <w:top w:w="15" w:type="dxa"/>
              <w:left w:w="15" w:type="dxa"/>
              <w:right w:w="15" w:type="dxa"/>
            </w:tcMar>
            <w:vAlign w:val="center"/>
          </w:tcPr>
          <w:p>
            <w:pPr>
              <w:spacing w:line="320" w:lineRule="exact"/>
              <w:rPr>
                <w:rFonts w:ascii="宋体" w:hAnsi="宋体" w:cs="宋体"/>
                <w:color w:val="000000"/>
                <w:kern w:val="0"/>
                <w:szCs w:val="21"/>
              </w:rPr>
            </w:pPr>
            <w:r>
              <w:rPr>
                <w:rFonts w:hint="eastAsia" w:ascii="宋体" w:hAnsi="宋体" w:cs="宋体"/>
                <w:color w:val="000000"/>
                <w:kern w:val="0"/>
                <w:szCs w:val="21"/>
              </w:rPr>
              <w:t>1.支持浏览器和客户端两种模式。</w:t>
            </w:r>
          </w:p>
          <w:p>
            <w:pPr>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kern w:val="0"/>
                <w:szCs w:val="21"/>
              </w:rPr>
              <w:t>2.支持Chrome+IE内核自动切换。支持浏览器界面样式的自定义设置。</w:t>
            </w:r>
            <w:r>
              <w:rPr>
                <w:rFonts w:hint="eastAsia" w:ascii="宋体" w:hAnsi="宋体" w:cs="宋体"/>
                <w:color w:val="000000" w:themeColor="text1"/>
                <w:kern w:val="0"/>
                <w:szCs w:val="21"/>
                <w14:textFill>
                  <w14:solidFill>
                    <w14:schemeClr w14:val="tx1"/>
                  </w14:solidFill>
                </w14:textFill>
              </w:rPr>
              <w:t>（提供截图证明，加盖投标人公章）</w:t>
            </w:r>
          </w:p>
          <w:p>
            <w:pPr>
              <w:spacing w:line="32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.可直接审计并记录用户访问的URL地址和访问时间。6.可采集到终端IP、终端进程列表、终端杀毒软件名称。</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产品资质</w:t>
            </w:r>
          </w:p>
        </w:tc>
        <w:tc>
          <w:tcPr>
            <w:tcW w:w="6042" w:type="dxa"/>
            <w:noWrap/>
            <w:tcMar>
              <w:top w:w="15" w:type="dxa"/>
              <w:left w:w="15" w:type="dxa"/>
              <w:right w:w="15" w:type="dxa"/>
            </w:tcMar>
            <w:vAlign w:val="center"/>
          </w:tcPr>
          <w:p>
            <w:pPr>
              <w:spacing w:line="320" w:lineRule="exact"/>
              <w:rPr>
                <w:rFonts w:ascii="宋体" w:hAnsi="宋体" w:cs="宋体"/>
                <w:color w:val="FF0000"/>
                <w:kern w:val="0"/>
                <w:szCs w:val="21"/>
              </w:rPr>
            </w:pPr>
            <w:r>
              <w:rPr>
                <w:rFonts w:hint="eastAsia" w:ascii="宋体" w:hAnsi="宋体" w:cs="宋体"/>
                <w:color w:val="000000"/>
                <w:kern w:val="0"/>
                <w:szCs w:val="21"/>
              </w:rPr>
              <w:t>1.提供公安部网络安全保卫部门颁发的计算机信息系统安全专用产品销售许可证复印件，产品类型应当为“访问控制（网络-增强级）”</w:t>
            </w:r>
            <w:r>
              <w:rPr>
                <w:rFonts w:hint="eastAsia" w:ascii="宋体" w:hAnsi="宋体" w:cs="宋体"/>
                <w:color w:val="000000" w:themeColor="text1"/>
                <w:kern w:val="0"/>
                <w:szCs w:val="21"/>
                <w14:textFill>
                  <w14:solidFill>
                    <w14:schemeClr w14:val="tx1"/>
                  </w14:solidFill>
                </w14:textFill>
              </w:rPr>
              <w:t>，产品名称需包含“零信任”字样，</w:t>
            </w:r>
            <w:r>
              <w:rPr>
                <w:rFonts w:hint="eastAsia" w:ascii="宋体" w:hAnsi="宋体" w:cs="宋体"/>
                <w:color w:val="000000"/>
                <w:kern w:val="0"/>
                <w:szCs w:val="21"/>
              </w:rPr>
              <w:t>且在有效期内</w:t>
            </w:r>
            <w:r>
              <w:rPr>
                <w:rFonts w:hint="eastAsia" w:ascii="宋体" w:hAnsi="宋体" w:cs="宋体"/>
                <w:color w:val="FF0000"/>
                <w:kern w:val="0"/>
                <w:szCs w:val="21"/>
              </w:rPr>
              <w:t>。</w:t>
            </w:r>
          </w:p>
          <w:p>
            <w:pPr>
              <w:spacing w:line="320" w:lineRule="exact"/>
              <w:rPr>
                <w:rFonts w:ascii="宋体" w:hAnsi="宋体" w:cs="宋体"/>
                <w:color w:val="000000"/>
                <w:kern w:val="0"/>
                <w:szCs w:val="21"/>
              </w:rPr>
            </w:pPr>
            <w:r>
              <w:rPr>
                <w:rFonts w:hint="eastAsia" w:ascii="宋体" w:hAnsi="宋体" w:cs="宋体"/>
                <w:color w:val="000000"/>
                <w:kern w:val="0"/>
                <w:szCs w:val="21"/>
              </w:rPr>
              <w:t>2.提供中华人民共和国国家版权局颁发的计算机软件著作权登记证书复印件</w:t>
            </w:r>
          </w:p>
          <w:p>
            <w:pPr>
              <w:spacing w:line="320" w:lineRule="exact"/>
              <w:rPr>
                <w:rFonts w:ascii="宋体" w:hAnsi="宋体" w:cs="宋体"/>
                <w:color w:val="000000"/>
                <w:kern w:val="0"/>
                <w:szCs w:val="21"/>
              </w:rPr>
            </w:pPr>
            <w:r>
              <w:rPr>
                <w:rFonts w:hint="eastAsia" w:ascii="宋体" w:hAnsi="宋体" w:cs="宋体"/>
                <w:color w:val="000000"/>
                <w:kern w:val="0"/>
                <w:szCs w:val="21"/>
              </w:rPr>
              <w:t>3.为确保系统的稳定性，所投产品必须具备第三方的MTBF检测报告以及证书，MTBF时间不得少于60000小时，检测的第三方机构应当具备CMA以及CNAS的认证或者授权。（提供相关证明文件）</w:t>
            </w:r>
          </w:p>
          <w:p>
            <w:pPr>
              <w:spacing w:line="320" w:lineRule="exact"/>
              <w:rPr>
                <w:rFonts w:ascii="宋体" w:hAnsi="宋体" w:cs="宋体"/>
                <w:color w:val="000000"/>
                <w:kern w:val="0"/>
                <w:szCs w:val="21"/>
              </w:rPr>
            </w:pPr>
            <w:r>
              <w:rPr>
                <w:rFonts w:hint="eastAsia" w:ascii="宋体" w:hAnsi="宋体" w:cs="宋体"/>
                <w:color w:val="000000"/>
                <w:kern w:val="0"/>
                <w:szCs w:val="21"/>
              </w:rPr>
              <w:t>4.浏览器需支持国产化的桌面终端，提供兼容性认证证书复印件。</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restart"/>
            <w:noWrap/>
            <w:tcMar>
              <w:top w:w="15" w:type="dxa"/>
              <w:left w:w="15" w:type="dxa"/>
              <w:right w:w="15" w:type="dxa"/>
            </w:tcMar>
            <w:vAlign w:val="center"/>
          </w:tcPr>
          <w:p>
            <w:pPr>
              <w:spacing w:line="320" w:lineRule="exact"/>
              <w:jc w:val="center"/>
              <w:rPr>
                <w:rFonts w:ascii="宋体" w:hAnsi="宋体" w:cs="宋体"/>
                <w:color w:val="000000"/>
                <w:szCs w:val="21"/>
              </w:rPr>
            </w:pPr>
            <w:r>
              <w:rPr>
                <w:rFonts w:hint="eastAsia" w:ascii="宋体" w:hAnsi="宋体" w:cs="宋体"/>
                <w:color w:val="000000"/>
                <w:szCs w:val="21"/>
              </w:rPr>
              <w:t>2</w:t>
            </w:r>
          </w:p>
        </w:tc>
        <w:tc>
          <w:tcPr>
            <w:tcW w:w="992" w:type="dxa"/>
            <w:vMerge w:val="restart"/>
            <w:noWrap/>
            <w:tcMar>
              <w:top w:w="15" w:type="dxa"/>
              <w:left w:w="15" w:type="dxa"/>
              <w:right w:w="15" w:type="dxa"/>
            </w:tcMar>
            <w:vAlign w:val="center"/>
          </w:tcPr>
          <w:p>
            <w:pPr>
              <w:spacing w:line="320" w:lineRule="exact"/>
              <w:jc w:val="center"/>
              <w:rPr>
                <w:rFonts w:ascii="宋体" w:hAnsi="宋体" w:cs="宋体"/>
                <w:color w:val="000000"/>
                <w:szCs w:val="21"/>
              </w:rPr>
            </w:pPr>
            <w:bookmarkStart w:id="77" w:name="_Hlk100241144"/>
            <w:r>
              <w:rPr>
                <w:rFonts w:ascii="宋体" w:hAnsi="宋体" w:cs="宋体"/>
                <w:color w:val="000000"/>
                <w:szCs w:val="21"/>
              </w:rPr>
              <w:t>应用发布系统</w:t>
            </w:r>
            <w:bookmarkEnd w:id="77"/>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系统要求</w:t>
            </w:r>
          </w:p>
        </w:tc>
        <w:tc>
          <w:tcPr>
            <w:tcW w:w="6042" w:type="dxa"/>
            <w:noWrap/>
            <w:tcMar>
              <w:top w:w="15" w:type="dxa"/>
              <w:left w:w="15" w:type="dxa"/>
              <w:right w:w="15" w:type="dxa"/>
            </w:tcMar>
            <w:vAlign w:val="center"/>
          </w:tcPr>
          <w:p>
            <w:pPr>
              <w:spacing w:line="320" w:lineRule="exact"/>
              <w:rPr>
                <w:rFonts w:ascii="宋体" w:hAnsi="宋体" w:cs="宋体"/>
                <w:color w:val="000000"/>
                <w:kern w:val="0"/>
                <w:szCs w:val="21"/>
              </w:rPr>
            </w:pPr>
            <w:r>
              <w:rPr>
                <w:rFonts w:hint="eastAsia" w:ascii="宋体" w:hAnsi="宋体"/>
                <w:szCs w:val="21"/>
              </w:rPr>
              <w:t>应用发布服务器操作系统 ：Windows server 2008 Enterprise R2 SP1(64位)、Windows server 2008 Standard R2（64位）SP1版本；或者Windows Server 2012 R2 Standard（64位）版本。</w:t>
            </w:r>
          </w:p>
        </w:tc>
        <w:tc>
          <w:tcPr>
            <w:tcW w:w="851" w:type="dxa"/>
            <w:vMerge w:val="restart"/>
            <w:noWrap/>
            <w:tcMar>
              <w:top w:w="15" w:type="dxa"/>
              <w:left w:w="15" w:type="dxa"/>
              <w:right w:w="15" w:type="dxa"/>
            </w:tcMar>
            <w:vAlign w:val="center"/>
          </w:tcPr>
          <w:p>
            <w:pPr>
              <w:spacing w:line="320" w:lineRule="exact"/>
              <w:jc w:val="cente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功能要求</w:t>
            </w:r>
          </w:p>
        </w:tc>
        <w:tc>
          <w:tcPr>
            <w:tcW w:w="6042" w:type="dxa"/>
            <w:noWrap/>
            <w:tcMar>
              <w:top w:w="15" w:type="dxa"/>
              <w:left w:w="15" w:type="dxa"/>
              <w:right w:w="15" w:type="dxa"/>
            </w:tcMar>
            <w:vAlign w:val="center"/>
          </w:tcPr>
          <w:p>
            <w:pPr>
              <w:topLinePunct/>
              <w:autoSpaceDE w:val="0"/>
              <w:autoSpaceDN w:val="0"/>
              <w:spacing w:line="320" w:lineRule="exact"/>
              <w:rPr>
                <w:rFonts w:ascii="宋体" w:hAnsi="宋体" w:cs="宋体"/>
                <w:szCs w:val="21"/>
              </w:rPr>
            </w:pPr>
            <w:r>
              <w:rPr>
                <w:rFonts w:hint="eastAsia" w:ascii="宋体" w:hAnsi="宋体" w:cs="宋体"/>
                <w:szCs w:val="21"/>
              </w:rPr>
              <w:t>1.支持限定配置中可指定用户通过指定的应用发布服务器对资源进行访问。</w:t>
            </w:r>
          </w:p>
          <w:p>
            <w:pPr>
              <w:topLinePunct/>
              <w:autoSpaceDE w:val="0"/>
              <w:autoSpaceDN w:val="0"/>
              <w:spacing w:line="320" w:lineRule="exact"/>
              <w:rPr>
                <w:rFonts w:ascii="宋体" w:hAnsi="宋体" w:cs="宋体"/>
                <w:szCs w:val="21"/>
              </w:rPr>
            </w:pPr>
            <w:r>
              <w:rPr>
                <w:rFonts w:hint="eastAsia" w:ascii="宋体" w:hAnsi="宋体" w:cs="宋体"/>
                <w:szCs w:val="21"/>
              </w:rPr>
              <w:t>2.支持通过应用发布实现数据库操作的命令级审计和图形审计的双重审计效果，命令级审计便于重现真实的完整操作命令，图形审计便于直观的查看到真实的操作行为，并支持通过搜索操作语句关键字定位审计回放。</w:t>
            </w:r>
          </w:p>
          <w:p>
            <w:pPr>
              <w:topLinePunct/>
              <w:autoSpaceDE w:val="0"/>
              <w:autoSpaceDN w:val="0"/>
              <w:spacing w:line="320" w:lineRule="exact"/>
              <w:rPr>
                <w:rFonts w:ascii="宋体" w:hAnsi="宋体" w:cs="宋体"/>
                <w:szCs w:val="21"/>
              </w:rPr>
            </w:pPr>
            <w:r>
              <w:rPr>
                <w:rFonts w:hint="eastAsia" w:ascii="宋体" w:hAnsi="宋体" w:cs="宋体"/>
                <w:szCs w:val="21"/>
              </w:rPr>
              <w:t>3.支持通过应用发布实现字符协议和文件传输协议的命令级审计和图形审计的双重审计效果，命令级审计便于重现真实的完整操作命令，图形审计便于直观的查看到真实的操作行为，并支持通过搜索操作语句或执行结果中关键字定位审计回放。</w:t>
            </w:r>
          </w:p>
          <w:p>
            <w:pPr>
              <w:topLinePunct/>
              <w:autoSpaceDE w:val="0"/>
              <w:autoSpaceDN w:val="0"/>
              <w:spacing w:line="320" w:lineRule="exact"/>
              <w:rPr>
                <w:rFonts w:ascii="宋体" w:hAnsi="宋体" w:cs="宋体"/>
                <w:szCs w:val="21"/>
              </w:rPr>
            </w:pPr>
            <w:r>
              <w:rPr>
                <w:rFonts w:hint="eastAsia" w:ascii="宋体" w:hAnsi="宋体" w:cs="宋体"/>
                <w:szCs w:val="21"/>
              </w:rPr>
              <w:t>4.支持通过应用发布进行协议扩展，支持http/https协议、X11协议、VMware vSphere Client、Radmin等第三方客户端工具，并支持模拟账号密码代填登录；应用发布调用只能推送应用工具窗口，不得推送windows桌面，以提升用户体验。</w:t>
            </w:r>
          </w:p>
          <w:p>
            <w:pPr>
              <w:topLinePunct/>
              <w:autoSpaceDE w:val="0"/>
              <w:autoSpaceDN w:val="0"/>
              <w:spacing w:line="320" w:lineRule="exact"/>
              <w:rPr>
                <w:rFonts w:ascii="宋体" w:hAnsi="宋体" w:cs="宋体"/>
                <w:szCs w:val="21"/>
              </w:rPr>
            </w:pPr>
            <w:r>
              <w:rPr>
                <w:rFonts w:hint="eastAsia" w:ascii="宋体" w:hAnsi="宋体" w:cs="宋体"/>
                <w:szCs w:val="21"/>
              </w:rPr>
              <w:t>5.应用发布防跳转：通过应用发布只能访问已授权资源，无法通过应用工具新建未授权资源进行跳转连接；</w:t>
            </w:r>
          </w:p>
          <w:p>
            <w:pPr>
              <w:topLinePunct/>
              <w:autoSpaceDE w:val="0"/>
              <w:autoSpaceDN w:val="0"/>
              <w:spacing w:line="320" w:lineRule="exact"/>
              <w:rPr>
                <w:rFonts w:ascii="宋体" w:hAnsi="宋体" w:cs="宋体"/>
                <w:szCs w:val="21"/>
              </w:rPr>
            </w:pPr>
            <w:r>
              <w:rPr>
                <w:rFonts w:hint="eastAsia" w:ascii="宋体" w:hAnsi="宋体" w:cs="宋体"/>
                <w:szCs w:val="21"/>
              </w:rPr>
              <w:t>支持web页面或数据库防跳转功能，进行http/https访问过程中，运维人员仅允许访问授权地址。</w:t>
            </w:r>
          </w:p>
          <w:p>
            <w:pPr>
              <w:topLinePunct/>
              <w:autoSpaceDE w:val="0"/>
              <w:autoSpaceDN w:val="0"/>
              <w:spacing w:line="320" w:lineRule="exact"/>
              <w:rPr>
                <w:rFonts w:ascii="宋体" w:hAnsi="宋体" w:cs="宋体"/>
                <w:szCs w:val="21"/>
              </w:rPr>
            </w:pPr>
            <w:r>
              <w:rPr>
                <w:rFonts w:hint="eastAsia" w:ascii="宋体" w:hAnsi="宋体" w:cs="宋体"/>
                <w:szCs w:val="21"/>
              </w:rPr>
              <w:t>6.支持根据屏幕变化或鼠标键盘操作进行闲时录像过滤，降低审计回放文件大小，节约磁盘存储空间。</w:t>
            </w:r>
          </w:p>
          <w:p>
            <w:pPr>
              <w:topLinePunct/>
              <w:autoSpaceDE w:val="0"/>
              <w:autoSpaceDN w:val="0"/>
              <w:spacing w:line="320" w:lineRule="exact"/>
              <w:rPr>
                <w:rFonts w:ascii="宋体" w:hAnsi="宋体" w:cs="宋体"/>
                <w:szCs w:val="21"/>
              </w:rPr>
            </w:pPr>
            <w:r>
              <w:rPr>
                <w:rFonts w:hint="eastAsia" w:ascii="宋体" w:hAnsi="宋体" w:cs="宋体"/>
                <w:szCs w:val="21"/>
              </w:rPr>
              <w:t>7.支持将当前应用发布配置批量应用到其他应用发布服务器上，提升应用发布管理效率。</w:t>
            </w:r>
          </w:p>
          <w:p>
            <w:pPr>
              <w:topLinePunct/>
              <w:autoSpaceDE w:val="0"/>
              <w:autoSpaceDN w:val="0"/>
              <w:spacing w:line="320" w:lineRule="exact"/>
              <w:rPr>
                <w:rFonts w:ascii="宋体" w:hAnsi="宋体" w:cs="宋体"/>
                <w:szCs w:val="21"/>
              </w:rPr>
            </w:pPr>
            <w:r>
              <w:rPr>
                <w:rFonts w:hint="eastAsia" w:ascii="宋体" w:hAnsi="宋体" w:cs="宋体"/>
                <w:szCs w:val="21"/>
              </w:rPr>
              <w:t>8.支持消息广播，以对话框形式出现在所有已登录的用户屏幕上。</w:t>
            </w:r>
          </w:p>
          <w:p>
            <w:pPr>
              <w:topLinePunct/>
              <w:autoSpaceDE w:val="0"/>
              <w:autoSpaceDN w:val="0"/>
              <w:spacing w:line="320" w:lineRule="exact"/>
              <w:rPr>
                <w:rFonts w:ascii="宋体" w:hAnsi="宋体" w:cs="宋体"/>
                <w:szCs w:val="21"/>
              </w:rPr>
            </w:pPr>
            <w:r>
              <w:rPr>
                <w:rFonts w:hint="eastAsia" w:ascii="宋体" w:hAnsi="宋体" w:cs="宋体"/>
                <w:szCs w:val="21"/>
              </w:rPr>
              <w:t>9.应用发布剪贴板控制，防止运维用户拷贝数据到本地，提升运维过程数据安全的管控能力。</w:t>
            </w:r>
          </w:p>
          <w:p>
            <w:pPr>
              <w:topLinePunct/>
              <w:autoSpaceDE w:val="0"/>
              <w:autoSpaceDN w:val="0"/>
              <w:spacing w:line="320" w:lineRule="exact"/>
              <w:rPr>
                <w:rFonts w:ascii="宋体" w:hAnsi="宋体" w:cs="宋体"/>
                <w:szCs w:val="21"/>
              </w:rPr>
            </w:pPr>
            <w:r>
              <w:rPr>
                <w:rFonts w:hint="eastAsia" w:ascii="宋体" w:hAnsi="宋体" w:cs="宋体"/>
                <w:szCs w:val="21"/>
              </w:rPr>
              <w:t>10.支持通过应用发布开启运维屏幕水印，运维本地无法篡改水印内容，震慑不规范的运维行为，提升运维过程数据安全性。</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restart"/>
            <w:noWrap/>
            <w:tcMar>
              <w:top w:w="15" w:type="dxa"/>
              <w:left w:w="15" w:type="dxa"/>
              <w:right w:w="15" w:type="dxa"/>
            </w:tcMar>
            <w:vAlign w:val="center"/>
          </w:tcPr>
          <w:p>
            <w:pPr>
              <w:spacing w:line="320" w:lineRule="exact"/>
              <w:jc w:val="center"/>
              <w:rPr>
                <w:rFonts w:ascii="宋体" w:hAnsi="宋体" w:cs="宋体"/>
                <w:color w:val="000000"/>
                <w:szCs w:val="21"/>
              </w:rPr>
            </w:pPr>
            <w:r>
              <w:rPr>
                <w:rFonts w:hint="eastAsia" w:ascii="宋体" w:hAnsi="宋体" w:cs="宋体"/>
                <w:color w:val="000000"/>
                <w:szCs w:val="21"/>
              </w:rPr>
              <w:t>3</w:t>
            </w:r>
          </w:p>
        </w:tc>
        <w:tc>
          <w:tcPr>
            <w:tcW w:w="992" w:type="dxa"/>
            <w:vMerge w:val="restart"/>
            <w:noWrap/>
            <w:tcMar>
              <w:top w:w="15" w:type="dxa"/>
              <w:left w:w="15" w:type="dxa"/>
              <w:right w:w="15" w:type="dxa"/>
            </w:tcMar>
            <w:vAlign w:val="center"/>
          </w:tcPr>
          <w:p>
            <w:pPr>
              <w:spacing w:line="320" w:lineRule="exact"/>
              <w:jc w:val="center"/>
              <w:rPr>
                <w:rFonts w:ascii="宋体" w:hAnsi="宋体" w:cs="宋体"/>
                <w:color w:val="000000"/>
                <w:szCs w:val="21"/>
              </w:rPr>
            </w:pPr>
            <w:bookmarkStart w:id="78" w:name="_Hlk100241153"/>
            <w:r>
              <w:rPr>
                <w:rFonts w:ascii="宋体" w:hAnsi="宋体" w:cs="宋体"/>
                <w:color w:val="000000"/>
                <w:szCs w:val="21"/>
              </w:rPr>
              <w:t>应用主机安全防御及安全补丁升级平台</w:t>
            </w:r>
            <w:bookmarkEnd w:id="78"/>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kern w:val="0"/>
                <w:szCs w:val="21"/>
              </w:rPr>
              <w:t>Agent管理</w:t>
            </w:r>
          </w:p>
        </w:tc>
        <w:tc>
          <w:tcPr>
            <w:tcW w:w="6042" w:type="dxa"/>
            <w:noWrap/>
            <w:tcMar>
              <w:top w:w="15" w:type="dxa"/>
              <w:left w:w="15" w:type="dxa"/>
              <w:right w:w="15" w:type="dxa"/>
            </w:tcMar>
            <w:vAlign w:val="center"/>
          </w:tcPr>
          <w:p>
            <w:pPr>
              <w:rPr>
                <w:rFonts w:ascii="宋体" w:hAnsi="宋体" w:cs="宋体"/>
                <w:kern w:val="0"/>
                <w:szCs w:val="21"/>
              </w:rPr>
            </w:pPr>
            <w:r>
              <w:rPr>
                <w:rFonts w:hint="eastAsia" w:ascii="宋体" w:hAnsi="宋体" w:cs="宋体"/>
                <w:kern w:val="0"/>
                <w:szCs w:val="21"/>
              </w:rPr>
              <w:t>1.实现并交付一键式安装和卸载。</w:t>
            </w:r>
          </w:p>
          <w:p>
            <w:r>
              <w:rPr>
                <w:rFonts w:hint="eastAsia" w:ascii="宋体" w:hAnsi="宋体" w:cs="宋体"/>
                <w:kern w:val="0"/>
                <w:szCs w:val="21"/>
              </w:rPr>
              <w:t>2.实现并交付通过后台对Agent进行统一管理，包括重启agent、版本展示等。</w:t>
            </w:r>
          </w:p>
          <w:p>
            <w:pPr>
              <w:spacing w:line="320" w:lineRule="exact"/>
              <w:rPr>
                <w:rFonts w:ascii="宋体" w:hAnsi="宋体" w:cs="宋体"/>
                <w:color w:val="000000"/>
                <w:kern w:val="0"/>
                <w:szCs w:val="21"/>
              </w:rPr>
            </w:pPr>
            <w:r>
              <w:rPr>
                <w:rFonts w:hint="eastAsia" w:ascii="宋体" w:hAnsi="宋体" w:cs="宋体"/>
                <w:kern w:val="0"/>
                <w:szCs w:val="21"/>
              </w:rPr>
              <w:t>3.实现并交付主流Windows、Linux操作系统，包括Windows Server、Oracle Linux、RedHat等。</w:t>
            </w:r>
          </w:p>
        </w:tc>
        <w:tc>
          <w:tcPr>
            <w:tcW w:w="851" w:type="dxa"/>
            <w:vMerge w:val="restart"/>
            <w:noWrap/>
            <w:tcMar>
              <w:top w:w="15" w:type="dxa"/>
              <w:left w:w="15" w:type="dxa"/>
              <w:right w:w="15" w:type="dxa"/>
            </w:tcMar>
            <w:vAlign w:val="center"/>
          </w:tcPr>
          <w:p>
            <w:pPr>
              <w:spacing w:line="320" w:lineRule="exact"/>
              <w:jc w:val="center"/>
              <w:rPr>
                <w:rFonts w:ascii="宋体" w:hAnsi="宋体" w:cs="宋体"/>
                <w:color w:val="000000"/>
                <w:szCs w:val="21"/>
              </w:rPr>
            </w:pPr>
            <w:r>
              <w:rPr>
                <w:rFonts w:hint="eastAsia" w:ascii="宋体" w:hAnsi="宋体" w:cs="宋体"/>
                <w:color w:val="000000"/>
                <w:szCs w:val="21"/>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kern w:val="0"/>
                <w:szCs w:val="21"/>
              </w:rPr>
              <w:t>系统运行基本功能</w:t>
            </w:r>
          </w:p>
        </w:tc>
        <w:tc>
          <w:tcPr>
            <w:tcW w:w="6042" w:type="dxa"/>
            <w:noWrap/>
            <w:tcMar>
              <w:top w:w="15" w:type="dxa"/>
              <w:left w:w="15" w:type="dxa"/>
              <w:right w:w="15" w:type="dxa"/>
            </w:tcMar>
            <w:vAlign w:val="center"/>
          </w:tcPr>
          <w:p>
            <w:pPr>
              <w:rPr>
                <w:rFonts w:ascii="宋体" w:hAnsi="宋体" w:cs="宋体"/>
                <w:kern w:val="0"/>
                <w:szCs w:val="21"/>
              </w:rPr>
            </w:pPr>
            <w:r>
              <w:rPr>
                <w:rFonts w:hint="eastAsia" w:ascii="宋体" w:hAnsi="宋体" w:cs="宋体"/>
                <w:kern w:val="0"/>
                <w:szCs w:val="21"/>
              </w:rPr>
              <w:t>1.实现并交付采集所有主机运行的所有进程相关信息，包括进程名、进程路径、PID、用户等。</w:t>
            </w:r>
          </w:p>
          <w:p>
            <w:pPr>
              <w:rPr>
                <w:rFonts w:ascii="宋体" w:hAnsi="宋体" w:cs="宋体"/>
                <w:kern w:val="0"/>
                <w:szCs w:val="21"/>
              </w:rPr>
            </w:pPr>
            <w:r>
              <w:rPr>
                <w:rFonts w:hint="eastAsia" w:ascii="宋体" w:hAnsi="宋体" w:cs="宋体"/>
                <w:kern w:val="0"/>
                <w:szCs w:val="21"/>
              </w:rPr>
              <w:t>2.实现并交付采集所有主机运行进程所绑定端口号、端口协议、绑定IP等。</w:t>
            </w:r>
          </w:p>
          <w:p>
            <w:pPr>
              <w:rPr>
                <w:rFonts w:ascii="宋体" w:hAnsi="宋体" w:cs="宋体"/>
                <w:kern w:val="0"/>
                <w:szCs w:val="21"/>
              </w:rPr>
            </w:pPr>
            <w:r>
              <w:rPr>
                <w:rFonts w:hint="eastAsia" w:ascii="宋体" w:hAnsi="宋体" w:cs="宋体"/>
                <w:kern w:val="0"/>
                <w:szCs w:val="21"/>
              </w:rPr>
              <w:t>3.实现并交付采集主机上的账号信息，可采集账号的用户名、是否Root权限、上次登录时间、所属用户组、密码过期时间、上次密码修改时间。</w:t>
            </w:r>
          </w:p>
          <w:p>
            <w:pPr>
              <w:rPr>
                <w:rFonts w:ascii="宋体" w:hAnsi="宋体" w:cs="宋体"/>
                <w:kern w:val="0"/>
                <w:szCs w:val="21"/>
              </w:rPr>
            </w:pPr>
            <w:r>
              <w:rPr>
                <w:rFonts w:hint="eastAsia" w:ascii="宋体" w:hAnsi="宋体" w:cs="宋体"/>
                <w:kern w:val="0"/>
                <w:szCs w:val="21"/>
              </w:rPr>
              <w:t>4.实现并交付检测系统及应用弱口令，如ssh。</w:t>
            </w:r>
          </w:p>
          <w:p>
            <w:pPr>
              <w:rPr>
                <w:rFonts w:ascii="宋体" w:hAnsi="宋体" w:cs="宋体"/>
                <w:kern w:val="0"/>
                <w:szCs w:val="21"/>
              </w:rPr>
            </w:pPr>
            <w:r>
              <w:rPr>
                <w:rFonts w:hint="eastAsia" w:ascii="宋体" w:hAnsi="宋体" w:cs="宋体"/>
                <w:kern w:val="0"/>
                <w:szCs w:val="21"/>
              </w:rPr>
              <w:t>5.实现并交付识别出系统中所缺失的安全补丁。</w:t>
            </w:r>
          </w:p>
          <w:p>
            <w:pPr>
              <w:rPr>
                <w:rFonts w:ascii="宋体" w:hAnsi="宋体" w:cs="宋体"/>
                <w:kern w:val="0"/>
                <w:szCs w:val="21"/>
              </w:rPr>
            </w:pPr>
            <w:r>
              <w:rPr>
                <w:rFonts w:hint="eastAsia" w:ascii="宋体" w:hAnsi="宋体" w:cs="宋体"/>
                <w:kern w:val="0"/>
                <w:szCs w:val="21"/>
              </w:rPr>
              <w:t>6.实现并交付暴力破解阈值设定，能够检测暴力破解行为，当发现暴力破解行为时，能够自动封禁攻击源。</w:t>
            </w:r>
          </w:p>
          <w:p>
            <w:pPr>
              <w:rPr>
                <w:rFonts w:ascii="宋体" w:hAnsi="宋体" w:cs="宋体"/>
                <w:kern w:val="0"/>
                <w:szCs w:val="21"/>
              </w:rPr>
            </w:pPr>
            <w:r>
              <w:rPr>
                <w:rFonts w:hint="eastAsia" w:ascii="宋体" w:hAnsi="宋体" w:cs="宋体"/>
                <w:kern w:val="0"/>
                <w:szCs w:val="21"/>
              </w:rPr>
              <w:t>7.实现并交付检测反弹shell行为。</w:t>
            </w:r>
          </w:p>
          <w:p>
            <w:pPr>
              <w:pStyle w:val="44"/>
              <w:spacing w:after="0" w:line="320" w:lineRule="exact"/>
              <w:ind w:left="0" w:leftChars="0" w:firstLine="0" w:firstLineChars="0"/>
              <w:rPr>
                <w:rFonts w:ascii="宋体" w:hAnsi="宋体"/>
                <w:szCs w:val="21"/>
              </w:rPr>
            </w:pPr>
            <w:r>
              <w:rPr>
                <w:rFonts w:hint="eastAsia" w:ascii="宋体" w:hAnsi="宋体" w:cs="宋体"/>
                <w:kern w:val="0"/>
                <w:szCs w:val="21"/>
              </w:rPr>
              <w:t>6.实现并交付检测本地提权行为。</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kern w:val="0"/>
                <w:szCs w:val="21"/>
              </w:rPr>
              <w:t>平台管理及审计功能</w:t>
            </w:r>
          </w:p>
        </w:tc>
        <w:tc>
          <w:tcPr>
            <w:tcW w:w="6042" w:type="dxa"/>
            <w:noWrap/>
            <w:tcMar>
              <w:top w:w="15" w:type="dxa"/>
              <w:left w:w="15" w:type="dxa"/>
              <w:right w:w="15" w:type="dxa"/>
            </w:tcMar>
            <w:vAlign w:val="center"/>
          </w:tcPr>
          <w:p>
            <w:pPr>
              <w:rPr>
                <w:rFonts w:ascii="宋体" w:hAnsi="宋体" w:cs="宋体"/>
                <w:kern w:val="0"/>
                <w:szCs w:val="21"/>
              </w:rPr>
            </w:pPr>
            <w:r>
              <w:rPr>
                <w:rFonts w:hint="eastAsia" w:ascii="宋体" w:hAnsi="宋体" w:cs="宋体"/>
                <w:kern w:val="0"/>
                <w:szCs w:val="21"/>
              </w:rPr>
              <w:t>1.能够根据实际业务，对主机进行分组管理；并实现并交付根据主机分组进行策略下发。</w:t>
            </w:r>
          </w:p>
          <w:p>
            <w:pPr>
              <w:rPr>
                <w:rFonts w:ascii="宋体" w:hAnsi="宋体" w:cs="宋体"/>
                <w:kern w:val="0"/>
                <w:szCs w:val="21"/>
              </w:rPr>
            </w:pPr>
            <w:r>
              <w:rPr>
                <w:rFonts w:hint="eastAsia" w:ascii="宋体" w:hAnsi="宋体" w:cs="宋体"/>
                <w:kern w:val="0"/>
                <w:szCs w:val="21"/>
              </w:rPr>
              <w:t>2.实现并交付基于角色的访问控制。能够自定义用户组和角色，将权限分配给不同的角色。</w:t>
            </w:r>
          </w:p>
          <w:p>
            <w:pPr>
              <w:spacing w:line="320" w:lineRule="exact"/>
              <w:rPr>
                <w:rFonts w:ascii="宋体" w:hAnsi="宋体" w:cs="宋体"/>
                <w:color w:val="000000"/>
                <w:kern w:val="0"/>
                <w:szCs w:val="21"/>
              </w:rPr>
            </w:pPr>
            <w:r>
              <w:rPr>
                <w:rFonts w:hint="eastAsia" w:ascii="宋体" w:hAnsi="宋体" w:cs="宋体"/>
                <w:kern w:val="0"/>
                <w:szCs w:val="21"/>
              </w:rPr>
              <w:t>3.能够记录平台用户的操作行为及登录行为。</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kern w:val="0"/>
                <w:szCs w:val="21"/>
              </w:rPr>
              <w:t>系统资源占用情况</w:t>
            </w:r>
          </w:p>
        </w:tc>
        <w:tc>
          <w:tcPr>
            <w:tcW w:w="6042" w:type="dxa"/>
            <w:noWrap/>
            <w:tcMar>
              <w:top w:w="15" w:type="dxa"/>
              <w:left w:w="15" w:type="dxa"/>
              <w:right w:w="15" w:type="dxa"/>
            </w:tcMar>
            <w:vAlign w:val="center"/>
          </w:tcPr>
          <w:p>
            <w:pPr>
              <w:rPr>
                <w:rFonts w:ascii="宋体" w:hAnsi="宋体" w:cs="宋体"/>
                <w:kern w:val="0"/>
                <w:szCs w:val="21"/>
              </w:rPr>
            </w:pPr>
            <w:r>
              <w:rPr>
                <w:rFonts w:hint="eastAsia" w:ascii="宋体" w:hAnsi="宋体" w:cs="宋体"/>
                <w:kern w:val="0"/>
                <w:szCs w:val="21"/>
              </w:rPr>
              <w:t>1.实现CPU平均使用率&lt;10%，内存平均占用＜100MB。</w:t>
            </w:r>
          </w:p>
          <w:p>
            <w:pPr>
              <w:spacing w:line="320" w:lineRule="exact"/>
              <w:rPr>
                <w:rFonts w:ascii="宋体" w:hAnsi="宋体" w:cs="宋体"/>
                <w:color w:val="000000"/>
                <w:kern w:val="0"/>
                <w:szCs w:val="21"/>
              </w:rPr>
            </w:pPr>
            <w:r>
              <w:rPr>
                <w:rFonts w:hint="eastAsia" w:ascii="宋体" w:hAnsi="宋体" w:cs="宋体"/>
                <w:kern w:val="0"/>
                <w:szCs w:val="21"/>
              </w:rPr>
              <w:t>2.支持对CPU、内存、磁盘读写、网络上下行流量达到配置阈值时告警,支持对CPU、内存达到一定阈值时客户端进行熔断。</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kern w:val="0"/>
                <w:szCs w:val="21"/>
              </w:rPr>
              <w:t>用户体验感</w:t>
            </w:r>
          </w:p>
        </w:tc>
        <w:tc>
          <w:tcPr>
            <w:tcW w:w="6042" w:type="dxa"/>
            <w:noWrap/>
            <w:tcMar>
              <w:top w:w="15" w:type="dxa"/>
              <w:left w:w="15" w:type="dxa"/>
              <w:right w:w="15" w:type="dxa"/>
            </w:tcMar>
            <w:vAlign w:val="center"/>
          </w:tcPr>
          <w:p>
            <w:pPr>
              <w:rPr>
                <w:rFonts w:ascii="宋体" w:hAnsi="宋体" w:cs="宋体"/>
                <w:kern w:val="0"/>
                <w:szCs w:val="21"/>
              </w:rPr>
            </w:pPr>
            <w:r>
              <w:rPr>
                <w:rFonts w:hint="eastAsia" w:ascii="宋体" w:hAnsi="宋体" w:cs="宋体"/>
                <w:kern w:val="0"/>
                <w:szCs w:val="21"/>
              </w:rPr>
              <w:t>1.实现并交付在服务端设置Agent卸载密码，防止Agent在服务器上被人为手工卸载。</w:t>
            </w:r>
          </w:p>
          <w:p>
            <w:pPr>
              <w:pStyle w:val="2"/>
              <w:ind w:firstLine="0" w:firstLineChars="0"/>
            </w:pPr>
            <w:r>
              <w:rPr>
                <w:rFonts w:hint="eastAsia" w:ascii="宋体" w:hAnsi="宋体" w:cs="宋体"/>
                <w:kern w:val="0"/>
              </w:rPr>
              <w:t>2.实现并交付通过远程在线方式，批量对Agent版本进行灰度更新；升级后无需重启服务器。</w:t>
            </w:r>
          </w:p>
          <w:p>
            <w:pPr>
              <w:spacing w:line="320" w:lineRule="exact"/>
              <w:rPr>
                <w:rFonts w:ascii="宋体" w:hAnsi="宋体" w:cs="宋体"/>
                <w:color w:val="000000"/>
                <w:kern w:val="0"/>
                <w:szCs w:val="21"/>
              </w:rPr>
            </w:pPr>
            <w:r>
              <w:rPr>
                <w:rFonts w:hint="eastAsia" w:ascii="宋体" w:hAnsi="宋体" w:cs="宋体"/>
                <w:kern w:val="0"/>
                <w:szCs w:val="21"/>
              </w:rPr>
              <w:t>3.实现并交付管理平台支持一键设置客户端卸载密码、一键卸载监控端、一键解除绑定、一键停止/恢复所有防护、一键关闭/重启主机、一键重</w:t>
            </w:r>
            <w:r>
              <w:rPr>
                <w:rFonts w:hint="eastAsia"/>
              </w:rPr>
              <w:t>启客户端、一键迁移资产、一键获取端上日志。</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kern w:val="0"/>
                <w:szCs w:val="21"/>
              </w:rPr>
              <w:t>数据采集功能</w:t>
            </w:r>
          </w:p>
        </w:tc>
        <w:tc>
          <w:tcPr>
            <w:tcW w:w="6042" w:type="dxa"/>
            <w:noWrap/>
            <w:tcMar>
              <w:top w:w="15" w:type="dxa"/>
              <w:left w:w="15" w:type="dxa"/>
              <w:right w:w="15" w:type="dxa"/>
            </w:tcMar>
            <w:vAlign w:val="center"/>
          </w:tcPr>
          <w:p>
            <w:pPr>
              <w:rPr>
                <w:rFonts w:ascii="宋体" w:hAnsi="宋体" w:cs="宋体"/>
                <w:kern w:val="0"/>
                <w:szCs w:val="21"/>
              </w:rPr>
            </w:pPr>
            <w:r>
              <w:rPr>
                <w:rFonts w:hint="eastAsia" w:ascii="宋体" w:hAnsi="宋体" w:cs="宋体"/>
                <w:kern w:val="0"/>
                <w:szCs w:val="21"/>
              </w:rPr>
              <w:t>1.实现并交付在服务端一个页面对所有资产进行一键搜索，快速筛选出与关键字匹配的相关资产。</w:t>
            </w:r>
          </w:p>
          <w:p>
            <w:pPr>
              <w:rPr>
                <w:rFonts w:ascii="宋体" w:hAnsi="宋体" w:cs="宋体"/>
                <w:kern w:val="0"/>
                <w:szCs w:val="21"/>
              </w:rPr>
            </w:pPr>
            <w:r>
              <w:rPr>
                <w:rFonts w:hint="eastAsia" w:ascii="宋体" w:hAnsi="宋体" w:cs="宋体"/>
                <w:kern w:val="0"/>
                <w:szCs w:val="21"/>
              </w:rPr>
              <w:t>2.实现并交付采集主机上已安装的软件信息，可采集软件名、版本、路径信息等信息。</w:t>
            </w:r>
          </w:p>
          <w:p>
            <w:pPr>
              <w:spacing w:line="320" w:lineRule="exact"/>
              <w:rPr>
                <w:rFonts w:ascii="宋体" w:hAnsi="宋体" w:cs="宋体"/>
                <w:color w:val="000000"/>
                <w:kern w:val="0"/>
                <w:szCs w:val="21"/>
              </w:rPr>
            </w:pPr>
            <w:r>
              <w:rPr>
                <w:rFonts w:hint="eastAsia" w:ascii="宋体" w:hAnsi="宋体" w:cs="宋体"/>
                <w:kern w:val="0"/>
                <w:szCs w:val="21"/>
              </w:rPr>
              <w:t>3.能够以流量线以及可视化方式显示所有访问Agent所在主机的互访关系，并形成访问关系拓扑图，拓扑图需显示主机信息、访问流量线、以及主机分组相关信息。</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kern w:val="0"/>
                <w:szCs w:val="21"/>
              </w:rPr>
              <w:t>风险监测</w:t>
            </w:r>
          </w:p>
        </w:tc>
        <w:tc>
          <w:tcPr>
            <w:tcW w:w="6042" w:type="dxa"/>
            <w:noWrap/>
            <w:tcMar>
              <w:top w:w="15" w:type="dxa"/>
              <w:left w:w="15" w:type="dxa"/>
              <w:right w:w="15" w:type="dxa"/>
            </w:tcMar>
            <w:vAlign w:val="center"/>
          </w:tcPr>
          <w:p>
            <w:r>
              <w:rPr>
                <w:rFonts w:hint="eastAsia"/>
              </w:rPr>
              <w:t>1.能够识别出主机上未安装的补丁，以及补丁的风险描述、修复建议、基本信息、CVE或KB信息，修复漏洞是否需要重启等。实现并交付对漏洞进行修复。</w:t>
            </w:r>
          </w:p>
          <w:p>
            <w:r>
              <w:rPr>
                <w:rFonts w:hint="eastAsia"/>
              </w:rPr>
              <w:t>2.能够检查出暴力破解行为。当发现暴力破解行为时，能够实现并交付封禁和解封对应的ip。</w:t>
            </w:r>
          </w:p>
          <w:p>
            <w:r>
              <w:rPr>
                <w:rFonts w:hint="eastAsia"/>
              </w:rPr>
              <w:t>3.能够检查出主机系统账号所存在的弱口令。</w:t>
            </w:r>
          </w:p>
          <w:p>
            <w:r>
              <w:rPr>
                <w:rFonts w:hint="eastAsia"/>
              </w:rPr>
              <w:t>4.实现并交付主机系统漏洞的匹配。</w:t>
            </w:r>
          </w:p>
          <w:p>
            <w:pPr>
              <w:spacing w:line="320" w:lineRule="exact"/>
              <w:rPr>
                <w:rFonts w:ascii="宋体" w:hAnsi="宋体" w:cs="宋体"/>
                <w:color w:val="000000"/>
                <w:kern w:val="0"/>
                <w:szCs w:val="21"/>
              </w:rPr>
            </w:pPr>
            <w:r>
              <w:rPr>
                <w:rFonts w:hint="eastAsia"/>
              </w:rPr>
              <w:t>5.实现并交付内存马查杀且具备多种检测机制。</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kern w:val="0"/>
                <w:szCs w:val="21"/>
              </w:rPr>
            </w:pPr>
            <w:r>
              <w:rPr>
                <w:rFonts w:ascii="宋体" w:hAnsi="宋体" w:cs="宋体"/>
                <w:kern w:val="0"/>
                <w:szCs w:val="21"/>
              </w:rPr>
              <w:t>安全防护</w:t>
            </w:r>
          </w:p>
        </w:tc>
        <w:tc>
          <w:tcPr>
            <w:tcW w:w="6042" w:type="dxa"/>
            <w:noWrap/>
            <w:tcMar>
              <w:top w:w="15" w:type="dxa"/>
              <w:left w:w="15" w:type="dxa"/>
              <w:right w:w="15" w:type="dxa"/>
            </w:tcMar>
            <w:vAlign w:val="center"/>
          </w:tcPr>
          <w:p>
            <w:pPr>
              <w:rPr>
                <w:rFonts w:ascii="宋体" w:hAnsi="宋体" w:cs="宋体"/>
                <w:kern w:val="0"/>
                <w:szCs w:val="21"/>
              </w:rPr>
            </w:pPr>
            <w:r>
              <w:rPr>
                <w:rFonts w:hint="eastAsia" w:ascii="宋体" w:hAnsi="宋体" w:cs="宋体"/>
                <w:kern w:val="0"/>
                <w:szCs w:val="21"/>
              </w:rPr>
              <w:t>1.实现并交付</w:t>
            </w:r>
            <w:r>
              <w:rPr>
                <w:rFonts w:hint="eastAsia"/>
              </w:rPr>
              <w:t>内核级防火墙（业务间流量东西向隔离）功能，包括IP、端口、协议、流向等细粒度权限控制</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2.实现并交付对文件和目录的监控和防护；同时实现并交付自定义目录禁止对指定位置文件的操作，包括文件创建、执行、删除、读取等行为。</w:t>
            </w:r>
          </w:p>
          <w:p>
            <w:pPr>
              <w:rPr>
                <w:rFonts w:ascii="宋体" w:hAnsi="宋体" w:cs="宋体"/>
                <w:kern w:val="0"/>
                <w:szCs w:val="21"/>
              </w:rPr>
            </w:pPr>
            <w:r>
              <w:rPr>
                <w:rFonts w:hint="eastAsia" w:ascii="宋体" w:hAnsi="宋体" w:cs="宋体"/>
                <w:kern w:val="0"/>
                <w:szCs w:val="21"/>
              </w:rPr>
              <w:t>3.实现并交付</w:t>
            </w:r>
            <w:r>
              <w:t>针对已知/未知勒索病毒</w:t>
            </w:r>
            <w:r>
              <w:rPr>
                <w:rFonts w:hint="eastAsia"/>
              </w:rPr>
              <w:t>、挖矿</w:t>
            </w:r>
            <w:r>
              <w:t>的防御引擎，并提供功能开关项</w:t>
            </w:r>
            <w:r>
              <w:rPr>
                <w:rFonts w:hint="eastAsia"/>
              </w:rPr>
              <w:t>，确保</w:t>
            </w:r>
            <w:r>
              <w:t>对于已知勒索病毒确保进程无法启动，对于未知勒索病毒确保无法加密</w:t>
            </w:r>
            <w:r>
              <w:rPr>
                <w:rFonts w:hint="eastAsia"/>
              </w:rPr>
              <w:t>，</w:t>
            </w:r>
            <w:r>
              <w:t>同时支持</w:t>
            </w:r>
            <w:r>
              <w:rPr>
                <w:rFonts w:hint="eastAsia"/>
              </w:rPr>
              <w:t>进程</w:t>
            </w:r>
            <w:r>
              <w:t>白名单设置。（提供功能截图并加盖原厂公章）</w:t>
            </w:r>
          </w:p>
          <w:p>
            <w:pPr>
              <w:rPr>
                <w:rFonts w:ascii="宋体" w:hAnsi="宋体" w:cs="宋体"/>
                <w:kern w:val="0"/>
                <w:szCs w:val="21"/>
              </w:rPr>
            </w:pPr>
            <w:r>
              <w:rPr>
                <w:rFonts w:hint="eastAsia" w:ascii="宋体" w:hAnsi="宋体" w:cs="宋体"/>
                <w:kern w:val="0"/>
                <w:szCs w:val="21"/>
              </w:rPr>
              <w:t>4.实现并交付同一时间段对主机多个端口尝试连接的扫描探测行为进行告警。</w:t>
            </w:r>
          </w:p>
          <w:p>
            <w:pPr>
              <w:rPr>
                <w:rFonts w:ascii="宋体" w:hAnsi="宋体" w:cs="宋体"/>
                <w:kern w:val="0"/>
                <w:szCs w:val="21"/>
              </w:rPr>
            </w:pPr>
            <w:r>
              <w:rPr>
                <w:rFonts w:hint="eastAsia" w:ascii="宋体" w:hAnsi="宋体" w:cs="宋体"/>
                <w:kern w:val="0"/>
                <w:szCs w:val="21"/>
              </w:rPr>
              <w:t>5.实现并交付创建策略集（策略组），并实现并交付对主机分组内部及分组间的访问控制策略规则配置。</w:t>
            </w:r>
          </w:p>
          <w:p>
            <w:pPr>
              <w:rPr>
                <w:rFonts w:ascii="宋体" w:hAnsi="宋体" w:cs="宋体"/>
                <w:kern w:val="0"/>
                <w:szCs w:val="21"/>
              </w:rPr>
            </w:pPr>
            <w:r>
              <w:rPr>
                <w:rFonts w:hint="eastAsia" w:ascii="宋体" w:hAnsi="宋体" w:cs="宋体"/>
                <w:kern w:val="0"/>
                <w:szCs w:val="21"/>
              </w:rPr>
              <w:t>实现并交付规则库同步自动更新，检测引擎实现并交付常规的变更升级更新。</w:t>
            </w:r>
          </w:p>
          <w:p>
            <w:pPr>
              <w:rPr>
                <w:rFonts w:ascii="宋体" w:hAnsi="宋体" w:cs="宋体"/>
                <w:kern w:val="0"/>
                <w:szCs w:val="21"/>
              </w:rPr>
            </w:pPr>
            <w:r>
              <w:rPr>
                <w:rFonts w:hint="eastAsia" w:ascii="宋体" w:hAnsi="宋体" w:cs="宋体"/>
                <w:kern w:val="0"/>
                <w:szCs w:val="21"/>
              </w:rPr>
              <w:t>6.实现并交付填写自定义情报信息查询，检测本地是否存在情报触发信息，要求提供IP、DOMAIN、HASH 信息。</w:t>
            </w:r>
          </w:p>
          <w:p>
            <w:r>
              <w:rPr>
                <w:rFonts w:hint="eastAsia" w:ascii="宋体" w:hAnsi="宋体" w:cs="宋体"/>
                <w:kern w:val="0"/>
                <w:szCs w:val="21"/>
              </w:rPr>
              <w:t>7.实现并交付</w:t>
            </w:r>
            <w:r>
              <w:rPr>
                <w:rFonts w:hint="eastAsia"/>
              </w:rPr>
              <w:t>识别渗透过程中的隧道代理（端口映射、端口转发、内网代理），可阻断隧道代理搭建行为。</w:t>
            </w:r>
          </w:p>
          <w:p>
            <w:pPr>
              <w:pStyle w:val="2"/>
              <w:ind w:firstLine="0" w:firstLineChars="0"/>
            </w:pPr>
            <w:r>
              <w:rPr>
                <w:rFonts w:hint="eastAsia" w:ascii="宋体" w:hAnsi="宋体" w:cs="宋体"/>
                <w:kern w:val="0"/>
              </w:rPr>
              <w:t>8.实现并交付</w:t>
            </w:r>
            <w:r>
              <w:rPr>
                <w:rFonts w:hint="eastAsia"/>
              </w:rPr>
              <w:t>对失陷后主机远控持久化行为进行检测（反弹shell、远程控制），可阻断远控。</w:t>
            </w:r>
          </w:p>
          <w:p>
            <w:pPr>
              <w:pStyle w:val="2"/>
              <w:ind w:firstLine="0" w:firstLineChars="0"/>
            </w:pPr>
            <w:r>
              <w:rPr>
                <w:rFonts w:hint="eastAsia" w:ascii="宋体" w:hAnsi="宋体" w:cs="宋体"/>
                <w:kern w:val="0"/>
              </w:rPr>
              <w:t>9.实现并交付</w:t>
            </w:r>
            <w:r>
              <w:rPr>
                <w:rFonts w:hint="eastAsia"/>
              </w:rPr>
              <w:t>对内网的恶意攻击行为进行识别（漏洞利用、横向移动），可阻断恶意探测行为。</w:t>
            </w:r>
          </w:p>
          <w:p>
            <w:pPr>
              <w:spacing w:line="320" w:lineRule="exact"/>
              <w:rPr>
                <w:rFonts w:ascii="宋体" w:hAnsi="宋体" w:cs="宋体"/>
                <w:kern w:val="0"/>
                <w:szCs w:val="21"/>
              </w:rPr>
            </w:pPr>
            <w:r>
              <w:rPr>
                <w:rFonts w:hint="eastAsia" w:ascii="宋体" w:hAnsi="宋体" w:cs="宋体"/>
                <w:kern w:val="0"/>
                <w:szCs w:val="21"/>
              </w:rPr>
              <w:t>10.实现并交付国产化操作系统，如中标麒麟、银河麒麟、中科红旗等操作系统。</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szCs w:val="21"/>
              </w:rPr>
              <w:t>★</w:t>
            </w:r>
            <w:r>
              <w:rPr>
                <w:rFonts w:ascii="宋体" w:hAnsi="宋体" w:cs="宋体"/>
                <w:color w:val="000000"/>
                <w:kern w:val="0"/>
                <w:szCs w:val="21"/>
              </w:rPr>
              <w:t>平台搭建服务</w:t>
            </w:r>
          </w:p>
        </w:tc>
        <w:tc>
          <w:tcPr>
            <w:tcW w:w="6042" w:type="dxa"/>
            <w:noWrap/>
            <w:tcMar>
              <w:top w:w="15" w:type="dxa"/>
              <w:left w:w="15" w:type="dxa"/>
              <w:right w:w="15" w:type="dxa"/>
            </w:tcMar>
            <w:vAlign w:val="center"/>
          </w:tcPr>
          <w:p>
            <w:pPr>
              <w:rPr>
                <w:rFonts w:ascii="宋体" w:hAnsi="宋体" w:cs="宋体"/>
                <w:kern w:val="0"/>
                <w:szCs w:val="21"/>
              </w:rPr>
            </w:pPr>
            <w:r>
              <w:rPr>
                <w:rFonts w:hint="eastAsia" w:ascii="宋体" w:hAnsi="宋体" w:cs="宋体"/>
                <w:kern w:val="0"/>
                <w:szCs w:val="21"/>
              </w:rPr>
              <w:t>1.支持</w:t>
            </w:r>
            <w:r>
              <w:rPr>
                <w:rFonts w:hint="eastAsia" w:ascii="宋体" w:hAnsi="宋体" w:cs="宋体"/>
                <w:color w:val="000000"/>
                <w:kern w:val="0"/>
                <w:szCs w:val="21"/>
              </w:rPr>
              <w:t>多级部署补丁服务器，上下级系统应当具备通信功能，达到全网漏洞监管能力，实现添加一个本级系统，多个下级系统。</w:t>
            </w:r>
          </w:p>
          <w:p>
            <w:pPr>
              <w:rPr>
                <w:rFonts w:ascii="宋体" w:hAnsi="宋体" w:cs="宋体"/>
                <w:kern w:val="0"/>
                <w:szCs w:val="21"/>
              </w:rPr>
            </w:pPr>
            <w:r>
              <w:rPr>
                <w:rFonts w:hint="eastAsia" w:ascii="宋体" w:hAnsi="宋体" w:cs="宋体"/>
                <w:kern w:val="0"/>
                <w:szCs w:val="21"/>
              </w:rPr>
              <w:t>2.应当包括但不限于以下资产：</w:t>
            </w:r>
          </w:p>
          <w:p>
            <w:pPr>
              <w:rPr>
                <w:rFonts w:ascii="宋体" w:hAnsi="宋体" w:cs="宋体"/>
                <w:kern w:val="0"/>
                <w:szCs w:val="21"/>
              </w:rPr>
            </w:pPr>
            <w:r>
              <w:rPr>
                <w:rFonts w:hint="eastAsia" w:ascii="宋体" w:hAnsi="宋体" w:cs="宋体"/>
                <w:kern w:val="0"/>
                <w:szCs w:val="21"/>
              </w:rPr>
              <w:t>1）支持Windows及Linux操作系统补丁；</w:t>
            </w:r>
          </w:p>
          <w:p>
            <w:pPr>
              <w:rPr>
                <w:rFonts w:ascii="宋体" w:hAnsi="宋体" w:cs="宋体"/>
                <w:kern w:val="0"/>
                <w:szCs w:val="21"/>
              </w:rPr>
            </w:pPr>
            <w:r>
              <w:rPr>
                <w:rFonts w:hint="eastAsia" w:ascii="宋体" w:hAnsi="宋体" w:cs="宋体"/>
                <w:kern w:val="0"/>
                <w:szCs w:val="21"/>
              </w:rPr>
              <w:t>2）支持oracle、Mssql、Redis、PostgresSQL、Mongodb、达梦、elasticsearch等数据库补丁；</w:t>
            </w:r>
          </w:p>
          <w:p>
            <w:pPr>
              <w:spacing w:line="320" w:lineRule="exact"/>
              <w:rPr>
                <w:rFonts w:ascii="宋体" w:hAnsi="宋体" w:cs="宋体"/>
                <w:color w:val="000000"/>
                <w:kern w:val="0"/>
                <w:szCs w:val="21"/>
              </w:rPr>
            </w:pPr>
            <w:r>
              <w:rPr>
                <w:rFonts w:hint="eastAsia" w:ascii="宋体" w:hAnsi="宋体" w:cs="宋体"/>
                <w:kern w:val="0"/>
                <w:szCs w:val="21"/>
              </w:rPr>
              <w:t>3）支持weblogic、tomcat、jboos 等Web容器补丁。</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系统安全性模块</w:t>
            </w:r>
          </w:p>
        </w:tc>
        <w:tc>
          <w:tcPr>
            <w:tcW w:w="6042" w:type="dxa"/>
            <w:noWrap/>
            <w:tcMar>
              <w:top w:w="15" w:type="dxa"/>
              <w:left w:w="15" w:type="dxa"/>
              <w:right w:w="15" w:type="dxa"/>
            </w:tcMar>
            <w:vAlign w:val="center"/>
          </w:tcPr>
          <w:p>
            <w:pPr>
              <w:pStyle w:val="2"/>
              <w:ind w:firstLine="0" w:firstLineChars="0"/>
            </w:pPr>
            <w:r>
              <w:rPr>
                <w:rFonts w:hint="eastAsia"/>
              </w:rPr>
              <w:t>1.实现并交付支持网络分域访问，在服务端设置不同网络访问域，资产在同一时间只能访问任意一个网络域，支持资产自主切换不同网络访问域。</w:t>
            </w:r>
          </w:p>
          <w:p>
            <w:r>
              <w:rPr>
                <w:rFonts w:hint="eastAsia"/>
              </w:rPr>
              <w:t>2.实现并交付支持登录防护，包括以系统账号为粒度的异常登录防护、支持4个任意维度（任意IP，任意域名，任意计算机名，任意时间）的系统登录访问策略设置。（提供功能截图并加盖投标人公章）</w:t>
            </w:r>
          </w:p>
          <w:p>
            <w:pPr>
              <w:spacing w:line="320" w:lineRule="exact"/>
              <w:rPr>
                <w:rFonts w:ascii="宋体" w:hAnsi="宋体" w:cs="宋体"/>
                <w:kern w:val="0"/>
                <w:szCs w:val="21"/>
              </w:rPr>
            </w:pPr>
            <w:r>
              <w:rPr>
                <w:rFonts w:hint="eastAsia" w:cs="Segoe UI Symbol"/>
              </w:rPr>
              <w:t>3.</w:t>
            </w:r>
            <w:r>
              <w:rPr>
                <w:rFonts w:hint="eastAsia"/>
              </w:rPr>
              <w:t>实现并交付</w:t>
            </w:r>
            <w:r>
              <w:rPr>
                <w:rFonts w:hint="eastAsia" w:cs="Segoe UI Symbol"/>
              </w:rPr>
              <w:t>支持基于IP及域名设置探测地址，实时感知违规外联行为，针对违规外联行为支持多种处置方式，包括不做处理、弹窗提醒用户，并关机、弹窗提醒用户并断网。</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云端威胁鉴定</w:t>
            </w:r>
          </w:p>
        </w:tc>
        <w:tc>
          <w:tcPr>
            <w:tcW w:w="6042" w:type="dxa"/>
            <w:noWrap/>
            <w:tcMar>
              <w:top w:w="15" w:type="dxa"/>
              <w:left w:w="15" w:type="dxa"/>
              <w:right w:w="15" w:type="dxa"/>
            </w:tcMar>
            <w:vAlign w:val="center"/>
          </w:tcPr>
          <w:p>
            <w:pPr>
              <w:numPr>
                <w:ilvl w:val="0"/>
                <w:numId w:val="3"/>
              </w:numPr>
              <w:rPr>
                <w:rFonts w:ascii="宋体" w:hAnsi="宋体" w:cs="宋体"/>
                <w:kern w:val="0"/>
                <w:szCs w:val="21"/>
              </w:rPr>
            </w:pPr>
            <w:r>
              <w:rPr>
                <w:rFonts w:hint="eastAsia" w:ascii="宋体" w:hAnsi="宋体" w:cs="宋体"/>
                <w:kern w:val="0"/>
                <w:szCs w:val="21"/>
              </w:rPr>
              <w:t>支持对文件HASH、IP、域名、邮箱等IOC指标进行动静态鉴定，通过和云端威胁情报进行碰撞，实时返回威胁结果。（提供功能截图并加盖投标人公章）</w:t>
            </w:r>
          </w:p>
          <w:p>
            <w:pPr>
              <w:spacing w:line="320" w:lineRule="exact"/>
              <w:rPr>
                <w:rFonts w:ascii="宋体" w:hAnsi="宋体" w:cs="宋体"/>
                <w:kern w:val="0"/>
                <w:szCs w:val="21"/>
              </w:rPr>
            </w:pPr>
            <w:r>
              <w:rPr>
                <w:rFonts w:hint="eastAsia" w:ascii="宋体" w:hAnsi="宋体" w:cs="宋体"/>
                <w:kern w:val="0"/>
                <w:szCs w:val="21"/>
              </w:rPr>
              <w:t>2、联动威胁情报，支持对外联IP、DNS解析、可疑文件进行实时情报鉴定，实现风险一站式实时监测。</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992"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color w:val="000000"/>
                <w:kern w:val="0"/>
                <w:szCs w:val="21"/>
              </w:rPr>
              <w:t>补丁管理服务</w:t>
            </w:r>
          </w:p>
        </w:tc>
        <w:tc>
          <w:tcPr>
            <w:tcW w:w="6042" w:type="dxa"/>
            <w:noWrap/>
            <w:tcMar>
              <w:top w:w="15" w:type="dxa"/>
              <w:left w:w="15" w:type="dxa"/>
              <w:right w:w="15" w:type="dxa"/>
            </w:tcMar>
            <w:vAlign w:val="center"/>
          </w:tcPr>
          <w:p>
            <w:r>
              <w:rPr>
                <w:rFonts w:hint="eastAsia"/>
              </w:rPr>
              <w:t>1.应当具备对补丁信息的展示能力，包括但不限于主机IP、操作系统、补丁名称、风险等级、修复建议、发现时间、来源、发布时间、详细描述等信息。</w:t>
            </w:r>
          </w:p>
          <w:p>
            <w:pPr>
              <w:rPr>
                <w:rFonts w:ascii="宋体" w:hAnsi="宋体" w:cs="黑体"/>
                <w:szCs w:val="21"/>
              </w:rPr>
            </w:pPr>
            <w:r>
              <w:rPr>
                <w:rFonts w:hint="eastAsia"/>
              </w:rPr>
              <w:t>2.具有系统补丁扫描及修复功能，提供真实漏洞补丁：</w:t>
            </w:r>
          </w:p>
          <w:p>
            <w:pPr>
              <w:rPr>
                <w:rFonts w:ascii="宋体" w:hAnsi="宋体" w:cs="黑体"/>
                <w:szCs w:val="21"/>
              </w:rPr>
            </w:pPr>
            <w:r>
              <w:rPr>
                <w:rFonts w:hint="eastAsia" w:ascii="宋体" w:hAnsi="宋体" w:cs="宋体"/>
                <w:kern w:val="0"/>
                <w:szCs w:val="21"/>
              </w:rPr>
              <w:t>1）</w:t>
            </w:r>
            <w:r>
              <w:rPr>
                <w:rFonts w:hint="eastAsia"/>
              </w:rPr>
              <w:t>管理中心可作为补丁服务器，支持管理中心可上网和不可上网两种情况，并提供离线补丁下载器，按需智能获取内网所需补丁</w:t>
            </w:r>
            <w:r>
              <w:rPr>
                <w:rFonts w:hint="eastAsia" w:ascii="宋体" w:hAnsi="宋体" w:cs="黑体"/>
                <w:szCs w:val="21"/>
              </w:rPr>
              <w:t>；</w:t>
            </w:r>
          </w:p>
          <w:p>
            <w:pPr>
              <w:pStyle w:val="2"/>
              <w:ind w:firstLine="0" w:firstLineChars="0"/>
              <w:rPr>
                <w:rFonts w:ascii="宋体" w:hAnsi="宋体" w:cs="黑体"/>
              </w:rPr>
            </w:pPr>
            <w:r>
              <w:rPr>
                <w:rFonts w:hint="eastAsia" w:ascii="宋体" w:hAnsi="宋体" w:cs="宋体"/>
                <w:kern w:val="0"/>
              </w:rPr>
              <w:t>2）</w:t>
            </w:r>
            <w:r>
              <w:rPr>
                <w:rFonts w:hint="eastAsia" w:ascii="宋体" w:hAnsi="宋体" w:cs="黑体"/>
              </w:rPr>
              <w:t>支持病毒库、补丁库的离线升级及在线升级；支持管理平台、终端软件安装包、终端软件更新包、系统漏洞库、弱口令库的离线升级。</w:t>
            </w:r>
          </w:p>
          <w:p>
            <w:pPr>
              <w:spacing w:line="320" w:lineRule="exact"/>
              <w:rPr>
                <w:rFonts w:ascii="宋体" w:hAnsi="宋体" w:cs="宋体"/>
                <w:color w:val="000000"/>
                <w:kern w:val="0"/>
                <w:szCs w:val="21"/>
              </w:rPr>
            </w:pPr>
            <w:r>
              <w:rPr>
                <w:rFonts w:hint="eastAsia" w:ascii="宋体" w:hAnsi="宋体" w:cs="宋体"/>
                <w:kern w:val="0"/>
                <w:szCs w:val="21"/>
              </w:rPr>
              <w:t>3）支持</w:t>
            </w:r>
            <w:r>
              <w:rPr>
                <w:rFonts w:hint="eastAsia"/>
              </w:rPr>
              <w:t>在补丁依赖关系上支持重启验证机制，以保证补丁安装的稳定性。</w:t>
            </w:r>
          </w:p>
        </w:tc>
        <w:tc>
          <w:tcPr>
            <w:tcW w:w="851" w:type="dxa"/>
            <w:vMerge w:val="continue"/>
            <w:noWrap/>
            <w:tcMar>
              <w:top w:w="15" w:type="dxa"/>
              <w:left w:w="15" w:type="dxa"/>
              <w:right w:w="15" w:type="dxa"/>
            </w:tcMar>
            <w:vAlign w:val="center"/>
          </w:tcPr>
          <w:p>
            <w:pPr>
              <w:spacing w:line="32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restart"/>
            <w:noWrap/>
            <w:tcMar>
              <w:top w:w="15" w:type="dxa"/>
              <w:left w:w="15" w:type="dxa"/>
              <w:right w:w="15" w:type="dxa"/>
            </w:tcMar>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4</w:t>
            </w:r>
          </w:p>
        </w:tc>
        <w:tc>
          <w:tcPr>
            <w:tcW w:w="992" w:type="dxa"/>
            <w:vMerge w:val="restart"/>
            <w:noWrap/>
            <w:tcMar>
              <w:top w:w="15" w:type="dxa"/>
              <w:left w:w="15" w:type="dxa"/>
              <w:right w:w="15" w:type="dxa"/>
            </w:tcMar>
            <w:vAlign w:val="center"/>
          </w:tcPr>
          <w:p>
            <w:pPr>
              <w:widowControl/>
              <w:spacing w:line="320" w:lineRule="exact"/>
              <w:jc w:val="center"/>
              <w:textAlignment w:val="center"/>
              <w:rPr>
                <w:rFonts w:ascii="宋体" w:hAnsi="宋体" w:cs="宋体"/>
                <w:szCs w:val="21"/>
              </w:rPr>
            </w:pPr>
            <w:bookmarkStart w:id="79" w:name="_Hlk100241163"/>
            <w:r>
              <w:rPr>
                <w:rFonts w:hint="eastAsia" w:ascii="宋体" w:hAnsi="宋体" w:cs="宋体"/>
                <w:kern w:val="0"/>
                <w:szCs w:val="21"/>
              </w:rPr>
              <w:t>数据库审计防火墙</w:t>
            </w:r>
            <w:bookmarkEnd w:id="79"/>
          </w:p>
        </w:tc>
        <w:tc>
          <w:tcPr>
            <w:tcW w:w="1134" w:type="dxa"/>
            <w:noWrap/>
            <w:tcMar>
              <w:top w:w="15" w:type="dxa"/>
              <w:left w:w="15" w:type="dxa"/>
              <w:right w:w="15" w:type="dxa"/>
            </w:tcMar>
            <w:vAlign w:val="center"/>
          </w:tcPr>
          <w:p>
            <w:pPr>
              <w:spacing w:line="320" w:lineRule="exact"/>
              <w:jc w:val="center"/>
              <w:rPr>
                <w:rFonts w:ascii="宋体" w:hAnsi="宋体" w:cs="宋体"/>
                <w:bCs/>
                <w:kern w:val="0"/>
                <w:szCs w:val="21"/>
              </w:rPr>
            </w:pPr>
            <w:r>
              <w:rPr>
                <w:rFonts w:hint="eastAsia" w:ascii="宋体" w:hAnsi="宋体"/>
                <w:bCs/>
                <w:szCs w:val="21"/>
                <w:lang w:eastAsia="zh-TW"/>
              </w:rPr>
              <w:t>安全策略设置</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能够自动记录和分析SQL语句并快速制定安全策略，包括：将SQL语句归纳为不同的集群；能够一键定义所有SQL的相应威胁程度，包括非常低、低、中、高、非常高；能够一键定义所有SQL的相应响应方法，包括通过、告警、拦截；能够一键定义所有SQL的相应纪录方法，包括不纪录、只记录一次、采样记录、全记录。</w:t>
            </w:r>
          </w:p>
          <w:p>
            <w:pPr>
              <w:spacing w:line="320" w:lineRule="exact"/>
              <w:rPr>
                <w:rFonts w:ascii="宋体" w:hAnsi="宋体"/>
                <w:szCs w:val="21"/>
              </w:rPr>
            </w:pPr>
            <w:r>
              <w:rPr>
                <w:rFonts w:hint="eastAsia" w:ascii="宋体" w:hAnsi="宋体"/>
                <w:szCs w:val="21"/>
              </w:rPr>
              <w:t>2.能够灵活设定不同的安全策略支持不同的安全需求，包括：</w:t>
            </w:r>
          </w:p>
          <w:p>
            <w:pPr>
              <w:spacing w:line="320" w:lineRule="exact"/>
              <w:rPr>
                <w:rFonts w:ascii="宋体" w:hAnsi="宋体"/>
                <w:szCs w:val="21"/>
              </w:rPr>
            </w:pPr>
            <w:r>
              <w:rPr>
                <w:rFonts w:hint="eastAsia" w:ascii="宋体" w:hAnsi="宋体"/>
                <w:szCs w:val="21"/>
              </w:rPr>
              <w:t>能够对每一条SQL语句定义基本的安全策略，包括威胁程度、响应方法、记录方法、和SQL替代方法；能够根据属性，如SQL语句的种类（包括DML、DCL、DDL等等），和表名来定义特别的安全策略，包括威胁程度、响应方法、记录方法、和SQL替代方法；能够在基本的安全策略和特别的安全策略外，定义默认的安全策略，包括威胁程度、响应方法、纪录方法、和SQL替代方法；能够根据不同属性，包括IP地址集、数据库用户集、操作系统用户集、客户端程序集、和时间段，定义例外的安全策略，包括威胁程度、响应方法、记录方法，并能够容许管理员用例外的安全策略来覆盖基本的安全策略、特别的安全策略、和默认的安全策略。</w:t>
            </w:r>
          </w:p>
          <w:p>
            <w:pPr>
              <w:spacing w:line="320" w:lineRule="exact"/>
              <w:rPr>
                <w:rFonts w:ascii="宋体" w:hAnsi="宋体"/>
                <w:bCs/>
                <w:szCs w:val="21"/>
              </w:rPr>
            </w:pPr>
            <w:r>
              <w:rPr>
                <w:rFonts w:hint="eastAsia" w:ascii="宋体" w:hAnsi="宋体"/>
                <w:bCs/>
                <w:szCs w:val="21"/>
              </w:rPr>
              <w:t>3.容许管理员针对每条SQL语句，设定不同的威胁等级，包括</w:t>
            </w:r>
            <w:r>
              <w:rPr>
                <w:rFonts w:hint="eastAsia" w:ascii="宋体" w:hAnsi="宋体"/>
                <w:szCs w:val="21"/>
              </w:rPr>
              <w:t>非常低、低、中、高、非常高。</w:t>
            </w:r>
          </w:p>
          <w:p>
            <w:pPr>
              <w:spacing w:line="320" w:lineRule="exact"/>
              <w:rPr>
                <w:rFonts w:ascii="宋体" w:hAnsi="宋体"/>
                <w:bCs/>
                <w:szCs w:val="21"/>
              </w:rPr>
            </w:pPr>
            <w:r>
              <w:rPr>
                <w:rFonts w:hint="eastAsia" w:ascii="宋体" w:hAnsi="宋体"/>
                <w:bCs/>
                <w:szCs w:val="21"/>
              </w:rPr>
              <w:t>4.容许管理员针对每条SQL语句，选择不同的响应方法，包括通过、告警、拦截。</w:t>
            </w:r>
          </w:p>
          <w:p>
            <w:pPr>
              <w:spacing w:line="320" w:lineRule="exact"/>
              <w:rPr>
                <w:rFonts w:ascii="宋体" w:hAnsi="宋体"/>
                <w:bCs/>
                <w:szCs w:val="21"/>
              </w:rPr>
            </w:pPr>
            <w:r>
              <w:rPr>
                <w:rFonts w:hint="eastAsia" w:ascii="宋体" w:hAnsi="宋体"/>
                <w:bCs/>
                <w:szCs w:val="21"/>
              </w:rPr>
              <w:t>5.容许管理员针对每条SQL语句，选择不同的记录方法，包括不记录、只记录一次、采样记录、全记录，以控制记录的大小。</w:t>
            </w:r>
          </w:p>
          <w:p>
            <w:pPr>
              <w:spacing w:line="320" w:lineRule="exact"/>
              <w:rPr>
                <w:rFonts w:ascii="宋体" w:hAnsi="宋体"/>
                <w:bCs/>
                <w:szCs w:val="21"/>
              </w:rPr>
            </w:pPr>
            <w:r>
              <w:rPr>
                <w:rFonts w:hint="eastAsia" w:ascii="宋体" w:hAnsi="宋体"/>
                <w:szCs w:val="21"/>
              </w:rPr>
              <w:t>6.</w:t>
            </w:r>
            <w:r>
              <w:rPr>
                <w:rFonts w:hint="eastAsia" w:ascii="宋体" w:hAnsi="宋体"/>
                <w:bCs/>
                <w:szCs w:val="21"/>
              </w:rPr>
              <w:t>容许管理员选择是否对记录的SQL语句进行屏蔽，并容许管理员选择对所有或部分涉及敏感列的SQL语句进行屏蔽。</w:t>
            </w:r>
          </w:p>
          <w:p>
            <w:pPr>
              <w:spacing w:line="320" w:lineRule="exact"/>
              <w:jc w:val="left"/>
              <w:rPr>
                <w:rFonts w:ascii="宋体" w:hAnsi="宋体" w:cs="宋体"/>
                <w:szCs w:val="21"/>
              </w:rPr>
            </w:pPr>
            <w:r>
              <w:rPr>
                <w:rFonts w:hint="eastAsia" w:ascii="宋体" w:hAnsi="宋体"/>
                <w:szCs w:val="21"/>
              </w:rPr>
              <w:t>7.</w:t>
            </w:r>
            <w:r>
              <w:rPr>
                <w:rFonts w:hint="eastAsia" w:ascii="宋体" w:hAnsi="宋体"/>
                <w:bCs/>
                <w:szCs w:val="21"/>
              </w:rPr>
              <w:t>不需要依靠厂商定时提供SQL Injection的定义文档或其他安全策略相关文档。</w:t>
            </w:r>
          </w:p>
        </w:tc>
        <w:tc>
          <w:tcPr>
            <w:tcW w:w="851" w:type="dxa"/>
            <w:vMerge w:val="restart"/>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2套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kern w:val="0"/>
                <w:szCs w:val="21"/>
              </w:rPr>
            </w:pPr>
          </w:p>
        </w:tc>
        <w:tc>
          <w:tcPr>
            <w:tcW w:w="992"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kern w:val="0"/>
                <w:szCs w:val="21"/>
              </w:rPr>
            </w:pPr>
          </w:p>
        </w:tc>
        <w:tc>
          <w:tcPr>
            <w:tcW w:w="1134" w:type="dxa"/>
            <w:noWrap/>
            <w:tcMar>
              <w:top w:w="15" w:type="dxa"/>
              <w:left w:w="15" w:type="dxa"/>
              <w:right w:w="15" w:type="dxa"/>
            </w:tcMar>
            <w:vAlign w:val="center"/>
          </w:tcPr>
          <w:p>
            <w:pPr>
              <w:spacing w:line="320" w:lineRule="exact"/>
              <w:jc w:val="center"/>
              <w:rPr>
                <w:rFonts w:ascii="宋体" w:hAnsi="宋体" w:cs="宋体"/>
                <w:bCs/>
                <w:kern w:val="0"/>
                <w:szCs w:val="21"/>
              </w:rPr>
            </w:pPr>
            <w:r>
              <w:rPr>
                <w:rFonts w:hint="eastAsia" w:ascii="宋体" w:hAnsi="宋体"/>
                <w:bCs/>
                <w:szCs w:val="21"/>
                <w:lang w:eastAsia="zh-TW"/>
              </w:rPr>
              <w:t>数据库访问监控</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w:t>
            </w:r>
            <w:r>
              <w:rPr>
                <w:rFonts w:hint="eastAsia" w:ascii="宋体" w:hAnsi="宋体" w:cs="宋体"/>
                <w:szCs w:val="21"/>
              </w:rPr>
              <w:t>支持对来自于网络的数据库访问进行记录，支持对来自于本机的数据库访问进行记录，记录信息</w:t>
            </w:r>
            <w:r>
              <w:rPr>
                <w:rFonts w:hint="eastAsia" w:ascii="宋体" w:hAnsi="宋体"/>
                <w:bCs/>
                <w:szCs w:val="21"/>
              </w:rPr>
              <w:t>包括SQL文本、数据库用户名、操作系统用户名、客户端IP地址、客户端程序名、访问时间等信息，并能够根据安全策略，</w:t>
            </w:r>
            <w:r>
              <w:rPr>
                <w:rFonts w:hint="eastAsia" w:ascii="宋体" w:hAnsi="宋体"/>
                <w:szCs w:val="21"/>
              </w:rPr>
              <w:t>对每条SQL语句设定相应的威胁等级；对每条SQL语句设定相应的响应方法；对每条SQL语句设定相应的记录方法。</w:t>
            </w:r>
          </w:p>
          <w:p>
            <w:pPr>
              <w:spacing w:line="320" w:lineRule="exact"/>
              <w:rPr>
                <w:rFonts w:ascii="宋体" w:hAnsi="宋体"/>
                <w:szCs w:val="21"/>
              </w:rPr>
            </w:pPr>
            <w:r>
              <w:rPr>
                <w:rFonts w:hint="eastAsia" w:ascii="宋体" w:hAnsi="宋体"/>
                <w:szCs w:val="21"/>
              </w:rPr>
              <w:t>2.</w:t>
            </w:r>
            <w:r>
              <w:rPr>
                <w:rFonts w:hint="eastAsia" w:ascii="宋体" w:hAnsi="宋体" w:cs="宋体"/>
                <w:szCs w:val="21"/>
              </w:rPr>
              <w:t>支持对数据库登入行为进行监控，包括：</w:t>
            </w:r>
          </w:p>
          <w:p>
            <w:pPr>
              <w:spacing w:line="320" w:lineRule="exact"/>
              <w:rPr>
                <w:rFonts w:ascii="宋体" w:hAnsi="宋体"/>
                <w:szCs w:val="21"/>
              </w:rPr>
            </w:pPr>
            <w:r>
              <w:rPr>
                <w:rFonts w:hint="eastAsia" w:ascii="宋体" w:hAnsi="宋体"/>
                <w:szCs w:val="21"/>
              </w:rPr>
              <w:t>（1）容许管理员选择对数据库登入行为记录或不纪录；</w:t>
            </w:r>
          </w:p>
          <w:p>
            <w:pPr>
              <w:spacing w:line="320" w:lineRule="exact"/>
              <w:rPr>
                <w:rFonts w:ascii="宋体" w:hAnsi="宋体"/>
                <w:szCs w:val="21"/>
              </w:rPr>
            </w:pPr>
            <w:r>
              <w:rPr>
                <w:rFonts w:hint="eastAsia" w:ascii="宋体" w:hAnsi="宋体"/>
                <w:szCs w:val="21"/>
              </w:rPr>
              <w:t>（2）容许管理员对数据库登入行为设定威胁程度。</w:t>
            </w:r>
          </w:p>
          <w:p>
            <w:pPr>
              <w:spacing w:line="320" w:lineRule="exact"/>
              <w:rPr>
                <w:rFonts w:ascii="宋体" w:hAnsi="宋体"/>
                <w:szCs w:val="21"/>
              </w:rPr>
            </w:pPr>
            <w:r>
              <w:rPr>
                <w:rFonts w:hint="eastAsia" w:ascii="宋体" w:hAnsi="宋体"/>
                <w:szCs w:val="21"/>
              </w:rPr>
              <w:t>3.</w:t>
            </w:r>
            <w:r>
              <w:rPr>
                <w:rFonts w:hint="eastAsia" w:ascii="宋体" w:hAnsi="宋体" w:cs="宋体"/>
                <w:szCs w:val="21"/>
              </w:rPr>
              <w:t>支持对数据库登出行为进行监控，包括：</w:t>
            </w:r>
          </w:p>
          <w:p>
            <w:pPr>
              <w:spacing w:line="320" w:lineRule="exact"/>
              <w:rPr>
                <w:rFonts w:ascii="宋体" w:hAnsi="宋体"/>
                <w:szCs w:val="21"/>
              </w:rPr>
            </w:pPr>
            <w:r>
              <w:rPr>
                <w:rFonts w:hint="eastAsia" w:ascii="宋体" w:hAnsi="宋体"/>
                <w:szCs w:val="21"/>
              </w:rPr>
              <w:t>（1）容许管理员选择对数据库登出行为记录或不纪录；</w:t>
            </w:r>
          </w:p>
          <w:p>
            <w:pPr>
              <w:spacing w:line="320" w:lineRule="exact"/>
              <w:rPr>
                <w:rFonts w:ascii="宋体" w:hAnsi="宋体"/>
                <w:szCs w:val="21"/>
              </w:rPr>
            </w:pPr>
            <w:r>
              <w:rPr>
                <w:rFonts w:hint="eastAsia" w:ascii="宋体" w:hAnsi="宋体"/>
                <w:szCs w:val="21"/>
              </w:rPr>
              <w:t>（2）容许管理员对数据库登出行为设定威胁程度。</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支持对数据库登入失败进行监控，包括：</w:t>
            </w:r>
          </w:p>
          <w:p>
            <w:pPr>
              <w:spacing w:line="320" w:lineRule="exact"/>
              <w:rPr>
                <w:rFonts w:ascii="宋体" w:hAnsi="宋体"/>
                <w:szCs w:val="21"/>
              </w:rPr>
            </w:pPr>
            <w:r>
              <w:rPr>
                <w:rFonts w:hint="eastAsia" w:ascii="宋体" w:hAnsi="宋体"/>
                <w:szCs w:val="21"/>
              </w:rPr>
              <w:t>（1）容许管理员定义最高失败次数；</w:t>
            </w:r>
          </w:p>
          <w:p>
            <w:pPr>
              <w:spacing w:line="320" w:lineRule="exact"/>
              <w:rPr>
                <w:rFonts w:ascii="宋体" w:hAnsi="宋体"/>
                <w:szCs w:val="21"/>
              </w:rPr>
            </w:pPr>
            <w:r>
              <w:rPr>
                <w:rFonts w:hint="eastAsia" w:ascii="宋体" w:hAnsi="宋体"/>
                <w:szCs w:val="21"/>
              </w:rPr>
              <w:t>（2）如果登入失败次数超过最高失败次数的定义值，容许管理员选择对后续的登入进行告警或拦截；</w:t>
            </w:r>
          </w:p>
          <w:p>
            <w:pPr>
              <w:spacing w:line="320" w:lineRule="exact"/>
              <w:rPr>
                <w:rFonts w:ascii="宋体" w:hAnsi="宋体"/>
                <w:szCs w:val="21"/>
              </w:rPr>
            </w:pPr>
            <w:r>
              <w:rPr>
                <w:rFonts w:hint="eastAsia" w:ascii="宋体" w:hAnsi="宋体"/>
                <w:szCs w:val="21"/>
              </w:rPr>
              <w:t>（3）容许管理员定义有效时间，在这一有效时间后，容许被拦截的用户再次登入。</w:t>
            </w:r>
          </w:p>
          <w:p>
            <w:pPr>
              <w:spacing w:line="320" w:lineRule="exact"/>
              <w:rPr>
                <w:rFonts w:ascii="宋体" w:hAnsi="宋体"/>
                <w:szCs w:val="21"/>
              </w:rPr>
            </w:pPr>
            <w:r>
              <w:rPr>
                <w:rFonts w:hint="eastAsia" w:ascii="宋体" w:hAnsi="宋体"/>
                <w:szCs w:val="21"/>
              </w:rPr>
              <w:t>5.</w:t>
            </w:r>
            <w:r>
              <w:rPr>
                <w:rFonts w:hint="eastAsia" w:ascii="宋体" w:hAnsi="宋体" w:cs="宋体"/>
                <w:szCs w:val="21"/>
              </w:rPr>
              <w:t>使用SQL语法解析，对SQL语句进行分析和评估。</w:t>
            </w:r>
          </w:p>
          <w:p>
            <w:pPr>
              <w:spacing w:line="320" w:lineRule="exact"/>
              <w:rPr>
                <w:rFonts w:ascii="宋体" w:hAnsi="宋体"/>
                <w:szCs w:val="21"/>
              </w:rPr>
            </w:pPr>
            <w:r>
              <w:rPr>
                <w:rFonts w:hint="eastAsia" w:ascii="宋体" w:hAnsi="宋体"/>
                <w:bCs/>
                <w:szCs w:val="21"/>
              </w:rPr>
              <w:t>6.支持对</w:t>
            </w:r>
            <w:r>
              <w:rPr>
                <w:rFonts w:hint="eastAsia" w:ascii="宋体" w:hAnsi="宋体" w:cs="宋体"/>
                <w:szCs w:val="21"/>
              </w:rPr>
              <w:t>数据库响应进行记录，包括响应状态、响应文本、响应时间长短等信息。</w:t>
            </w:r>
          </w:p>
          <w:p>
            <w:pPr>
              <w:spacing w:line="320" w:lineRule="exact"/>
              <w:rPr>
                <w:rFonts w:ascii="宋体" w:hAnsi="宋体"/>
                <w:szCs w:val="21"/>
              </w:rPr>
            </w:pPr>
            <w:r>
              <w:rPr>
                <w:rFonts w:hint="eastAsia" w:ascii="宋体" w:hAnsi="宋体" w:cs="宋体"/>
                <w:szCs w:val="21"/>
              </w:rPr>
              <w:t>7.支持对SQL Injection的拦截。</w:t>
            </w:r>
          </w:p>
          <w:p>
            <w:pPr>
              <w:spacing w:line="320" w:lineRule="exact"/>
              <w:rPr>
                <w:rFonts w:ascii="宋体" w:hAnsi="宋体"/>
                <w:szCs w:val="21"/>
              </w:rPr>
            </w:pPr>
            <w:r>
              <w:rPr>
                <w:rFonts w:hint="eastAsia" w:ascii="宋体" w:hAnsi="宋体"/>
                <w:szCs w:val="21"/>
              </w:rPr>
              <w:t>8.</w:t>
            </w:r>
            <w:r>
              <w:rPr>
                <w:rFonts w:hint="eastAsia" w:ascii="宋体" w:hAnsi="宋体" w:cs="宋体"/>
                <w:szCs w:val="21"/>
              </w:rPr>
              <w:t>支持对一定时间内执行次数多过限定次数的SQL语句进行拦截。</w:t>
            </w:r>
          </w:p>
          <w:p>
            <w:pPr>
              <w:spacing w:line="320" w:lineRule="exact"/>
              <w:rPr>
                <w:rFonts w:ascii="宋体" w:hAnsi="宋体" w:cs="宋体"/>
                <w:szCs w:val="21"/>
              </w:rPr>
            </w:pPr>
            <w:r>
              <w:rPr>
                <w:rFonts w:hint="eastAsia" w:ascii="宋体" w:hAnsi="宋体"/>
                <w:szCs w:val="21"/>
              </w:rPr>
              <w:t>9.</w:t>
            </w:r>
            <w:r>
              <w:rPr>
                <w:rFonts w:hint="eastAsia" w:ascii="宋体" w:hAnsi="宋体" w:cs="宋体"/>
                <w:szCs w:val="21"/>
              </w:rPr>
              <w:t>支持用SQL替代方法拦截有威胁的SQL。</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kern w:val="0"/>
                <w:szCs w:val="21"/>
              </w:rPr>
            </w:pPr>
          </w:p>
        </w:tc>
        <w:tc>
          <w:tcPr>
            <w:tcW w:w="992"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kern w:val="0"/>
                <w:szCs w:val="21"/>
              </w:rPr>
            </w:pPr>
          </w:p>
        </w:tc>
        <w:tc>
          <w:tcPr>
            <w:tcW w:w="1134" w:type="dxa"/>
            <w:noWrap/>
            <w:tcMar>
              <w:top w:w="15" w:type="dxa"/>
              <w:left w:w="15" w:type="dxa"/>
              <w:right w:w="15" w:type="dxa"/>
            </w:tcMar>
            <w:vAlign w:val="center"/>
          </w:tcPr>
          <w:p>
            <w:pPr>
              <w:widowControl/>
              <w:spacing w:line="320" w:lineRule="exact"/>
              <w:jc w:val="center"/>
              <w:textAlignment w:val="center"/>
              <w:rPr>
                <w:rFonts w:ascii="宋体" w:hAnsi="宋体" w:cs="宋体"/>
                <w:bCs/>
                <w:kern w:val="0"/>
                <w:szCs w:val="21"/>
              </w:rPr>
            </w:pPr>
            <w:r>
              <w:rPr>
                <w:rFonts w:hint="eastAsia" w:ascii="宋体" w:hAnsi="宋体"/>
                <w:bCs/>
                <w:szCs w:val="21"/>
                <w:lang w:eastAsia="zh-TW"/>
              </w:rPr>
              <w:t>审计和报告</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一、防御功能指标：</w:t>
            </w:r>
          </w:p>
          <w:p>
            <w:pPr>
              <w:pStyle w:val="44"/>
              <w:spacing w:after="0" w:line="320" w:lineRule="exact"/>
              <w:ind w:left="0" w:leftChars="0" w:firstLine="0" w:firstLineChars="0"/>
              <w:rPr>
                <w:rFonts w:ascii="宋体" w:hAnsi="宋体"/>
                <w:szCs w:val="21"/>
              </w:rPr>
            </w:pPr>
            <w:r>
              <w:rPr>
                <w:rFonts w:hint="eastAsia" w:ascii="宋体" w:hAnsi="宋体"/>
                <w:szCs w:val="21"/>
              </w:rPr>
              <w:t>1.支持对数据库用户名、操作系统用户名、客户端IP地址、客户端程序名、数据库IP地址、SQL操作类型、SQL语句包含的字段、操作时间、响应时间长短、响应状态、响应文本，进行任意的单一查询。</w:t>
            </w:r>
          </w:p>
          <w:p>
            <w:pPr>
              <w:pStyle w:val="44"/>
              <w:spacing w:after="0" w:line="320" w:lineRule="exact"/>
              <w:ind w:left="0" w:leftChars="0" w:firstLine="0" w:firstLineChars="0"/>
              <w:rPr>
                <w:rFonts w:ascii="宋体" w:hAnsi="宋体"/>
                <w:szCs w:val="21"/>
              </w:rPr>
            </w:pPr>
            <w:r>
              <w:rPr>
                <w:rFonts w:hint="eastAsia" w:ascii="宋体" w:hAnsi="宋体"/>
                <w:szCs w:val="21"/>
              </w:rPr>
              <w:t>2.支持对数据库用户名、操作系统用户名、客户端IP地址、客户端程序名、数据库IP地址、SQL操作类型、SQL语句包含的字段、操作时间、响应时间长短、响应状态、响应文本，进行任意的组合查询。</w:t>
            </w:r>
          </w:p>
          <w:p>
            <w:pPr>
              <w:pStyle w:val="44"/>
              <w:spacing w:after="0" w:line="320" w:lineRule="exact"/>
              <w:ind w:left="0" w:leftChars="0" w:firstLine="0" w:firstLineChars="0"/>
              <w:rPr>
                <w:rFonts w:ascii="宋体" w:hAnsi="宋体"/>
                <w:szCs w:val="21"/>
              </w:rPr>
            </w:pPr>
            <w:r>
              <w:rPr>
                <w:rFonts w:hint="eastAsia" w:ascii="宋体" w:hAnsi="宋体"/>
                <w:szCs w:val="21"/>
              </w:rPr>
              <w:t>3.支持对个别用户进行查询，产生用户行为跟踪和分析。</w:t>
            </w:r>
          </w:p>
          <w:p>
            <w:pPr>
              <w:pStyle w:val="44"/>
              <w:spacing w:after="0" w:line="320" w:lineRule="exact"/>
              <w:ind w:left="0" w:leftChars="0" w:firstLine="0" w:firstLineChars="0"/>
              <w:rPr>
                <w:rFonts w:ascii="宋体" w:hAnsi="宋体"/>
                <w:szCs w:val="21"/>
              </w:rPr>
            </w:pPr>
            <w:r>
              <w:rPr>
                <w:rFonts w:hint="eastAsia" w:ascii="宋体" w:hAnsi="宋体"/>
                <w:szCs w:val="21"/>
              </w:rPr>
              <w:t>4.支持对个别应用进行查询，产生应用行为跟踪和分析。</w:t>
            </w:r>
          </w:p>
          <w:p>
            <w:pPr>
              <w:pStyle w:val="44"/>
              <w:spacing w:after="0" w:line="320" w:lineRule="exact"/>
              <w:ind w:left="0" w:leftChars="0" w:firstLine="0" w:firstLineChars="0"/>
              <w:rPr>
                <w:rFonts w:ascii="宋体" w:hAnsi="宋体"/>
                <w:szCs w:val="21"/>
              </w:rPr>
            </w:pPr>
            <w:r>
              <w:rPr>
                <w:rFonts w:hint="eastAsia" w:ascii="宋体" w:hAnsi="宋体"/>
                <w:szCs w:val="21"/>
              </w:rPr>
              <w:t>5.支持对数据库管理员进行查询，产生数据库管理员行为跟踪和分析。</w:t>
            </w:r>
          </w:p>
          <w:p>
            <w:pPr>
              <w:pStyle w:val="44"/>
              <w:spacing w:after="0" w:line="320" w:lineRule="exact"/>
              <w:ind w:left="0" w:leftChars="0" w:firstLine="0" w:firstLineChars="0"/>
              <w:rPr>
                <w:rFonts w:ascii="宋体" w:hAnsi="宋体"/>
                <w:szCs w:val="21"/>
              </w:rPr>
            </w:pPr>
            <w:r>
              <w:rPr>
                <w:rFonts w:hint="eastAsia" w:ascii="宋体" w:hAnsi="宋体"/>
                <w:szCs w:val="21"/>
              </w:rPr>
              <w:t>6.支持对个别数据库进行查询，产生相应的数据库活动跟踪和分析。</w:t>
            </w:r>
          </w:p>
          <w:p>
            <w:pPr>
              <w:pStyle w:val="44"/>
              <w:spacing w:after="0" w:line="320" w:lineRule="exact"/>
              <w:ind w:left="0" w:leftChars="0" w:firstLine="0" w:firstLineChars="0"/>
              <w:rPr>
                <w:rFonts w:ascii="宋体" w:hAnsi="宋体"/>
                <w:szCs w:val="21"/>
              </w:rPr>
            </w:pPr>
            <w:r>
              <w:rPr>
                <w:rFonts w:hint="eastAsia" w:ascii="宋体" w:hAnsi="宋体"/>
                <w:szCs w:val="21"/>
              </w:rPr>
              <w:t>7.支持对多个数据库进行跨库查询，产生相应的数据库活动跟踪和分析。</w:t>
            </w:r>
          </w:p>
          <w:p>
            <w:pPr>
              <w:pStyle w:val="44"/>
              <w:spacing w:after="0" w:line="320" w:lineRule="exact"/>
              <w:ind w:left="0" w:leftChars="0" w:firstLine="0" w:firstLineChars="0"/>
              <w:rPr>
                <w:rFonts w:ascii="宋体" w:hAnsi="宋体"/>
                <w:szCs w:val="21"/>
              </w:rPr>
            </w:pPr>
            <w:r>
              <w:rPr>
                <w:rFonts w:hint="eastAsia" w:ascii="宋体" w:hAnsi="宋体"/>
                <w:szCs w:val="21"/>
              </w:rPr>
              <w:t>8.支持用同一个查询结果，产生不同的报告，包括根据客户端IP分类的报告、根据操作系统用户分类的报告、根据数据库用户分类的报告、DDL报告、DML报告、非只读的报告。</w:t>
            </w:r>
          </w:p>
          <w:p>
            <w:pPr>
              <w:pStyle w:val="44"/>
              <w:spacing w:after="0" w:line="320" w:lineRule="exact"/>
              <w:ind w:left="0" w:leftChars="0" w:firstLine="0" w:firstLineChars="0"/>
              <w:rPr>
                <w:rFonts w:ascii="宋体" w:hAnsi="宋体"/>
                <w:szCs w:val="21"/>
              </w:rPr>
            </w:pPr>
            <w:r>
              <w:rPr>
                <w:rFonts w:hint="eastAsia" w:ascii="宋体" w:hAnsi="宋体"/>
                <w:szCs w:val="21"/>
              </w:rPr>
              <w:t>9.支持报告的保存。</w:t>
            </w:r>
          </w:p>
          <w:p>
            <w:pPr>
              <w:pStyle w:val="44"/>
              <w:spacing w:after="0" w:line="320" w:lineRule="exact"/>
              <w:ind w:left="0" w:leftChars="0" w:firstLine="0" w:firstLineChars="0"/>
              <w:rPr>
                <w:rFonts w:ascii="宋体" w:hAnsi="宋体"/>
                <w:szCs w:val="21"/>
              </w:rPr>
            </w:pPr>
            <w:r>
              <w:rPr>
                <w:rFonts w:hint="eastAsia" w:ascii="宋体" w:hAnsi="宋体"/>
                <w:szCs w:val="21"/>
              </w:rPr>
              <w:t>10.支持产生PDF文档格式或Microsoft Excel XLSX文档格式。</w:t>
            </w:r>
          </w:p>
          <w:p>
            <w:pPr>
              <w:pStyle w:val="44"/>
              <w:spacing w:after="0" w:line="320" w:lineRule="exact"/>
              <w:ind w:left="0" w:leftChars="0" w:firstLine="0" w:firstLineChars="0"/>
              <w:rPr>
                <w:rFonts w:ascii="宋体" w:hAnsi="宋体"/>
                <w:szCs w:val="21"/>
              </w:rPr>
            </w:pPr>
            <w:r>
              <w:rPr>
                <w:rFonts w:hint="eastAsia" w:ascii="宋体" w:hAnsi="宋体"/>
                <w:szCs w:val="21"/>
              </w:rPr>
              <w:t>11.提供内建的SOX、PCI、PDA、GLBA、和HIPAA等合规性报告。</w:t>
            </w:r>
          </w:p>
          <w:p>
            <w:pPr>
              <w:pStyle w:val="44"/>
              <w:spacing w:after="0" w:line="320" w:lineRule="exact"/>
              <w:ind w:left="0" w:leftChars="0" w:firstLine="0" w:firstLineChars="0"/>
              <w:rPr>
                <w:rFonts w:ascii="宋体" w:hAnsi="宋体"/>
                <w:szCs w:val="21"/>
              </w:rPr>
            </w:pPr>
            <w:r>
              <w:rPr>
                <w:rFonts w:hint="eastAsia" w:ascii="宋体" w:hAnsi="宋体"/>
                <w:szCs w:val="21"/>
              </w:rPr>
              <w:t>12.支持定时（如每天、每星期、每月）产生报告。</w:t>
            </w:r>
          </w:p>
          <w:p>
            <w:pPr>
              <w:pStyle w:val="44"/>
              <w:spacing w:after="0" w:line="320" w:lineRule="exact"/>
              <w:ind w:left="0" w:leftChars="0" w:firstLine="0" w:firstLineChars="0"/>
              <w:rPr>
                <w:rFonts w:ascii="宋体" w:hAnsi="宋体"/>
                <w:szCs w:val="21"/>
              </w:rPr>
            </w:pPr>
            <w:r>
              <w:rPr>
                <w:rFonts w:hint="eastAsia" w:ascii="宋体" w:hAnsi="宋体"/>
                <w:szCs w:val="21"/>
              </w:rPr>
              <w:t>13.支持发送不同的报告到不同的收件人。</w:t>
            </w:r>
          </w:p>
          <w:p>
            <w:pPr>
              <w:pStyle w:val="44"/>
              <w:spacing w:after="0" w:line="320" w:lineRule="exact"/>
              <w:ind w:left="0" w:leftChars="0" w:firstLine="0" w:firstLineChars="0"/>
              <w:rPr>
                <w:rFonts w:ascii="宋体" w:hAnsi="宋体"/>
                <w:szCs w:val="21"/>
              </w:rPr>
            </w:pPr>
            <w:r>
              <w:rPr>
                <w:rFonts w:hint="eastAsia" w:ascii="宋体" w:hAnsi="宋体"/>
                <w:szCs w:val="21"/>
              </w:rPr>
              <w:t>14.支持对数据库存储过程的增加和改动进行审计，并记录存储过程名称、内容、威胁级别、存储过程类型（</w:t>
            </w:r>
            <w:r>
              <w:rPr>
                <w:rFonts w:hint="eastAsia" w:ascii="宋体" w:hAnsi="宋体"/>
                <w:szCs w:val="21"/>
                <w:lang w:val="en-GB"/>
              </w:rPr>
              <w:t>DML, DDL, DCL, SELECT</w:t>
            </w:r>
            <w:r>
              <w:rPr>
                <w:rFonts w:hint="eastAsia" w:ascii="宋体" w:hAnsi="宋体"/>
                <w:szCs w:val="21"/>
              </w:rPr>
              <w:t>等等）、最后更改人和更改时间</w:t>
            </w:r>
          </w:p>
          <w:p>
            <w:pPr>
              <w:pStyle w:val="44"/>
              <w:spacing w:after="0" w:line="320" w:lineRule="exact"/>
              <w:ind w:left="0" w:leftChars="0" w:firstLine="0" w:firstLineChars="0"/>
              <w:rPr>
                <w:rFonts w:ascii="宋体" w:hAnsi="宋体"/>
                <w:szCs w:val="21"/>
              </w:rPr>
            </w:pPr>
            <w:r>
              <w:rPr>
                <w:rFonts w:hint="eastAsia" w:ascii="宋体" w:hAnsi="宋体"/>
                <w:szCs w:val="21"/>
              </w:rPr>
              <w:t>15.能够记录数据库存储过程的不同版本。</w:t>
            </w:r>
          </w:p>
          <w:p>
            <w:pPr>
              <w:pStyle w:val="44"/>
              <w:spacing w:after="0" w:line="320" w:lineRule="exact"/>
              <w:ind w:left="0" w:leftChars="0" w:firstLine="0" w:firstLineChars="0"/>
              <w:rPr>
                <w:rFonts w:ascii="宋体" w:hAnsi="宋体"/>
                <w:szCs w:val="21"/>
              </w:rPr>
            </w:pPr>
            <w:r>
              <w:rPr>
                <w:rFonts w:hint="eastAsia" w:ascii="宋体" w:hAnsi="宋体"/>
                <w:szCs w:val="21"/>
              </w:rPr>
              <w:t>16.支持定时对数据库用户角色的增加和改动进行审计，并</w:t>
            </w:r>
            <w:r>
              <w:rPr>
                <w:rFonts w:hint="eastAsia" w:ascii="宋体" w:hAnsi="宋体"/>
                <w:bCs/>
                <w:szCs w:val="21"/>
              </w:rPr>
              <w:t>记录</w:t>
            </w:r>
            <w:r>
              <w:rPr>
                <w:rFonts w:hint="eastAsia" w:ascii="宋体" w:hAnsi="宋体"/>
                <w:szCs w:val="21"/>
              </w:rPr>
              <w:t>用户名、用户角色和权限、最后更改人和更改时间。</w:t>
            </w:r>
          </w:p>
          <w:p>
            <w:pPr>
              <w:pStyle w:val="44"/>
              <w:spacing w:after="0" w:line="320" w:lineRule="exact"/>
              <w:ind w:left="0" w:leftChars="0" w:firstLine="0" w:firstLineChars="0"/>
              <w:rPr>
                <w:rFonts w:ascii="宋体" w:hAnsi="宋体"/>
                <w:szCs w:val="21"/>
              </w:rPr>
            </w:pPr>
            <w:r>
              <w:rPr>
                <w:rFonts w:hint="eastAsia" w:ascii="宋体" w:hAnsi="宋体"/>
                <w:szCs w:val="21"/>
              </w:rPr>
              <w:t>二、审计功能指标：</w:t>
            </w:r>
          </w:p>
          <w:p>
            <w:pPr>
              <w:spacing w:line="320" w:lineRule="exact"/>
              <w:rPr>
                <w:rFonts w:ascii="宋体" w:hAnsi="宋体"/>
                <w:szCs w:val="21"/>
              </w:rPr>
            </w:pPr>
            <w:r>
              <w:rPr>
                <w:rFonts w:hint="eastAsia" w:ascii="宋体" w:hAnsi="宋体"/>
                <w:szCs w:val="21"/>
              </w:rPr>
              <w:t>1.实现自动收集和整合Oracle数据库的审计记录，并能够自动清除Oracle数据库的审计记录。</w:t>
            </w:r>
          </w:p>
          <w:p>
            <w:pPr>
              <w:spacing w:line="320" w:lineRule="exact"/>
              <w:rPr>
                <w:rFonts w:ascii="宋体" w:hAnsi="宋体"/>
                <w:szCs w:val="21"/>
              </w:rPr>
            </w:pPr>
            <w:r>
              <w:rPr>
                <w:rFonts w:hint="eastAsia" w:ascii="宋体" w:hAnsi="宋体"/>
                <w:szCs w:val="21"/>
              </w:rPr>
              <w:t>2.实现自动分析Oracle数据库的审计记录，并能根据安全策略提出告警，例如变更超级权限用户、更改Schema、访问敏感数据。</w:t>
            </w:r>
          </w:p>
          <w:p>
            <w:pPr>
              <w:spacing w:line="320" w:lineRule="exact"/>
              <w:rPr>
                <w:rFonts w:ascii="宋体" w:hAnsi="宋体"/>
                <w:szCs w:val="21"/>
              </w:rPr>
            </w:pPr>
            <w:r>
              <w:rPr>
                <w:rFonts w:hint="eastAsia" w:ascii="宋体" w:hAnsi="宋体"/>
                <w:szCs w:val="21"/>
              </w:rPr>
              <w:t>3.能够对多层架构中的最终应用用户名、系统用户名、数据库用户名的进行审计。</w:t>
            </w:r>
          </w:p>
          <w:p>
            <w:pPr>
              <w:spacing w:line="320" w:lineRule="exact"/>
              <w:rPr>
                <w:rFonts w:ascii="宋体" w:hAnsi="宋体"/>
                <w:szCs w:val="21"/>
              </w:rPr>
            </w:pPr>
            <w:r>
              <w:rPr>
                <w:rFonts w:hint="eastAsia" w:ascii="宋体" w:hAnsi="宋体"/>
                <w:szCs w:val="21"/>
              </w:rPr>
              <w:t>4.能够对数据变更中的Before／After数据值进行审计。</w:t>
            </w:r>
          </w:p>
          <w:p>
            <w:pPr>
              <w:spacing w:line="320" w:lineRule="exact"/>
              <w:rPr>
                <w:rFonts w:ascii="宋体" w:hAnsi="宋体"/>
                <w:szCs w:val="21"/>
              </w:rPr>
            </w:pPr>
            <w:r>
              <w:rPr>
                <w:rFonts w:hint="eastAsia" w:ascii="宋体" w:hAnsi="宋体"/>
                <w:szCs w:val="21"/>
              </w:rPr>
              <w:t>5.能够防止数据库管理员更改搜集的审计记录。</w:t>
            </w:r>
          </w:p>
          <w:p>
            <w:pPr>
              <w:spacing w:line="320" w:lineRule="exact"/>
              <w:rPr>
                <w:rFonts w:ascii="宋体" w:hAnsi="宋体"/>
                <w:szCs w:val="21"/>
              </w:rPr>
            </w:pPr>
            <w:r>
              <w:rPr>
                <w:rFonts w:hint="eastAsia" w:ascii="宋体" w:hAnsi="宋体"/>
                <w:szCs w:val="21"/>
              </w:rPr>
              <w:t>6.提供数据访问报告，包括</w:t>
            </w:r>
          </w:p>
          <w:p>
            <w:pPr>
              <w:numPr>
                <w:ilvl w:val="0"/>
                <w:numId w:val="4"/>
              </w:numPr>
              <w:spacing w:line="320" w:lineRule="exact"/>
              <w:ind w:left="0" w:firstLine="0"/>
              <w:jc w:val="left"/>
              <w:rPr>
                <w:rFonts w:ascii="宋体" w:hAnsi="宋体"/>
                <w:szCs w:val="21"/>
              </w:rPr>
            </w:pPr>
            <w:r>
              <w:rPr>
                <w:rFonts w:hint="eastAsia" w:ascii="宋体" w:hAnsi="宋体"/>
                <w:szCs w:val="21"/>
              </w:rPr>
              <w:t>增加／更改／删除数据；</w:t>
            </w:r>
          </w:p>
          <w:p>
            <w:pPr>
              <w:numPr>
                <w:ilvl w:val="0"/>
                <w:numId w:val="4"/>
              </w:numPr>
              <w:spacing w:line="320" w:lineRule="exact"/>
              <w:ind w:left="0" w:firstLine="0"/>
              <w:rPr>
                <w:rFonts w:ascii="宋体" w:hAnsi="宋体"/>
                <w:szCs w:val="21"/>
              </w:rPr>
            </w:pPr>
            <w:r>
              <w:rPr>
                <w:rFonts w:hint="eastAsia" w:ascii="宋体" w:hAnsi="宋体"/>
                <w:szCs w:val="21"/>
              </w:rPr>
              <w:t>访问数据；</w:t>
            </w:r>
          </w:p>
          <w:p>
            <w:pPr>
              <w:numPr>
                <w:ilvl w:val="0"/>
                <w:numId w:val="4"/>
              </w:numPr>
              <w:spacing w:line="320" w:lineRule="exact"/>
              <w:ind w:left="0" w:firstLine="0"/>
              <w:rPr>
                <w:rFonts w:ascii="宋体" w:hAnsi="宋体"/>
                <w:szCs w:val="21"/>
              </w:rPr>
            </w:pPr>
            <w:r>
              <w:rPr>
                <w:rFonts w:hint="eastAsia" w:ascii="宋体" w:hAnsi="宋体"/>
                <w:szCs w:val="21"/>
              </w:rPr>
              <w:t>TRUNCATE表等等</w:t>
            </w:r>
          </w:p>
          <w:p>
            <w:pPr>
              <w:spacing w:line="320" w:lineRule="exact"/>
              <w:rPr>
                <w:rFonts w:ascii="宋体" w:hAnsi="宋体"/>
                <w:szCs w:val="21"/>
              </w:rPr>
            </w:pPr>
            <w:r>
              <w:rPr>
                <w:rFonts w:hint="eastAsia" w:ascii="宋体" w:hAnsi="宋体"/>
                <w:szCs w:val="21"/>
              </w:rPr>
              <w:t>7.提供用户管理报告，包括</w:t>
            </w:r>
          </w:p>
          <w:p>
            <w:pPr>
              <w:numPr>
                <w:ilvl w:val="0"/>
                <w:numId w:val="5"/>
              </w:numPr>
              <w:spacing w:line="320" w:lineRule="exact"/>
              <w:ind w:left="0" w:firstLine="0"/>
              <w:rPr>
                <w:rFonts w:ascii="宋体" w:hAnsi="宋体"/>
                <w:szCs w:val="21"/>
              </w:rPr>
            </w:pPr>
            <w:r>
              <w:rPr>
                <w:rFonts w:hint="eastAsia" w:ascii="宋体" w:hAnsi="宋体"/>
                <w:szCs w:val="21"/>
              </w:rPr>
              <w:t>增加／更改／删除用户；</w:t>
            </w:r>
          </w:p>
          <w:p>
            <w:pPr>
              <w:numPr>
                <w:ilvl w:val="0"/>
                <w:numId w:val="5"/>
              </w:numPr>
              <w:spacing w:line="320" w:lineRule="exact"/>
              <w:ind w:left="0" w:firstLine="0"/>
              <w:rPr>
                <w:rFonts w:ascii="宋体" w:hAnsi="宋体"/>
                <w:szCs w:val="21"/>
              </w:rPr>
            </w:pPr>
            <w:r>
              <w:rPr>
                <w:rFonts w:hint="eastAsia" w:ascii="宋体" w:hAnsi="宋体"/>
                <w:szCs w:val="21"/>
              </w:rPr>
              <w:t>增加／更改／删除Profile</w:t>
            </w:r>
          </w:p>
          <w:p>
            <w:pPr>
              <w:spacing w:line="320" w:lineRule="exact"/>
              <w:rPr>
                <w:rFonts w:ascii="宋体" w:hAnsi="宋体"/>
                <w:szCs w:val="21"/>
              </w:rPr>
            </w:pPr>
            <w:r>
              <w:rPr>
                <w:rFonts w:hint="eastAsia" w:ascii="宋体" w:hAnsi="宋体"/>
                <w:szCs w:val="21"/>
              </w:rPr>
              <w:t>8.提供对象管理报告，包括</w:t>
            </w:r>
          </w:p>
          <w:p>
            <w:pPr>
              <w:numPr>
                <w:ilvl w:val="0"/>
                <w:numId w:val="6"/>
              </w:numPr>
              <w:spacing w:line="320" w:lineRule="exact"/>
              <w:ind w:left="0" w:firstLine="0"/>
              <w:rPr>
                <w:rFonts w:ascii="宋体" w:hAnsi="宋体"/>
                <w:szCs w:val="21"/>
              </w:rPr>
            </w:pPr>
            <w:r>
              <w:rPr>
                <w:rFonts w:hint="eastAsia" w:ascii="宋体" w:hAnsi="宋体"/>
                <w:szCs w:val="21"/>
              </w:rPr>
              <w:t>增加／更改／删除数据库表；</w:t>
            </w:r>
          </w:p>
          <w:p>
            <w:pPr>
              <w:numPr>
                <w:ilvl w:val="0"/>
                <w:numId w:val="6"/>
              </w:numPr>
              <w:spacing w:line="320" w:lineRule="exact"/>
              <w:ind w:left="0" w:firstLine="0"/>
              <w:rPr>
                <w:rFonts w:ascii="宋体" w:hAnsi="宋体"/>
                <w:szCs w:val="21"/>
              </w:rPr>
            </w:pPr>
            <w:r>
              <w:rPr>
                <w:rFonts w:hint="eastAsia" w:ascii="宋体" w:hAnsi="宋体"/>
                <w:szCs w:val="21"/>
              </w:rPr>
              <w:t>增加／更改／删除索引；</w:t>
            </w:r>
          </w:p>
          <w:p>
            <w:pPr>
              <w:numPr>
                <w:ilvl w:val="0"/>
                <w:numId w:val="6"/>
              </w:numPr>
              <w:spacing w:line="320" w:lineRule="exact"/>
              <w:ind w:left="0" w:firstLine="0"/>
              <w:rPr>
                <w:rFonts w:ascii="宋体" w:hAnsi="宋体"/>
                <w:szCs w:val="21"/>
              </w:rPr>
            </w:pPr>
            <w:r>
              <w:rPr>
                <w:rFonts w:hint="eastAsia" w:ascii="宋体" w:hAnsi="宋体"/>
                <w:szCs w:val="21"/>
              </w:rPr>
              <w:t>增加／更改／删除视图；</w:t>
            </w:r>
          </w:p>
          <w:p>
            <w:pPr>
              <w:numPr>
                <w:ilvl w:val="0"/>
                <w:numId w:val="6"/>
              </w:numPr>
              <w:spacing w:line="320" w:lineRule="exact"/>
              <w:ind w:left="0" w:firstLine="0"/>
              <w:rPr>
                <w:rFonts w:ascii="宋体" w:hAnsi="宋体"/>
                <w:szCs w:val="21"/>
              </w:rPr>
            </w:pPr>
            <w:r>
              <w:rPr>
                <w:rFonts w:hint="eastAsia" w:ascii="宋体" w:hAnsi="宋体"/>
                <w:szCs w:val="21"/>
              </w:rPr>
              <w:t>增加／更改／删除物化视图等等</w:t>
            </w:r>
          </w:p>
          <w:p>
            <w:pPr>
              <w:spacing w:line="320" w:lineRule="exact"/>
              <w:rPr>
                <w:rFonts w:ascii="宋体" w:hAnsi="宋体"/>
                <w:szCs w:val="21"/>
              </w:rPr>
            </w:pPr>
            <w:r>
              <w:rPr>
                <w:rFonts w:hint="eastAsia" w:ascii="宋体" w:hAnsi="宋体"/>
                <w:szCs w:val="21"/>
              </w:rPr>
              <w:t>9.提供程序管理报告，包括</w:t>
            </w:r>
          </w:p>
          <w:p>
            <w:pPr>
              <w:numPr>
                <w:ilvl w:val="0"/>
                <w:numId w:val="7"/>
              </w:numPr>
              <w:spacing w:line="320" w:lineRule="exact"/>
              <w:ind w:left="0" w:firstLine="0"/>
              <w:rPr>
                <w:rFonts w:ascii="宋体" w:hAnsi="宋体"/>
                <w:szCs w:val="21"/>
              </w:rPr>
            </w:pPr>
            <w:r>
              <w:rPr>
                <w:rFonts w:hint="eastAsia" w:ascii="宋体" w:hAnsi="宋体"/>
                <w:szCs w:val="21"/>
              </w:rPr>
              <w:t>增加／更改／删除函数；</w:t>
            </w:r>
          </w:p>
          <w:p>
            <w:pPr>
              <w:numPr>
                <w:ilvl w:val="0"/>
                <w:numId w:val="7"/>
              </w:numPr>
              <w:spacing w:line="320" w:lineRule="exact"/>
              <w:ind w:left="0" w:firstLine="0"/>
              <w:rPr>
                <w:rFonts w:ascii="宋体" w:hAnsi="宋体"/>
                <w:szCs w:val="21"/>
              </w:rPr>
            </w:pPr>
            <w:r>
              <w:rPr>
                <w:rFonts w:hint="eastAsia" w:ascii="宋体" w:hAnsi="宋体"/>
                <w:szCs w:val="21"/>
              </w:rPr>
              <w:t>增加／更改／删除程序；</w:t>
            </w:r>
          </w:p>
          <w:p>
            <w:pPr>
              <w:numPr>
                <w:ilvl w:val="0"/>
                <w:numId w:val="7"/>
              </w:numPr>
              <w:spacing w:line="320" w:lineRule="exact"/>
              <w:ind w:left="0" w:firstLine="0"/>
              <w:rPr>
                <w:rFonts w:ascii="宋体" w:hAnsi="宋体"/>
                <w:szCs w:val="21"/>
              </w:rPr>
            </w:pPr>
            <w:r>
              <w:rPr>
                <w:rFonts w:hint="eastAsia" w:ascii="宋体" w:hAnsi="宋体"/>
                <w:szCs w:val="21"/>
              </w:rPr>
              <w:t>增加／更改／删除触发器等等</w:t>
            </w:r>
          </w:p>
          <w:p>
            <w:pPr>
              <w:spacing w:line="320" w:lineRule="exact"/>
              <w:rPr>
                <w:rFonts w:ascii="宋体" w:hAnsi="宋体"/>
                <w:szCs w:val="21"/>
              </w:rPr>
            </w:pPr>
            <w:r>
              <w:rPr>
                <w:rFonts w:hint="eastAsia" w:ascii="宋体" w:hAnsi="宋体"/>
                <w:szCs w:val="21"/>
              </w:rPr>
              <w:t>10.提供角色和权限管理报告，包括</w:t>
            </w:r>
          </w:p>
          <w:p>
            <w:pPr>
              <w:numPr>
                <w:ilvl w:val="0"/>
                <w:numId w:val="8"/>
              </w:numPr>
              <w:spacing w:line="320" w:lineRule="exact"/>
              <w:ind w:left="0" w:firstLine="0"/>
              <w:rPr>
                <w:rFonts w:ascii="宋体" w:hAnsi="宋体"/>
                <w:szCs w:val="21"/>
              </w:rPr>
            </w:pPr>
            <w:r>
              <w:rPr>
                <w:rFonts w:hint="eastAsia" w:ascii="宋体" w:hAnsi="宋体"/>
                <w:szCs w:val="21"/>
              </w:rPr>
              <w:t>如增加／更改／删除角色；</w:t>
            </w:r>
          </w:p>
          <w:p>
            <w:pPr>
              <w:numPr>
                <w:ilvl w:val="0"/>
                <w:numId w:val="8"/>
              </w:numPr>
              <w:spacing w:line="320" w:lineRule="exact"/>
              <w:ind w:left="0" w:firstLine="0"/>
              <w:rPr>
                <w:rFonts w:ascii="宋体" w:hAnsi="宋体"/>
                <w:szCs w:val="21"/>
              </w:rPr>
            </w:pPr>
            <w:r>
              <w:rPr>
                <w:rFonts w:hint="eastAsia" w:ascii="宋体" w:hAnsi="宋体"/>
                <w:szCs w:val="21"/>
              </w:rPr>
              <w:t>授权等等</w:t>
            </w:r>
          </w:p>
          <w:p>
            <w:pPr>
              <w:spacing w:line="320" w:lineRule="exact"/>
              <w:rPr>
                <w:rFonts w:ascii="宋体" w:hAnsi="宋体"/>
                <w:szCs w:val="21"/>
              </w:rPr>
            </w:pPr>
            <w:r>
              <w:rPr>
                <w:rFonts w:hint="eastAsia" w:ascii="宋体" w:hAnsi="宋体"/>
                <w:szCs w:val="21"/>
              </w:rPr>
              <w:t>11.提供系统管理报告，包括</w:t>
            </w:r>
          </w:p>
          <w:p>
            <w:pPr>
              <w:numPr>
                <w:ilvl w:val="0"/>
                <w:numId w:val="9"/>
              </w:numPr>
              <w:spacing w:line="320" w:lineRule="exact"/>
              <w:ind w:left="0" w:firstLine="0"/>
              <w:rPr>
                <w:rFonts w:ascii="宋体" w:hAnsi="宋体"/>
                <w:szCs w:val="21"/>
              </w:rPr>
            </w:pPr>
            <w:r>
              <w:rPr>
                <w:rFonts w:hint="eastAsia" w:ascii="宋体" w:hAnsi="宋体"/>
                <w:szCs w:val="21"/>
              </w:rPr>
              <w:t>增加／更改／删除表空间；</w:t>
            </w:r>
          </w:p>
          <w:p>
            <w:pPr>
              <w:numPr>
                <w:ilvl w:val="0"/>
                <w:numId w:val="9"/>
              </w:numPr>
              <w:spacing w:line="320" w:lineRule="exact"/>
              <w:ind w:left="0" w:firstLine="0"/>
              <w:rPr>
                <w:rFonts w:ascii="宋体" w:hAnsi="宋体"/>
                <w:szCs w:val="21"/>
              </w:rPr>
            </w:pPr>
            <w:r>
              <w:rPr>
                <w:rFonts w:hint="eastAsia" w:ascii="宋体" w:hAnsi="宋体"/>
                <w:szCs w:val="21"/>
              </w:rPr>
              <w:t>更改数据库；</w:t>
            </w:r>
          </w:p>
          <w:p>
            <w:pPr>
              <w:numPr>
                <w:ilvl w:val="0"/>
                <w:numId w:val="9"/>
              </w:numPr>
              <w:spacing w:line="320" w:lineRule="exact"/>
              <w:ind w:left="0" w:firstLine="0"/>
              <w:rPr>
                <w:rFonts w:ascii="宋体" w:hAnsi="宋体"/>
                <w:szCs w:val="21"/>
              </w:rPr>
            </w:pPr>
            <w:r>
              <w:rPr>
                <w:rFonts w:hint="eastAsia" w:ascii="宋体" w:hAnsi="宋体"/>
                <w:szCs w:val="21"/>
              </w:rPr>
              <w:t>启动／停止数据库等等</w:t>
            </w:r>
          </w:p>
          <w:p>
            <w:pPr>
              <w:spacing w:line="320" w:lineRule="exact"/>
              <w:rPr>
                <w:rFonts w:ascii="宋体" w:hAnsi="宋体"/>
                <w:szCs w:val="21"/>
              </w:rPr>
            </w:pPr>
            <w:r>
              <w:rPr>
                <w:rFonts w:hint="eastAsia" w:ascii="宋体" w:hAnsi="宋体"/>
                <w:szCs w:val="21"/>
              </w:rPr>
              <w:t>12.能够定时产生审计报告。</w:t>
            </w:r>
          </w:p>
          <w:p>
            <w:pPr>
              <w:spacing w:line="320" w:lineRule="exact"/>
              <w:rPr>
                <w:rFonts w:ascii="宋体" w:hAnsi="宋体"/>
                <w:szCs w:val="21"/>
              </w:rPr>
            </w:pPr>
            <w:r>
              <w:rPr>
                <w:rFonts w:hint="eastAsia" w:ascii="宋体" w:hAnsi="宋体"/>
                <w:szCs w:val="21"/>
              </w:rPr>
              <w:t>13.能够为SOX、PCI、HIPAA提供符合法规的报告。</w:t>
            </w:r>
          </w:p>
          <w:p>
            <w:pPr>
              <w:spacing w:line="320" w:lineRule="exact"/>
              <w:rPr>
                <w:rFonts w:ascii="宋体" w:hAnsi="宋体"/>
                <w:szCs w:val="21"/>
              </w:rPr>
            </w:pPr>
            <w:r>
              <w:rPr>
                <w:rFonts w:hint="eastAsia" w:ascii="宋体" w:hAnsi="宋体"/>
                <w:szCs w:val="21"/>
              </w:rPr>
              <w:t>14.不但可以审计Oracle数据库，并可实现对SQL Server、Sybase ASE、DB2 LUW的审计。</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kern w:val="0"/>
                <w:szCs w:val="21"/>
              </w:rPr>
            </w:pPr>
          </w:p>
        </w:tc>
        <w:tc>
          <w:tcPr>
            <w:tcW w:w="992" w:type="dxa"/>
            <w:vMerge w:val="continue"/>
            <w:noWrap/>
            <w:tcMar>
              <w:top w:w="15" w:type="dxa"/>
              <w:left w:w="15" w:type="dxa"/>
              <w:right w:w="15" w:type="dxa"/>
            </w:tcMar>
            <w:vAlign w:val="center"/>
          </w:tcPr>
          <w:p>
            <w:pPr>
              <w:widowControl/>
              <w:spacing w:line="320" w:lineRule="exact"/>
              <w:jc w:val="center"/>
              <w:textAlignment w:val="center"/>
              <w:rPr>
                <w:rFonts w:ascii="宋体" w:hAnsi="宋体" w:cs="宋体"/>
                <w:kern w:val="0"/>
                <w:szCs w:val="21"/>
              </w:rPr>
            </w:pPr>
          </w:p>
        </w:tc>
        <w:tc>
          <w:tcPr>
            <w:tcW w:w="1134" w:type="dxa"/>
            <w:noWrap/>
            <w:tcMar>
              <w:top w:w="15" w:type="dxa"/>
              <w:left w:w="15" w:type="dxa"/>
              <w:right w:w="15" w:type="dxa"/>
            </w:tcMar>
            <w:vAlign w:val="center"/>
          </w:tcPr>
          <w:p>
            <w:pPr>
              <w:spacing w:line="320" w:lineRule="exact"/>
              <w:jc w:val="center"/>
              <w:rPr>
                <w:rFonts w:ascii="宋体" w:hAnsi="宋体" w:cs="宋体"/>
                <w:bCs/>
                <w:kern w:val="0"/>
                <w:szCs w:val="21"/>
              </w:rPr>
            </w:pPr>
            <w:r>
              <w:rPr>
                <w:rFonts w:hint="eastAsia" w:ascii="宋体" w:hAnsi="宋体"/>
                <w:bCs/>
                <w:szCs w:val="21"/>
                <w:lang w:eastAsia="zh-TW"/>
              </w:rPr>
              <w:t>管理和部署</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（一）防御功能指标：</w:t>
            </w:r>
          </w:p>
          <w:p>
            <w:pPr>
              <w:widowControl/>
              <w:spacing w:line="320" w:lineRule="exact"/>
              <w:jc w:val="left"/>
              <w:rPr>
                <w:rFonts w:ascii="宋体" w:hAnsi="宋体"/>
                <w:szCs w:val="21"/>
              </w:rPr>
            </w:pPr>
            <w:r>
              <w:rPr>
                <w:rFonts w:hint="eastAsia" w:ascii="宋体" w:hAnsi="宋体"/>
                <w:szCs w:val="21"/>
              </w:rPr>
              <w:t>1.实现对全部数据库实例的安全防护覆盖（约155个数据库实例）。</w:t>
            </w:r>
          </w:p>
          <w:p>
            <w:pPr>
              <w:widowControl/>
              <w:spacing w:line="320" w:lineRule="exact"/>
              <w:jc w:val="left"/>
              <w:rPr>
                <w:rFonts w:ascii="宋体" w:hAnsi="宋体"/>
                <w:szCs w:val="21"/>
              </w:rPr>
            </w:pPr>
            <w:r>
              <w:rPr>
                <w:rFonts w:hint="eastAsia" w:ascii="宋体" w:hAnsi="宋体"/>
                <w:szCs w:val="21"/>
              </w:rPr>
              <w:t>2.免费实现维护期内对新增数据库实例的安全防护覆盖。</w:t>
            </w:r>
          </w:p>
          <w:p>
            <w:pPr>
              <w:widowControl/>
              <w:spacing w:line="320" w:lineRule="exact"/>
              <w:jc w:val="left"/>
              <w:rPr>
                <w:rFonts w:ascii="宋体" w:hAnsi="宋体"/>
                <w:szCs w:val="21"/>
              </w:rPr>
            </w:pPr>
            <w:r>
              <w:rPr>
                <w:rFonts w:hint="eastAsia" w:ascii="宋体" w:hAnsi="宋体"/>
                <w:szCs w:val="21"/>
              </w:rPr>
              <w:t>3.提供基于Web的管理界面，同时提供：</w:t>
            </w:r>
          </w:p>
          <w:p>
            <w:pPr>
              <w:widowControl/>
              <w:spacing w:line="320" w:lineRule="exact"/>
              <w:jc w:val="left"/>
              <w:rPr>
                <w:rFonts w:ascii="宋体" w:hAnsi="宋体"/>
                <w:szCs w:val="21"/>
              </w:rPr>
            </w:pPr>
            <w:r>
              <w:rPr>
                <w:rFonts w:hint="eastAsia" w:ascii="宋体" w:hAnsi="宋体"/>
                <w:szCs w:val="21"/>
              </w:rPr>
              <w:t>（1）威胁状况（拦截数目，告警数目）</w:t>
            </w:r>
          </w:p>
          <w:p>
            <w:pPr>
              <w:widowControl/>
              <w:spacing w:line="320" w:lineRule="exact"/>
              <w:jc w:val="left"/>
              <w:rPr>
                <w:rFonts w:ascii="宋体" w:hAnsi="宋体"/>
                <w:szCs w:val="21"/>
              </w:rPr>
            </w:pPr>
            <w:r>
              <w:rPr>
                <w:rFonts w:hint="eastAsia" w:ascii="宋体" w:hAnsi="宋体"/>
                <w:szCs w:val="21"/>
              </w:rPr>
              <w:t>（2）威胁语句（过去一段时间的前10名威胁）</w:t>
            </w:r>
          </w:p>
          <w:p>
            <w:pPr>
              <w:widowControl/>
              <w:spacing w:line="320" w:lineRule="exact"/>
              <w:jc w:val="left"/>
              <w:rPr>
                <w:rFonts w:ascii="宋体" w:hAnsi="宋体"/>
                <w:szCs w:val="21"/>
              </w:rPr>
            </w:pPr>
            <w:r>
              <w:rPr>
                <w:rFonts w:hint="eastAsia" w:ascii="宋体" w:hAnsi="宋体"/>
                <w:szCs w:val="21"/>
              </w:rPr>
              <w:t>（3）流量状况（过去一小时的SQL语句的数目）</w:t>
            </w:r>
          </w:p>
          <w:p>
            <w:pPr>
              <w:widowControl/>
              <w:spacing w:line="320" w:lineRule="exact"/>
              <w:jc w:val="left"/>
              <w:rPr>
                <w:rFonts w:ascii="宋体" w:hAnsi="宋体" w:cs="宋体"/>
                <w:szCs w:val="21"/>
              </w:rPr>
            </w:pPr>
            <w:r>
              <w:rPr>
                <w:rFonts w:hint="eastAsia" w:ascii="宋体" w:hAnsi="宋体" w:cs="宋体"/>
                <w:szCs w:val="21"/>
              </w:rPr>
              <w:t>4.支持高可用性部署。</w:t>
            </w:r>
          </w:p>
          <w:p>
            <w:pPr>
              <w:widowControl/>
              <w:spacing w:line="320" w:lineRule="exact"/>
              <w:jc w:val="left"/>
              <w:rPr>
                <w:rFonts w:ascii="宋体" w:hAnsi="宋体"/>
                <w:szCs w:val="21"/>
              </w:rPr>
            </w:pPr>
            <w:r>
              <w:rPr>
                <w:rFonts w:hint="eastAsia" w:ascii="宋体" w:hAnsi="宋体"/>
                <w:szCs w:val="21"/>
              </w:rPr>
              <w:t>5支持不同的部署模式，包括：</w:t>
            </w:r>
          </w:p>
          <w:p>
            <w:pPr>
              <w:spacing w:line="320" w:lineRule="exact"/>
              <w:rPr>
                <w:rFonts w:ascii="宋体" w:hAnsi="宋体"/>
                <w:color w:val="000000" w:themeColor="text1"/>
                <w:szCs w:val="21"/>
                <w14:textFill>
                  <w14:solidFill>
                    <w14:schemeClr w14:val="tx1"/>
                  </w14:solidFill>
                </w14:textFill>
              </w:rPr>
            </w:pPr>
            <w:r>
              <w:rPr>
                <w:rFonts w:hint="eastAsia" w:ascii="宋体" w:hAnsi="宋体"/>
                <w:szCs w:val="21"/>
              </w:rPr>
              <w:t>（1）旁路监听模式，通过获取数据库镜像报文，对数据库活动进行监控</w:t>
            </w:r>
            <w:r>
              <w:rPr>
                <w:rFonts w:hint="eastAsia" w:ascii="宋体" w:hAnsi="宋体"/>
                <w:color w:val="000000" w:themeColor="text1"/>
                <w:szCs w:val="21"/>
                <w14:textFill>
                  <w14:solidFill>
                    <w14:schemeClr w14:val="tx1"/>
                  </w14:solidFill>
                </w14:textFill>
              </w:rPr>
              <w:t>，并对威胁提出报警。</w:t>
            </w:r>
          </w:p>
          <w:p>
            <w:pPr>
              <w:spacing w:line="320" w:lineRule="exact"/>
              <w:rPr>
                <w:rFonts w:ascii="宋体" w:hAnsi="宋体"/>
                <w:szCs w:val="21"/>
              </w:rPr>
            </w:pPr>
            <w:r>
              <w:rPr>
                <w:rFonts w:hint="eastAsia" w:ascii="宋体" w:hAnsi="宋体"/>
                <w:szCs w:val="21"/>
              </w:rPr>
              <w:t>（2）在线拦截模式，通过部署数据库防火墙于数据库和应用之间，对数据库活动进行监控，并对威胁进行实时拦截</w:t>
            </w:r>
          </w:p>
          <w:p>
            <w:pPr>
              <w:widowControl/>
              <w:spacing w:line="320" w:lineRule="exact"/>
              <w:jc w:val="left"/>
              <w:rPr>
                <w:rFonts w:ascii="宋体" w:hAnsi="宋体" w:cs="宋体"/>
                <w:szCs w:val="21"/>
              </w:rPr>
            </w:pPr>
            <w:r>
              <w:rPr>
                <w:rFonts w:hint="eastAsia" w:ascii="宋体" w:hAnsi="宋体" w:cs="宋体"/>
                <w:szCs w:val="21"/>
              </w:rPr>
              <w:t xml:space="preserve">6.在旁路监听模式下，能够 </w:t>
            </w:r>
          </w:p>
          <w:p>
            <w:pPr>
              <w:widowControl/>
              <w:spacing w:line="320" w:lineRule="exact"/>
              <w:jc w:val="left"/>
              <w:rPr>
                <w:rFonts w:ascii="宋体" w:hAnsi="宋体" w:cs="宋体"/>
                <w:szCs w:val="21"/>
              </w:rPr>
            </w:pPr>
            <w:r>
              <w:rPr>
                <w:rFonts w:hint="eastAsia" w:ascii="宋体" w:hAnsi="宋体"/>
                <w:szCs w:val="21"/>
              </w:rPr>
              <w:t>（1）不影响数据库性能</w:t>
            </w:r>
          </w:p>
          <w:p>
            <w:pPr>
              <w:spacing w:line="320" w:lineRule="exact"/>
              <w:rPr>
                <w:rFonts w:ascii="宋体" w:hAnsi="宋体"/>
                <w:szCs w:val="21"/>
              </w:rPr>
            </w:pPr>
            <w:r>
              <w:rPr>
                <w:rFonts w:hint="eastAsia" w:ascii="宋体" w:hAnsi="宋体"/>
                <w:szCs w:val="21"/>
              </w:rPr>
              <w:t>（2）不需要修改应用</w:t>
            </w:r>
          </w:p>
          <w:p>
            <w:pPr>
              <w:spacing w:line="320" w:lineRule="exact"/>
              <w:rPr>
                <w:rFonts w:ascii="宋体" w:hAnsi="宋体"/>
                <w:szCs w:val="21"/>
              </w:rPr>
            </w:pPr>
            <w:r>
              <w:rPr>
                <w:rFonts w:hint="eastAsia" w:ascii="宋体" w:hAnsi="宋体"/>
                <w:szCs w:val="21"/>
              </w:rPr>
              <w:t>（3）不需要部署任何代理软件或程序到数据库服务器上</w:t>
            </w:r>
          </w:p>
          <w:p>
            <w:pPr>
              <w:widowControl/>
              <w:spacing w:line="320" w:lineRule="exact"/>
              <w:jc w:val="left"/>
              <w:rPr>
                <w:rFonts w:ascii="宋体" w:hAnsi="宋体" w:cs="宋体"/>
                <w:szCs w:val="21"/>
              </w:rPr>
            </w:pPr>
            <w:r>
              <w:rPr>
                <w:rFonts w:hint="eastAsia" w:ascii="宋体" w:hAnsi="宋体" w:cs="宋体"/>
                <w:szCs w:val="21"/>
              </w:rPr>
              <w:t>7.实现集中式的管理，包括：</w:t>
            </w:r>
          </w:p>
          <w:p>
            <w:pPr>
              <w:spacing w:line="320" w:lineRule="exact"/>
              <w:rPr>
                <w:rFonts w:ascii="宋体" w:hAnsi="宋体"/>
                <w:szCs w:val="21"/>
              </w:rPr>
            </w:pPr>
            <w:r>
              <w:rPr>
                <w:rFonts w:hint="eastAsia" w:ascii="宋体" w:hAnsi="宋体"/>
                <w:szCs w:val="21"/>
              </w:rPr>
              <w:t>（1）一个数据库防火墙管理服务器能同时管理多个数据库防火墙；</w:t>
            </w:r>
          </w:p>
          <w:p>
            <w:pPr>
              <w:spacing w:line="320" w:lineRule="exact"/>
              <w:rPr>
                <w:rFonts w:ascii="宋体" w:hAnsi="宋体"/>
                <w:szCs w:val="21"/>
              </w:rPr>
            </w:pPr>
            <w:r>
              <w:rPr>
                <w:rFonts w:hint="eastAsia" w:ascii="宋体" w:hAnsi="宋体"/>
                <w:szCs w:val="21"/>
              </w:rPr>
              <w:t>（2）一个数据库防火墙管理服务器能同时管理多个安全点</w:t>
            </w:r>
          </w:p>
          <w:p>
            <w:pPr>
              <w:spacing w:line="320" w:lineRule="exact"/>
              <w:rPr>
                <w:rFonts w:ascii="宋体" w:hAnsi="宋体"/>
                <w:szCs w:val="21"/>
              </w:rPr>
            </w:pPr>
            <w:r>
              <w:rPr>
                <w:rFonts w:hint="eastAsia" w:ascii="宋体" w:hAnsi="宋体"/>
                <w:szCs w:val="21"/>
              </w:rPr>
              <w:t>（3）一个数据库防火墙能监控多个被保护的数据库</w:t>
            </w:r>
          </w:p>
          <w:p>
            <w:pPr>
              <w:widowControl/>
              <w:spacing w:line="320" w:lineRule="exact"/>
              <w:jc w:val="left"/>
              <w:rPr>
                <w:rFonts w:ascii="宋体" w:hAnsi="宋体" w:cs="宋体"/>
                <w:szCs w:val="21"/>
              </w:rPr>
            </w:pPr>
            <w:r>
              <w:rPr>
                <w:rFonts w:hint="eastAsia" w:ascii="宋体" w:hAnsi="宋体" w:cs="宋体"/>
                <w:szCs w:val="21"/>
              </w:rPr>
              <w:t>8.实现对Oracle数据库、MySQL、Microsoft SQL Server、Sybase、和IBM DB2的安全防护。</w:t>
            </w:r>
          </w:p>
          <w:p>
            <w:pPr>
              <w:widowControl/>
              <w:spacing w:line="320" w:lineRule="exact"/>
              <w:jc w:val="left"/>
              <w:rPr>
                <w:rFonts w:ascii="宋体" w:hAnsi="宋体" w:cs="宋体"/>
                <w:szCs w:val="21"/>
              </w:rPr>
            </w:pPr>
            <w:r>
              <w:rPr>
                <w:rFonts w:hint="eastAsia" w:ascii="宋体" w:hAnsi="宋体" w:cs="宋体"/>
                <w:szCs w:val="21"/>
              </w:rPr>
              <w:t>9.实现Oracle Advanced Security的集成，在不拷贝Oracle数据库密钥的前提下，能够解析经过Oracle Advanced Security加密的网络报文。</w:t>
            </w:r>
          </w:p>
          <w:p>
            <w:pPr>
              <w:widowControl/>
              <w:spacing w:line="320" w:lineRule="exact"/>
              <w:jc w:val="left"/>
              <w:rPr>
                <w:rFonts w:ascii="宋体" w:hAnsi="宋体" w:cs="宋体"/>
                <w:szCs w:val="21"/>
              </w:rPr>
            </w:pPr>
            <w:r>
              <w:rPr>
                <w:rFonts w:hint="eastAsia" w:ascii="宋体" w:hAnsi="宋体" w:cs="宋体"/>
                <w:szCs w:val="21"/>
              </w:rPr>
              <w:t>10.实现Syslog的集成，能够用UDP或TCP方法发送标准Syslog信息。</w:t>
            </w:r>
          </w:p>
          <w:p>
            <w:pPr>
              <w:widowControl/>
              <w:spacing w:line="320" w:lineRule="exact"/>
              <w:jc w:val="left"/>
              <w:rPr>
                <w:rFonts w:ascii="宋体" w:hAnsi="宋体" w:cs="宋体"/>
                <w:szCs w:val="21"/>
              </w:rPr>
            </w:pPr>
            <w:r>
              <w:rPr>
                <w:rFonts w:hint="eastAsia" w:ascii="宋体" w:hAnsi="宋体" w:cs="宋体"/>
                <w:szCs w:val="21"/>
              </w:rPr>
              <w:t>11.实现与负载均衡的安全防御集成。实现当用户登录一个应用时，数据库防火墙可以接收到负载均衡传递过来的用户身份消息。需提供实现方案证明。</w:t>
            </w:r>
          </w:p>
          <w:p>
            <w:pPr>
              <w:widowControl/>
              <w:tabs>
                <w:tab w:val="left" w:pos="720"/>
              </w:tabs>
              <w:spacing w:line="320" w:lineRule="exact"/>
              <w:jc w:val="left"/>
              <w:rPr>
                <w:rFonts w:ascii="宋体" w:hAnsi="宋体" w:cs="宋体"/>
                <w:szCs w:val="21"/>
              </w:rPr>
            </w:pPr>
            <w:r>
              <w:rPr>
                <w:rFonts w:hint="eastAsia" w:ascii="宋体" w:hAnsi="宋体" w:cs="宋体"/>
                <w:szCs w:val="21"/>
              </w:rPr>
              <w:t>12.实现ArcSight SIEM标准的集成。</w:t>
            </w:r>
          </w:p>
          <w:p>
            <w:pPr>
              <w:pStyle w:val="44"/>
              <w:spacing w:after="0" w:line="320" w:lineRule="exact"/>
              <w:ind w:left="0" w:leftChars="0" w:firstLine="0" w:firstLineChars="0"/>
              <w:rPr>
                <w:rFonts w:ascii="宋体" w:hAnsi="宋体"/>
                <w:szCs w:val="21"/>
              </w:rPr>
            </w:pPr>
            <w:r>
              <w:rPr>
                <w:rFonts w:hint="eastAsia" w:ascii="宋体" w:hAnsi="宋体"/>
                <w:szCs w:val="21"/>
              </w:rPr>
              <w:t>二、审计功能指标：</w:t>
            </w:r>
          </w:p>
          <w:p>
            <w:pPr>
              <w:widowControl/>
              <w:tabs>
                <w:tab w:val="left" w:pos="720"/>
              </w:tabs>
              <w:spacing w:line="320" w:lineRule="exact"/>
              <w:jc w:val="left"/>
              <w:rPr>
                <w:rFonts w:ascii="宋体" w:hAnsi="宋体"/>
                <w:szCs w:val="21"/>
              </w:rPr>
            </w:pPr>
            <w:r>
              <w:rPr>
                <w:rFonts w:hint="eastAsia" w:ascii="宋体" w:hAnsi="宋体"/>
                <w:szCs w:val="21"/>
              </w:rPr>
              <w:t>1.提供基于Web的管理界面。</w:t>
            </w:r>
          </w:p>
          <w:p>
            <w:pPr>
              <w:widowControl/>
              <w:tabs>
                <w:tab w:val="left" w:pos="720"/>
              </w:tabs>
              <w:spacing w:line="320" w:lineRule="exact"/>
              <w:jc w:val="left"/>
              <w:rPr>
                <w:rFonts w:ascii="宋体" w:hAnsi="宋体"/>
                <w:szCs w:val="21"/>
              </w:rPr>
            </w:pPr>
            <w:r>
              <w:rPr>
                <w:rFonts w:hint="eastAsia" w:ascii="宋体" w:hAnsi="宋体"/>
                <w:szCs w:val="21"/>
              </w:rPr>
              <w:t>2.审计服务器独立于防火墙系统另外部署。</w:t>
            </w:r>
          </w:p>
          <w:p>
            <w:pPr>
              <w:widowControl/>
              <w:tabs>
                <w:tab w:val="left" w:pos="720"/>
              </w:tabs>
              <w:spacing w:line="320" w:lineRule="exact"/>
              <w:jc w:val="left"/>
              <w:rPr>
                <w:rFonts w:ascii="宋体" w:hAnsi="宋体"/>
                <w:szCs w:val="21"/>
              </w:rPr>
            </w:pPr>
            <w:r>
              <w:rPr>
                <w:rFonts w:hint="eastAsia" w:ascii="宋体" w:hAnsi="宋体"/>
                <w:szCs w:val="21"/>
              </w:rPr>
              <w:t>3.审计服务器必须实现高可用性部署。</w:t>
            </w:r>
          </w:p>
          <w:p>
            <w:pPr>
              <w:widowControl/>
              <w:tabs>
                <w:tab w:val="left" w:pos="720"/>
              </w:tabs>
              <w:spacing w:line="320" w:lineRule="exact"/>
              <w:jc w:val="left"/>
              <w:rPr>
                <w:rFonts w:ascii="宋体" w:hAnsi="宋体"/>
                <w:szCs w:val="21"/>
              </w:rPr>
            </w:pPr>
            <w:r>
              <w:rPr>
                <w:rFonts w:hint="eastAsia" w:ascii="宋体" w:hAnsi="宋体"/>
                <w:szCs w:val="21"/>
              </w:rPr>
              <w:t>4.一组（高可用组）审计服务器可以同时管理所有的数据库防火墙，并可以监控这些数据库防火墙的运行状态。</w:t>
            </w:r>
          </w:p>
          <w:p>
            <w:pPr>
              <w:spacing w:line="320" w:lineRule="exact"/>
              <w:rPr>
                <w:rFonts w:ascii="宋体" w:hAnsi="宋体"/>
                <w:szCs w:val="21"/>
              </w:rPr>
            </w:pPr>
            <w:r>
              <w:rPr>
                <w:rFonts w:hint="eastAsia" w:ascii="宋体" w:hAnsi="宋体"/>
                <w:szCs w:val="21"/>
              </w:rPr>
              <w:t>5.实现对Oracle RAC 的监控。</w:t>
            </w:r>
          </w:p>
        </w:tc>
        <w:tc>
          <w:tcPr>
            <w:tcW w:w="851" w:type="dxa"/>
            <w:vMerge w:val="continue"/>
            <w:tcMar>
              <w:top w:w="15" w:type="dxa"/>
              <w:left w:w="15" w:type="dxa"/>
              <w:right w:w="15" w:type="dxa"/>
            </w:tcMar>
            <w:vAlign w:val="center"/>
          </w:tcPr>
          <w:p>
            <w:pPr>
              <w:spacing w:line="32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restart"/>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5</w:t>
            </w:r>
          </w:p>
        </w:tc>
        <w:tc>
          <w:tcPr>
            <w:tcW w:w="992" w:type="dxa"/>
            <w:vMerge w:val="restart"/>
            <w:noWrap/>
            <w:tcMar>
              <w:top w:w="15" w:type="dxa"/>
              <w:left w:w="15" w:type="dxa"/>
              <w:right w:w="15" w:type="dxa"/>
            </w:tcMar>
            <w:vAlign w:val="center"/>
          </w:tcPr>
          <w:p>
            <w:pPr>
              <w:spacing w:line="320" w:lineRule="exact"/>
              <w:jc w:val="center"/>
              <w:rPr>
                <w:rFonts w:ascii="宋体" w:hAnsi="宋体"/>
                <w:szCs w:val="21"/>
              </w:rPr>
            </w:pPr>
            <w:bookmarkStart w:id="80" w:name="_Hlk100241174"/>
            <w:r>
              <w:rPr>
                <w:rFonts w:ascii="宋体" w:hAnsi="宋体"/>
                <w:szCs w:val="21"/>
              </w:rPr>
              <w:t>数据监控大数据分析系统</w:t>
            </w:r>
            <w:bookmarkEnd w:id="80"/>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硬件规格</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2U，双CPU，512G内存，256GB SSD硬盘+48TB SATA硬盘，支持RAID，板载2千兆电口+2万兆光口，4千兆电口卡+2万兆光口卡，双电源。</w:t>
            </w:r>
          </w:p>
        </w:tc>
        <w:tc>
          <w:tcPr>
            <w:tcW w:w="851" w:type="dxa"/>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安全总览</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1.支持展示风险员工、风险设备、风险业务系统、风险账号、风险IP、告警事件数据的统计及TOP5统计，支持展示与昨日对比的风险趋势，展示风险员工和风险设备等级评分。</w:t>
            </w:r>
          </w:p>
          <w:p>
            <w:pPr>
              <w:spacing w:line="320" w:lineRule="exact"/>
              <w:rPr>
                <w:rFonts w:ascii="宋体" w:hAnsi="宋体"/>
                <w:szCs w:val="21"/>
              </w:rPr>
            </w:pPr>
            <w:r>
              <w:rPr>
                <w:rFonts w:hint="eastAsia" w:ascii="宋体" w:hAnsi="宋体"/>
                <w:szCs w:val="21"/>
              </w:rPr>
              <w:t>2.支持系统运行监控，包括但不限于CPU、内存、磁盘。</w:t>
            </w:r>
          </w:p>
          <w:p>
            <w:pPr>
              <w:spacing w:line="320" w:lineRule="exact"/>
              <w:rPr>
                <w:rFonts w:ascii="宋体" w:hAnsi="宋体"/>
                <w:szCs w:val="21"/>
              </w:rPr>
            </w:pPr>
            <w:r>
              <w:rPr>
                <w:rFonts w:hint="eastAsia" w:ascii="宋体" w:hAnsi="宋体"/>
                <w:szCs w:val="21"/>
              </w:rPr>
              <w:t>3.支持最新告警显示，支持最新告警涉及的实体告警信息显示，包括但不限于员工、设备、账号、IP、业务系统等。</w:t>
            </w:r>
          </w:p>
          <w:p>
            <w:pPr>
              <w:spacing w:line="320" w:lineRule="exact"/>
              <w:rPr>
                <w:rFonts w:ascii="宋体" w:hAnsi="宋体"/>
                <w:color w:val="FF0000"/>
                <w:szCs w:val="21"/>
              </w:rPr>
            </w:pPr>
            <w:r>
              <w:rPr>
                <w:rFonts w:hint="eastAsia" w:ascii="宋体" w:hAnsi="宋体"/>
                <w:szCs w:val="21"/>
              </w:rPr>
              <w:t>4.支持按照杀伤链阶段进行告警分析，支持不少于7个杀伤链阶段，包括但不限于侦查跟踪、武器构建、载荷投递等，并可进行详细信息的下钻，支持告警事件类型TOP5统计。</w:t>
            </w:r>
          </w:p>
          <w:p>
            <w:pPr>
              <w:spacing w:line="320" w:lineRule="exact"/>
              <w:rPr>
                <w:rFonts w:ascii="宋体" w:hAnsi="宋体"/>
                <w:szCs w:val="21"/>
              </w:rPr>
            </w:pPr>
            <w:r>
              <w:rPr>
                <w:rFonts w:hint="eastAsia" w:ascii="宋体" w:hAnsi="宋体"/>
                <w:szCs w:val="21"/>
              </w:rPr>
              <w:t>5.支持对当前日、当前周、当前月数据的态势统计。</w:t>
            </w:r>
          </w:p>
        </w:tc>
        <w:tc>
          <w:tcPr>
            <w:tcW w:w="851" w:type="dxa"/>
            <w:vMerge w:val="restart"/>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UEBA</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支持基于员工、设备进行UEBA分析，支持分析风险员工、风险设备总数；支持对员工、设备IP名称进行搜索；支持显示风险员工、风险设备、风险观察表TOP5及风险分值，并支持信息下钻。（提供截图，加盖投标人公章）</w:t>
            </w:r>
          </w:p>
          <w:p>
            <w:pPr>
              <w:spacing w:line="320" w:lineRule="exact"/>
              <w:rPr>
                <w:rFonts w:ascii="宋体" w:hAnsi="宋体"/>
                <w:szCs w:val="21"/>
              </w:rPr>
            </w:pPr>
            <w:r>
              <w:rPr>
                <w:rFonts w:hint="eastAsia" w:ascii="宋体" w:hAnsi="宋体"/>
                <w:szCs w:val="21"/>
              </w:rPr>
              <w:t>2.支持按照多种维度对高风险员工进行监测；包括但不限于全体员工、按风险得分、组织结构、群组。</w:t>
            </w:r>
          </w:p>
          <w:p>
            <w:pPr>
              <w:spacing w:line="320" w:lineRule="exact"/>
              <w:rPr>
                <w:rFonts w:ascii="宋体" w:hAnsi="宋体"/>
                <w:szCs w:val="21"/>
              </w:rPr>
            </w:pPr>
            <w:r>
              <w:rPr>
                <w:rFonts w:hint="eastAsia" w:ascii="宋体" w:hAnsi="宋体"/>
                <w:szCs w:val="21"/>
              </w:rPr>
              <w:t>3.对风险员工进行列表展示，展示信息包括但不限于员工基本信息展示，包括但不限于员工姓名、IP、工号、职务、邮件地址、组织机构等。</w:t>
            </w:r>
          </w:p>
          <w:p>
            <w:pPr>
              <w:spacing w:line="320" w:lineRule="exact"/>
              <w:rPr>
                <w:rFonts w:ascii="宋体" w:hAnsi="宋体"/>
                <w:szCs w:val="21"/>
              </w:rPr>
            </w:pPr>
            <w:r>
              <w:rPr>
                <w:rFonts w:hint="eastAsia" w:ascii="宋体" w:hAnsi="宋体"/>
                <w:szCs w:val="21"/>
              </w:rPr>
              <w:t>4.支持对风险员工历史风险跟踪，支持按照日及小时粒度绘制历史风险甘特图，支持按照风险类型关联告警事件列表，支持挖掘风险员工的相似性行为。</w:t>
            </w:r>
          </w:p>
          <w:p>
            <w:pPr>
              <w:spacing w:line="320" w:lineRule="exact"/>
              <w:rPr>
                <w:rFonts w:ascii="宋体" w:hAnsi="宋体"/>
                <w:szCs w:val="21"/>
              </w:rPr>
            </w:pPr>
            <w:r>
              <w:rPr>
                <w:rFonts w:hint="eastAsia" w:ascii="宋体" w:hAnsi="宋体"/>
                <w:szCs w:val="21"/>
              </w:rPr>
              <w:t>5.支持对风险员工的行为进行用户画像分析，包括但不限于常用资源、常用账号、常用设备、邮件往来、内部资源使用等。</w:t>
            </w:r>
          </w:p>
          <w:p>
            <w:pPr>
              <w:spacing w:line="320" w:lineRule="exact"/>
              <w:rPr>
                <w:rFonts w:ascii="宋体" w:hAnsi="宋体"/>
                <w:szCs w:val="21"/>
              </w:rPr>
            </w:pPr>
            <w:r>
              <w:rPr>
                <w:rFonts w:hint="eastAsia" w:ascii="宋体" w:hAnsi="宋体"/>
                <w:szCs w:val="21"/>
              </w:rPr>
              <w:t>6.支持对风险员工的网络活动进行统计监测，常访问的域名、应用协议使用、常访问业务系统、常访问安全域、常访问URL类型、常访问数据库、常访问设备IP/端口。</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微软雅黑"/>
                <w:szCs w:val="21"/>
              </w:rPr>
              <w:t>SOAR</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支持分类型显示告警的数量，且支持对不同类型告警的批量操作。可形成告警趋势图，在一定时间段内显示告警数量的变化情况。详细显示告警的风险等级、名称、源IP、受影响IP、处置状态，根据这些信息可对告警进行相关操作。</w:t>
            </w:r>
          </w:p>
          <w:p>
            <w:pPr>
              <w:spacing w:line="320" w:lineRule="exact"/>
              <w:rPr>
                <w:rFonts w:ascii="宋体" w:hAnsi="宋体"/>
                <w:szCs w:val="21"/>
              </w:rPr>
            </w:pPr>
            <w:r>
              <w:rPr>
                <w:rFonts w:hint="eastAsia" w:ascii="宋体" w:hAnsi="宋体"/>
                <w:szCs w:val="21"/>
              </w:rPr>
              <w:t>2.支持剧本聚焦于安全编排，未配置剧本需要根据现场环境进行设置，支持在剧本上直接执行一键处置，并能查看剧本的响应记录。</w:t>
            </w:r>
          </w:p>
          <w:p>
            <w:pPr>
              <w:spacing w:line="320" w:lineRule="exact"/>
              <w:rPr>
                <w:rFonts w:ascii="宋体" w:hAnsi="宋体"/>
                <w:szCs w:val="21"/>
              </w:rPr>
            </w:pPr>
            <w:r>
              <w:rPr>
                <w:rFonts w:hint="eastAsia" w:ascii="宋体" w:hAnsi="宋体"/>
                <w:szCs w:val="21"/>
              </w:rPr>
              <w:t>3.支持匹配用例的告警事件会自动触发其配置的剧本，注意触发条件和有效时间是能否匹配用例执行配置剧本的两个核心因素，支持查看触发用例的响应记录。</w:t>
            </w:r>
          </w:p>
          <w:p>
            <w:pPr>
              <w:spacing w:line="320" w:lineRule="exact"/>
              <w:rPr>
                <w:rFonts w:ascii="宋体" w:hAnsi="宋体"/>
                <w:szCs w:val="21"/>
              </w:rPr>
            </w:pPr>
            <w:r>
              <w:rPr>
                <w:rFonts w:hint="eastAsia" w:ascii="宋体" w:hAnsi="宋体"/>
                <w:szCs w:val="21"/>
              </w:rPr>
              <w:t>4.支持手动输入处置信息并能一键触发剧本。</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事件调查</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支持多维度内网实体外联分析总览，包括外联会话流量占比、外联行为地理分布、外网行为关系展示、外联行为列表、资产外联次数排名、外联目标排名、外联行为趋势、访问时间段分布等。支持基于世界热力地图进行外联行为地理分布，支持分析时间范围设定。</w:t>
            </w:r>
          </w:p>
          <w:p>
            <w:pPr>
              <w:spacing w:line="320" w:lineRule="exact"/>
              <w:rPr>
                <w:rFonts w:ascii="宋体" w:hAnsi="宋体"/>
                <w:szCs w:val="21"/>
              </w:rPr>
            </w:pPr>
            <w:r>
              <w:rPr>
                <w:rFonts w:hint="eastAsia" w:ascii="宋体" w:hAnsi="宋体"/>
                <w:szCs w:val="21"/>
              </w:rPr>
              <w:t>2.支持多维度内网实体外联心跳行为分析，包括资产外联列表、外联目标列表、心跳类型占比、心跳时间分布、应用协议心跳、传输协议心跳、心跳事件列表等。支持基于时间序列散点图进行心跳时间分布展示，支持通过散点面积大小展示心跳行为数量多少，支持分析时间范围设定。</w:t>
            </w:r>
          </w:p>
          <w:p>
            <w:pPr>
              <w:spacing w:line="320" w:lineRule="exact"/>
              <w:rPr>
                <w:rFonts w:ascii="宋体" w:hAnsi="宋体"/>
                <w:szCs w:val="21"/>
              </w:rPr>
            </w:pPr>
            <w:r>
              <w:rPr>
                <w:rFonts w:hint="eastAsia" w:ascii="宋体" w:hAnsi="宋体"/>
                <w:szCs w:val="21"/>
              </w:rPr>
              <w:t>3.支持多维度内网实体横向移动分析，包括横向移动类型、横向移动资产类型排行、横向移动时间段分布、横向移动威胁关系、横向移动趋势、源资产列表、目标资产列表、目标资产端口占比、传输相同文件排行、高危账号排行、横向移动事件列表；支持两级至少10种横向移动类型分析，包括但不限于内部扫描连接、内部尝试登录暴破、凭据传递、风险扩散等。支持点选及输入分析条件。</w:t>
            </w:r>
          </w:p>
          <w:p>
            <w:pPr>
              <w:spacing w:line="320" w:lineRule="exact"/>
              <w:rPr>
                <w:rFonts w:ascii="宋体" w:hAnsi="宋体"/>
                <w:szCs w:val="21"/>
              </w:rPr>
            </w:pPr>
            <w:r>
              <w:rPr>
                <w:rFonts w:hint="eastAsia" w:ascii="宋体" w:hAnsi="宋体"/>
                <w:szCs w:val="21"/>
              </w:rPr>
              <w:t>4.支持对发生的告警事件全面展示，包括告警趋势图、告警列表、涉及员工、设备、账号、IP、业务系统，告警事件数量员工TOP5、告警事件数量资产TOP5、告警事件数量业务系统TOP5，告警列表包含分值、时间、告警类型、涉及员工、设备、告警标签，告警事件详情包括涉及员工列表、设备列表、域名列表、URL列表、操作时间、分类、详情；支持多种条件过滤告警事件，条件类型包括时间范围、关键字、风险值范围、告警类型。</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智能分析</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支持对设备下发联动策略，支持按条件查询联动策略；支持联动策略列表展示，展示字段包括策略名称、描述、联动设备名称、类型、厂商、软件版本、策略状态、执行状态；支持对策略进行添加、启停、编辑、删除等操作；</w:t>
            </w:r>
          </w:p>
          <w:p>
            <w:pPr>
              <w:spacing w:line="320" w:lineRule="exact"/>
              <w:rPr>
                <w:rFonts w:ascii="宋体" w:hAnsi="宋体"/>
                <w:szCs w:val="21"/>
              </w:rPr>
            </w:pPr>
            <w:r>
              <w:rPr>
                <w:rFonts w:hint="eastAsia" w:ascii="宋体" w:hAnsi="宋体"/>
                <w:szCs w:val="21"/>
              </w:rPr>
              <w:t>2.支持对联动设备进行统一管理，支持联动设备查询及列表展示，展示字段包括设备名称、厂商、版本、IP、端口、描述、添加人、添加时间；支持对设备进行添加、启停、编辑、连通性测试等操作。</w:t>
            </w:r>
          </w:p>
          <w:p>
            <w:pPr>
              <w:spacing w:line="320" w:lineRule="exact"/>
              <w:rPr>
                <w:rFonts w:ascii="宋体" w:hAnsi="宋体"/>
                <w:szCs w:val="21"/>
              </w:rPr>
            </w:pPr>
            <w:r>
              <w:rPr>
                <w:rFonts w:hint="eastAsia" w:ascii="宋体" w:hAnsi="宋体"/>
                <w:szCs w:val="21"/>
              </w:rPr>
              <w:t>3.支持按分析引擎类型及专题场景对智能分析模型进行总体概览，分析引擎类型包括关联分析、行为分析、深度分析，专题场景包括外联分析、IP活跃分析、横向移动、DNS异常、异常时间活跃、零信任，专题场景包括至少20种二级场景，包括但不限于恶意外联、频繁变更、异常请求、静默行为等。支持专题分析和模型列表的信息下钻。支持模型的启用和停用。</w:t>
            </w:r>
          </w:p>
          <w:p>
            <w:pPr>
              <w:spacing w:line="320" w:lineRule="exact"/>
              <w:rPr>
                <w:rFonts w:ascii="宋体" w:hAnsi="宋体"/>
                <w:color w:val="FF0000"/>
                <w:szCs w:val="21"/>
              </w:rPr>
            </w:pPr>
            <w:r>
              <w:rPr>
                <w:rFonts w:hint="eastAsia" w:ascii="宋体" w:hAnsi="宋体"/>
                <w:szCs w:val="21"/>
              </w:rPr>
              <w:t>4.支持对关联分析引擎模型进行管理，包括启用、停用、查询、批量导入、批量导出、批量删除、添加、创建副本、分类统计。</w:t>
            </w:r>
          </w:p>
          <w:p>
            <w:pPr>
              <w:spacing w:line="320" w:lineRule="exact"/>
              <w:rPr>
                <w:rFonts w:ascii="宋体" w:hAnsi="宋体"/>
                <w:color w:val="FF0000"/>
                <w:szCs w:val="21"/>
              </w:rPr>
            </w:pPr>
            <w:r>
              <w:rPr>
                <w:rFonts w:hint="eastAsia" w:ascii="宋体" w:hAnsi="宋体"/>
                <w:szCs w:val="21"/>
              </w:rPr>
              <w:t>支持对关联分析模型进行多条件组合查询，包括模型分类、模型专题、杀伤链阶段、编号名称、来源、状态。支持至少两级10种模型分类条件，包括但不限于初始访问、横向移动、命令与控制等，支持至少两级20种场景条件，包括但不限于恶意外联、频繁变更、异常请求、静默行为等，支持至少8种杀伤链条件，包括但不限于漏洞利用、载荷投递、武器构建等。</w:t>
            </w:r>
          </w:p>
          <w:p>
            <w:pPr>
              <w:spacing w:line="320" w:lineRule="exact"/>
              <w:rPr>
                <w:rFonts w:ascii="宋体" w:hAnsi="宋体"/>
                <w:color w:val="FF0000"/>
                <w:szCs w:val="21"/>
              </w:rPr>
            </w:pPr>
            <w:r>
              <w:rPr>
                <w:rFonts w:hint="eastAsia" w:ascii="宋体" w:hAnsi="宋体"/>
                <w:szCs w:val="21"/>
              </w:rPr>
              <w:t>5.支持基于算子拖拽式自定义添加关联分析模型，支持至少4大类15种算子，包括但不限于事件选择、事件筛选、事件关联、事件统计；支持对模型进行基础设置、安全事件设置、告警事件设置，基础设置包括启用状态、模型专题、分类、ATT&amp;CK、描述，安全事件设置包括事件名称、类型、主体、风险评分、事件标签、描述、处置建议，告警事件设置包括生成状态、生成情报、生成知识、删除知识，支持模型测试。</w:t>
            </w:r>
          </w:p>
          <w:p>
            <w:pPr>
              <w:spacing w:line="320" w:lineRule="exact"/>
              <w:rPr>
                <w:rFonts w:ascii="宋体" w:hAnsi="宋体"/>
                <w:color w:val="FF0000"/>
                <w:szCs w:val="21"/>
              </w:rPr>
            </w:pPr>
            <w:r>
              <w:rPr>
                <w:rFonts w:hint="eastAsia" w:ascii="宋体" w:hAnsi="宋体"/>
                <w:szCs w:val="21"/>
              </w:rPr>
              <w:t>★6.支持对行为分析引擎模型进行管理，包括启用、停用、查询、批量导入、批量导出、批量删除、添加、创建副本、分类统计。</w:t>
            </w:r>
          </w:p>
          <w:p>
            <w:pPr>
              <w:spacing w:line="320" w:lineRule="exact"/>
              <w:rPr>
                <w:rFonts w:ascii="宋体" w:hAnsi="宋体"/>
                <w:color w:val="FF0000"/>
                <w:szCs w:val="21"/>
              </w:rPr>
            </w:pPr>
            <w:r>
              <w:rPr>
                <w:rFonts w:hint="eastAsia" w:ascii="宋体" w:hAnsi="宋体"/>
                <w:szCs w:val="21"/>
              </w:rPr>
              <w:t>支持对行为分析模型进行多条件组合查询，包括模型分类、模型专题、杀伤链阶段、编号名称、来源、状态。支持至少两级10种模型分类条件，包括但不限于初始访问、横向移动、命令与控制等，支持至少两级20种场景条件，包括但不限于恶意外联、频繁变更、异常请求、静默行为等，支持至少8种杀伤链条件，包括但不限于漏洞利用、载荷投递、武器构建等。</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知识情报</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1.支持对情报库进行检索及统计的可视化展现，支持选择检索范围。</w:t>
            </w:r>
          </w:p>
          <w:p>
            <w:pPr>
              <w:spacing w:line="320" w:lineRule="exact"/>
              <w:rPr>
                <w:rFonts w:ascii="宋体" w:hAnsi="宋体"/>
                <w:color w:val="FF0000"/>
                <w:szCs w:val="21"/>
              </w:rPr>
            </w:pPr>
            <w:r>
              <w:rPr>
                <w:rFonts w:hint="eastAsia" w:ascii="宋体" w:hAnsi="宋体"/>
                <w:szCs w:val="21"/>
              </w:rPr>
              <w:t>2.支持通过知识库分类、数量、知识类型、分组进行对知识情报进行统计，支持对威胁情报库进行统计展示，展示内容包括但不限于总量、URL、域名、IP、HASH等。</w:t>
            </w:r>
          </w:p>
          <w:p>
            <w:pPr>
              <w:spacing w:line="320" w:lineRule="exact"/>
              <w:rPr>
                <w:rFonts w:ascii="宋体" w:hAnsi="宋体"/>
                <w:color w:val="FF0000"/>
                <w:szCs w:val="21"/>
              </w:rPr>
            </w:pPr>
            <w:r>
              <w:rPr>
                <w:rFonts w:hint="eastAsia" w:ascii="宋体" w:hAnsi="宋体"/>
                <w:szCs w:val="21"/>
              </w:rPr>
              <w:t>3.支持威胁情报管理功能，包括情报信息的查询及状态启停，支持威胁情报和漏洞情报分类，包括域名、HASH、IP、MAIL、URL、漏洞，情报信息包含关键字、数据采集时间、获取方式、情报来源、状态、分类。</w:t>
            </w:r>
          </w:p>
          <w:p>
            <w:pPr>
              <w:spacing w:line="320" w:lineRule="exac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.支持知识情报的添加、导入、分组添加、分组信息的修改、批量启停、查询等操作。支持至少3类70种知识情报管理。包括但不限于IP知识情报、端口知识情报、URL知识情报等。</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资产管理</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1.支持对组织机构的查询、添加、批量管理操作等，支持对模板的下载和导入功能。显示组织全路径以及数据来源。</w:t>
            </w:r>
          </w:p>
          <w:p>
            <w:pPr>
              <w:spacing w:line="320" w:lineRule="exact"/>
              <w:rPr>
                <w:rFonts w:ascii="宋体" w:hAnsi="宋体"/>
                <w:szCs w:val="21"/>
              </w:rPr>
            </w:pPr>
            <w:r>
              <w:rPr>
                <w:rFonts w:hint="eastAsia" w:ascii="宋体" w:hAnsi="宋体"/>
                <w:szCs w:val="21"/>
              </w:rPr>
              <w:t>2.支持对安全域结构的显示，支持对安全域信息的查询、添加、修改、删除操作等。并显示安全域全路径、网段以及数据来源。操作功能中可查看某安全域详细信息。</w:t>
            </w:r>
          </w:p>
          <w:p>
            <w:pPr>
              <w:spacing w:line="320" w:lineRule="exact"/>
              <w:rPr>
                <w:rFonts w:ascii="宋体" w:hAnsi="宋体"/>
                <w:color w:val="FF0000"/>
                <w:szCs w:val="21"/>
              </w:rPr>
            </w:pPr>
            <w:r>
              <w:rPr>
                <w:rFonts w:hint="eastAsia" w:ascii="宋体" w:hAnsi="宋体"/>
                <w:szCs w:val="21"/>
              </w:rPr>
              <w:t>3.支持关于员工人员信息的查询、添加、修改、删除的操作。支持显示员工姓名、所属单位、职位、身份类型以及员工状态。</w:t>
            </w:r>
          </w:p>
          <w:p>
            <w:pPr>
              <w:spacing w:line="320" w:lineRule="exact"/>
              <w:rPr>
                <w:rFonts w:ascii="宋体" w:hAnsi="宋体"/>
                <w:color w:val="FF0000"/>
                <w:szCs w:val="21"/>
              </w:rPr>
            </w:pPr>
            <w:r>
              <w:rPr>
                <w:rFonts w:hint="eastAsia" w:ascii="宋体" w:hAnsi="宋体"/>
                <w:szCs w:val="21"/>
              </w:rPr>
              <w:t>支持对机构组织中的设备及IP进行查看、修改、删除以及查看历史记录等操作。支持查看设备/IP的所属机构、所属网段、所属安全域以及数据来源，匹配网段刷新功能。</w:t>
            </w:r>
          </w:p>
          <w:p>
            <w:pPr>
              <w:spacing w:line="320" w:lineRule="exact"/>
              <w:rPr>
                <w:rFonts w:ascii="宋体" w:hAnsi="宋体"/>
                <w:szCs w:val="21"/>
              </w:rPr>
            </w:pPr>
            <w:r>
              <w:rPr>
                <w:rFonts w:hint="eastAsia" w:ascii="宋体" w:hAnsi="宋体"/>
                <w:szCs w:val="21"/>
              </w:rPr>
              <w:t>4.支持对系统业务的查询功能。查询信息包括但不限于业务所属系统名称、所属组织、关联设备以及所属IP等。</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系统管理</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1.支持添加、删除、编辑日志源，支持展示日志源的地址、对应接收器名称、设备类型、日志源状态等信息，支持日志源的启用和停用。</w:t>
            </w:r>
          </w:p>
          <w:p>
            <w:pPr>
              <w:spacing w:line="320" w:lineRule="exact"/>
              <w:rPr>
                <w:rFonts w:ascii="宋体" w:hAnsi="宋体"/>
                <w:szCs w:val="21"/>
              </w:rPr>
            </w:pPr>
            <w:r>
              <w:rPr>
                <w:rFonts w:hint="eastAsia" w:ascii="宋体" w:hAnsi="宋体"/>
                <w:szCs w:val="21"/>
              </w:rPr>
              <w:t>2.支持配置UDP、TCP、AVRO、消息订阅系统、NETFLOW_V5、SFTP、文件、REST和JDBC等多种类型的日志源进行数据采集，并支持SSL方式加密传输。</w:t>
            </w:r>
          </w:p>
          <w:p>
            <w:pPr>
              <w:spacing w:line="320" w:lineRule="exact"/>
              <w:rPr>
                <w:rFonts w:ascii="宋体" w:hAnsi="宋体"/>
                <w:szCs w:val="21"/>
              </w:rPr>
            </w:pPr>
            <w:r>
              <w:rPr>
                <w:rFonts w:hint="eastAsia" w:ascii="宋体" w:hAnsi="宋体"/>
                <w:szCs w:val="21"/>
              </w:rPr>
              <w:t>3.支持添加、删除、编辑接收器；支持展示接收器的名称、类型、端口、服务器、状态、修改时间等信息，支持接收服务器的启用和停用。</w:t>
            </w:r>
          </w:p>
          <w:p>
            <w:pPr>
              <w:spacing w:line="320" w:lineRule="exact"/>
              <w:rPr>
                <w:rFonts w:ascii="宋体" w:hAnsi="宋体"/>
                <w:szCs w:val="21"/>
              </w:rPr>
            </w:pPr>
            <w:r>
              <w:rPr>
                <w:rFonts w:hint="eastAsia" w:ascii="宋体" w:hAnsi="宋体"/>
                <w:szCs w:val="21"/>
              </w:rPr>
              <w:t>4.内置解析模板，支持至少10个厂商，支持至少5种设备类型，支持新增、删除、编辑、导入、导出解析模板。（提供截图，加盖投标人公章）</w:t>
            </w:r>
          </w:p>
          <w:p>
            <w:pPr>
              <w:spacing w:line="320" w:lineRule="exact"/>
              <w:rPr>
                <w:rFonts w:ascii="宋体" w:hAnsi="宋体"/>
                <w:szCs w:val="21"/>
              </w:rPr>
            </w:pPr>
            <w:r>
              <w:rPr>
                <w:rFonts w:hint="eastAsia" w:ascii="宋体" w:hAnsi="宋体"/>
                <w:szCs w:val="21"/>
              </w:rPr>
              <w:t>5.支持自定义解析模板，支持按照标准和高级两种模式进行模板配置。</w:t>
            </w:r>
          </w:p>
          <w:p>
            <w:pPr>
              <w:spacing w:line="320" w:lineRule="exact"/>
              <w:rPr>
                <w:rFonts w:ascii="宋体" w:hAnsi="宋体"/>
                <w:szCs w:val="21"/>
              </w:rPr>
            </w:pPr>
            <w:r>
              <w:rPr>
                <w:rFonts w:hint="eastAsia" w:ascii="宋体" w:hAnsi="宋体"/>
                <w:szCs w:val="21"/>
              </w:rPr>
              <w:t>6.支持通过解析模板进行特征匹配、字段提取、字段泛化、字段富化、字段过滤。</w:t>
            </w:r>
          </w:p>
          <w:p>
            <w:pPr>
              <w:spacing w:line="320" w:lineRule="exact"/>
              <w:rPr>
                <w:rFonts w:ascii="宋体" w:hAnsi="宋体"/>
                <w:szCs w:val="21"/>
              </w:rPr>
            </w:pPr>
            <w:r>
              <w:rPr>
                <w:rFonts w:hint="eastAsia" w:ascii="宋体" w:hAnsi="宋体"/>
                <w:szCs w:val="21"/>
              </w:rPr>
              <w:t>★7.支持基于关键字特征和正则表达式进行特征匹配；支持至少10种字段提取规则，包括但不限于字符串分割、KV提取；支持选择标准字段进行泛化操作；至少预置5种富化规则，包括但不限于DHCP映射、杀伤链事件定位库；支持通过与或逻辑进行字段过滤。</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restart"/>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6</w:t>
            </w:r>
          </w:p>
        </w:tc>
        <w:tc>
          <w:tcPr>
            <w:tcW w:w="992" w:type="dxa"/>
            <w:vMerge w:val="restart"/>
            <w:noWrap/>
            <w:tcMar>
              <w:top w:w="15" w:type="dxa"/>
              <w:left w:w="15" w:type="dxa"/>
              <w:right w:w="15" w:type="dxa"/>
            </w:tcMar>
            <w:vAlign w:val="center"/>
          </w:tcPr>
          <w:p>
            <w:pPr>
              <w:spacing w:line="320" w:lineRule="exact"/>
              <w:jc w:val="center"/>
              <w:rPr>
                <w:rFonts w:ascii="宋体" w:hAnsi="宋体"/>
                <w:szCs w:val="21"/>
              </w:rPr>
            </w:pPr>
            <w:bookmarkStart w:id="81" w:name="_Hlk100241184"/>
            <w:r>
              <w:rPr>
                <w:rFonts w:ascii="宋体" w:hAnsi="宋体"/>
                <w:szCs w:val="21"/>
              </w:rPr>
              <w:t>数据库操作日志审计设备</w:t>
            </w:r>
            <w:bookmarkEnd w:id="81"/>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硬件规格</w:t>
            </w:r>
          </w:p>
        </w:tc>
        <w:tc>
          <w:tcPr>
            <w:tcW w:w="6042" w:type="dxa"/>
            <w:tcMar>
              <w:top w:w="15" w:type="dxa"/>
              <w:left w:w="15" w:type="dxa"/>
              <w:right w:w="15" w:type="dxa"/>
            </w:tcMar>
          </w:tcPr>
          <w:p>
            <w:pPr>
              <w:spacing w:line="320" w:lineRule="exact"/>
              <w:rPr>
                <w:rFonts w:ascii="宋体" w:hAnsi="宋体"/>
                <w:szCs w:val="21"/>
              </w:rPr>
            </w:pPr>
            <w:r>
              <w:rPr>
                <w:rFonts w:hint="eastAsia" w:ascii="宋体" w:hAnsi="宋体"/>
                <w:szCs w:val="21"/>
              </w:rPr>
              <w:t>2U，审计处理能力</w:t>
            </w:r>
            <w:r>
              <w:rPr>
                <w:rFonts w:hint="eastAsia" w:ascii="宋体" w:hAnsi="宋体" w:cs="宋体"/>
                <w:bCs/>
                <w:szCs w:val="21"/>
              </w:rPr>
              <w:t>≥4Gbps，峰值处理能力≥30000条/秒，日志存储能力≥120亿条，部署形式</w:t>
            </w:r>
            <w:r>
              <w:rPr>
                <w:rFonts w:hint="eastAsia" w:ascii="宋体" w:hAnsi="宋体" w:cs="宋体"/>
                <w:szCs w:val="21"/>
              </w:rPr>
              <w:t>支持单点旁路、多点多级部署，使用环境</w:t>
            </w:r>
            <w:r>
              <w:rPr>
                <w:rFonts w:hint="eastAsia" w:ascii="宋体" w:hAnsi="宋体" w:cs="宋体"/>
                <w:bCs/>
                <w:szCs w:val="21"/>
              </w:rPr>
              <w:t>运行温度：0~40℃，存储空间6T，6个电口，4个SFP插槽,2个USB，双冗余电源，最高支持15个云审计代理/Agent授权。</w:t>
            </w:r>
          </w:p>
        </w:tc>
        <w:tc>
          <w:tcPr>
            <w:tcW w:w="851" w:type="dxa"/>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6"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数据库类型</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1.支持Oracle、SQLServer、MySQL、DB2、Sybase、Informix、PostgreSQL、Teradata等数据库系统。</w:t>
            </w:r>
          </w:p>
          <w:p>
            <w:pPr>
              <w:spacing w:line="320" w:lineRule="exact"/>
              <w:rPr>
                <w:rFonts w:ascii="宋体" w:hAnsi="宋体"/>
                <w:szCs w:val="21"/>
              </w:rPr>
            </w:pPr>
            <w:r>
              <w:rPr>
                <w:rFonts w:hint="eastAsia" w:ascii="宋体" w:hAnsi="宋体" w:cs="宋体"/>
                <w:szCs w:val="21"/>
              </w:rPr>
              <w:t>2.支持Cache、Hive、Hana、clickhouse、Tibero、Solr、MongoDB、HBase、ElasticSearch、Redis等国际主流数据库系统。</w:t>
            </w:r>
          </w:p>
          <w:p>
            <w:pPr>
              <w:spacing w:line="320" w:lineRule="exact"/>
              <w:rPr>
                <w:rFonts w:ascii="宋体" w:hAnsi="宋体"/>
                <w:szCs w:val="21"/>
              </w:rPr>
            </w:pPr>
            <w:r>
              <w:rPr>
                <w:rFonts w:hint="eastAsia" w:ascii="宋体" w:hAnsi="宋体" w:cs="宋体"/>
                <w:szCs w:val="21"/>
              </w:rPr>
              <w:t>3.支持KingBase、DaMeng、Oscar、GBase、Inspur_KDB、Highgo、GaussDB等国内主流数据库系统。</w:t>
            </w:r>
          </w:p>
        </w:tc>
        <w:tc>
          <w:tcPr>
            <w:tcW w:w="851" w:type="dxa"/>
            <w:vMerge w:val="restart"/>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2套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主流业务协议审计</w:t>
            </w:r>
          </w:p>
        </w:tc>
        <w:tc>
          <w:tcPr>
            <w:tcW w:w="6042" w:type="dxa"/>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支持HTTP、Telnet、FTP、SMTP、IMAP、POP3的审计。</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36"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主流业务协议审计查询</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1.HTTP协议支持按HTTP访问域、URL、请求类型、请求文件、Cookie、返回码等34个分项作为查询和统计的条件。</w:t>
            </w:r>
          </w:p>
          <w:p>
            <w:pPr>
              <w:spacing w:line="320" w:lineRule="exact"/>
              <w:rPr>
                <w:rFonts w:ascii="宋体" w:hAnsi="宋体"/>
                <w:szCs w:val="21"/>
              </w:rPr>
            </w:pPr>
            <w:r>
              <w:rPr>
                <w:rFonts w:hint="eastAsia" w:ascii="宋体" w:hAnsi="宋体" w:cs="宋体"/>
                <w:szCs w:val="21"/>
              </w:rPr>
              <w:t>2.Telnet协议支持按telnet命令、返回信息等20个分项作为查询和统计的条件。</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细粒度审计信息</w:t>
            </w:r>
          </w:p>
        </w:tc>
        <w:tc>
          <w:tcPr>
            <w:tcW w:w="6042" w:type="dxa"/>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系统支持详细的审计日志，审计元素包括执行人who、执行内容what、执行时间when、执行地点where、执行方式how、影响范围Range、执行结果ResultSet。</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数据库协议审计查询</w:t>
            </w:r>
          </w:p>
        </w:tc>
        <w:tc>
          <w:tcPr>
            <w:tcW w:w="6042" w:type="dxa"/>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支持按五元组、数据库实例、数据库名、用户名、数据库表名、表字段名、告警级别、VLANID、操作类别、SQL语句、响应时间、连接时长、会话ID、关联规则ID、操作结果、SQL返回结果集、数据库客户端程序、数据库服务器端程序等57个分项作为查询和统计条件。</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双向审计</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1.支持数据库请求和返回的双向审计，特别是返回字段和结果集、返回码、SQL错误信息、返回行数、执行时长等内容。</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数据库自动发现</w:t>
            </w:r>
          </w:p>
        </w:tc>
        <w:tc>
          <w:tcPr>
            <w:tcW w:w="6042" w:type="dxa"/>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支持从数据库流量中自动识别数据库，从流量分析结果中自动判别包含的数据库类型、版本、地址、端口、发现时间、会话时长、总事件数等信息，并且自动添加到待监控审计列表，无需用户提供网段、数据库地址等信息。</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66"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数据库监控</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1.支持依据数据库实例监控各个数据的数据库类型、活跃会话数、总会话数、负载等信息。</w:t>
            </w:r>
          </w:p>
          <w:p>
            <w:pPr>
              <w:spacing w:line="320" w:lineRule="exact"/>
              <w:rPr>
                <w:rFonts w:ascii="宋体" w:hAnsi="宋体"/>
                <w:szCs w:val="21"/>
              </w:rPr>
            </w:pPr>
            <w:r>
              <w:rPr>
                <w:rFonts w:hint="eastAsia" w:ascii="宋体" w:hAnsi="宋体" w:cs="宋体"/>
                <w:szCs w:val="21"/>
              </w:rPr>
              <w:t>2.支持依据数据库实例监控各个数据库的连接池、缓冲区、表空间、死锁、CPU、内存、硬盘等信息，可自定义告警阈值进行健康评估。</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弱口令扫描</w:t>
            </w:r>
          </w:p>
        </w:tc>
        <w:tc>
          <w:tcPr>
            <w:tcW w:w="6042" w:type="dxa"/>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支持数据库服务器弱口令扫描，扫描出的弱密码支持脱敏显示。</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SQL操作统计</w:t>
            </w:r>
          </w:p>
        </w:tc>
        <w:tc>
          <w:tcPr>
            <w:tcW w:w="6042" w:type="dxa"/>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支持各类SQL操作数量以及占比情况。</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5"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应用流量监听</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1.支持审计各个应用协议的流量大小和数据包数量，并以图表形式进行排名。</w:t>
            </w:r>
          </w:p>
          <w:p>
            <w:pPr>
              <w:spacing w:line="320" w:lineRule="exact"/>
              <w:rPr>
                <w:rFonts w:ascii="宋体" w:hAnsi="宋体"/>
                <w:szCs w:val="21"/>
              </w:rPr>
            </w:pPr>
            <w:r>
              <w:rPr>
                <w:rFonts w:hint="eastAsia" w:ascii="宋体" w:hAnsi="宋体" w:cs="宋体"/>
                <w:szCs w:val="21"/>
              </w:rPr>
              <w:t>2.支持自定义时间查看各个协议审计的流量趋势图，直观展示应用流量的监听情况。</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设备运行状态</w:t>
            </w:r>
          </w:p>
        </w:tc>
        <w:tc>
          <w:tcPr>
            <w:tcW w:w="6042" w:type="dxa"/>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支持首页直观展示数据库审计系统的运行情况，比如并发连接数、每秒新建连接速率、版本号、运行时间以及CPU、内存、硬盘等资源占用情况。</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数据库攻击行为审计</w:t>
            </w:r>
          </w:p>
        </w:tc>
        <w:tc>
          <w:tcPr>
            <w:tcW w:w="6042" w:type="dxa"/>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支持对针对数据库的 XSS 攻击行为、SQL 注入攻击行为，利用漏洞攻击等行为进行审计，并进行实时报警。</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cs="宋体"/>
                <w:szCs w:val="21"/>
              </w:rPr>
              <w:t>SQL错误统计</w:t>
            </w:r>
          </w:p>
        </w:tc>
        <w:tc>
          <w:tcPr>
            <w:tcW w:w="6042" w:type="dxa"/>
            <w:tcMar>
              <w:top w:w="15" w:type="dxa"/>
              <w:left w:w="15" w:type="dxa"/>
              <w:right w:w="15" w:type="dxa"/>
            </w:tcMar>
            <w:vAlign w:val="center"/>
          </w:tcPr>
          <w:p>
            <w:pPr>
              <w:spacing w:line="320" w:lineRule="exact"/>
              <w:rPr>
                <w:rFonts w:ascii="宋体" w:hAnsi="宋体"/>
                <w:szCs w:val="21"/>
              </w:rPr>
            </w:pPr>
            <w:r>
              <w:rPr>
                <w:rFonts w:hint="eastAsia" w:ascii="宋体" w:hAnsi="宋体" w:cs="宋体"/>
                <w:szCs w:val="21"/>
              </w:rPr>
              <w:t>多个维度展示错误占比及趋势，从源IP维度以柱状图展示SQL错误数（TOP10）。</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SQL错误分析</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以列表形式给出出错原因、出错信息以及解决办法。</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SQL效率分析</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以饼图展示正常SQL与慢SQL占比情况、TOP10慢SQL的详细分析：TOP排名信息、事件ID、数据库名、目的ip、协议类型、源ip、sql响应时间、操作类型、具体sql语句等要素。</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SQL错误知识库</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支持不</w:t>
            </w:r>
            <w:r>
              <w:rPr>
                <w:rFonts w:hint="eastAsia" w:ascii="宋体" w:hAnsi="宋体" w:cs="宋体"/>
                <w:color w:val="000000"/>
                <w:kern w:val="0"/>
                <w:szCs w:val="21"/>
              </w:rPr>
              <w:t>得</w:t>
            </w:r>
            <w:r>
              <w:rPr>
                <w:rFonts w:hint="eastAsia" w:ascii="宋体" w:hAnsi="宋体" w:cs="宋体"/>
                <w:szCs w:val="21"/>
              </w:rPr>
              <w:t>少于20000条SQL错误码，知识库至少体现SQL错误码、出错信息、出错原因、解决办法等内容。</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实名审计</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支持以姓名、部门、域名、主机名、源MAC、邮箱、电话、数据来源等要素为条件的实名审计。</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会话回放</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支持会话回放功能,并至少支持0.5倍速、1倍速、1.5倍速、2倍速、4倍速五级播放速度调节。</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翻译功能</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实现对SQL语句报警内容自定义成中文自然语言的描述功能，便于非技术人员理解报警内容。</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9"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数据查询</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1.支持基于数据库</w:t>
            </w:r>
            <w:r>
              <w:fldChar w:fldCharType="begin"/>
            </w:r>
            <w:r>
              <w:instrText xml:space="preserve"> HYPERLINK \l "_多维度查询" </w:instrText>
            </w:r>
            <w:r>
              <w:fldChar w:fldCharType="separate"/>
            </w:r>
            <w:r>
              <w:rPr>
                <w:rFonts w:hint="eastAsia" w:ascii="宋体" w:hAnsi="宋体" w:cs="宋体"/>
                <w:szCs w:val="21"/>
              </w:rPr>
              <w:t>时间、源/目的IP、</w:t>
            </w:r>
            <w:r>
              <w:rPr>
                <w:rFonts w:ascii="宋体" w:hAnsi="宋体" w:cs="宋体"/>
                <w:szCs w:val="21"/>
              </w:rPr>
              <w:fldChar w:fldCharType="end"/>
            </w:r>
            <w:r>
              <w:rPr>
                <w:rFonts w:hint="eastAsia" w:ascii="宋体" w:hAnsi="宋体" w:cs="宋体"/>
                <w:szCs w:val="21"/>
              </w:rPr>
              <w:t>数据库名、应用协议、数据库表名、字段值、预处理SQL、SQL关键词、数据库返回码、SQL响应时间、数据库操作类型、影响行数等条件的审计查询。</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85"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复杂SQL审计能力</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1.支持超长SQL语句审计，至少不</w:t>
            </w:r>
            <w:r>
              <w:rPr>
                <w:rFonts w:hint="eastAsia" w:ascii="宋体" w:hAnsi="宋体" w:cs="宋体"/>
                <w:color w:val="000000"/>
                <w:kern w:val="0"/>
                <w:szCs w:val="21"/>
              </w:rPr>
              <w:t>得</w:t>
            </w:r>
            <w:r>
              <w:rPr>
                <w:rFonts w:hint="eastAsia" w:ascii="宋体" w:hAnsi="宋体" w:cs="宋体"/>
                <w:szCs w:val="21"/>
              </w:rPr>
              <w:t>低于2M。</w:t>
            </w:r>
          </w:p>
          <w:p>
            <w:pPr>
              <w:spacing w:line="320" w:lineRule="exact"/>
              <w:rPr>
                <w:rFonts w:ascii="宋体" w:hAnsi="宋体" w:cs="宋体"/>
                <w:szCs w:val="21"/>
              </w:rPr>
            </w:pPr>
            <w:r>
              <w:rPr>
                <w:rFonts w:hint="eastAsia" w:ascii="宋体" w:hAnsi="宋体" w:cs="宋体"/>
                <w:szCs w:val="21"/>
              </w:rPr>
              <w:t>2.支持嵌套SQL语句的审计。</w:t>
            </w:r>
          </w:p>
          <w:p>
            <w:pPr>
              <w:spacing w:line="320" w:lineRule="exact"/>
              <w:rPr>
                <w:rFonts w:ascii="宋体" w:hAnsi="宋体" w:cs="宋体"/>
                <w:szCs w:val="21"/>
              </w:rPr>
            </w:pPr>
            <w:r>
              <w:rPr>
                <w:rFonts w:hint="eastAsia" w:ascii="宋体" w:hAnsi="宋体" w:cs="宋体"/>
                <w:szCs w:val="21"/>
              </w:rPr>
              <w:t>3.准确审计绑定变量的SQL语句。</w:t>
            </w:r>
          </w:p>
          <w:p>
            <w:pPr>
              <w:spacing w:line="320" w:lineRule="exact"/>
              <w:rPr>
                <w:rFonts w:ascii="宋体" w:hAnsi="宋体" w:cs="宋体"/>
                <w:szCs w:val="21"/>
              </w:rPr>
            </w:pPr>
            <w:r>
              <w:rPr>
                <w:rFonts w:hint="eastAsia" w:ascii="宋体" w:hAnsi="宋体" w:cs="宋体"/>
                <w:szCs w:val="21"/>
              </w:rPr>
              <w:t>4.有效分割、准确审计主流数据库协议的多SQL语句。</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端口重定向</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支持端口重定向审计，在服务器端口变化动态协商为其他端口时同样能精确审计。</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阻断功能</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1.支持针对源IP/端口操作的所有请求直接阻断。</w:t>
            </w:r>
          </w:p>
          <w:p>
            <w:pPr>
              <w:spacing w:line="320" w:lineRule="exact"/>
              <w:rPr>
                <w:rFonts w:ascii="宋体" w:hAnsi="宋体" w:cs="宋体"/>
                <w:szCs w:val="21"/>
              </w:rPr>
            </w:pPr>
            <w:r>
              <w:rPr>
                <w:rFonts w:hint="eastAsia" w:ascii="宋体" w:hAnsi="宋体" w:cs="宋体"/>
                <w:szCs w:val="21"/>
              </w:rPr>
              <w:t>2.特殊紧急情况可阻断风险数据库的所有操作。</w:t>
            </w:r>
          </w:p>
          <w:p>
            <w:pPr>
              <w:spacing w:line="320" w:lineRule="exact"/>
              <w:rPr>
                <w:rFonts w:ascii="宋体" w:hAnsi="宋体" w:cs="宋体"/>
                <w:szCs w:val="21"/>
              </w:rPr>
            </w:pPr>
            <w:r>
              <w:rPr>
                <w:rFonts w:hint="eastAsia" w:ascii="宋体" w:hAnsi="宋体" w:cs="宋体"/>
                <w:szCs w:val="21"/>
              </w:rPr>
              <w:t>3.支持与公司防火墙联动阻断功能。</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基线管理</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支持基于SQL操作进行基线构建和基线管理，支持引用基线进行告警配置。</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业务关联审计</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支持插件方式和非插件方式的业务关联审计，支持B/S业务系统三层关联审计，实现java web环境100%准确关联，包括但不限于Tomcat、Weblogic、Jboss服务器。</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白名单审计</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支持白名单审计：系统使用审计白名单将非关注的内容进行过滤，降低了存储空间和无用信息的堆砌，白名单内容包括但不限于SQL语句、数据库类型、业务URL地址、数据库名、HTTP访问域等。</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探针管理</w:t>
            </w:r>
          </w:p>
        </w:tc>
        <w:tc>
          <w:tcPr>
            <w:tcW w:w="6042" w:type="dxa"/>
            <w:tcMar>
              <w:top w:w="15" w:type="dxa"/>
              <w:left w:w="15" w:type="dxa"/>
              <w:right w:w="15" w:type="dxa"/>
            </w:tcMar>
            <w:vAlign w:val="center"/>
          </w:tcPr>
          <w:p>
            <w:pPr>
              <w:spacing w:line="320" w:lineRule="exact"/>
              <w:jc w:val="left"/>
              <w:rPr>
                <w:rFonts w:ascii="宋体" w:hAnsi="宋体" w:cs="宋体"/>
                <w:szCs w:val="21"/>
              </w:rPr>
            </w:pPr>
            <w:r>
              <w:rPr>
                <w:rFonts w:hint="eastAsia" w:ascii="宋体" w:hAnsi="宋体" w:cs="宋体"/>
                <w:szCs w:val="21"/>
              </w:rPr>
              <w:t>对无法镜像流量的审计场景，支持多种类型操作系统的探针部署，适配的操作系统至少包括以下几种： WinSer2003/2008/2012/</w:t>
            </w:r>
          </w:p>
          <w:p>
            <w:pPr>
              <w:spacing w:line="320" w:lineRule="exact"/>
              <w:jc w:val="left"/>
              <w:rPr>
                <w:rFonts w:ascii="宋体" w:hAnsi="宋体" w:cs="宋体"/>
                <w:szCs w:val="21"/>
              </w:rPr>
            </w:pPr>
            <w:r>
              <w:rPr>
                <w:rFonts w:hint="eastAsia" w:ascii="宋体" w:hAnsi="宋体" w:cs="宋体"/>
                <w:szCs w:val="21"/>
              </w:rPr>
              <w:t>2016、Centos、opensuse、redhat、Ubuntu、中标麒麟SV1.2-龙芯、银河麒麟SV1.3-飞腾、银河麒麟server-飞腾等、AIX5/6。</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★版本回滚</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支持历史版本回退功能，系统内建历史版本库不</w:t>
            </w:r>
            <w:r>
              <w:rPr>
                <w:rFonts w:hint="eastAsia" w:ascii="宋体" w:hAnsi="宋体" w:cs="宋体"/>
                <w:color w:val="000000"/>
                <w:kern w:val="0"/>
                <w:szCs w:val="21"/>
              </w:rPr>
              <w:t>得</w:t>
            </w:r>
            <w:r>
              <w:rPr>
                <w:rFonts w:hint="eastAsia" w:ascii="宋体" w:hAnsi="宋体" w:cs="宋体"/>
                <w:szCs w:val="21"/>
              </w:rPr>
              <w:t>少于3个。</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操作系统</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安全操作系统采用冗余设计，可在设备命令行启动过程中选择主备系统。</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IPv6环境</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支持IPv6网络环境下的数据库审计，可识别IPv6的相关主体与客体资源。</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云检测</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支持云检测，可对本单位部署的同一品牌的多台审计或者多类型安全设备（版本号、序列号、型号、运行时长、CPU和内存占用、并发和新建连接数、设备流量等）进行远程统一检测，保障各设备的安全稳定运行。</w:t>
            </w:r>
            <w:r>
              <w:rPr>
                <w:rFonts w:hint="eastAsia" w:ascii="宋体" w:hAnsi="宋体" w:cs="宋体"/>
                <w:color w:val="000000" w:themeColor="text1"/>
                <w:szCs w:val="21"/>
                <w14:textFill>
                  <w14:solidFill>
                    <w14:schemeClr w14:val="tx1"/>
                  </w14:solidFill>
                </w14:textFill>
              </w:rPr>
              <w:t>（提供截图</w:t>
            </w:r>
            <w:r>
              <w:rPr>
                <w:rFonts w:hint="eastAsia" w:ascii="宋体" w:hAnsi="宋体"/>
                <w:szCs w:val="21"/>
              </w:rPr>
              <w:t>，加盖投标人公章</w:t>
            </w:r>
            <w:r>
              <w:rPr>
                <w:rFonts w:hint="eastAsia" w:ascii="宋体" w:hAnsi="宋体" w:cs="宋体"/>
                <w:color w:val="000000" w:themeColor="text1"/>
                <w:szCs w:val="21"/>
                <w14:textFill>
                  <w14:solidFill>
                    <w14:schemeClr w14:val="tx1"/>
                  </w14:solidFill>
                </w14:textFill>
              </w:rPr>
              <w:t>）</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系统抓包</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支持抓包工具（可配置抓包个数、源和目的IP、协议等）、系统巡检、网络诊断、规则库升级。</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一键巡检</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支持系统本身主要运行功能服务模块的运行状态巡检，保证系统安全稳定运行。</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配置与策略</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支持系统配置文件和系统策略的密文导入导出，不可设置为明文。</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系统角色</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支持本地认证、Radius、LDAP等用户认证方式，支持添加系统管理员、审计管理员、安全管理员等角色。</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★安全浏览器管理</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支持红莲花、密信等安全浏览器登录管理设备，支持国密算法SM2/SM3/SM4。</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系统登录安全设置</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支持用户密码复杂度（高、中、低）设置、最大登录失败次数设置。</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系统登录连接数设置</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支持webui/ssh/telnet方式登录系统的最大连接数设置。</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日志外发</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支持Syslog、SNMP、kafka等方式外发日志。</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告警方式</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支持通过声光、邮件、短信等方式对审计日志、系统日志进行告警通知。</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告警级别</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支持告警级别划分，至少分为七类，例如：紧急、警告、一般等级别，以便运维人员作出不同响应。</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restart"/>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7</w:t>
            </w:r>
          </w:p>
        </w:tc>
        <w:tc>
          <w:tcPr>
            <w:tcW w:w="992" w:type="dxa"/>
            <w:vMerge w:val="restart"/>
            <w:noWrap/>
            <w:tcMar>
              <w:top w:w="15" w:type="dxa"/>
              <w:left w:w="15" w:type="dxa"/>
              <w:right w:w="15" w:type="dxa"/>
            </w:tcMar>
            <w:vAlign w:val="center"/>
          </w:tcPr>
          <w:p>
            <w:pPr>
              <w:spacing w:line="320" w:lineRule="exact"/>
              <w:jc w:val="center"/>
              <w:rPr>
                <w:rFonts w:ascii="宋体" w:hAnsi="宋体"/>
                <w:szCs w:val="21"/>
              </w:rPr>
            </w:pPr>
            <w:bookmarkStart w:id="82" w:name="_Hlk100241196"/>
            <w:r>
              <w:rPr>
                <w:rFonts w:ascii="宋体" w:hAnsi="宋体"/>
                <w:szCs w:val="21"/>
              </w:rPr>
              <w:t>态势感知驻场运维服务</w:t>
            </w:r>
            <w:bookmarkEnd w:id="82"/>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资产管理服务</w:t>
            </w:r>
          </w:p>
        </w:tc>
        <w:tc>
          <w:tcPr>
            <w:tcW w:w="6042" w:type="dxa"/>
            <w:tcMar>
              <w:top w:w="15" w:type="dxa"/>
              <w:left w:w="15" w:type="dxa"/>
              <w:right w:w="15" w:type="dxa"/>
            </w:tcMar>
            <w:vAlign w:val="center"/>
          </w:tcPr>
          <w:p>
            <w:pPr>
              <w:spacing w:line="320" w:lineRule="exact"/>
              <w:rPr>
                <w:rFonts w:ascii="宋体" w:hAnsi="宋体"/>
                <w:szCs w:val="21"/>
                <w:lang w:val="zh-CN"/>
              </w:rPr>
            </w:pPr>
            <w:r>
              <w:rPr>
                <w:rFonts w:hint="eastAsia" w:ascii="宋体" w:hAnsi="宋体"/>
                <w:szCs w:val="21"/>
                <w:lang w:val="zh-CN"/>
              </w:rPr>
              <w:t>通过使用态势感知平台发现资产，并对资产进行识别、分类以及标记管理工作，对网络中可能存在的未知资产进行动态识别。通过对已知资产的管理、未知资产的及时检测与发现相结合，动态绘制资产台帐。</w:t>
            </w:r>
          </w:p>
        </w:tc>
        <w:tc>
          <w:tcPr>
            <w:tcW w:w="851" w:type="dxa"/>
            <w:vMerge w:val="restart"/>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2年</w:t>
            </w:r>
          </w:p>
          <w:p>
            <w:pPr>
              <w:pStyle w:val="2"/>
              <w:ind w:firstLine="0" w:firstLineChars="0"/>
              <w:jc w:val="center"/>
            </w:pPr>
            <w:r>
              <w:rPr>
                <w:rFonts w:hint="eastAsia" w:ascii="宋体" w:hAnsi="宋体" w:cs="宋体"/>
                <w:color w:val="000000" w:themeColor="text1"/>
                <w14:textFill>
                  <w14:solidFill>
                    <w14:schemeClr w14:val="tx1"/>
                  </w14:solidFill>
                </w14:textFill>
              </w:rPr>
              <w:t>（从合同签订之日起计算）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平台巡检服务</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szCs w:val="21"/>
                <w:lang w:val="zh-CN"/>
              </w:rPr>
              <w:t>态势感知平台及相关安全设备进行巡检，以保证设备健康运行；定期配合研发对平台及相关设备进行升级，以确保平台功能和安全策略满足运营需求。</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安全检测与分析服务</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szCs w:val="21"/>
                <w:lang w:val="zh-CN"/>
              </w:rPr>
              <w:t>安全运营人员每日对态势感知平台发现的安全告警通过平台提供的一系列线索进行深度分析，并结合威胁情报进行综合研判，判断攻击是否成功，并对确定性的攻击事件进行有效的处置包括：风险控制、影响面调查、攻击链展现、攻击溯源等过程。</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漏洞管理服务</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szCs w:val="21"/>
                <w:lang w:val="zh-CN"/>
              </w:rPr>
              <w:t>通过使用态势感知平台中的漏洞扫描模块主动发现资产存在的漏洞，并通知、协助相关部门对漏洞进行加固。加固结束后，安全运营人员通过平台验证加固情况，以确认风险是否被消除。对于新爆发的漏洞，安全运营人员会启动预警动作，并利用平台对新漏洞进行及时检测与处置。</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事件处置管理服务</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szCs w:val="21"/>
                <w:lang w:val="zh-CN"/>
              </w:rPr>
              <w:t>通过态势感知平台对攻击行为进行监测发现、分析研判、应急处置、确认消除，从而形成安全事件从发生到消除的闭环管理，实现安全事件管理机制。</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风险分析管理服务</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szCs w:val="21"/>
              </w:rPr>
              <w:t>需按照信息系统等级保护的相关要求，通过态势感知平台收集、汇总、分析的安全风险对现有的税务信息系统的安全现状进行全局性的评估，分析信息资产存在的安全漏洞，分析信息资产面临的安全威胁及威胁发生的可能性，检查现有安全措施的有效性，从而识别出信息资产中存在的安全风险点，协助安全管理人员对税务信息资产所面临的风险程度做出准确的评价，提供相关整改修复加固建议。</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服务方式</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szCs w:val="21"/>
                <w:lang w:val="zh-CN"/>
              </w:rPr>
              <w:t>本项目采用现场驻场运维服务方式。</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服务人员</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szCs w:val="21"/>
                <w:lang w:val="zh-CN"/>
              </w:rPr>
              <w:t>提供</w:t>
            </w:r>
            <w:r>
              <w:rPr>
                <w:rFonts w:ascii="宋体" w:hAnsi="宋体"/>
                <w:szCs w:val="21"/>
                <w:lang w:val="zh-CN"/>
              </w:rPr>
              <w:t>1</w:t>
            </w:r>
            <w:r>
              <w:rPr>
                <w:rFonts w:hint="eastAsia" w:ascii="宋体" w:hAnsi="宋体"/>
                <w:szCs w:val="21"/>
                <w:lang w:val="zh-CN"/>
              </w:rPr>
              <w:t>名专业运维人员现场参与湖南省税务局态势感知系统驻场运维服务工作，该人员具备胜任运维服务工作岗位的资质、能力和水平，具有3年及以上现场运维服务经验。</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restart"/>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8</w:t>
            </w:r>
          </w:p>
        </w:tc>
        <w:tc>
          <w:tcPr>
            <w:tcW w:w="992" w:type="dxa"/>
            <w:vMerge w:val="restart"/>
            <w:noWrap/>
            <w:tcMar>
              <w:top w:w="15" w:type="dxa"/>
              <w:left w:w="15" w:type="dxa"/>
              <w:right w:w="15" w:type="dxa"/>
            </w:tcMar>
            <w:vAlign w:val="center"/>
          </w:tcPr>
          <w:p>
            <w:pPr>
              <w:spacing w:line="320" w:lineRule="exact"/>
              <w:jc w:val="center"/>
              <w:rPr>
                <w:rFonts w:ascii="宋体" w:hAnsi="宋体"/>
                <w:szCs w:val="21"/>
              </w:rPr>
            </w:pPr>
            <w:bookmarkStart w:id="83" w:name="_Hlk100241203"/>
            <w:r>
              <w:rPr>
                <w:rFonts w:ascii="宋体" w:hAnsi="宋体"/>
                <w:szCs w:val="21"/>
              </w:rPr>
              <w:t>网络可视化设备</w:t>
            </w:r>
            <w:bookmarkEnd w:id="83"/>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硬件要求</w:t>
            </w:r>
          </w:p>
        </w:tc>
        <w:tc>
          <w:tcPr>
            <w:tcW w:w="6042" w:type="dxa"/>
            <w:tcMar>
              <w:top w:w="15" w:type="dxa"/>
              <w:left w:w="15" w:type="dxa"/>
              <w:right w:w="15" w:type="dxa"/>
            </w:tcMar>
            <w:vAlign w:val="center"/>
          </w:tcPr>
          <w:p>
            <w:pPr>
              <w:pStyle w:val="44"/>
              <w:spacing w:after="0" w:line="320" w:lineRule="exact"/>
              <w:ind w:left="0" w:leftChars="0" w:firstLine="0" w:firstLineChars="0"/>
              <w:rPr>
                <w:rFonts w:ascii="宋体" w:hAnsi="宋体"/>
                <w:szCs w:val="21"/>
              </w:rPr>
            </w:pPr>
            <w:r>
              <w:rPr>
                <w:rFonts w:hint="eastAsia" w:ascii="宋体" w:hAnsi="宋体"/>
                <w:szCs w:val="21"/>
              </w:rPr>
              <w:t>1.配置不</w:t>
            </w:r>
            <w:r>
              <w:rPr>
                <w:rFonts w:hint="eastAsia" w:ascii="宋体" w:hAnsi="宋体" w:cs="宋体"/>
                <w:color w:val="000000"/>
                <w:kern w:val="0"/>
                <w:szCs w:val="21"/>
              </w:rPr>
              <w:t>得</w:t>
            </w:r>
            <w:r>
              <w:rPr>
                <w:rFonts w:hint="eastAsia" w:ascii="宋体" w:hAnsi="宋体"/>
                <w:szCs w:val="21"/>
              </w:rPr>
              <w:t>少于48个万兆光口(兼容千兆)，满配接口模块。</w:t>
            </w:r>
          </w:p>
          <w:p>
            <w:pPr>
              <w:pStyle w:val="44"/>
              <w:spacing w:after="0" w:line="320" w:lineRule="exact"/>
              <w:ind w:left="0" w:leftChars="0" w:firstLine="0" w:firstLineChars="0"/>
              <w:rPr>
                <w:rFonts w:ascii="宋体" w:hAnsi="宋体"/>
                <w:szCs w:val="21"/>
              </w:rPr>
            </w:pPr>
            <w:r>
              <w:rPr>
                <w:rFonts w:hint="eastAsia" w:ascii="宋体" w:hAnsi="宋体"/>
                <w:szCs w:val="21"/>
              </w:rPr>
              <w:t>2.支持单纤收发，支持端口收发复用，光接口在仅插入接收方向单纤时能够成功Link并采集流量，在端口通过单纤输入采集流量的同时能够通过同一端口单纤输出流量。</w:t>
            </w:r>
          </w:p>
          <w:p>
            <w:pPr>
              <w:pStyle w:val="44"/>
              <w:spacing w:after="0" w:line="320" w:lineRule="exact"/>
              <w:ind w:left="0" w:leftChars="0" w:firstLine="0" w:firstLineChars="0"/>
              <w:rPr>
                <w:rFonts w:ascii="宋体" w:hAnsi="宋体"/>
                <w:szCs w:val="21"/>
              </w:rPr>
            </w:pPr>
            <w:r>
              <w:rPr>
                <w:rFonts w:hint="eastAsia" w:ascii="宋体" w:hAnsi="宋体"/>
                <w:szCs w:val="21"/>
              </w:rPr>
              <w:t>3.支持端口Link状态自动监测和安全保护。</w:t>
            </w:r>
          </w:p>
          <w:p>
            <w:pPr>
              <w:pStyle w:val="44"/>
              <w:spacing w:after="0" w:line="320" w:lineRule="exact"/>
              <w:ind w:left="0" w:leftChars="0" w:firstLine="0" w:firstLineChars="0"/>
              <w:rPr>
                <w:rFonts w:ascii="宋体" w:hAnsi="宋体"/>
                <w:szCs w:val="21"/>
              </w:rPr>
            </w:pPr>
            <w:r>
              <w:rPr>
                <w:rFonts w:hint="eastAsia" w:ascii="宋体" w:hAnsi="宋体"/>
                <w:szCs w:val="21"/>
              </w:rPr>
              <w:t>4.吞吐量不</w:t>
            </w:r>
            <w:r>
              <w:rPr>
                <w:rFonts w:hint="eastAsia" w:ascii="宋体" w:hAnsi="宋体" w:cs="宋体"/>
                <w:color w:val="000000"/>
                <w:kern w:val="0"/>
                <w:szCs w:val="21"/>
              </w:rPr>
              <w:t>得</w:t>
            </w:r>
            <w:r>
              <w:rPr>
                <w:rFonts w:hint="eastAsia" w:ascii="宋体" w:hAnsi="宋体"/>
                <w:szCs w:val="21"/>
              </w:rPr>
              <w:t>低于960Gbps。</w:t>
            </w:r>
          </w:p>
          <w:p>
            <w:pPr>
              <w:pStyle w:val="44"/>
              <w:spacing w:after="0" w:line="320" w:lineRule="exact"/>
              <w:ind w:left="0" w:leftChars="0" w:firstLine="0" w:firstLineChars="0"/>
              <w:rPr>
                <w:rFonts w:ascii="宋体" w:hAnsi="宋体"/>
                <w:szCs w:val="21"/>
              </w:rPr>
            </w:pPr>
            <w:r>
              <w:rPr>
                <w:rFonts w:hint="eastAsia" w:ascii="宋体" w:hAnsi="宋体"/>
                <w:szCs w:val="21"/>
              </w:rPr>
              <w:t>5.复制性能不</w:t>
            </w:r>
            <w:r>
              <w:rPr>
                <w:rFonts w:hint="eastAsia" w:ascii="宋体" w:hAnsi="宋体" w:cs="宋体"/>
                <w:color w:val="000000"/>
                <w:kern w:val="0"/>
                <w:szCs w:val="21"/>
              </w:rPr>
              <w:t>得</w:t>
            </w:r>
            <w:r>
              <w:rPr>
                <w:rFonts w:hint="eastAsia" w:ascii="宋体" w:hAnsi="宋体"/>
                <w:szCs w:val="21"/>
              </w:rPr>
              <w:t>低于480Gbps。</w:t>
            </w:r>
          </w:p>
          <w:p>
            <w:pPr>
              <w:pStyle w:val="44"/>
              <w:spacing w:after="0" w:line="320" w:lineRule="exact"/>
              <w:ind w:left="0" w:leftChars="0" w:firstLine="0" w:firstLineChars="0"/>
              <w:rPr>
                <w:rFonts w:ascii="宋体" w:hAnsi="宋体"/>
                <w:szCs w:val="21"/>
              </w:rPr>
            </w:pPr>
            <w:r>
              <w:rPr>
                <w:rFonts w:hint="eastAsia" w:ascii="宋体" w:hAnsi="宋体"/>
                <w:szCs w:val="21"/>
              </w:rPr>
              <w:t>6.所有端口支持100%线速转发无丢包。</w:t>
            </w:r>
          </w:p>
          <w:p>
            <w:pPr>
              <w:pStyle w:val="44"/>
              <w:spacing w:after="0" w:line="320" w:lineRule="exact"/>
              <w:ind w:left="0" w:leftChars="0" w:firstLine="0" w:firstLineChars="0"/>
              <w:rPr>
                <w:rFonts w:ascii="宋体" w:hAnsi="宋体"/>
                <w:szCs w:val="21"/>
              </w:rPr>
            </w:pPr>
            <w:r>
              <w:rPr>
                <w:rFonts w:hint="eastAsia" w:ascii="宋体" w:hAnsi="宋体"/>
                <w:szCs w:val="21"/>
              </w:rPr>
              <w:t>7.设备硬件架构应</w:t>
            </w:r>
            <w:r>
              <w:rPr>
                <w:rFonts w:hint="eastAsia" w:hAnsi="宋体" w:cs="宋体"/>
              </w:rPr>
              <w:t>当</w:t>
            </w:r>
            <w:r>
              <w:rPr>
                <w:rFonts w:hint="eastAsia" w:ascii="宋体" w:hAnsi="宋体"/>
                <w:szCs w:val="21"/>
              </w:rPr>
              <w:t>基于可编程芯片架构设计。</w:t>
            </w:r>
          </w:p>
          <w:p>
            <w:pPr>
              <w:pStyle w:val="44"/>
              <w:spacing w:after="0" w:line="320" w:lineRule="exact"/>
              <w:ind w:left="0" w:leftChars="0" w:firstLine="0" w:firstLineChars="0"/>
              <w:rPr>
                <w:rFonts w:ascii="宋体" w:hAnsi="宋体"/>
                <w:szCs w:val="21"/>
              </w:rPr>
            </w:pPr>
            <w:r>
              <w:rPr>
                <w:rFonts w:hint="eastAsia" w:ascii="宋体" w:hAnsi="宋体"/>
                <w:szCs w:val="21"/>
              </w:rPr>
              <w:t>8.提供至少一个Console口、一个GE RJ45管理口、一个USB2.0接口。</w:t>
            </w:r>
          </w:p>
          <w:p>
            <w:pPr>
              <w:pStyle w:val="44"/>
              <w:spacing w:after="0" w:line="320" w:lineRule="exact"/>
              <w:ind w:left="0" w:leftChars="0" w:firstLine="0" w:firstLineChars="0"/>
              <w:rPr>
                <w:rFonts w:ascii="宋体" w:hAnsi="宋体"/>
                <w:szCs w:val="21"/>
              </w:rPr>
            </w:pPr>
            <w:r>
              <w:rPr>
                <w:rFonts w:hint="eastAsia" w:ascii="宋体" w:hAnsi="宋体"/>
                <w:szCs w:val="21"/>
              </w:rPr>
              <w:t>9.配置交流冗余电源，单电源模块故障不</w:t>
            </w:r>
            <w:r>
              <w:rPr>
                <w:rFonts w:hint="eastAsia" w:ascii="宋体" w:hAnsi="宋体" w:cs="宋体"/>
                <w:color w:val="000000"/>
                <w:kern w:val="0"/>
                <w:szCs w:val="21"/>
              </w:rPr>
              <w:t>得</w:t>
            </w:r>
            <w:r>
              <w:rPr>
                <w:rFonts w:hint="eastAsia" w:ascii="宋体" w:hAnsi="宋体"/>
                <w:szCs w:val="21"/>
              </w:rPr>
              <w:t>影响系统正常运行。</w:t>
            </w:r>
          </w:p>
          <w:p>
            <w:pPr>
              <w:pStyle w:val="44"/>
              <w:spacing w:after="0" w:line="320" w:lineRule="exact"/>
              <w:ind w:left="0" w:leftChars="0" w:firstLine="0" w:firstLineChars="0"/>
              <w:rPr>
                <w:rFonts w:ascii="宋体" w:hAnsi="宋体"/>
                <w:szCs w:val="21"/>
              </w:rPr>
            </w:pPr>
            <w:r>
              <w:rPr>
                <w:rFonts w:hint="eastAsia" w:ascii="宋体" w:hAnsi="宋体"/>
                <w:szCs w:val="21"/>
              </w:rPr>
              <w:t>10.配置冗余风扇，单风扇故障不</w:t>
            </w:r>
            <w:r>
              <w:rPr>
                <w:rFonts w:hint="eastAsia" w:ascii="宋体" w:hAnsi="宋体" w:cs="宋体"/>
                <w:color w:val="000000"/>
                <w:kern w:val="0"/>
                <w:szCs w:val="21"/>
              </w:rPr>
              <w:t>得</w:t>
            </w:r>
            <w:r>
              <w:rPr>
                <w:rFonts w:hint="eastAsia" w:ascii="宋体" w:hAnsi="宋体"/>
                <w:szCs w:val="21"/>
              </w:rPr>
              <w:t>影响系统正常运行。</w:t>
            </w:r>
          </w:p>
        </w:tc>
        <w:tc>
          <w:tcPr>
            <w:tcW w:w="851" w:type="dxa"/>
            <w:vMerge w:val="restart"/>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功能要求</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1.可将采集的一路或多路网络流量进行复制并分发给不同的工具处理；可将通过不同网络端口采集的网络流量进行汇聚，并分发给单台工具处理；可将采集的多路网络流量进行汇聚之后同时复制成多份输出给不同的工具处理。</w:t>
            </w:r>
          </w:p>
          <w:p>
            <w:pPr>
              <w:spacing w:line="320" w:lineRule="exact"/>
              <w:rPr>
                <w:rFonts w:ascii="宋体" w:hAnsi="宋体" w:cs="宋体"/>
                <w:szCs w:val="21"/>
              </w:rPr>
            </w:pPr>
            <w:r>
              <w:rPr>
                <w:rFonts w:hint="eastAsia" w:ascii="宋体" w:hAnsi="宋体" w:cs="宋体"/>
                <w:szCs w:val="21"/>
              </w:rPr>
              <w:t>2.支持N元组规则匹配过滤，N元组包括但不限于物理端口、源/目的MAC、Ethertype、内/外层VLAN、IPv4/IPv6五元组、DSCP字段、VNI字段、MPLS标签值、L3层协议类型、IP分片报文、TCP Flag、报文长度、L4 Port掩码等。</w:t>
            </w:r>
          </w:p>
          <w:p>
            <w:pPr>
              <w:spacing w:line="320" w:lineRule="exact"/>
              <w:rPr>
                <w:rFonts w:ascii="宋体" w:hAnsi="宋体" w:cs="宋体"/>
                <w:szCs w:val="21"/>
              </w:rPr>
            </w:pPr>
            <w:r>
              <w:rPr>
                <w:rFonts w:hint="eastAsia" w:ascii="宋体" w:hAnsi="宋体" w:cs="宋体"/>
                <w:szCs w:val="21"/>
              </w:rPr>
              <w:t>3.支持基于IPv4/v6通配五元组规则设置，通配五元组规则不</w:t>
            </w:r>
            <w:r>
              <w:rPr>
                <w:rFonts w:hint="eastAsia" w:ascii="宋体" w:hAnsi="宋体" w:cs="宋体"/>
                <w:color w:val="000000"/>
                <w:kern w:val="0"/>
                <w:szCs w:val="21"/>
              </w:rPr>
              <w:t>得</w:t>
            </w:r>
            <w:r>
              <w:rPr>
                <w:rFonts w:hint="eastAsia" w:ascii="宋体" w:hAnsi="宋体" w:cs="宋体"/>
                <w:szCs w:val="21"/>
              </w:rPr>
              <w:t>少于2k条。</w:t>
            </w:r>
          </w:p>
          <w:p>
            <w:pPr>
              <w:spacing w:line="320" w:lineRule="exact"/>
              <w:rPr>
                <w:rFonts w:ascii="宋体" w:hAnsi="宋体" w:cs="宋体"/>
                <w:color w:val="FF0000"/>
                <w:szCs w:val="21"/>
              </w:rPr>
            </w:pPr>
            <w:r>
              <w:rPr>
                <w:rFonts w:hint="eastAsia" w:ascii="宋体" w:hAnsi="宋体" w:cs="宋体"/>
                <w:szCs w:val="21"/>
              </w:rPr>
              <w:t>4.支持基于IPv4/IPv6精确五元组匹配规则设置，精确五元组规则不</w:t>
            </w:r>
            <w:r>
              <w:rPr>
                <w:rFonts w:hint="eastAsia" w:ascii="宋体" w:hAnsi="宋体" w:cs="宋体"/>
                <w:color w:val="000000"/>
                <w:kern w:val="0"/>
                <w:szCs w:val="21"/>
              </w:rPr>
              <w:t>得</w:t>
            </w:r>
            <w:r>
              <w:rPr>
                <w:rFonts w:hint="eastAsia" w:ascii="宋体" w:hAnsi="宋体" w:cs="宋体"/>
                <w:szCs w:val="21"/>
              </w:rPr>
              <w:t>少于16k条。</w:t>
            </w:r>
          </w:p>
          <w:p>
            <w:pPr>
              <w:spacing w:line="320" w:lineRule="exact"/>
              <w:rPr>
                <w:rFonts w:ascii="宋体" w:hAnsi="宋体" w:cs="宋体"/>
                <w:color w:val="FF0000"/>
                <w:szCs w:val="21"/>
              </w:rPr>
            </w:pPr>
            <w:r>
              <w:rPr>
                <w:rFonts w:hint="eastAsia" w:ascii="宋体" w:hAnsi="宋体" w:cs="宋体"/>
                <w:szCs w:val="21"/>
              </w:rPr>
              <w:t>5.支持在一次输入到输出过程中分别在入接口、中间环节以及出接口分别执行不同的流量策略，支持L2/L3/L4/L7层组合策略规则，例如在一次输入到输出的过程中，可以在入接口匹配IACL规则，然后复制多份流量，最后在出接口再匹配EACL规则，从而满足不同后端工具的需要。</w:t>
            </w:r>
          </w:p>
          <w:p>
            <w:pPr>
              <w:spacing w:line="320" w:lineRule="exact"/>
              <w:rPr>
                <w:rFonts w:ascii="宋体" w:hAnsi="宋体" w:cs="宋体"/>
                <w:szCs w:val="21"/>
              </w:rPr>
            </w:pPr>
            <w:r>
              <w:rPr>
                <w:rFonts w:hint="eastAsia" w:ascii="宋体" w:hAnsi="宋体" w:cs="宋体"/>
                <w:szCs w:val="21"/>
              </w:rPr>
              <w:t>6.支持有隧道封装情况下（如GTP、GRE、VXLAN、ERSPAN等）的内层IPv4/IPv6五元组匹配规则，且内层匹配性能不</w:t>
            </w:r>
            <w:r>
              <w:rPr>
                <w:rFonts w:hint="eastAsia" w:ascii="宋体" w:hAnsi="宋体" w:cs="宋体"/>
                <w:color w:val="000000"/>
                <w:kern w:val="0"/>
                <w:szCs w:val="21"/>
              </w:rPr>
              <w:t>得</w:t>
            </w:r>
            <w:r>
              <w:rPr>
                <w:rFonts w:hint="eastAsia" w:ascii="宋体" w:hAnsi="宋体" w:cs="宋体"/>
                <w:szCs w:val="21"/>
              </w:rPr>
              <w:t>低于480Gbps。</w:t>
            </w:r>
          </w:p>
          <w:p>
            <w:pPr>
              <w:spacing w:line="320" w:lineRule="exact"/>
              <w:rPr>
                <w:rFonts w:ascii="宋体" w:hAnsi="宋体" w:cs="宋体"/>
                <w:szCs w:val="21"/>
              </w:rPr>
            </w:pPr>
            <w:r>
              <w:rPr>
                <w:rFonts w:hint="eastAsia" w:ascii="宋体" w:hAnsi="宋体" w:cs="宋体"/>
                <w:szCs w:val="21"/>
              </w:rPr>
              <w:t>7.支持带GTP扩展头报文的内层匹配过滤。</w:t>
            </w:r>
          </w:p>
          <w:p>
            <w:pPr>
              <w:spacing w:line="320" w:lineRule="exact"/>
              <w:rPr>
                <w:rFonts w:ascii="宋体" w:hAnsi="宋体" w:cs="宋体"/>
                <w:color w:val="FF0000"/>
                <w:szCs w:val="21"/>
              </w:rPr>
            </w:pPr>
            <w:r>
              <w:rPr>
                <w:rFonts w:hint="eastAsia" w:ascii="宋体" w:hAnsi="宋体" w:cs="宋体"/>
                <w:szCs w:val="21"/>
              </w:rPr>
              <w:t>8.支持过滤Http Get/Post报文。</w:t>
            </w:r>
          </w:p>
          <w:p>
            <w:pPr>
              <w:spacing w:line="320" w:lineRule="exact"/>
              <w:rPr>
                <w:rFonts w:ascii="宋体" w:hAnsi="宋体" w:cs="宋体"/>
                <w:szCs w:val="21"/>
              </w:rPr>
            </w:pPr>
            <w:r>
              <w:rPr>
                <w:rFonts w:hint="eastAsia" w:ascii="宋体" w:hAnsi="宋体" w:cs="宋体"/>
                <w:szCs w:val="21"/>
              </w:rPr>
              <w:t>9.支持基于源/目的IP、IP五元组、源目的端口等策略的流量负载均衡。</w:t>
            </w:r>
          </w:p>
          <w:p>
            <w:pPr>
              <w:spacing w:line="320" w:lineRule="exact"/>
              <w:rPr>
                <w:rFonts w:ascii="宋体" w:hAnsi="宋体" w:cs="宋体"/>
                <w:szCs w:val="21"/>
              </w:rPr>
            </w:pPr>
            <w:r>
              <w:rPr>
                <w:rFonts w:hint="eastAsia" w:ascii="宋体" w:hAnsi="宋体" w:cs="宋体"/>
                <w:szCs w:val="21"/>
              </w:rPr>
              <w:t>10.支持隧道封装情况下的内层IP五元组负载均衡。</w:t>
            </w:r>
          </w:p>
          <w:p>
            <w:pPr>
              <w:spacing w:line="320" w:lineRule="exact"/>
              <w:rPr>
                <w:rFonts w:ascii="宋体" w:hAnsi="宋体" w:cs="宋体"/>
                <w:color w:val="FF0000"/>
                <w:szCs w:val="21"/>
              </w:rPr>
            </w:pPr>
            <w:r>
              <w:rPr>
                <w:rFonts w:hint="eastAsia" w:ascii="宋体" w:hAnsi="宋体" w:cs="宋体"/>
                <w:szCs w:val="21"/>
              </w:rPr>
              <w:t>11.支持弹性Hash的负载均衡保护。</w:t>
            </w:r>
          </w:p>
          <w:p>
            <w:pPr>
              <w:spacing w:line="320" w:lineRule="exact"/>
              <w:rPr>
                <w:rFonts w:ascii="宋体" w:hAnsi="宋体" w:cs="宋体"/>
                <w:szCs w:val="21"/>
              </w:rPr>
            </w:pPr>
            <w:r>
              <w:rPr>
                <w:rFonts w:hint="eastAsia" w:ascii="宋体" w:hAnsi="宋体" w:cs="宋体"/>
                <w:szCs w:val="21"/>
              </w:rPr>
              <w:t>12.支持同源同宿负载均衡输出。</w:t>
            </w:r>
          </w:p>
          <w:p>
            <w:pPr>
              <w:spacing w:line="320" w:lineRule="exact"/>
              <w:rPr>
                <w:rFonts w:ascii="宋体" w:hAnsi="宋体" w:cs="宋体"/>
                <w:szCs w:val="21"/>
              </w:rPr>
            </w:pPr>
            <w:r>
              <w:rPr>
                <w:rFonts w:hint="eastAsia" w:ascii="宋体" w:hAnsi="宋体" w:cs="宋体"/>
                <w:szCs w:val="21"/>
              </w:rPr>
              <w:t>13.支持基于IPv6的流量负载均衡输出。</w:t>
            </w:r>
          </w:p>
          <w:p>
            <w:pPr>
              <w:spacing w:line="320" w:lineRule="exact"/>
              <w:rPr>
                <w:rFonts w:ascii="宋体" w:hAnsi="宋体" w:cs="宋体"/>
                <w:szCs w:val="21"/>
              </w:rPr>
            </w:pPr>
            <w:r>
              <w:rPr>
                <w:rFonts w:hint="eastAsia" w:ascii="宋体" w:hAnsi="宋体" w:cs="宋体"/>
                <w:szCs w:val="21"/>
              </w:rPr>
              <w:t>14.支持线速的纳秒级时间戳处理，性能不</w:t>
            </w:r>
            <w:r>
              <w:rPr>
                <w:rFonts w:hint="eastAsia" w:ascii="宋体" w:hAnsi="宋体" w:cs="宋体"/>
                <w:color w:val="000000"/>
                <w:kern w:val="0"/>
                <w:szCs w:val="21"/>
              </w:rPr>
              <w:t>得</w:t>
            </w:r>
            <w:r>
              <w:rPr>
                <w:rFonts w:hint="eastAsia" w:ascii="宋体" w:hAnsi="宋体" w:cs="宋体"/>
                <w:szCs w:val="21"/>
              </w:rPr>
              <w:t>低于480Gbps。</w:t>
            </w:r>
          </w:p>
          <w:p>
            <w:pPr>
              <w:spacing w:line="320" w:lineRule="exact"/>
              <w:rPr>
                <w:rFonts w:ascii="宋体" w:hAnsi="宋体" w:cs="宋体"/>
                <w:szCs w:val="21"/>
              </w:rPr>
            </w:pPr>
            <w:r>
              <w:rPr>
                <w:rFonts w:hint="eastAsia" w:ascii="宋体" w:hAnsi="宋体" w:cs="宋体"/>
                <w:szCs w:val="21"/>
              </w:rPr>
              <w:t>15.支持线速的报文截短，可以设置保留的字节长度，性能不</w:t>
            </w:r>
            <w:r>
              <w:rPr>
                <w:rFonts w:hint="eastAsia" w:ascii="宋体" w:hAnsi="宋体" w:cs="宋体"/>
                <w:color w:val="000000"/>
                <w:kern w:val="0"/>
                <w:szCs w:val="21"/>
              </w:rPr>
              <w:t>得</w:t>
            </w:r>
            <w:r>
              <w:rPr>
                <w:rFonts w:hint="eastAsia" w:ascii="宋体" w:hAnsi="宋体" w:cs="宋体"/>
                <w:szCs w:val="21"/>
              </w:rPr>
              <w:t>低于480Gbps。</w:t>
            </w:r>
          </w:p>
          <w:p>
            <w:pPr>
              <w:spacing w:line="320" w:lineRule="exact"/>
              <w:rPr>
                <w:rFonts w:ascii="宋体" w:hAnsi="宋体" w:cs="宋体"/>
                <w:szCs w:val="21"/>
              </w:rPr>
            </w:pPr>
            <w:r>
              <w:rPr>
                <w:rFonts w:hint="eastAsia" w:ascii="宋体" w:hAnsi="宋体" w:cs="宋体"/>
                <w:szCs w:val="21"/>
              </w:rPr>
              <w:t>16.支持基于ACL规则的报文截短，从而实现对匹配规则的报文进行截短处理。</w:t>
            </w:r>
          </w:p>
          <w:p>
            <w:pPr>
              <w:spacing w:line="320" w:lineRule="exact"/>
              <w:rPr>
                <w:rFonts w:ascii="宋体" w:hAnsi="宋体" w:cs="宋体"/>
                <w:szCs w:val="21"/>
              </w:rPr>
            </w:pPr>
            <w:r>
              <w:rPr>
                <w:rFonts w:hint="eastAsia" w:ascii="宋体" w:hAnsi="宋体" w:cs="宋体"/>
                <w:szCs w:val="21"/>
              </w:rPr>
              <w:t>17.支持线速的隧道剥离（如MPLS、GTP、GRE、VXLAN、ERSPAN、IP over IP等)，性能不</w:t>
            </w:r>
            <w:r>
              <w:rPr>
                <w:rFonts w:hint="eastAsia" w:ascii="宋体" w:hAnsi="宋体" w:cs="宋体"/>
                <w:color w:val="000000"/>
                <w:kern w:val="0"/>
                <w:szCs w:val="21"/>
              </w:rPr>
              <w:t>得</w:t>
            </w:r>
            <w:r>
              <w:rPr>
                <w:rFonts w:hint="eastAsia" w:ascii="宋体" w:hAnsi="宋体" w:cs="宋体"/>
                <w:szCs w:val="21"/>
              </w:rPr>
              <w:t>低于480Gbps；针对MPLS可以支持5层封装的剥离。</w:t>
            </w:r>
          </w:p>
          <w:p>
            <w:pPr>
              <w:spacing w:line="320" w:lineRule="exact"/>
              <w:rPr>
                <w:rFonts w:ascii="宋体" w:hAnsi="宋体" w:cs="宋体"/>
                <w:szCs w:val="21"/>
              </w:rPr>
            </w:pPr>
            <w:r>
              <w:rPr>
                <w:rFonts w:hint="eastAsia" w:ascii="宋体" w:hAnsi="宋体" w:cs="宋体"/>
                <w:szCs w:val="21"/>
              </w:rPr>
              <w:t>18.支持GRE/VXLAN隧道终结，能够单独配置IP地址用于终结GRE/VXLAN隧道。</w:t>
            </w:r>
          </w:p>
          <w:p>
            <w:pPr>
              <w:spacing w:line="320" w:lineRule="exact"/>
              <w:rPr>
                <w:rFonts w:ascii="宋体" w:hAnsi="宋体" w:cs="宋体"/>
                <w:color w:val="FF0000"/>
                <w:szCs w:val="21"/>
              </w:rPr>
            </w:pPr>
            <w:r>
              <w:rPr>
                <w:rFonts w:hint="eastAsia" w:ascii="宋体" w:hAnsi="宋体" w:cs="宋体"/>
                <w:szCs w:val="21"/>
              </w:rPr>
              <w:t>19.支持GRE隧道封装，支持配置MAC和IP。</w:t>
            </w:r>
          </w:p>
          <w:p>
            <w:pPr>
              <w:spacing w:line="320" w:lineRule="exact"/>
              <w:rPr>
                <w:rFonts w:ascii="宋体" w:hAnsi="宋体" w:cs="宋体"/>
                <w:color w:val="FF0000"/>
                <w:szCs w:val="21"/>
              </w:rPr>
            </w:pPr>
            <w:r>
              <w:rPr>
                <w:rFonts w:hint="eastAsia" w:ascii="宋体" w:hAnsi="宋体" w:cs="宋体"/>
                <w:szCs w:val="21"/>
              </w:rPr>
              <w:t>20.支持MAC地址修改。</w:t>
            </w:r>
          </w:p>
          <w:p>
            <w:pPr>
              <w:spacing w:line="320" w:lineRule="exact"/>
              <w:rPr>
                <w:rFonts w:ascii="宋体" w:hAnsi="宋体" w:cs="宋体"/>
                <w:color w:val="FF0000"/>
                <w:szCs w:val="21"/>
              </w:rPr>
            </w:pPr>
            <w:r>
              <w:rPr>
                <w:rFonts w:hint="eastAsia" w:ascii="宋体" w:hAnsi="宋体" w:cs="宋体"/>
                <w:szCs w:val="21"/>
              </w:rPr>
              <w:t>21.支持源端口标记功能。</w:t>
            </w:r>
          </w:p>
          <w:p>
            <w:pPr>
              <w:spacing w:line="320" w:lineRule="exact"/>
              <w:rPr>
                <w:rFonts w:ascii="宋体" w:hAnsi="宋体" w:cs="宋体"/>
                <w:szCs w:val="21"/>
              </w:rPr>
            </w:pPr>
            <w:r>
              <w:rPr>
                <w:rFonts w:hint="eastAsia" w:ascii="宋体" w:hAnsi="宋体" w:cs="宋体"/>
                <w:szCs w:val="21"/>
              </w:rPr>
              <w:t>22.支持sflow报文采样。</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管理要求</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s="宋体"/>
                <w:szCs w:val="21"/>
              </w:rPr>
              <w:t>1.支持Console、SSH、WEB等多种方式登录系统。</w:t>
            </w:r>
          </w:p>
          <w:p>
            <w:pPr>
              <w:spacing w:line="320" w:lineRule="exact"/>
              <w:rPr>
                <w:rFonts w:ascii="宋体" w:hAnsi="宋体" w:cs="宋体"/>
                <w:szCs w:val="21"/>
              </w:rPr>
            </w:pPr>
            <w:r>
              <w:rPr>
                <w:rFonts w:hint="eastAsia" w:ascii="宋体" w:hAnsi="宋体" w:cs="宋体"/>
                <w:szCs w:val="21"/>
              </w:rPr>
              <w:t>2.提供简单易用中文WEB管理界面。</w:t>
            </w:r>
          </w:p>
          <w:p>
            <w:pPr>
              <w:spacing w:line="320" w:lineRule="exact"/>
              <w:rPr>
                <w:rFonts w:ascii="宋体" w:hAnsi="宋体" w:cs="宋体"/>
                <w:color w:val="FF0000"/>
                <w:szCs w:val="21"/>
              </w:rPr>
            </w:pPr>
            <w:r>
              <w:rPr>
                <w:rFonts w:hint="eastAsia" w:ascii="宋体" w:hAnsi="宋体" w:cs="宋体"/>
                <w:szCs w:val="21"/>
              </w:rPr>
              <w:t>3.支持端口速率、包数、字节数、丢包等统计功能。</w:t>
            </w:r>
          </w:p>
          <w:p>
            <w:pPr>
              <w:spacing w:line="320" w:lineRule="exact"/>
              <w:rPr>
                <w:rFonts w:ascii="宋体" w:hAnsi="宋体" w:cs="宋体"/>
                <w:color w:val="FF0000"/>
                <w:szCs w:val="21"/>
              </w:rPr>
            </w:pPr>
            <w:r>
              <w:rPr>
                <w:rFonts w:hint="eastAsia" w:ascii="宋体" w:hAnsi="宋体" w:cs="宋体"/>
                <w:szCs w:val="21"/>
              </w:rPr>
              <w:t>4.支持过滤匹配规则命中统计。</w:t>
            </w:r>
          </w:p>
          <w:p>
            <w:pPr>
              <w:spacing w:line="320" w:lineRule="exact"/>
              <w:rPr>
                <w:rFonts w:ascii="宋体" w:hAnsi="宋体" w:cs="宋体"/>
                <w:color w:val="FF0000"/>
                <w:szCs w:val="21"/>
              </w:rPr>
            </w:pPr>
            <w:r>
              <w:rPr>
                <w:rFonts w:hint="eastAsia" w:ascii="宋体" w:hAnsi="宋体" w:cs="宋体"/>
                <w:szCs w:val="21"/>
              </w:rPr>
              <w:t>5.端口配置信息和状态查询。</w:t>
            </w:r>
          </w:p>
          <w:p>
            <w:pPr>
              <w:spacing w:line="320" w:lineRule="exact"/>
              <w:rPr>
                <w:rFonts w:ascii="宋体" w:hAnsi="宋体" w:cs="宋体"/>
                <w:color w:val="FF0000"/>
                <w:szCs w:val="21"/>
              </w:rPr>
            </w:pPr>
            <w:r>
              <w:rPr>
                <w:rFonts w:hint="eastAsia" w:ascii="宋体" w:hAnsi="宋体" w:cs="宋体"/>
                <w:szCs w:val="21"/>
              </w:rPr>
              <w:t>6.多台设备部署时，可扩展配置集中管理系统，支持多台设备的图形化集中管理。</w:t>
            </w:r>
          </w:p>
          <w:p>
            <w:pPr>
              <w:spacing w:line="320" w:lineRule="exact"/>
              <w:rPr>
                <w:rFonts w:ascii="宋体" w:hAnsi="宋体" w:cs="宋体"/>
                <w:szCs w:val="21"/>
              </w:rPr>
            </w:pPr>
            <w:r>
              <w:rPr>
                <w:rFonts w:hint="eastAsia" w:ascii="宋体" w:hAnsi="宋体" w:cs="宋体"/>
                <w:szCs w:val="21"/>
              </w:rPr>
              <w:t>7.支持链路层发现协议(LLDP)，能够自动发现设备并绘制拓扑。</w:t>
            </w:r>
          </w:p>
          <w:p>
            <w:pPr>
              <w:spacing w:line="320" w:lineRule="exact"/>
              <w:rPr>
                <w:rFonts w:ascii="宋体" w:hAnsi="宋体" w:cs="宋体"/>
                <w:color w:val="FF0000"/>
                <w:szCs w:val="21"/>
              </w:rPr>
            </w:pPr>
            <w:r>
              <w:rPr>
                <w:rFonts w:hint="eastAsia" w:ascii="宋体" w:hAnsi="宋体" w:cs="宋体"/>
                <w:szCs w:val="21"/>
              </w:rPr>
              <w:t>8.支持REST API接口。</w:t>
            </w:r>
            <w:r>
              <w:rPr>
                <w:rFonts w:hint="eastAsia" w:ascii="宋体" w:hAnsi="宋体" w:cs="宋体"/>
                <w:color w:val="000000" w:themeColor="text1"/>
                <w:szCs w:val="21"/>
                <w14:textFill>
                  <w14:solidFill>
                    <w14:schemeClr w14:val="tx1"/>
                  </w14:solidFill>
                </w14:textFill>
              </w:rPr>
              <w:t>(注：项目中标后，需提REST API接口文件)</w:t>
            </w:r>
          </w:p>
          <w:p>
            <w:pPr>
              <w:spacing w:line="320" w:lineRule="exact"/>
              <w:rPr>
                <w:rFonts w:ascii="宋体" w:hAnsi="宋体" w:cs="宋体"/>
                <w:color w:val="FF0000"/>
                <w:szCs w:val="21"/>
              </w:rPr>
            </w:pPr>
            <w:r>
              <w:rPr>
                <w:rFonts w:hint="eastAsia" w:ascii="宋体" w:hAnsi="宋体" w:cs="宋体"/>
                <w:szCs w:val="21"/>
              </w:rPr>
              <w:t>9.支持RADIUS、TACACS+集中认证。</w:t>
            </w:r>
          </w:p>
          <w:p>
            <w:pPr>
              <w:spacing w:line="320" w:lineRule="exact"/>
              <w:rPr>
                <w:rFonts w:ascii="宋体" w:hAnsi="宋体" w:cs="宋体"/>
                <w:szCs w:val="21"/>
              </w:rPr>
            </w:pPr>
            <w:r>
              <w:rPr>
                <w:rFonts w:hint="eastAsia" w:ascii="宋体" w:hAnsi="宋体" w:cs="宋体"/>
                <w:szCs w:val="21"/>
              </w:rPr>
              <w:t>10.支持在线安全升级。</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产品资质要求</w:t>
            </w:r>
          </w:p>
        </w:tc>
        <w:tc>
          <w:tcPr>
            <w:tcW w:w="6042" w:type="dxa"/>
            <w:tcMar>
              <w:top w:w="15" w:type="dxa"/>
              <w:left w:w="15" w:type="dxa"/>
              <w:right w:w="15" w:type="dxa"/>
            </w:tcMar>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1.产品具有完全自主知识产权，具有相关软件著作权。（注：需要提供相关证明）</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restart"/>
            <w:noWrap/>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9</w:t>
            </w:r>
          </w:p>
        </w:tc>
        <w:tc>
          <w:tcPr>
            <w:tcW w:w="992" w:type="dxa"/>
            <w:vMerge w:val="restart"/>
            <w:noWrap/>
            <w:tcMar>
              <w:top w:w="15" w:type="dxa"/>
              <w:left w:w="15" w:type="dxa"/>
              <w:right w:w="15" w:type="dxa"/>
            </w:tcMar>
            <w:vAlign w:val="center"/>
          </w:tcPr>
          <w:p>
            <w:pPr>
              <w:spacing w:line="320" w:lineRule="exact"/>
              <w:jc w:val="center"/>
              <w:rPr>
                <w:rFonts w:ascii="宋体" w:hAnsi="宋体"/>
                <w:szCs w:val="21"/>
              </w:rPr>
            </w:pPr>
            <w:bookmarkStart w:id="84" w:name="_Hlk100241212"/>
            <w:r>
              <w:rPr>
                <w:rFonts w:ascii="宋体" w:hAnsi="宋体"/>
                <w:szCs w:val="21"/>
              </w:rPr>
              <w:t>数据水印标记系统</w:t>
            </w:r>
            <w:bookmarkEnd w:id="84"/>
          </w:p>
        </w:tc>
        <w:tc>
          <w:tcPr>
            <w:tcW w:w="1134" w:type="dxa"/>
            <w:noWrap/>
            <w:tcMar>
              <w:top w:w="15" w:type="dxa"/>
              <w:left w:w="15" w:type="dxa"/>
              <w:right w:w="15" w:type="dxa"/>
            </w:tcMar>
            <w:vAlign w:val="center"/>
          </w:tcPr>
          <w:p>
            <w:pPr>
              <w:spacing w:line="320" w:lineRule="exact"/>
              <w:jc w:val="center"/>
              <w:rPr>
                <w:rFonts w:ascii="宋体" w:hAnsi="宋体" w:cs="宋体"/>
                <w:szCs w:val="21"/>
              </w:rPr>
            </w:pPr>
            <w:r>
              <w:rPr>
                <w:rFonts w:hint="eastAsia" w:ascii="宋体" w:hAnsi="宋体"/>
                <w:color w:val="000000"/>
                <w:szCs w:val="21"/>
              </w:rPr>
              <w:t>系统兼容性</w:t>
            </w:r>
          </w:p>
        </w:tc>
        <w:tc>
          <w:tcPr>
            <w:tcW w:w="6042" w:type="dxa"/>
            <w:tcMar>
              <w:top w:w="15" w:type="dxa"/>
              <w:left w:w="15" w:type="dxa"/>
              <w:right w:w="15" w:type="dxa"/>
            </w:tcMar>
            <w:vAlign w:val="center"/>
          </w:tcPr>
          <w:p>
            <w:pPr>
              <w:spacing w:line="320" w:lineRule="exact"/>
              <w:rPr>
                <w:rFonts w:ascii="宋体" w:hAnsi="宋体" w:cs="宋体"/>
                <w:szCs w:val="21"/>
              </w:rPr>
            </w:pPr>
            <w:r>
              <w:rPr>
                <w:rFonts w:hint="eastAsia" w:ascii="宋体" w:hAnsi="宋体"/>
                <w:color w:val="000000"/>
                <w:szCs w:val="21"/>
              </w:rPr>
              <w:t>支持IE，360，火狐，百度，谷歌，QQ等浏览器类型。</w:t>
            </w:r>
          </w:p>
        </w:tc>
        <w:tc>
          <w:tcPr>
            <w:tcW w:w="851" w:type="dxa"/>
            <w:vMerge w:val="restart"/>
            <w:tcMar>
              <w:top w:w="15" w:type="dxa"/>
              <w:left w:w="15" w:type="dxa"/>
              <w:right w:w="15" w:type="dxa"/>
            </w:tcMar>
            <w:vAlign w:val="center"/>
          </w:tcPr>
          <w:p>
            <w:pPr>
              <w:spacing w:line="320" w:lineRule="exact"/>
              <w:jc w:val="center"/>
              <w:rPr>
                <w:rFonts w:ascii="宋体" w:hAnsi="宋体"/>
                <w:szCs w:val="21"/>
              </w:rPr>
            </w:pPr>
            <w:r>
              <w:rPr>
                <w:rFonts w:hint="eastAsia" w:ascii="宋体" w:hAnsi="宋体"/>
                <w:szCs w:val="21"/>
              </w:rPr>
              <w:t>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处理速率</w:t>
            </w:r>
          </w:p>
        </w:tc>
        <w:tc>
          <w:tcPr>
            <w:tcW w:w="6042" w:type="dxa"/>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处理文件的速率≥50MB/S</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支持集群</w:t>
            </w:r>
          </w:p>
        </w:tc>
        <w:tc>
          <w:tcPr>
            <w:tcW w:w="6042" w:type="dxa"/>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能进行服务器的扩充</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最大集群量</w:t>
            </w:r>
          </w:p>
        </w:tc>
        <w:tc>
          <w:tcPr>
            <w:tcW w:w="6042" w:type="dxa"/>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能扩充的服务器数≥16台</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支持文件/数据格式</w:t>
            </w:r>
          </w:p>
        </w:tc>
        <w:tc>
          <w:tcPr>
            <w:tcW w:w="6042" w:type="dxa"/>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支持文件/数据格式≥20个，包括Word文件、Excel文件、PowerPoint文件、PDF文件、图片文件。</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水印信息压缩率</w:t>
            </w:r>
          </w:p>
        </w:tc>
        <w:tc>
          <w:tcPr>
            <w:tcW w:w="6042" w:type="dxa"/>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原文件大小正负10%范围内</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38"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支持水印文件修改</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1.支持已标注水印docx文件内容、doc文件内容、docx文件文件名、doc文件文件名可修改。</w:t>
            </w:r>
          </w:p>
          <w:p>
            <w:pPr>
              <w:spacing w:line="320" w:lineRule="exact"/>
              <w:rPr>
                <w:rFonts w:ascii="宋体" w:hAnsi="宋体"/>
                <w:color w:val="000000"/>
                <w:szCs w:val="21"/>
              </w:rPr>
            </w:pPr>
            <w:r>
              <w:rPr>
                <w:rFonts w:hint="eastAsia" w:ascii="宋体" w:hAnsi="宋体"/>
                <w:color w:val="000000"/>
                <w:szCs w:val="21"/>
              </w:rPr>
              <w:t>2.支持已标注水印xlsx文件名、水印xls文件名、xlsx文件内容可修改。</w:t>
            </w:r>
          </w:p>
          <w:p>
            <w:pPr>
              <w:spacing w:line="320" w:lineRule="exact"/>
              <w:rPr>
                <w:rFonts w:ascii="宋体" w:hAnsi="宋体"/>
                <w:color w:val="000000"/>
                <w:szCs w:val="21"/>
              </w:rPr>
            </w:pPr>
            <w:r>
              <w:rPr>
                <w:rFonts w:hint="eastAsia" w:ascii="宋体" w:hAnsi="宋体"/>
                <w:color w:val="000000"/>
                <w:szCs w:val="21"/>
              </w:rPr>
              <w:t>3.支持已标注水印pptx文件名、ppt文件名、pptx文件内容、ppt文件内容可修改。</w:t>
            </w:r>
          </w:p>
          <w:p>
            <w:pPr>
              <w:spacing w:line="320" w:lineRule="exact"/>
              <w:rPr>
                <w:rFonts w:ascii="宋体" w:hAnsi="宋体"/>
                <w:color w:val="000000"/>
                <w:szCs w:val="21"/>
              </w:rPr>
            </w:pPr>
            <w:r>
              <w:rPr>
                <w:rFonts w:hint="eastAsia" w:ascii="宋体" w:hAnsi="宋体"/>
                <w:color w:val="000000"/>
                <w:szCs w:val="21"/>
              </w:rPr>
              <w:t>4.支持已标注水印PDF文件名、PDF文件内容可修改。</w:t>
            </w:r>
          </w:p>
          <w:p>
            <w:pPr>
              <w:spacing w:line="320" w:lineRule="exact"/>
              <w:rPr>
                <w:rFonts w:ascii="宋体" w:hAnsi="宋体"/>
                <w:color w:val="000000"/>
                <w:szCs w:val="21"/>
              </w:rPr>
            </w:pPr>
            <w:r>
              <w:rPr>
                <w:rFonts w:hint="eastAsia" w:ascii="宋体" w:hAnsi="宋体"/>
                <w:color w:val="000000"/>
                <w:szCs w:val="21"/>
              </w:rPr>
              <w:t>5.支持已标注水印jpg文件名、png文件名、jpg文件内容、png文件内容可修改，支持已标注水印jpg文件像素、png文件像素可压缩。</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支持水印文件复制</w:t>
            </w:r>
          </w:p>
        </w:tc>
        <w:tc>
          <w:tcPr>
            <w:tcW w:w="6042" w:type="dxa"/>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支持已标注水印文件可复制。</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85"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支持水印文件转存</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1.支持已标注水印docx文件可转存为docx、doc格式</w:t>
            </w:r>
          </w:p>
          <w:p>
            <w:pPr>
              <w:spacing w:line="320" w:lineRule="exact"/>
              <w:rPr>
                <w:rFonts w:ascii="宋体" w:hAnsi="宋体"/>
                <w:color w:val="000000"/>
                <w:szCs w:val="21"/>
              </w:rPr>
            </w:pPr>
            <w:r>
              <w:rPr>
                <w:rFonts w:hint="eastAsia" w:ascii="宋体" w:hAnsi="宋体"/>
                <w:color w:val="000000"/>
                <w:szCs w:val="21"/>
              </w:rPr>
              <w:t>2.支持已标注水印doc文件可转存为doc格式</w:t>
            </w:r>
          </w:p>
          <w:p>
            <w:pPr>
              <w:spacing w:line="320" w:lineRule="exact"/>
              <w:rPr>
                <w:rFonts w:ascii="宋体" w:hAnsi="宋体"/>
                <w:color w:val="000000"/>
                <w:szCs w:val="21"/>
              </w:rPr>
            </w:pPr>
            <w:r>
              <w:rPr>
                <w:rFonts w:hint="eastAsia" w:ascii="宋体" w:hAnsi="宋体"/>
                <w:color w:val="000000"/>
                <w:szCs w:val="21"/>
              </w:rPr>
              <w:t>3.支持已标注水印xlsx文件可转存为xlsx、xls格式</w:t>
            </w:r>
          </w:p>
          <w:p>
            <w:pPr>
              <w:spacing w:line="320" w:lineRule="exact"/>
              <w:rPr>
                <w:rFonts w:ascii="宋体" w:hAnsi="宋体"/>
                <w:color w:val="000000"/>
                <w:szCs w:val="21"/>
              </w:rPr>
            </w:pPr>
            <w:r>
              <w:rPr>
                <w:rFonts w:hint="eastAsia" w:ascii="宋体" w:hAnsi="宋体"/>
                <w:color w:val="000000"/>
                <w:szCs w:val="21"/>
              </w:rPr>
              <w:t>4.支持已标注水印pptx文件可另存为pptx、ppt格式</w:t>
            </w:r>
          </w:p>
          <w:p>
            <w:pPr>
              <w:spacing w:line="320" w:lineRule="exact"/>
              <w:rPr>
                <w:rFonts w:ascii="宋体" w:hAnsi="宋体"/>
                <w:color w:val="000000"/>
                <w:szCs w:val="21"/>
              </w:rPr>
            </w:pPr>
            <w:r>
              <w:rPr>
                <w:rFonts w:hint="eastAsia" w:ascii="宋体" w:hAnsi="宋体"/>
                <w:color w:val="000000"/>
                <w:szCs w:val="21"/>
              </w:rPr>
              <w:t>5.支持已标注水印ppt文件可另存为pptx、ppt格式</w:t>
            </w:r>
          </w:p>
          <w:p>
            <w:pPr>
              <w:spacing w:line="320" w:lineRule="exact"/>
              <w:rPr>
                <w:rFonts w:ascii="宋体" w:hAnsi="宋体"/>
                <w:color w:val="000000"/>
                <w:szCs w:val="21"/>
              </w:rPr>
            </w:pPr>
            <w:r>
              <w:rPr>
                <w:rFonts w:hint="eastAsia" w:ascii="宋体" w:hAnsi="宋体"/>
                <w:color w:val="000000"/>
                <w:szCs w:val="21"/>
              </w:rPr>
              <w:t>6.支持已标注PDF文件可另存为PDF格式</w:t>
            </w:r>
          </w:p>
          <w:p>
            <w:pPr>
              <w:spacing w:line="320" w:lineRule="exact"/>
              <w:rPr>
                <w:rFonts w:ascii="宋体" w:hAnsi="宋体"/>
                <w:color w:val="000000"/>
                <w:szCs w:val="21"/>
              </w:rPr>
            </w:pPr>
            <w:r>
              <w:rPr>
                <w:rFonts w:hint="eastAsia" w:ascii="宋体" w:hAnsi="宋体"/>
                <w:color w:val="000000"/>
                <w:szCs w:val="21"/>
              </w:rPr>
              <w:t>7.支持已标注水印jpg文件可另存为jpg、png格式</w:t>
            </w:r>
          </w:p>
          <w:p>
            <w:pPr>
              <w:spacing w:line="320" w:lineRule="exact"/>
              <w:rPr>
                <w:rFonts w:ascii="宋体" w:hAnsi="宋体"/>
                <w:color w:val="000000"/>
                <w:szCs w:val="21"/>
              </w:rPr>
            </w:pPr>
            <w:r>
              <w:rPr>
                <w:rFonts w:hint="eastAsia" w:ascii="宋体" w:hAnsi="宋体"/>
                <w:color w:val="000000"/>
                <w:szCs w:val="21"/>
              </w:rPr>
              <w:t>8.支持已标注水印png文件可另存为jpg、png格式</w:t>
            </w:r>
          </w:p>
          <w:p>
            <w:pPr>
              <w:spacing w:line="320" w:lineRule="exact"/>
              <w:rPr>
                <w:rFonts w:ascii="宋体" w:hAnsi="宋体"/>
                <w:color w:val="000000"/>
                <w:szCs w:val="21"/>
              </w:rPr>
            </w:pPr>
            <w:r>
              <w:rPr>
                <w:rFonts w:hint="eastAsia" w:ascii="宋体" w:hAnsi="宋体"/>
                <w:color w:val="000000"/>
                <w:szCs w:val="21"/>
              </w:rPr>
              <w:t>9.支持已标注水印jpg文件可软件截图为png格式</w:t>
            </w:r>
          </w:p>
          <w:p>
            <w:pPr>
              <w:spacing w:line="320" w:lineRule="exact"/>
              <w:rPr>
                <w:rFonts w:ascii="宋体" w:hAnsi="宋体"/>
                <w:color w:val="000000"/>
                <w:szCs w:val="21"/>
              </w:rPr>
            </w:pPr>
            <w:r>
              <w:rPr>
                <w:rFonts w:hint="eastAsia" w:ascii="宋体" w:hAnsi="宋体"/>
                <w:color w:val="000000"/>
                <w:szCs w:val="21"/>
              </w:rPr>
              <w:t>10.支持已标注水印png文件可软件截图为jpg、png格式</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支持水印文件压缩</w:t>
            </w:r>
          </w:p>
        </w:tc>
        <w:tc>
          <w:tcPr>
            <w:tcW w:w="6042" w:type="dxa"/>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支持已标注水印文件可压缩和解压。</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66" w:hRule="atLeast"/>
          <w:jc w:val="center"/>
        </w:trPr>
        <w:tc>
          <w:tcPr>
            <w:tcW w:w="460" w:type="dxa"/>
            <w:vMerge w:val="continue"/>
            <w:tcBorders>
              <w:bottom w:val="single" w:color="auto" w:sz="6" w:space="0"/>
            </w:tcBorders>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tcBorders>
              <w:bottom w:val="single" w:color="auto" w:sz="6" w:space="0"/>
            </w:tcBorders>
            <w:noWrap/>
            <w:tcMar>
              <w:top w:w="15" w:type="dxa"/>
              <w:left w:w="15" w:type="dxa"/>
              <w:right w:w="15" w:type="dxa"/>
            </w:tcMar>
            <w:vAlign w:val="center"/>
          </w:tcPr>
          <w:p>
            <w:pPr>
              <w:spacing w:line="320" w:lineRule="exact"/>
              <w:rPr>
                <w:rFonts w:ascii="宋体" w:hAnsi="宋体"/>
                <w:szCs w:val="21"/>
              </w:rPr>
            </w:pPr>
          </w:p>
        </w:tc>
        <w:tc>
          <w:tcPr>
            <w:tcW w:w="1134" w:type="dxa"/>
            <w:tcBorders>
              <w:bottom w:val="single" w:color="auto" w:sz="6" w:space="0"/>
            </w:tcBorders>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水印标记处理速率</w:t>
            </w:r>
          </w:p>
        </w:tc>
        <w:tc>
          <w:tcPr>
            <w:tcW w:w="6042" w:type="dxa"/>
            <w:tcBorders>
              <w:bottom w:val="single" w:color="auto" w:sz="6" w:space="0"/>
            </w:tcBorders>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1.Word文件：3.96MB/s（大于40MB），2.21MB/s（10-40MB），1.21MB/s（小于10MB）</w:t>
            </w:r>
          </w:p>
          <w:p>
            <w:pPr>
              <w:spacing w:line="320" w:lineRule="exact"/>
              <w:rPr>
                <w:rFonts w:ascii="宋体" w:hAnsi="宋体"/>
                <w:color w:val="000000"/>
                <w:szCs w:val="21"/>
              </w:rPr>
            </w:pPr>
            <w:r>
              <w:rPr>
                <w:rFonts w:hint="eastAsia" w:ascii="宋体" w:hAnsi="宋体"/>
                <w:color w:val="000000"/>
                <w:szCs w:val="21"/>
              </w:rPr>
              <w:t>2.Excel文件：3.84MB/s（大于40MB），1.62MB/s（10-40MB），0.89MB/s（小于10MB）</w:t>
            </w:r>
          </w:p>
          <w:p>
            <w:pPr>
              <w:spacing w:line="320" w:lineRule="exact"/>
              <w:rPr>
                <w:rFonts w:ascii="宋体" w:hAnsi="宋体"/>
                <w:color w:val="000000"/>
                <w:szCs w:val="21"/>
              </w:rPr>
            </w:pPr>
            <w:r>
              <w:rPr>
                <w:rFonts w:hint="eastAsia" w:ascii="宋体" w:hAnsi="宋体"/>
                <w:color w:val="000000"/>
                <w:szCs w:val="21"/>
              </w:rPr>
              <w:t>3.PowerPoint文件：3.09MB/s（大于40MB），2.70MB/s（10MB-40MB），0.74MB/s（小于10MB）</w:t>
            </w:r>
          </w:p>
          <w:p>
            <w:pPr>
              <w:spacing w:line="320" w:lineRule="exact"/>
              <w:rPr>
                <w:rFonts w:ascii="宋体" w:hAnsi="宋体"/>
                <w:color w:val="000000"/>
                <w:szCs w:val="21"/>
              </w:rPr>
            </w:pPr>
            <w:r>
              <w:rPr>
                <w:rFonts w:hint="eastAsia" w:ascii="宋体" w:hAnsi="宋体"/>
                <w:color w:val="000000"/>
                <w:szCs w:val="21"/>
              </w:rPr>
              <w:t>4.PDF文件：3.25MB/s（2大于20MB），1.25MB/s（10MB-20MB），1.48MB/s（小于10MB）</w:t>
            </w:r>
          </w:p>
          <w:p>
            <w:pPr>
              <w:spacing w:line="320" w:lineRule="exact"/>
              <w:rPr>
                <w:rFonts w:ascii="宋体" w:hAnsi="宋体"/>
                <w:color w:val="000000"/>
                <w:szCs w:val="21"/>
              </w:rPr>
            </w:pPr>
            <w:r>
              <w:rPr>
                <w:rFonts w:hint="eastAsia" w:ascii="宋体" w:hAnsi="宋体"/>
                <w:color w:val="000000"/>
                <w:szCs w:val="21"/>
              </w:rPr>
              <w:t>图片文件：0.17MB/s（小于10MB）</w:t>
            </w:r>
          </w:p>
        </w:tc>
        <w:tc>
          <w:tcPr>
            <w:tcW w:w="851" w:type="dxa"/>
            <w:vMerge w:val="continue"/>
            <w:tcBorders>
              <w:bottom w:val="single" w:color="auto" w:sz="6" w:space="0"/>
            </w:tcBorders>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支持文件大小要求</w:t>
            </w:r>
          </w:p>
        </w:tc>
        <w:tc>
          <w:tcPr>
            <w:tcW w:w="6042" w:type="dxa"/>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≥20MB</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水印标记成功率</w:t>
            </w:r>
          </w:p>
        </w:tc>
        <w:tc>
          <w:tcPr>
            <w:tcW w:w="6042" w:type="dxa"/>
            <w:tcMar>
              <w:top w:w="15" w:type="dxa"/>
              <w:left w:w="15" w:type="dxa"/>
              <w:right w:w="15" w:type="dxa"/>
            </w:tcMar>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综合成功率≥95%（提供第三方测评报告证明，加盖投标人公章）</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水印信息容量</w:t>
            </w:r>
          </w:p>
        </w:tc>
        <w:tc>
          <w:tcPr>
            <w:tcW w:w="6042" w:type="dxa"/>
            <w:tcMar>
              <w:top w:w="15" w:type="dxa"/>
              <w:left w:w="15" w:type="dxa"/>
              <w:right w:w="15" w:type="dxa"/>
            </w:tcMar>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≥20字符</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鲁棒性</w:t>
            </w:r>
          </w:p>
        </w:tc>
        <w:tc>
          <w:tcPr>
            <w:tcW w:w="6042" w:type="dxa"/>
            <w:tcMar>
              <w:top w:w="15" w:type="dxa"/>
              <w:left w:w="15" w:type="dxa"/>
              <w:right w:w="15" w:type="dxa"/>
            </w:tcMar>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支持系统集成方式</w:t>
            </w:r>
          </w:p>
        </w:tc>
        <w:tc>
          <w:tcPr>
            <w:tcW w:w="6042" w:type="dxa"/>
            <w:tcMar>
              <w:top w:w="15" w:type="dxa"/>
              <w:left w:w="15" w:type="dxa"/>
              <w:right w:w="15" w:type="dxa"/>
            </w:tcMar>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支持≥3种水印集成方式（提供第三方测评报告证明，加盖投标人公章）</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46" w:hRule="atLeast"/>
          <w:jc w:val="center"/>
        </w:trPr>
        <w:tc>
          <w:tcPr>
            <w:tcW w:w="460" w:type="dxa"/>
            <w:vMerge w:val="continue"/>
            <w:noWrap/>
            <w:tcMar>
              <w:top w:w="15" w:type="dxa"/>
              <w:left w:w="15" w:type="dxa"/>
              <w:right w:w="15" w:type="dxa"/>
            </w:tcMar>
            <w:vAlign w:val="center"/>
          </w:tcPr>
          <w:p>
            <w:pPr>
              <w:spacing w:line="320" w:lineRule="exact"/>
              <w:jc w:val="center"/>
              <w:rPr>
                <w:rFonts w:ascii="宋体" w:hAnsi="宋体"/>
                <w:szCs w:val="21"/>
              </w:rPr>
            </w:pPr>
          </w:p>
        </w:tc>
        <w:tc>
          <w:tcPr>
            <w:tcW w:w="992" w:type="dxa"/>
            <w:vMerge w:val="continue"/>
            <w:noWrap/>
            <w:tcMar>
              <w:top w:w="15" w:type="dxa"/>
              <w:left w:w="15" w:type="dxa"/>
              <w:right w:w="15" w:type="dxa"/>
            </w:tcMar>
            <w:vAlign w:val="center"/>
          </w:tcPr>
          <w:p>
            <w:pPr>
              <w:spacing w:line="320" w:lineRule="exact"/>
              <w:rPr>
                <w:rFonts w:ascii="宋体" w:hAnsi="宋体"/>
                <w:szCs w:val="21"/>
              </w:rPr>
            </w:pPr>
          </w:p>
        </w:tc>
        <w:tc>
          <w:tcPr>
            <w:tcW w:w="1134" w:type="dxa"/>
            <w:noWrap/>
            <w:tcMar>
              <w:top w:w="15" w:type="dxa"/>
              <w:left w:w="15" w:type="dxa"/>
              <w:right w:w="15" w:type="dxa"/>
            </w:tcMar>
            <w:vAlign w:val="center"/>
          </w:tcPr>
          <w:p>
            <w:pPr>
              <w:spacing w:line="320" w:lineRule="exact"/>
              <w:jc w:val="center"/>
              <w:rPr>
                <w:rFonts w:ascii="宋体" w:hAnsi="宋体"/>
                <w:color w:val="000000"/>
                <w:szCs w:val="21"/>
              </w:rPr>
            </w:pPr>
            <w:r>
              <w:rPr>
                <w:rFonts w:hint="eastAsia" w:ascii="宋体" w:hAnsi="宋体"/>
                <w:color w:val="000000"/>
                <w:szCs w:val="21"/>
              </w:rPr>
              <w:t>水印标记方式</w:t>
            </w:r>
          </w:p>
        </w:tc>
        <w:tc>
          <w:tcPr>
            <w:tcW w:w="6042" w:type="dxa"/>
            <w:tcMar>
              <w:top w:w="15" w:type="dxa"/>
              <w:left w:w="15" w:type="dxa"/>
              <w:right w:w="15" w:type="dxa"/>
            </w:tcMar>
            <w:vAlign w:val="center"/>
          </w:tcPr>
          <w:p>
            <w:pPr>
              <w:spacing w:line="320" w:lineRule="exact"/>
              <w:rPr>
                <w:rFonts w:ascii="宋体" w:hAnsi="宋体"/>
                <w:color w:val="000000"/>
                <w:szCs w:val="21"/>
              </w:rPr>
            </w:pPr>
            <w:r>
              <w:rPr>
                <w:rFonts w:hint="eastAsia" w:ascii="宋体" w:hAnsi="宋体"/>
                <w:color w:val="000000"/>
                <w:szCs w:val="21"/>
              </w:rPr>
              <w:t>水印标记后直接可提取水印信息，不需要原文件支持</w:t>
            </w:r>
          </w:p>
        </w:tc>
        <w:tc>
          <w:tcPr>
            <w:tcW w:w="851" w:type="dxa"/>
            <w:vMerge w:val="continue"/>
            <w:tcMar>
              <w:top w:w="15" w:type="dxa"/>
              <w:left w:w="15" w:type="dxa"/>
              <w:right w:w="15" w:type="dxa"/>
            </w:tcMar>
            <w:vAlign w:val="center"/>
          </w:tcPr>
          <w:p>
            <w:pPr>
              <w:spacing w:line="320" w:lineRule="exact"/>
              <w:jc w:val="center"/>
              <w:rPr>
                <w:rFonts w:ascii="宋体" w:hAnsi="宋体"/>
                <w:szCs w:val="21"/>
              </w:rPr>
            </w:pPr>
          </w:p>
        </w:tc>
      </w:tr>
    </w:tbl>
    <w:p>
      <w:pPr>
        <w:spacing w:before="156" w:beforeLines="50" w:line="460" w:lineRule="exact"/>
        <w:rPr>
          <w:rFonts w:ascii="宋体" w:hAnsi="宋体" w:cs="宋体"/>
          <w:b/>
          <w:color w:val="000000"/>
          <w:sz w:val="24"/>
          <w:szCs w:val="24"/>
        </w:rPr>
      </w:pPr>
      <w:r>
        <w:rPr>
          <w:rFonts w:hint="eastAsia" w:ascii="宋体" w:hAnsi="宋体" w:cs="宋体"/>
          <w:b/>
          <w:color w:val="000000"/>
          <w:sz w:val="24"/>
          <w:szCs w:val="24"/>
        </w:rPr>
        <w:t>（三）项目实施要求</w:t>
      </w:r>
    </w:p>
    <w:p>
      <w:pPr>
        <w:spacing w:line="4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szCs w:val="21"/>
        </w:rPr>
        <w:t>1.项目实施总体要求</w:t>
      </w:r>
      <w:bookmarkEnd w:id="73"/>
      <w:bookmarkEnd w:id="74"/>
      <w:bookmarkEnd w:id="75"/>
    </w:p>
    <w:p>
      <w:pPr>
        <w:topLinePunct/>
        <w:spacing w:line="420" w:lineRule="exact"/>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项目实施从合同生效之日起</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个月内完成</w:t>
      </w:r>
      <w:r>
        <w:rPr>
          <w:rFonts w:hint="eastAsia" w:ascii="宋体" w:hAnsi="宋体" w:cs="宋体"/>
          <w:color w:val="000000" w:themeColor="text1"/>
          <w14:textFill>
            <w14:solidFill>
              <w14:schemeClr w14:val="tx1"/>
            </w14:solidFill>
          </w14:textFill>
        </w:rPr>
        <w:t>设备部署、平台开发</w:t>
      </w:r>
      <w:r>
        <w:rPr>
          <w:rFonts w:hint="eastAsia" w:ascii="宋体" w:hAnsi="宋体" w:cs="宋体"/>
          <w:color w:val="000000" w:themeColor="text1"/>
          <w:szCs w:val="21"/>
          <w14:textFill>
            <w14:solidFill>
              <w14:schemeClr w14:val="tx1"/>
            </w14:solidFill>
          </w14:textFill>
        </w:rPr>
        <w:t>及试运</w:t>
      </w:r>
      <w:r>
        <w:rPr>
          <w:rFonts w:hint="eastAsia" w:ascii="宋体" w:hAnsi="宋体" w:cs="宋体"/>
          <w:szCs w:val="21"/>
        </w:rPr>
        <w:t>行工作，进行第一次验收。</w:t>
      </w:r>
    </w:p>
    <w:p>
      <w:pPr>
        <w:topLinePunct/>
        <w:spacing w:line="420" w:lineRule="exact"/>
        <w:ind w:firstLine="420" w:firstLineChars="200"/>
        <w:rPr>
          <w:rFonts w:ascii="宋体" w:hAnsi="宋体" w:cs="宋体"/>
          <w:szCs w:val="21"/>
        </w:rPr>
      </w:pPr>
      <w:r>
        <w:rPr>
          <w:rFonts w:hint="eastAsia" w:ascii="宋体" w:hAnsi="宋体" w:cs="宋体"/>
          <w:szCs w:val="21"/>
        </w:rPr>
        <w:t>项目实施地点为</w:t>
      </w:r>
      <w:r>
        <w:rPr>
          <w:rFonts w:hint="eastAsia" w:ascii="宋体" w:hAnsi="宋体" w:cs="宋体"/>
          <w:color w:val="000000" w:themeColor="text1"/>
          <w14:textFill>
            <w14:solidFill>
              <w14:schemeClr w14:val="tx1"/>
            </w14:solidFill>
          </w14:textFill>
        </w:rPr>
        <w:t>长沙市环保西路6号。</w:t>
      </w:r>
    </w:p>
    <w:p>
      <w:pPr>
        <w:topLinePunct/>
        <w:spacing w:line="420" w:lineRule="exact"/>
        <w:ind w:firstLine="420" w:firstLineChars="200"/>
        <w:rPr>
          <w:rFonts w:ascii="宋体" w:hAnsi="宋体" w:cs="宋体"/>
          <w:szCs w:val="21"/>
        </w:rPr>
      </w:pPr>
      <w:r>
        <w:rPr>
          <w:rFonts w:hint="eastAsia" w:ascii="宋体" w:hAnsi="宋体" w:cs="宋体"/>
          <w:szCs w:val="21"/>
        </w:rPr>
        <w:t>项目实施过程中使用的各种设备、工具、软件等必须详细说明其功能，并明确计划使用的范围和可能带来的安全隐患，并经用户单位同意后方可投入使用。</w:t>
      </w:r>
    </w:p>
    <w:p>
      <w:pPr>
        <w:topLinePunct/>
        <w:spacing w:line="420" w:lineRule="exact"/>
        <w:ind w:firstLine="420" w:firstLineChars="200"/>
        <w:rPr>
          <w:rFonts w:ascii="宋体" w:hAnsi="宋体" w:cs="宋体"/>
          <w:szCs w:val="21"/>
        </w:rPr>
      </w:pPr>
      <w:r>
        <w:rPr>
          <w:rFonts w:hint="eastAsia" w:ascii="宋体" w:hAnsi="宋体" w:cs="宋体"/>
          <w:szCs w:val="21"/>
        </w:rPr>
        <w:t>项目实施过程中产生的所有文档、方案、报表等内容必须经用户审核合格后方可正式投入执行。</w:t>
      </w:r>
    </w:p>
    <w:p>
      <w:pPr>
        <w:topLinePunct/>
        <w:spacing w:line="420" w:lineRule="exact"/>
        <w:ind w:firstLine="420" w:firstLineChars="200"/>
        <w:rPr>
          <w:rFonts w:ascii="宋体" w:hAnsi="宋体" w:cs="宋体"/>
          <w:szCs w:val="21"/>
        </w:rPr>
      </w:pPr>
      <w:r>
        <w:rPr>
          <w:rFonts w:hint="eastAsia" w:ascii="宋体" w:hAnsi="宋体" w:cs="宋体"/>
          <w:szCs w:val="21"/>
        </w:rPr>
        <w:t>中标人应</w:t>
      </w:r>
      <w:r>
        <w:rPr>
          <w:rFonts w:hint="eastAsia" w:hAnsi="宋体" w:cs="宋体"/>
        </w:rPr>
        <w:t>当</w:t>
      </w:r>
      <w:r>
        <w:rPr>
          <w:rFonts w:hint="eastAsia" w:ascii="宋体" w:hAnsi="宋体" w:cs="宋体"/>
          <w:szCs w:val="21"/>
        </w:rPr>
        <w:t>遵循项目实施管理的要求，建立本项目的信息保密制度、各单项服务工作规范等制度，经用户同意后实施。</w:t>
      </w:r>
    </w:p>
    <w:p>
      <w:pPr>
        <w:spacing w:line="460" w:lineRule="exact"/>
        <w:ind w:firstLine="422" w:firstLineChars="200"/>
        <w:rPr>
          <w:rFonts w:ascii="宋体" w:hAnsi="宋体" w:cs="宋体"/>
          <w:b/>
          <w:color w:val="000000"/>
          <w:szCs w:val="21"/>
        </w:rPr>
      </w:pPr>
      <w:bookmarkStart w:id="85" w:name="_Toc22737841"/>
      <w:bookmarkStart w:id="86" w:name="_Toc19950"/>
      <w:bookmarkStart w:id="87" w:name="_Toc44505002"/>
      <w:r>
        <w:rPr>
          <w:rFonts w:hint="eastAsia" w:ascii="宋体" w:hAnsi="宋体" w:cs="宋体"/>
          <w:b/>
          <w:color w:val="000000"/>
          <w:szCs w:val="21"/>
        </w:rPr>
        <w:t>2.项目开发管理</w:t>
      </w:r>
      <w:bookmarkEnd w:id="85"/>
      <w:bookmarkEnd w:id="86"/>
      <w:bookmarkEnd w:id="87"/>
    </w:p>
    <w:p>
      <w:pPr>
        <w:spacing w:line="460" w:lineRule="exact"/>
        <w:ind w:firstLine="422" w:firstLineChars="200"/>
        <w:rPr>
          <w:rFonts w:ascii="宋体" w:hAnsi="宋体" w:cs="宋体"/>
          <w:b/>
          <w:color w:val="000000"/>
          <w:szCs w:val="21"/>
        </w:rPr>
      </w:pPr>
      <w:bookmarkStart w:id="88" w:name="_Toc22737842"/>
      <w:bookmarkStart w:id="89" w:name="_Toc44505003"/>
      <w:bookmarkStart w:id="90" w:name="_Toc2135"/>
      <w:r>
        <w:rPr>
          <w:rFonts w:hint="eastAsia" w:ascii="宋体" w:hAnsi="宋体" w:cs="宋体"/>
          <w:b/>
          <w:color w:val="000000"/>
          <w:szCs w:val="21"/>
        </w:rPr>
        <w:t>2.1 需求调研</w:t>
      </w:r>
      <w:bookmarkEnd w:id="88"/>
      <w:bookmarkEnd w:id="89"/>
      <w:bookmarkEnd w:id="90"/>
    </w:p>
    <w:p>
      <w:pPr>
        <w:topLinePunct/>
        <w:spacing w:line="420" w:lineRule="exact"/>
        <w:ind w:firstLine="420" w:firstLineChars="200"/>
        <w:rPr>
          <w:rFonts w:ascii="宋体" w:hAnsi="宋体" w:cs="宋体"/>
          <w:szCs w:val="21"/>
        </w:rPr>
      </w:pPr>
      <w:r>
        <w:rPr>
          <w:rFonts w:hint="eastAsia" w:ascii="宋体" w:hAnsi="宋体" w:cs="宋体"/>
          <w:szCs w:val="21"/>
        </w:rPr>
        <w:t>中标人负责收集采购人对本项目的需求，需求内容包括但不限于本招标文件所列内容，投标人在软件实现上应</w:t>
      </w:r>
      <w:r>
        <w:rPr>
          <w:rFonts w:hint="eastAsia" w:hAnsi="宋体" w:cs="宋体"/>
        </w:rPr>
        <w:t>当</w:t>
      </w:r>
      <w:r>
        <w:rPr>
          <w:rFonts w:hint="eastAsia" w:ascii="宋体" w:hAnsi="宋体" w:cs="宋体"/>
          <w:szCs w:val="21"/>
        </w:rPr>
        <w:t>全部满足采购人提出的需求。提交需求分析规格说明书，该说明书将作为系统开发的设计、测试和验收依据之一。需求分析规格说明书须经采购人审核同意。</w:t>
      </w:r>
    </w:p>
    <w:p>
      <w:pPr>
        <w:spacing w:line="460" w:lineRule="exact"/>
        <w:ind w:firstLine="422" w:firstLineChars="200"/>
        <w:rPr>
          <w:rFonts w:ascii="宋体" w:hAnsi="宋体" w:cs="宋体"/>
          <w:b/>
          <w:color w:val="000000"/>
          <w:szCs w:val="21"/>
        </w:rPr>
      </w:pPr>
      <w:bookmarkStart w:id="91" w:name="_Toc22737843"/>
      <w:bookmarkStart w:id="92" w:name="_Toc28160"/>
      <w:bookmarkStart w:id="93" w:name="_Toc44505004"/>
      <w:r>
        <w:rPr>
          <w:rFonts w:hint="eastAsia" w:ascii="宋体" w:hAnsi="宋体" w:cs="宋体"/>
          <w:b/>
          <w:color w:val="000000"/>
          <w:szCs w:val="21"/>
        </w:rPr>
        <w:t>2.2 开发要求</w:t>
      </w:r>
      <w:bookmarkEnd w:id="91"/>
      <w:bookmarkEnd w:id="92"/>
      <w:bookmarkEnd w:id="93"/>
    </w:p>
    <w:p>
      <w:pPr>
        <w:topLinePunct/>
        <w:spacing w:line="420" w:lineRule="exact"/>
        <w:ind w:firstLine="420" w:firstLineChars="200"/>
        <w:rPr>
          <w:rFonts w:ascii="宋体" w:hAnsi="宋体" w:cs="宋体"/>
          <w:szCs w:val="21"/>
        </w:rPr>
      </w:pPr>
      <w:r>
        <w:rPr>
          <w:rFonts w:hint="eastAsia" w:ascii="宋体" w:hAnsi="宋体" w:cs="宋体"/>
          <w:szCs w:val="21"/>
        </w:rPr>
        <w:t>（1）开发采取集中开发方式进行，中标人负责开发的场地和开发环境，采购人不对此付费。</w:t>
      </w:r>
    </w:p>
    <w:p>
      <w:pPr>
        <w:topLinePunct/>
        <w:spacing w:line="420" w:lineRule="exact"/>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（2）中标人负责提供系统开发工具和测试工具，搭建系统开发环境，如采购人提出具体工具要求，需按采购人要求使用。投标人应</w:t>
      </w:r>
      <w:r>
        <w:rPr>
          <w:rFonts w:hint="eastAsia" w:hAnsi="宋体" w:cs="宋体"/>
        </w:rPr>
        <w:t>当</w:t>
      </w:r>
      <w:r>
        <w:rPr>
          <w:rFonts w:hint="eastAsia" w:ascii="宋体" w:hAnsi="宋体" w:cs="宋体"/>
          <w:color w:val="000000" w:themeColor="text1"/>
          <w:szCs w:val="21"/>
          <w14:textFill>
            <w14:solidFill>
              <w14:schemeClr w14:val="tx1"/>
            </w14:solidFill>
          </w14:textFill>
        </w:rPr>
        <w:t>保证开发工具和测试工具为正版且不</w:t>
      </w:r>
      <w:r>
        <w:rPr>
          <w:rFonts w:hint="eastAsia" w:ascii="宋体" w:hAnsi="宋体" w:cs="宋体"/>
          <w:color w:val="000000"/>
          <w:kern w:val="0"/>
          <w:szCs w:val="21"/>
        </w:rPr>
        <w:t>得</w:t>
      </w:r>
      <w:r>
        <w:rPr>
          <w:rFonts w:hint="eastAsia" w:ascii="宋体" w:hAnsi="宋体" w:cs="宋体"/>
          <w:color w:val="000000" w:themeColor="text1"/>
          <w:szCs w:val="21"/>
          <w14:textFill>
            <w14:solidFill>
              <w14:schemeClr w14:val="tx1"/>
            </w14:solidFill>
          </w14:textFill>
        </w:rPr>
        <w:t>侵犯第三方知识产权，保证采购人</w:t>
      </w:r>
      <w:r>
        <w:rPr>
          <w:rFonts w:hint="eastAsia" w:ascii="宋体" w:hAnsi="宋体" w:cs="宋体"/>
          <w:szCs w:val="21"/>
        </w:rPr>
        <w:t>不受知识产权纠纷影响。</w:t>
      </w:r>
    </w:p>
    <w:p>
      <w:pPr>
        <w:topLinePunct/>
        <w:spacing w:line="420" w:lineRule="exact"/>
        <w:ind w:firstLine="420" w:firstLineChars="200"/>
        <w:rPr>
          <w:rFonts w:ascii="宋体" w:hAnsi="宋体" w:cs="宋体"/>
          <w:szCs w:val="21"/>
        </w:rPr>
      </w:pPr>
      <w:r>
        <w:rPr>
          <w:rFonts w:hint="eastAsia" w:ascii="宋体" w:hAnsi="宋体" w:cs="宋体"/>
          <w:szCs w:val="21"/>
        </w:rPr>
        <w:t>（3）开发的系统应</w:t>
      </w:r>
      <w:r>
        <w:rPr>
          <w:rFonts w:hint="eastAsia" w:hAnsi="宋体" w:cs="宋体"/>
        </w:rPr>
        <w:t>当</w:t>
      </w:r>
      <w:r>
        <w:rPr>
          <w:rFonts w:hint="eastAsia" w:ascii="宋体" w:hAnsi="宋体" w:cs="宋体"/>
          <w:szCs w:val="21"/>
        </w:rPr>
        <w:t>满足项目功能和性能指标要求。</w:t>
      </w:r>
    </w:p>
    <w:p>
      <w:pPr>
        <w:topLinePunct/>
        <w:spacing w:line="420" w:lineRule="exact"/>
        <w:ind w:firstLine="420" w:firstLineChars="200"/>
        <w:rPr>
          <w:rFonts w:ascii="宋体" w:hAnsi="宋体" w:cs="宋体"/>
          <w:szCs w:val="21"/>
        </w:rPr>
      </w:pPr>
      <w:r>
        <w:rPr>
          <w:rFonts w:hint="eastAsia" w:ascii="宋体" w:hAnsi="宋体" w:cs="宋体"/>
          <w:szCs w:val="21"/>
        </w:rPr>
        <w:t>（4）开发工作应</w:t>
      </w:r>
      <w:r>
        <w:rPr>
          <w:rFonts w:hint="eastAsia" w:hAnsi="宋体" w:cs="宋体"/>
        </w:rPr>
        <w:t>当</w:t>
      </w:r>
      <w:r>
        <w:rPr>
          <w:rFonts w:hint="eastAsia" w:ascii="宋体" w:hAnsi="宋体" w:cs="宋体"/>
          <w:szCs w:val="21"/>
        </w:rPr>
        <w:t>遵循税务总局制定的各项标准，中标人还应</w:t>
      </w:r>
      <w:r>
        <w:rPr>
          <w:rFonts w:hint="eastAsia" w:hAnsi="宋体" w:cs="宋体"/>
        </w:rPr>
        <w:t>当</w:t>
      </w:r>
      <w:r>
        <w:rPr>
          <w:rFonts w:hint="eastAsia" w:ascii="宋体" w:hAnsi="宋体" w:cs="宋体"/>
          <w:szCs w:val="21"/>
        </w:rPr>
        <w:t>根据项目实际需要提出开发的补充标准和规范，至少覆盖开发过程、质量、接口、测试等方面，并确保开发工作符合标准。</w:t>
      </w:r>
    </w:p>
    <w:p>
      <w:pPr>
        <w:spacing w:line="460" w:lineRule="exact"/>
        <w:ind w:firstLine="422" w:firstLineChars="200"/>
        <w:rPr>
          <w:rFonts w:ascii="宋体" w:hAnsi="宋体" w:cs="宋体"/>
          <w:b/>
          <w:color w:val="000000"/>
          <w:szCs w:val="21"/>
        </w:rPr>
      </w:pPr>
      <w:bookmarkStart w:id="94" w:name="_Toc44505005"/>
      <w:bookmarkStart w:id="95" w:name="_Toc17367"/>
      <w:bookmarkStart w:id="96" w:name="_Toc22737845"/>
      <w:r>
        <w:rPr>
          <w:rFonts w:hint="eastAsia" w:ascii="宋体" w:hAnsi="宋体" w:cs="宋体"/>
          <w:b/>
          <w:color w:val="000000"/>
          <w:szCs w:val="21"/>
        </w:rPr>
        <w:t>3.项目实施方案</w:t>
      </w:r>
      <w:bookmarkEnd w:id="94"/>
      <w:bookmarkEnd w:id="95"/>
    </w:p>
    <w:p>
      <w:pPr>
        <w:topLinePunct/>
        <w:spacing w:line="420" w:lineRule="exact"/>
        <w:ind w:firstLine="420" w:firstLineChars="200"/>
        <w:rPr>
          <w:rFonts w:ascii="宋体" w:hAnsi="宋体" w:cs="宋体"/>
          <w:szCs w:val="21"/>
        </w:rPr>
      </w:pPr>
      <w:r>
        <w:rPr>
          <w:rFonts w:hint="eastAsia" w:ascii="宋体" w:hAnsi="宋体" w:cs="宋体"/>
          <w:szCs w:val="21"/>
        </w:rPr>
        <w:t>投标人需根据对项目的理解，制定数据监控大数据分析系统的实施方案。实施方案应</w:t>
      </w:r>
      <w:r>
        <w:rPr>
          <w:rFonts w:hint="eastAsia" w:hAnsi="宋体" w:cs="宋体"/>
        </w:rPr>
        <w:t>当</w:t>
      </w:r>
      <w:r>
        <w:rPr>
          <w:rFonts w:hint="eastAsia" w:ascii="宋体" w:hAnsi="宋体" w:cs="宋体"/>
          <w:szCs w:val="21"/>
        </w:rPr>
        <w:t>包括实施进度计划、工程人员组织计划、实施规划、产品配置参数表、安装部署方案、调优方案、试运行保障计划等。</w:t>
      </w:r>
    </w:p>
    <w:p>
      <w:pPr>
        <w:topLinePunct/>
        <w:spacing w:line="420" w:lineRule="exact"/>
        <w:ind w:firstLine="420" w:firstLineChars="200"/>
        <w:rPr>
          <w:rFonts w:ascii="宋体" w:hAnsi="宋体" w:cs="宋体"/>
          <w:szCs w:val="21"/>
        </w:rPr>
      </w:pPr>
      <w:r>
        <w:rPr>
          <w:rFonts w:hint="eastAsia" w:ascii="宋体" w:hAnsi="宋体" w:cs="宋体"/>
          <w:szCs w:val="21"/>
        </w:rPr>
        <w:t>投标人应</w:t>
      </w:r>
      <w:r>
        <w:rPr>
          <w:rFonts w:hint="eastAsia" w:hAnsi="宋体" w:cs="宋体"/>
        </w:rPr>
        <w:t>当</w:t>
      </w:r>
      <w:r>
        <w:rPr>
          <w:rFonts w:hint="eastAsia" w:ascii="宋体" w:hAnsi="宋体" w:cs="宋体"/>
          <w:szCs w:val="21"/>
        </w:rPr>
        <w:t>认真估算数据监控大数据分析平台实施所需工作量，对每个节点实施工作所需人月（或人天）数进行预估。</w:t>
      </w:r>
    </w:p>
    <w:p>
      <w:pPr>
        <w:topLinePunct/>
        <w:spacing w:line="420" w:lineRule="exact"/>
        <w:ind w:firstLine="420" w:firstLineChars="200"/>
        <w:rPr>
          <w:rFonts w:ascii="宋体" w:hAnsi="宋体" w:cs="宋体"/>
          <w:szCs w:val="21"/>
        </w:rPr>
      </w:pPr>
      <w:r>
        <w:rPr>
          <w:rFonts w:hint="eastAsia" w:ascii="宋体" w:hAnsi="宋体" w:cs="宋体"/>
          <w:szCs w:val="21"/>
        </w:rPr>
        <w:t>中标人在进行项目实施以前，应</w:t>
      </w:r>
      <w:r>
        <w:rPr>
          <w:rFonts w:hint="eastAsia" w:hAnsi="宋体" w:cs="宋体"/>
        </w:rPr>
        <w:t>当</w:t>
      </w:r>
      <w:r>
        <w:rPr>
          <w:rFonts w:hint="eastAsia" w:ascii="宋体" w:hAnsi="宋体" w:cs="宋体"/>
          <w:szCs w:val="21"/>
        </w:rPr>
        <w:t>根据用户方技术要求，按照服务内容，进一步制定详细的实施方案，经采购人审批后开始实施。</w:t>
      </w:r>
    </w:p>
    <w:p>
      <w:pPr>
        <w:topLinePunct/>
        <w:spacing w:line="420" w:lineRule="exact"/>
        <w:ind w:firstLine="420" w:firstLineChars="200"/>
        <w:rPr>
          <w:rFonts w:ascii="宋体" w:hAnsi="宋体" w:cs="宋体"/>
          <w:szCs w:val="21"/>
        </w:rPr>
      </w:pPr>
      <w:r>
        <w:rPr>
          <w:rFonts w:hint="eastAsia" w:ascii="宋体" w:hAnsi="宋体" w:cs="宋体"/>
          <w:szCs w:val="21"/>
        </w:rPr>
        <w:t>实施过程中方案如有变更，应</w:t>
      </w:r>
      <w:r>
        <w:rPr>
          <w:rFonts w:hint="eastAsia" w:hAnsi="宋体" w:cs="宋体"/>
        </w:rPr>
        <w:t>当</w:t>
      </w:r>
      <w:r>
        <w:rPr>
          <w:rFonts w:hint="eastAsia" w:ascii="宋体" w:hAnsi="宋体" w:cs="宋体"/>
          <w:szCs w:val="21"/>
        </w:rPr>
        <w:t>报采购人同意后实施。</w:t>
      </w:r>
    </w:p>
    <w:p>
      <w:pPr>
        <w:spacing w:line="460" w:lineRule="exact"/>
        <w:ind w:firstLine="422" w:firstLineChars="200"/>
        <w:rPr>
          <w:rFonts w:ascii="宋体" w:hAnsi="宋体" w:cs="宋体"/>
          <w:b/>
          <w:color w:val="000000"/>
          <w:szCs w:val="21"/>
        </w:rPr>
      </w:pPr>
      <w:bookmarkStart w:id="97" w:name="_Toc13284"/>
      <w:bookmarkStart w:id="98" w:name="_Toc44505006"/>
      <w:r>
        <w:rPr>
          <w:rFonts w:hint="eastAsia" w:ascii="宋体" w:hAnsi="宋体" w:cs="宋体"/>
          <w:b/>
          <w:color w:val="000000"/>
          <w:szCs w:val="21"/>
        </w:rPr>
        <w:t>4.项目管理要求</w:t>
      </w:r>
      <w:bookmarkEnd w:id="96"/>
      <w:bookmarkEnd w:id="97"/>
      <w:bookmarkEnd w:id="98"/>
    </w:p>
    <w:p>
      <w:pPr>
        <w:topLinePunct/>
        <w:spacing w:line="420" w:lineRule="exact"/>
        <w:ind w:firstLine="420" w:firstLineChars="200"/>
        <w:rPr>
          <w:rFonts w:ascii="宋体" w:hAnsi="宋体" w:cs="宋体"/>
          <w:szCs w:val="21"/>
        </w:rPr>
      </w:pPr>
      <w:r>
        <w:rPr>
          <w:rFonts w:hint="eastAsia" w:ascii="宋体" w:hAnsi="宋体" w:cs="宋体"/>
          <w:szCs w:val="21"/>
        </w:rPr>
        <w:t>中标人必须遵守采购人各项管理规定。</w:t>
      </w:r>
    </w:p>
    <w:p>
      <w:pPr>
        <w:topLinePunct/>
        <w:spacing w:line="420" w:lineRule="exact"/>
        <w:ind w:firstLine="420" w:firstLineChars="200"/>
        <w:rPr>
          <w:rFonts w:ascii="宋体" w:hAnsi="宋体" w:cs="宋体"/>
          <w:szCs w:val="21"/>
        </w:rPr>
      </w:pPr>
      <w:r>
        <w:rPr>
          <w:rFonts w:hint="eastAsia" w:ascii="宋体" w:hAnsi="宋体" w:cs="宋体"/>
          <w:szCs w:val="21"/>
        </w:rPr>
        <w:t>投标人应</w:t>
      </w:r>
      <w:r>
        <w:rPr>
          <w:rFonts w:hint="eastAsia" w:hAnsi="宋体" w:cs="宋体"/>
        </w:rPr>
        <w:t>当</w:t>
      </w:r>
      <w:r>
        <w:rPr>
          <w:rFonts w:hint="eastAsia" w:ascii="宋体" w:hAnsi="宋体" w:cs="宋体"/>
          <w:szCs w:val="21"/>
        </w:rPr>
        <w:t>提交本项目工作管理方案，方案至少包括项目组织机构、人员安排、进度安排、计划控制、质量管理及风险管理等内容，并具有可操作性。</w:t>
      </w:r>
    </w:p>
    <w:p>
      <w:pPr>
        <w:spacing w:line="420" w:lineRule="exact"/>
        <w:ind w:firstLine="420" w:firstLineChars="200"/>
        <w:rPr>
          <w:rFonts w:ascii="宋体" w:hAnsi="宋体" w:cs="宋体"/>
          <w:szCs w:val="21"/>
        </w:rPr>
      </w:pPr>
      <w:r>
        <w:rPr>
          <w:rFonts w:hint="eastAsia" w:ascii="宋体" w:hAnsi="宋体" w:cs="宋体"/>
          <w:szCs w:val="21"/>
        </w:rPr>
        <w:t>投标人应</w:t>
      </w:r>
      <w:r>
        <w:rPr>
          <w:rFonts w:hint="eastAsia" w:hAnsi="宋体" w:cs="宋体"/>
        </w:rPr>
        <w:t>当</w:t>
      </w:r>
      <w:r>
        <w:rPr>
          <w:rFonts w:hint="eastAsia" w:ascii="宋体" w:hAnsi="宋体" w:cs="宋体"/>
          <w:szCs w:val="21"/>
        </w:rPr>
        <w:t>认真估算工作量，做好工作量冗余。</w:t>
      </w:r>
    </w:p>
    <w:p>
      <w:pPr>
        <w:topLinePunct/>
        <w:spacing w:line="420" w:lineRule="exact"/>
        <w:ind w:firstLine="420" w:firstLineChars="200"/>
        <w:rPr>
          <w:rFonts w:ascii="宋体" w:hAnsi="宋体" w:cs="宋体"/>
          <w:szCs w:val="21"/>
        </w:rPr>
      </w:pPr>
      <w:r>
        <w:rPr>
          <w:rFonts w:hint="eastAsia" w:ascii="宋体" w:hAnsi="宋体" w:cs="宋体"/>
          <w:szCs w:val="21"/>
        </w:rPr>
        <w:t>中标人在工程实施过程中，需对项目进行规范化管理，确保工程实施质量。</w:t>
      </w:r>
    </w:p>
    <w:p>
      <w:pPr>
        <w:spacing w:line="460" w:lineRule="exact"/>
        <w:ind w:firstLine="422" w:firstLineChars="200"/>
        <w:rPr>
          <w:rFonts w:ascii="宋体" w:hAnsi="宋体" w:cs="宋体"/>
          <w:b/>
          <w:color w:val="000000"/>
          <w:szCs w:val="21"/>
        </w:rPr>
      </w:pPr>
      <w:bookmarkStart w:id="99" w:name="_Toc1951468360"/>
      <w:bookmarkStart w:id="100" w:name="_Toc44505007"/>
      <w:bookmarkStart w:id="101" w:name="_Toc22737846"/>
      <w:bookmarkStart w:id="102" w:name="_Toc444649671"/>
      <w:bookmarkStart w:id="103" w:name="_Toc30148"/>
      <w:bookmarkStart w:id="104" w:name="_Toc13520537"/>
      <w:r>
        <w:rPr>
          <w:rFonts w:ascii="宋体" w:hAnsi="宋体" w:cs="宋体"/>
          <w:b/>
          <w:color w:val="000000"/>
          <w:szCs w:val="21"/>
        </w:rPr>
        <w:t xml:space="preserve">4.1 </w:t>
      </w:r>
      <w:r>
        <w:rPr>
          <w:rFonts w:hint="eastAsia" w:ascii="宋体" w:hAnsi="宋体" w:cs="宋体"/>
          <w:b/>
          <w:color w:val="000000"/>
          <w:szCs w:val="21"/>
        </w:rPr>
        <w:t>项目组织及人员要求</w:t>
      </w:r>
      <w:bookmarkEnd w:id="99"/>
      <w:bookmarkEnd w:id="100"/>
      <w:bookmarkEnd w:id="101"/>
      <w:bookmarkEnd w:id="102"/>
      <w:bookmarkEnd w:id="103"/>
      <w:bookmarkEnd w:id="104"/>
    </w:p>
    <w:p>
      <w:pPr>
        <w:topLinePunct/>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投标人应</w:t>
      </w:r>
      <w:r>
        <w:rPr>
          <w:rFonts w:hint="eastAsia" w:hAnsi="宋体" w:cs="宋体"/>
        </w:rPr>
        <w:t>当</w:t>
      </w:r>
      <w:r>
        <w:rPr>
          <w:rFonts w:hint="eastAsia" w:ascii="宋体" w:hAnsi="宋体" w:cs="宋体"/>
          <w:szCs w:val="21"/>
        </w:rPr>
        <w:t>充分理解本项目的技术及实施复杂度，组建技术及工程团队，参与本项目的各类人员应</w:t>
      </w:r>
      <w:r>
        <w:rPr>
          <w:rFonts w:hint="eastAsia" w:hAnsi="宋体" w:cs="宋体"/>
        </w:rPr>
        <w:t>当</w:t>
      </w:r>
      <w:r>
        <w:rPr>
          <w:rFonts w:hint="eastAsia" w:ascii="宋体" w:hAnsi="宋体" w:cs="宋体"/>
          <w:szCs w:val="21"/>
        </w:rPr>
        <w:t>具</w:t>
      </w:r>
      <w:r>
        <w:rPr>
          <w:rFonts w:hint="eastAsia" w:ascii="宋体" w:hAnsi="宋体" w:cs="宋体"/>
          <w:color w:val="000000" w:themeColor="text1"/>
          <w:szCs w:val="21"/>
          <w14:textFill>
            <w14:solidFill>
              <w14:schemeClr w14:val="tx1"/>
            </w14:solidFill>
          </w14:textFill>
        </w:rPr>
        <w:t>备相应的技术及工程能力。投标人针对本项目服务团队，需满足以下要求：</w:t>
      </w:r>
    </w:p>
    <w:p>
      <w:pPr>
        <w:topLinePunct/>
        <w:spacing w:line="420" w:lineRule="exact"/>
        <w:ind w:firstLine="422" w:firstLineChars="200"/>
        <w:rPr>
          <w:rFonts w:ascii="宋体" w:hAnsi="宋体" w:cs="宋体"/>
          <w:szCs w:val="21"/>
        </w:rPr>
      </w:pPr>
      <w:r>
        <w:rPr>
          <w:rFonts w:hint="eastAsia" w:ascii="宋体" w:hAnsi="宋体" w:cs="宋体"/>
          <w:b/>
          <w:bCs/>
          <w:szCs w:val="21"/>
        </w:rPr>
        <w:t>项目团队整体要求：</w:t>
      </w:r>
      <w:r>
        <w:rPr>
          <w:rFonts w:hint="eastAsia" w:ascii="宋体" w:hAnsi="宋体" w:cs="宋体"/>
          <w:szCs w:val="21"/>
        </w:rPr>
        <w:t>投标人应</w:t>
      </w:r>
      <w:r>
        <w:rPr>
          <w:rFonts w:hint="eastAsia" w:hAnsi="宋体" w:cs="宋体"/>
        </w:rPr>
        <w:t>当</w:t>
      </w:r>
      <w:r>
        <w:rPr>
          <w:rFonts w:hint="eastAsia" w:ascii="宋体" w:hAnsi="宋体" w:cs="宋体"/>
          <w:szCs w:val="21"/>
        </w:rPr>
        <w:t>承诺向用户提供优秀的项目实施队伍，选派专人担任项目总监和项目经理，熟悉税务系统行业情况，具有集成、实施项目的丰富经验和较强的沟通协调能力；具有丰富预见和应对项目风险能力。</w:t>
      </w:r>
    </w:p>
    <w:p>
      <w:pPr>
        <w:topLinePunct/>
        <w:spacing w:line="420" w:lineRule="exact"/>
        <w:ind w:firstLine="422" w:firstLineChars="200"/>
        <w:rPr>
          <w:rFonts w:ascii="宋体" w:hAnsi="宋体" w:cs="宋体"/>
          <w:szCs w:val="21"/>
        </w:rPr>
      </w:pPr>
      <w:r>
        <w:rPr>
          <w:rFonts w:hint="eastAsia" w:ascii="宋体" w:hAnsi="宋体" w:cs="宋体"/>
          <w:b/>
          <w:bCs/>
          <w:szCs w:val="21"/>
        </w:rPr>
        <w:t>项目总监要求：1人，</w:t>
      </w:r>
      <w:r>
        <w:rPr>
          <w:rFonts w:hint="eastAsia" w:ascii="宋体" w:hAnsi="宋体" w:cs="宋体"/>
          <w:szCs w:val="21"/>
        </w:rPr>
        <w:t>从事信息化建设</w:t>
      </w:r>
      <w:r>
        <w:rPr>
          <w:rFonts w:ascii="宋体" w:hAnsi="宋体" w:cs="宋体"/>
          <w:szCs w:val="21"/>
        </w:rPr>
        <w:t>5</w:t>
      </w:r>
      <w:r>
        <w:rPr>
          <w:rFonts w:hint="eastAsia" w:ascii="宋体" w:hAnsi="宋体" w:cs="宋体"/>
          <w:szCs w:val="21"/>
        </w:rPr>
        <w:t>年及以上、具备2个及以上信息化建设项目的实际管理经验。</w:t>
      </w:r>
    </w:p>
    <w:p>
      <w:pPr>
        <w:topLinePunct/>
        <w:spacing w:line="420" w:lineRule="exact"/>
        <w:ind w:firstLine="422" w:firstLineChars="200"/>
        <w:rPr>
          <w:rFonts w:ascii="宋体" w:hAnsi="宋体" w:cs="宋体"/>
          <w:szCs w:val="21"/>
        </w:rPr>
      </w:pPr>
      <w:r>
        <w:rPr>
          <w:rFonts w:hint="eastAsia" w:ascii="宋体" w:hAnsi="宋体" w:cs="宋体"/>
          <w:b/>
          <w:bCs/>
          <w:szCs w:val="21"/>
        </w:rPr>
        <w:t>项目经理要求：1人，</w:t>
      </w:r>
      <w:r>
        <w:rPr>
          <w:rFonts w:hint="eastAsia" w:ascii="宋体" w:hAnsi="宋体" w:cs="宋体"/>
          <w:szCs w:val="21"/>
        </w:rPr>
        <w:t>具有5年及以上项目管理经验，2个及以上相关领域类似项目的实际经验。</w:t>
      </w:r>
    </w:p>
    <w:p>
      <w:pPr>
        <w:topLinePunct/>
        <w:spacing w:line="420" w:lineRule="exact"/>
        <w:ind w:firstLine="422" w:firstLineChars="200"/>
        <w:rPr>
          <w:rFonts w:ascii="宋体" w:hAnsi="宋体" w:cs="宋体"/>
          <w:szCs w:val="21"/>
        </w:rPr>
      </w:pPr>
      <w:r>
        <w:rPr>
          <w:rFonts w:hint="eastAsia" w:ascii="宋体" w:hAnsi="宋体" w:cs="宋体"/>
          <w:b/>
          <w:bCs/>
          <w:szCs w:val="21"/>
        </w:rPr>
        <w:t>项目实施人员要求：</w:t>
      </w:r>
      <w:r>
        <w:rPr>
          <w:rFonts w:hint="eastAsia" w:ascii="宋体" w:hAnsi="宋体" w:cs="宋体"/>
          <w:szCs w:val="21"/>
        </w:rPr>
        <w:t>投标人必须能够提供足够的实施经验丰富的项目组成员，每个部署节点实施人员不得少于3人，相关人员可根据项目实际实施情况灵活调配，允许复用，但不得因为人员离职影响项目的正常开展。</w:t>
      </w:r>
    </w:p>
    <w:p>
      <w:pPr>
        <w:topLinePunct/>
        <w:spacing w:line="420" w:lineRule="exact"/>
        <w:ind w:firstLine="422" w:firstLineChars="200"/>
        <w:rPr>
          <w:rFonts w:ascii="宋体" w:hAnsi="宋体" w:cs="宋体"/>
          <w:szCs w:val="21"/>
        </w:rPr>
      </w:pPr>
      <w:bookmarkStart w:id="105" w:name="_Toc2065414087"/>
      <w:bookmarkStart w:id="106" w:name="_Toc444649672"/>
      <w:bookmarkStart w:id="107" w:name="_Toc13520538"/>
      <w:r>
        <w:rPr>
          <w:rFonts w:hint="eastAsia" w:ascii="宋体" w:hAnsi="宋体" w:cs="宋体"/>
          <w:b/>
          <w:bCs/>
          <w:szCs w:val="21"/>
        </w:rPr>
        <w:t>项目实施人员变更要求</w:t>
      </w:r>
      <w:r>
        <w:rPr>
          <w:rFonts w:hint="eastAsia" w:ascii="宋体" w:hAnsi="宋体" w:cs="宋体"/>
          <w:szCs w:val="21"/>
        </w:rPr>
        <w:t>：项目实施人员应</w:t>
      </w:r>
      <w:r>
        <w:rPr>
          <w:rFonts w:hint="eastAsia" w:hAnsi="宋体" w:cs="宋体"/>
        </w:rPr>
        <w:t>当</w:t>
      </w:r>
      <w:r>
        <w:rPr>
          <w:rFonts w:hint="eastAsia" w:ascii="宋体" w:hAnsi="宋体" w:cs="宋体"/>
          <w:szCs w:val="21"/>
        </w:rPr>
        <w:t>与投标文件中所提供的人员名单相符，不经采购人许可随意变更的，采购人有权采取相应处罚措施，并追究中标人责任。</w:t>
      </w:r>
    </w:p>
    <w:p>
      <w:pPr>
        <w:spacing w:line="460" w:lineRule="exact"/>
        <w:ind w:firstLine="422" w:firstLineChars="200"/>
        <w:rPr>
          <w:rFonts w:ascii="宋体" w:hAnsi="宋体" w:cs="宋体"/>
          <w:b/>
          <w:color w:val="000000"/>
          <w:szCs w:val="21"/>
        </w:rPr>
      </w:pPr>
      <w:bookmarkStart w:id="108" w:name="_Toc22737847"/>
      <w:bookmarkEnd w:id="108"/>
      <w:bookmarkStart w:id="109" w:name="_Toc22737848"/>
      <w:bookmarkStart w:id="110" w:name="_Toc44505008"/>
      <w:bookmarkStart w:id="111" w:name="_Toc8640"/>
      <w:r>
        <w:rPr>
          <w:rFonts w:hint="eastAsia" w:ascii="宋体" w:hAnsi="宋体" w:cs="宋体"/>
          <w:b/>
          <w:color w:val="000000"/>
          <w:szCs w:val="21"/>
        </w:rPr>
        <w:t>4</w:t>
      </w:r>
      <w:r>
        <w:rPr>
          <w:rFonts w:ascii="宋体" w:hAnsi="宋体" w:cs="宋体"/>
          <w:b/>
          <w:color w:val="000000"/>
          <w:szCs w:val="21"/>
        </w:rPr>
        <w:t xml:space="preserve">.2 </w:t>
      </w:r>
      <w:r>
        <w:rPr>
          <w:rFonts w:hint="eastAsia" w:ascii="宋体" w:hAnsi="宋体" w:cs="宋体"/>
          <w:b/>
          <w:color w:val="000000"/>
          <w:szCs w:val="21"/>
        </w:rPr>
        <w:t>项目进度计划</w:t>
      </w:r>
      <w:bookmarkEnd w:id="105"/>
      <w:bookmarkEnd w:id="106"/>
      <w:bookmarkEnd w:id="107"/>
      <w:bookmarkEnd w:id="109"/>
      <w:bookmarkEnd w:id="110"/>
      <w:bookmarkEnd w:id="111"/>
    </w:p>
    <w:p>
      <w:pPr>
        <w:topLinePunct/>
        <w:spacing w:line="420" w:lineRule="exact"/>
        <w:ind w:firstLine="420" w:firstLineChars="200"/>
        <w:rPr>
          <w:rFonts w:ascii="宋体" w:hAnsi="宋体" w:cs="宋体"/>
          <w:szCs w:val="21"/>
        </w:rPr>
      </w:pPr>
      <w:bookmarkStart w:id="112" w:name="_Toc13342519"/>
      <w:bookmarkEnd w:id="112"/>
      <w:bookmarkStart w:id="113" w:name="_Toc13342641"/>
      <w:bookmarkEnd w:id="113"/>
      <w:bookmarkStart w:id="114" w:name="_Toc13343162"/>
      <w:bookmarkEnd w:id="114"/>
      <w:bookmarkStart w:id="115" w:name="_Toc13343083"/>
      <w:bookmarkEnd w:id="115"/>
      <w:bookmarkStart w:id="116" w:name="_Toc448242137"/>
      <w:bookmarkEnd w:id="116"/>
      <w:bookmarkStart w:id="117" w:name="_Toc451507009"/>
      <w:bookmarkEnd w:id="117"/>
      <w:bookmarkStart w:id="118" w:name="_Toc13335387"/>
      <w:bookmarkEnd w:id="118"/>
      <w:bookmarkStart w:id="119" w:name="_Toc450640787"/>
      <w:bookmarkEnd w:id="119"/>
      <w:bookmarkStart w:id="120" w:name="_Toc13340044"/>
      <w:bookmarkEnd w:id="120"/>
      <w:bookmarkStart w:id="121" w:name="_Toc444706919"/>
      <w:bookmarkEnd w:id="121"/>
      <w:bookmarkStart w:id="122" w:name="_Toc12629673"/>
      <w:bookmarkEnd w:id="122"/>
      <w:bookmarkStart w:id="123" w:name="_Toc451444492"/>
      <w:bookmarkEnd w:id="123"/>
      <w:bookmarkStart w:id="124" w:name="_Toc13343237"/>
      <w:bookmarkEnd w:id="124"/>
      <w:bookmarkStart w:id="125" w:name="_Toc13342919"/>
      <w:bookmarkEnd w:id="125"/>
      <w:bookmarkStart w:id="126" w:name="_Toc13340751"/>
      <w:bookmarkEnd w:id="126"/>
      <w:bookmarkStart w:id="127" w:name="_Toc13342998"/>
      <w:bookmarkEnd w:id="127"/>
      <w:bookmarkStart w:id="128" w:name="_Toc450640449"/>
      <w:bookmarkEnd w:id="128"/>
      <w:bookmarkStart w:id="129" w:name="_Toc444717142"/>
      <w:bookmarkEnd w:id="129"/>
      <w:bookmarkStart w:id="130" w:name="_Toc451521030"/>
      <w:bookmarkEnd w:id="130"/>
      <w:bookmarkStart w:id="131" w:name="_Toc13342739"/>
      <w:bookmarkEnd w:id="131"/>
      <w:r>
        <w:rPr>
          <w:rFonts w:hint="eastAsia" w:ascii="宋体" w:hAnsi="宋体" w:cs="宋体"/>
          <w:szCs w:val="21"/>
        </w:rPr>
        <w:t>投标人应</w:t>
      </w:r>
      <w:r>
        <w:rPr>
          <w:rFonts w:hint="eastAsia" w:hAnsi="宋体" w:cs="宋体"/>
        </w:rPr>
        <w:t>当</w:t>
      </w:r>
      <w:r>
        <w:rPr>
          <w:rFonts w:hint="eastAsia" w:ascii="宋体" w:hAnsi="宋体" w:cs="宋体"/>
          <w:szCs w:val="21"/>
        </w:rPr>
        <w:t>根据进度要求，提供本项目的详细进度计划（以工作日计算），明确里程碑和应交付物及成果。</w:t>
      </w:r>
    </w:p>
    <w:p>
      <w:pPr>
        <w:topLinePunct/>
        <w:spacing w:line="420" w:lineRule="exact"/>
        <w:ind w:firstLine="420" w:firstLineChars="200"/>
        <w:rPr>
          <w:rFonts w:ascii="宋体" w:hAnsi="宋体" w:cs="宋体"/>
          <w:szCs w:val="21"/>
        </w:rPr>
      </w:pPr>
      <w:r>
        <w:rPr>
          <w:rFonts w:hint="eastAsia" w:ascii="宋体" w:hAnsi="宋体" w:cs="宋体"/>
          <w:szCs w:val="21"/>
        </w:rPr>
        <w:t>投标人必须保证在合同生效后10个工作日内完成项目组的组建，组织系统开发、设备及软件准备等相关事宜。</w:t>
      </w:r>
    </w:p>
    <w:p>
      <w:pPr>
        <w:spacing w:line="420" w:lineRule="exact"/>
        <w:ind w:firstLine="420" w:firstLineChars="200"/>
        <w:rPr>
          <w:rFonts w:ascii="宋体" w:hAnsi="宋体" w:cs="宋体"/>
          <w:szCs w:val="21"/>
        </w:rPr>
      </w:pPr>
      <w:r>
        <w:rPr>
          <w:rFonts w:hint="eastAsia" w:ascii="宋体" w:hAnsi="宋体" w:cs="宋体"/>
          <w:szCs w:val="21"/>
        </w:rPr>
        <w:t>投标人应</w:t>
      </w:r>
      <w:r>
        <w:rPr>
          <w:rFonts w:hint="eastAsia" w:hAnsi="宋体" w:cs="宋体"/>
        </w:rPr>
        <w:t>当</w:t>
      </w:r>
      <w:r>
        <w:rPr>
          <w:rFonts w:hint="eastAsia" w:ascii="宋体" w:hAnsi="宋体" w:cs="宋体"/>
          <w:szCs w:val="21"/>
        </w:rPr>
        <w:t>根据项目进展情况，合理安排工作量，各阶段工作任务可同步进行。</w:t>
      </w:r>
    </w:p>
    <w:p>
      <w:pPr>
        <w:spacing w:line="460" w:lineRule="exact"/>
        <w:ind w:firstLine="422" w:firstLineChars="200"/>
        <w:rPr>
          <w:rFonts w:ascii="宋体" w:hAnsi="宋体" w:cs="宋体"/>
          <w:b/>
          <w:color w:val="000000"/>
          <w:szCs w:val="21"/>
        </w:rPr>
      </w:pPr>
      <w:bookmarkStart w:id="132" w:name="_Toc44505009"/>
      <w:bookmarkStart w:id="133" w:name="_Toc13520539"/>
      <w:bookmarkStart w:id="134" w:name="_Toc4579"/>
      <w:bookmarkStart w:id="135" w:name="_Toc1272053674"/>
      <w:bookmarkStart w:id="136" w:name="_Toc22737849"/>
      <w:bookmarkStart w:id="137" w:name="_Toc444649679"/>
      <w:r>
        <w:rPr>
          <w:rFonts w:hint="eastAsia" w:ascii="宋体" w:hAnsi="宋体" w:cs="宋体"/>
          <w:b/>
          <w:color w:val="000000"/>
          <w:szCs w:val="21"/>
        </w:rPr>
        <w:t>4</w:t>
      </w:r>
      <w:r>
        <w:rPr>
          <w:rFonts w:ascii="宋体" w:hAnsi="宋体" w:cs="宋体"/>
          <w:b/>
          <w:color w:val="000000"/>
          <w:szCs w:val="21"/>
        </w:rPr>
        <w:t xml:space="preserve">.3 </w:t>
      </w:r>
      <w:r>
        <w:rPr>
          <w:rFonts w:hint="eastAsia" w:ascii="宋体" w:hAnsi="宋体" w:cs="宋体"/>
          <w:b/>
          <w:color w:val="000000"/>
          <w:szCs w:val="21"/>
        </w:rPr>
        <w:t>项目进度管理</w:t>
      </w:r>
      <w:bookmarkEnd w:id="132"/>
      <w:bookmarkEnd w:id="133"/>
      <w:bookmarkEnd w:id="134"/>
      <w:bookmarkEnd w:id="135"/>
      <w:bookmarkEnd w:id="136"/>
      <w:bookmarkEnd w:id="137"/>
    </w:p>
    <w:p>
      <w:pPr>
        <w:topLinePunct/>
        <w:spacing w:line="420" w:lineRule="exact"/>
        <w:ind w:firstLine="420" w:firstLineChars="200"/>
        <w:rPr>
          <w:rFonts w:ascii="宋体" w:hAnsi="宋体" w:cs="宋体"/>
          <w:szCs w:val="21"/>
        </w:rPr>
      </w:pPr>
      <w:r>
        <w:rPr>
          <w:rFonts w:ascii="宋体" w:hAnsi="宋体" w:cs="宋体"/>
          <w:szCs w:val="21"/>
        </w:rPr>
        <w:t>4.3.</w:t>
      </w:r>
      <w:r>
        <w:rPr>
          <w:rFonts w:hint="eastAsia" w:ascii="宋体" w:hAnsi="宋体" w:cs="宋体"/>
          <w:szCs w:val="21"/>
        </w:rPr>
        <w:t>1 项目进度管理应该遵循以下原则：</w:t>
      </w:r>
    </w:p>
    <w:p>
      <w:pPr>
        <w:topLinePunct/>
        <w:spacing w:line="420" w:lineRule="exact"/>
        <w:ind w:firstLine="420" w:firstLineChars="200"/>
        <w:rPr>
          <w:rFonts w:ascii="宋体" w:hAnsi="宋体" w:cs="宋体"/>
          <w:szCs w:val="21"/>
        </w:rPr>
      </w:pPr>
      <w:r>
        <w:rPr>
          <w:rFonts w:hint="eastAsia" w:ascii="宋体" w:hAnsi="宋体" w:cs="宋体"/>
          <w:szCs w:val="21"/>
        </w:rPr>
        <w:t>（1）项目进度管理的依据是项目合同所约定的工期目标。</w:t>
      </w:r>
    </w:p>
    <w:p>
      <w:pPr>
        <w:topLinePunct/>
        <w:spacing w:line="420" w:lineRule="exact"/>
        <w:ind w:firstLine="420" w:firstLineChars="200"/>
        <w:rPr>
          <w:rFonts w:ascii="宋体" w:hAnsi="宋体" w:cs="宋体"/>
          <w:szCs w:val="21"/>
        </w:rPr>
      </w:pPr>
      <w:r>
        <w:rPr>
          <w:rFonts w:hint="eastAsia" w:ascii="宋体" w:hAnsi="宋体" w:cs="宋体"/>
          <w:szCs w:val="21"/>
        </w:rPr>
        <w:t>（2）在确保项目质量和安全的原则下，合理控制项目进度。</w:t>
      </w:r>
    </w:p>
    <w:p>
      <w:pPr>
        <w:topLinePunct/>
        <w:spacing w:line="420" w:lineRule="exact"/>
        <w:ind w:firstLine="420" w:firstLineChars="200"/>
        <w:rPr>
          <w:rFonts w:ascii="宋体" w:hAnsi="宋体" w:cs="宋体"/>
          <w:szCs w:val="21"/>
        </w:rPr>
      </w:pPr>
      <w:r>
        <w:rPr>
          <w:rFonts w:ascii="宋体" w:hAnsi="宋体" w:cs="宋体"/>
          <w:szCs w:val="21"/>
        </w:rPr>
        <w:t>4.3.</w:t>
      </w:r>
      <w:r>
        <w:rPr>
          <w:rFonts w:hint="eastAsia" w:ascii="宋体" w:hAnsi="宋体" w:cs="宋体"/>
          <w:szCs w:val="21"/>
        </w:rPr>
        <w:t>2 项目进度管理应该至少包含以下内容：</w:t>
      </w:r>
    </w:p>
    <w:p>
      <w:pPr>
        <w:topLinePunct/>
        <w:spacing w:line="420" w:lineRule="exact"/>
        <w:ind w:firstLine="420" w:firstLineChars="200"/>
        <w:rPr>
          <w:rFonts w:ascii="宋体" w:hAnsi="宋体" w:cs="宋体"/>
          <w:szCs w:val="21"/>
        </w:rPr>
      </w:pPr>
      <w:r>
        <w:rPr>
          <w:rFonts w:hint="eastAsia" w:ascii="宋体" w:hAnsi="宋体" w:cs="宋体"/>
          <w:szCs w:val="21"/>
        </w:rPr>
        <w:t>（1）在了解项目特点的前提下，根据工期目标，提交总体进度计划，并定期提交阶段性工作计划。</w:t>
      </w:r>
    </w:p>
    <w:p>
      <w:pPr>
        <w:topLinePunct/>
        <w:spacing w:line="420" w:lineRule="exact"/>
        <w:ind w:firstLine="420" w:firstLineChars="200"/>
        <w:rPr>
          <w:rFonts w:ascii="宋体" w:hAnsi="宋体" w:cs="宋体"/>
          <w:szCs w:val="21"/>
        </w:rPr>
      </w:pPr>
      <w:r>
        <w:rPr>
          <w:rFonts w:hint="eastAsia" w:ascii="宋体" w:hAnsi="宋体" w:cs="宋体"/>
          <w:szCs w:val="21"/>
        </w:rPr>
        <w:t>（2）制定详细的项目建设进度计划，按照合同的进度计划制定具体的实施计划，定期跟踪检查，对可能发生的工程延误风险提出相应对策。</w:t>
      </w:r>
    </w:p>
    <w:p>
      <w:pPr>
        <w:topLinePunct/>
        <w:spacing w:line="420" w:lineRule="exact"/>
        <w:ind w:firstLine="420" w:firstLineChars="200"/>
        <w:rPr>
          <w:rFonts w:ascii="宋体" w:hAnsi="宋体" w:cs="宋体"/>
          <w:szCs w:val="21"/>
        </w:rPr>
      </w:pPr>
      <w:r>
        <w:rPr>
          <w:rFonts w:hint="eastAsia" w:ascii="宋体" w:hAnsi="宋体" w:cs="宋体"/>
          <w:szCs w:val="21"/>
        </w:rPr>
        <w:t>（3）定期或不定期地召开或参加项目例会、协调会议等，向项目单位通报项目进展情况，提交进度报告，及时发现和解决相关问题。</w:t>
      </w:r>
    </w:p>
    <w:p>
      <w:pPr>
        <w:topLinePunct/>
        <w:spacing w:line="420" w:lineRule="exact"/>
        <w:ind w:firstLine="420" w:firstLineChars="200"/>
        <w:rPr>
          <w:rFonts w:ascii="宋体" w:hAnsi="宋体" w:cs="宋体"/>
          <w:szCs w:val="21"/>
        </w:rPr>
      </w:pPr>
      <w:r>
        <w:rPr>
          <w:rFonts w:hint="eastAsia" w:ascii="宋体" w:hAnsi="宋体" w:cs="宋体"/>
          <w:szCs w:val="21"/>
        </w:rPr>
        <w:t>（4）建立项目变更流程，详细记录项目变更情况。</w:t>
      </w:r>
    </w:p>
    <w:p>
      <w:pPr>
        <w:spacing w:line="460" w:lineRule="exact"/>
        <w:ind w:firstLine="422" w:firstLineChars="200"/>
        <w:rPr>
          <w:rFonts w:ascii="宋体" w:hAnsi="宋体" w:cs="宋体"/>
          <w:b/>
          <w:color w:val="000000"/>
          <w:szCs w:val="21"/>
        </w:rPr>
      </w:pPr>
      <w:bookmarkStart w:id="138" w:name="_Toc13520540"/>
      <w:bookmarkStart w:id="139" w:name="_Toc14484738"/>
      <w:bookmarkStart w:id="140" w:name="_Toc19043"/>
      <w:bookmarkStart w:id="141" w:name="_Toc22737850"/>
      <w:bookmarkStart w:id="142" w:name="_Toc44505010"/>
      <w:bookmarkStart w:id="143" w:name="_Toc444649680"/>
      <w:r>
        <w:rPr>
          <w:rFonts w:hint="eastAsia" w:ascii="宋体" w:hAnsi="宋体" w:cs="宋体"/>
          <w:b/>
          <w:color w:val="000000"/>
          <w:szCs w:val="21"/>
        </w:rPr>
        <w:t>4</w:t>
      </w:r>
      <w:r>
        <w:rPr>
          <w:rFonts w:ascii="宋体" w:hAnsi="宋体" w:cs="宋体"/>
          <w:b/>
          <w:color w:val="000000"/>
          <w:szCs w:val="21"/>
        </w:rPr>
        <w:t xml:space="preserve">.4 </w:t>
      </w:r>
      <w:r>
        <w:rPr>
          <w:rFonts w:hint="eastAsia" w:ascii="宋体" w:hAnsi="宋体" w:cs="宋体"/>
          <w:b/>
          <w:color w:val="000000"/>
          <w:szCs w:val="21"/>
        </w:rPr>
        <w:t>项目质量管理</w:t>
      </w:r>
      <w:bookmarkEnd w:id="138"/>
      <w:bookmarkEnd w:id="139"/>
      <w:bookmarkEnd w:id="140"/>
      <w:bookmarkEnd w:id="141"/>
      <w:bookmarkEnd w:id="142"/>
      <w:bookmarkEnd w:id="143"/>
    </w:p>
    <w:p>
      <w:pPr>
        <w:topLinePunct/>
        <w:spacing w:line="420" w:lineRule="exact"/>
        <w:ind w:firstLine="420" w:firstLineChars="200"/>
        <w:rPr>
          <w:rFonts w:ascii="宋体" w:hAnsi="宋体" w:cs="宋体"/>
          <w:szCs w:val="21"/>
        </w:rPr>
      </w:pPr>
      <w:r>
        <w:rPr>
          <w:rFonts w:hint="eastAsia" w:ascii="宋体" w:hAnsi="宋体" w:cs="宋体"/>
          <w:szCs w:val="21"/>
        </w:rPr>
        <w:t>应</w:t>
      </w:r>
      <w:r>
        <w:rPr>
          <w:rFonts w:hint="eastAsia" w:hAnsi="宋体" w:cs="宋体"/>
        </w:rPr>
        <w:t>当</w:t>
      </w:r>
      <w:r>
        <w:rPr>
          <w:rFonts w:hint="eastAsia" w:ascii="宋体" w:hAnsi="宋体" w:cs="宋体"/>
          <w:szCs w:val="21"/>
        </w:rPr>
        <w:t>建立严格的质量保证体系，制定系统需求管理、开发、集成、改造、实施的质量控制方式及控制措施，并督促落实各环节质量控制内容和目标，保证总体规划设计、集成改造升级、开发实施测试、系统运行与验收各个阶段工作满足项目单位的质量要求。</w:t>
      </w:r>
    </w:p>
    <w:p>
      <w:pPr>
        <w:topLinePunct/>
        <w:spacing w:line="420" w:lineRule="exact"/>
        <w:ind w:firstLine="465"/>
        <w:rPr>
          <w:rFonts w:ascii="宋体" w:hAnsi="宋体" w:cs="宋体"/>
          <w:szCs w:val="21"/>
        </w:rPr>
      </w:pPr>
      <w:r>
        <w:rPr>
          <w:rFonts w:hint="eastAsia" w:ascii="宋体" w:hAnsi="宋体" w:cs="宋体"/>
          <w:szCs w:val="21"/>
        </w:rPr>
        <w:t>应</w:t>
      </w:r>
      <w:r>
        <w:rPr>
          <w:rFonts w:hint="eastAsia" w:hAnsi="宋体" w:cs="宋体"/>
        </w:rPr>
        <w:t>当</w:t>
      </w:r>
      <w:r>
        <w:rPr>
          <w:rFonts w:hint="eastAsia" w:ascii="宋体" w:hAnsi="宋体" w:cs="宋体"/>
          <w:szCs w:val="21"/>
        </w:rPr>
        <w:t>根据整个项目的开发和实施工作计划，对阶段性工作成果进行审查和测试，并向项目单位提交里程碑式工作成果。通过保证各阶段性成果的质量，最终保证整个项目的开发与实施工作的质量。</w:t>
      </w:r>
    </w:p>
    <w:p>
      <w:pPr>
        <w:spacing w:line="460" w:lineRule="exact"/>
        <w:ind w:firstLine="422" w:firstLineChars="200"/>
        <w:rPr>
          <w:rFonts w:ascii="宋体" w:hAnsi="宋体" w:cs="宋体"/>
          <w:b/>
          <w:color w:val="000000"/>
          <w:szCs w:val="21"/>
        </w:rPr>
      </w:pPr>
      <w:bookmarkStart w:id="144" w:name="_Toc13520541"/>
      <w:bookmarkStart w:id="145" w:name="_Toc1927069505"/>
      <w:bookmarkStart w:id="146" w:name="_Toc444649681"/>
      <w:bookmarkStart w:id="147" w:name="_Toc44505011"/>
      <w:bookmarkStart w:id="148" w:name="_Toc22737851"/>
      <w:bookmarkStart w:id="149" w:name="_Toc5783"/>
      <w:r>
        <w:rPr>
          <w:rFonts w:hint="eastAsia" w:ascii="宋体" w:hAnsi="宋体" w:cs="宋体"/>
          <w:b/>
          <w:color w:val="000000"/>
          <w:szCs w:val="21"/>
        </w:rPr>
        <w:t>4</w:t>
      </w:r>
      <w:r>
        <w:rPr>
          <w:rFonts w:ascii="宋体" w:hAnsi="宋体" w:cs="宋体"/>
          <w:b/>
          <w:color w:val="000000"/>
          <w:szCs w:val="21"/>
        </w:rPr>
        <w:t xml:space="preserve">.5 </w:t>
      </w:r>
      <w:r>
        <w:rPr>
          <w:rFonts w:hint="eastAsia" w:ascii="宋体" w:hAnsi="宋体" w:cs="宋体"/>
          <w:b/>
          <w:color w:val="000000"/>
          <w:szCs w:val="21"/>
        </w:rPr>
        <w:t>项目变更管理</w:t>
      </w:r>
      <w:bookmarkEnd w:id="144"/>
      <w:bookmarkEnd w:id="145"/>
      <w:bookmarkEnd w:id="146"/>
      <w:bookmarkEnd w:id="147"/>
      <w:bookmarkEnd w:id="148"/>
      <w:bookmarkEnd w:id="149"/>
    </w:p>
    <w:p>
      <w:pPr>
        <w:spacing w:line="420" w:lineRule="exact"/>
        <w:ind w:firstLine="495" w:firstLineChars="236"/>
        <w:rPr>
          <w:rFonts w:ascii="宋体" w:hAnsi="宋体" w:cs="宋体"/>
          <w:szCs w:val="21"/>
        </w:rPr>
      </w:pPr>
      <w:r>
        <w:rPr>
          <w:rFonts w:hint="eastAsia" w:ascii="宋体" w:hAnsi="宋体" w:cs="宋体"/>
          <w:szCs w:val="21"/>
        </w:rPr>
        <w:t>变更类型主要包括：范围变更、业务需求变更、技术架构变更、进度变更、交付物变更等。投标人应对变更进行有序控制，至少满足以下要求：</w:t>
      </w:r>
    </w:p>
    <w:p>
      <w:pPr>
        <w:spacing w:line="420" w:lineRule="exact"/>
        <w:ind w:firstLine="495" w:firstLineChars="236"/>
        <w:rPr>
          <w:rFonts w:ascii="宋体" w:hAnsi="宋体" w:cs="宋体"/>
          <w:szCs w:val="21"/>
        </w:rPr>
      </w:pPr>
      <w:r>
        <w:rPr>
          <w:rFonts w:hint="eastAsia" w:ascii="宋体" w:hAnsi="宋体" w:cs="宋体"/>
          <w:szCs w:val="21"/>
        </w:rPr>
        <w:t>（1）投标人应</w:t>
      </w:r>
      <w:r>
        <w:rPr>
          <w:rFonts w:hint="eastAsia" w:hAnsi="宋体" w:cs="宋体"/>
        </w:rPr>
        <w:t>当</w:t>
      </w:r>
      <w:r>
        <w:rPr>
          <w:rFonts w:hint="eastAsia" w:ascii="宋体" w:hAnsi="宋体" w:cs="宋体"/>
          <w:szCs w:val="21"/>
        </w:rPr>
        <w:t>制定采购人认可的变更管理规范。</w:t>
      </w:r>
    </w:p>
    <w:p>
      <w:pPr>
        <w:spacing w:line="420" w:lineRule="exact"/>
        <w:ind w:firstLine="495" w:firstLineChars="236"/>
        <w:rPr>
          <w:rFonts w:ascii="宋体" w:hAnsi="宋体" w:cs="宋体"/>
          <w:szCs w:val="21"/>
        </w:rPr>
      </w:pPr>
      <w:r>
        <w:rPr>
          <w:rFonts w:hint="eastAsia" w:ascii="宋体" w:hAnsi="宋体" w:cs="宋体"/>
          <w:szCs w:val="21"/>
        </w:rPr>
        <w:t>（2）投标人提出项目变更时，首先需要对变更的影响和范围进行评估，并评估变更对其他相关项目的影响，提交变更申请，经采购人确认后方可实施变更。</w:t>
      </w:r>
    </w:p>
    <w:p>
      <w:pPr>
        <w:spacing w:line="420" w:lineRule="exact"/>
        <w:ind w:firstLine="495" w:firstLineChars="236"/>
        <w:rPr>
          <w:rFonts w:ascii="宋体" w:hAnsi="宋体" w:cs="宋体"/>
          <w:szCs w:val="21"/>
        </w:rPr>
      </w:pPr>
      <w:r>
        <w:rPr>
          <w:rFonts w:hint="eastAsia" w:ascii="宋体" w:hAnsi="宋体" w:cs="宋体"/>
          <w:szCs w:val="21"/>
        </w:rPr>
        <w:t>（3）投标人应</w:t>
      </w:r>
      <w:r>
        <w:rPr>
          <w:rFonts w:hint="eastAsia" w:hAnsi="宋体" w:cs="宋体"/>
        </w:rPr>
        <w:t>当</w:t>
      </w:r>
      <w:r>
        <w:rPr>
          <w:rFonts w:hint="eastAsia" w:ascii="宋体" w:hAnsi="宋体" w:cs="宋体"/>
          <w:szCs w:val="21"/>
        </w:rPr>
        <w:t>确保自身申请变更的合理性和经济性，对受影响的交付物按照新基准进行相应调整。</w:t>
      </w:r>
    </w:p>
    <w:p>
      <w:pPr>
        <w:spacing w:line="460" w:lineRule="exact"/>
        <w:ind w:firstLine="422" w:firstLineChars="200"/>
        <w:rPr>
          <w:rFonts w:ascii="宋体" w:hAnsi="宋体" w:cs="宋体"/>
          <w:b/>
          <w:color w:val="000000"/>
          <w:szCs w:val="21"/>
        </w:rPr>
      </w:pPr>
      <w:bookmarkStart w:id="150" w:name="_Toc444649682"/>
      <w:bookmarkStart w:id="151" w:name="_Toc13520542"/>
      <w:bookmarkStart w:id="152" w:name="_Toc24465"/>
      <w:bookmarkStart w:id="153" w:name="_Toc1567294094"/>
      <w:bookmarkStart w:id="154" w:name="_Toc44505012"/>
      <w:bookmarkStart w:id="155" w:name="_Toc22737853"/>
      <w:r>
        <w:rPr>
          <w:rFonts w:hint="eastAsia" w:ascii="宋体" w:hAnsi="宋体" w:cs="宋体"/>
          <w:b/>
          <w:color w:val="000000"/>
          <w:szCs w:val="21"/>
        </w:rPr>
        <w:t>4</w:t>
      </w:r>
      <w:r>
        <w:rPr>
          <w:rFonts w:ascii="宋体" w:hAnsi="宋体" w:cs="宋体"/>
          <w:b/>
          <w:color w:val="000000"/>
          <w:szCs w:val="21"/>
        </w:rPr>
        <w:t xml:space="preserve">.6 </w:t>
      </w:r>
      <w:r>
        <w:rPr>
          <w:rFonts w:hint="eastAsia" w:ascii="宋体" w:hAnsi="宋体" w:cs="宋体"/>
          <w:b/>
          <w:color w:val="000000"/>
          <w:szCs w:val="21"/>
        </w:rPr>
        <w:t>项目测试</w:t>
      </w:r>
      <w:bookmarkEnd w:id="150"/>
      <w:bookmarkEnd w:id="151"/>
      <w:r>
        <w:rPr>
          <w:rFonts w:hint="eastAsia" w:ascii="宋体" w:hAnsi="宋体" w:cs="宋体"/>
          <w:b/>
          <w:color w:val="000000"/>
          <w:szCs w:val="21"/>
        </w:rPr>
        <w:t>管理</w:t>
      </w:r>
      <w:bookmarkEnd w:id="152"/>
      <w:bookmarkEnd w:id="153"/>
      <w:bookmarkEnd w:id="154"/>
      <w:bookmarkEnd w:id="155"/>
    </w:p>
    <w:p>
      <w:pPr>
        <w:topLinePunct/>
        <w:spacing w:line="420" w:lineRule="exact"/>
        <w:ind w:firstLine="420" w:firstLineChars="200"/>
        <w:rPr>
          <w:rFonts w:ascii="宋体" w:hAnsi="宋体" w:cs="宋体"/>
          <w:szCs w:val="21"/>
        </w:rPr>
      </w:pPr>
      <w:r>
        <w:rPr>
          <w:rFonts w:hint="eastAsia" w:ascii="宋体" w:hAnsi="宋体" w:cs="宋体"/>
          <w:szCs w:val="21"/>
        </w:rPr>
        <w:t>中标人要科学开展单元测试、系统测试、集成测试并提供测试方案，对于系统的任何修改或升级，都必须进行回归测试。测试方案应</w:t>
      </w:r>
      <w:r>
        <w:rPr>
          <w:rFonts w:hint="eastAsia" w:hAnsi="宋体" w:cs="宋体"/>
        </w:rPr>
        <w:t>当</w:t>
      </w:r>
      <w:r>
        <w:rPr>
          <w:rFonts w:hint="eastAsia" w:ascii="宋体" w:hAnsi="宋体" w:cs="宋体"/>
          <w:szCs w:val="21"/>
        </w:rPr>
        <w:t>符合本技术规范的要求，包括但不限于以下内容：系统的功能、性能等均应</w:t>
      </w:r>
      <w:r>
        <w:rPr>
          <w:rFonts w:hint="eastAsia" w:hAnsi="宋体" w:cs="宋体"/>
        </w:rPr>
        <w:t>当</w:t>
      </w:r>
      <w:r>
        <w:rPr>
          <w:rFonts w:hint="eastAsia" w:ascii="宋体" w:hAnsi="宋体" w:cs="宋体"/>
          <w:szCs w:val="21"/>
        </w:rPr>
        <w:t>经过测试，形成测试报告，并经项目单位认可后才能投入运行、组织验收。</w:t>
      </w:r>
    </w:p>
    <w:p>
      <w:pPr>
        <w:spacing w:line="460" w:lineRule="exact"/>
        <w:ind w:firstLine="422" w:firstLineChars="200"/>
        <w:rPr>
          <w:rFonts w:ascii="宋体" w:hAnsi="宋体" w:cs="宋体"/>
          <w:b/>
          <w:color w:val="000000"/>
          <w:szCs w:val="21"/>
        </w:rPr>
      </w:pPr>
      <w:bookmarkStart w:id="156" w:name="_Toc44505013"/>
      <w:bookmarkStart w:id="157" w:name="_Toc22737855"/>
      <w:bookmarkStart w:id="158" w:name="_Toc24986"/>
      <w:r>
        <w:rPr>
          <w:rFonts w:hint="eastAsia" w:ascii="宋体" w:hAnsi="宋体" w:cs="宋体"/>
          <w:b/>
          <w:color w:val="000000"/>
          <w:szCs w:val="21"/>
        </w:rPr>
        <w:t>4</w:t>
      </w:r>
      <w:r>
        <w:rPr>
          <w:rFonts w:ascii="宋体" w:hAnsi="宋体" w:cs="宋体"/>
          <w:b/>
          <w:color w:val="000000"/>
          <w:szCs w:val="21"/>
        </w:rPr>
        <w:t xml:space="preserve">.7 </w:t>
      </w:r>
      <w:r>
        <w:rPr>
          <w:rFonts w:hint="eastAsia" w:ascii="宋体" w:hAnsi="宋体" w:cs="宋体"/>
          <w:b/>
          <w:color w:val="000000"/>
          <w:szCs w:val="21"/>
        </w:rPr>
        <w:t>项目保密管理</w:t>
      </w:r>
      <w:bookmarkEnd w:id="156"/>
      <w:bookmarkEnd w:id="157"/>
      <w:bookmarkEnd w:id="158"/>
    </w:p>
    <w:p>
      <w:pPr>
        <w:topLinePunct/>
        <w:spacing w:line="420" w:lineRule="exact"/>
        <w:ind w:firstLine="420" w:firstLineChars="200"/>
        <w:rPr>
          <w:rFonts w:ascii="宋体" w:hAnsi="宋体" w:cs="宋体"/>
          <w:szCs w:val="21"/>
        </w:rPr>
      </w:pPr>
      <w:r>
        <w:rPr>
          <w:rFonts w:hint="eastAsia" w:ascii="宋体" w:hAnsi="宋体" w:cs="宋体"/>
          <w:szCs w:val="21"/>
        </w:rPr>
        <w:t>投标人必须承诺对本项目技术文件以及由用户提供的所有内部资料、技术文档和信息予以保密，未经许可，不得对外透露。投标人必须按照用户的要求签订相关的保密协议。</w:t>
      </w:r>
    </w:p>
    <w:p>
      <w:pPr>
        <w:topLinePunct/>
        <w:spacing w:line="420" w:lineRule="exact"/>
        <w:ind w:firstLine="420" w:firstLineChars="200"/>
        <w:rPr>
          <w:rFonts w:ascii="宋体" w:hAnsi="宋体" w:cs="宋体"/>
          <w:szCs w:val="21"/>
        </w:rPr>
      </w:pPr>
      <w:r>
        <w:rPr>
          <w:rFonts w:hint="eastAsia" w:ascii="宋体" w:hAnsi="宋体" w:cs="宋体"/>
          <w:szCs w:val="21"/>
        </w:rPr>
        <w:t>投标人应</w:t>
      </w:r>
      <w:r>
        <w:rPr>
          <w:rFonts w:hint="eastAsia" w:hAnsi="宋体" w:cs="宋体"/>
        </w:rPr>
        <w:t>当</w:t>
      </w:r>
      <w:r>
        <w:rPr>
          <w:rFonts w:hint="eastAsia" w:ascii="宋体" w:hAnsi="宋体" w:cs="宋体"/>
          <w:szCs w:val="21"/>
        </w:rPr>
        <w:t>加强本项目资料的保密管控，必须针对本项目建立项目纸质、声音、影像、图像、电子等各种形态资料及其载体的保密管控措施，记录资料由生成到销毁整个生命周期内的使用日志，并根据实际工作情况及时对制度进行调整，资料保密管理制度的建立和修订需得到用户方的同意后方可实行。</w:t>
      </w:r>
    </w:p>
    <w:p>
      <w:pPr>
        <w:topLinePunct/>
        <w:spacing w:line="420" w:lineRule="exact"/>
        <w:ind w:firstLine="420" w:firstLineChars="200"/>
        <w:rPr>
          <w:rFonts w:ascii="宋体" w:hAnsi="宋体"/>
          <w:szCs w:val="21"/>
        </w:rPr>
      </w:pPr>
      <w:r>
        <w:rPr>
          <w:rFonts w:hint="eastAsia" w:ascii="宋体" w:hAnsi="宋体" w:cs="宋体"/>
          <w:szCs w:val="21"/>
        </w:rPr>
        <w:t>投标人应</w:t>
      </w:r>
      <w:r>
        <w:rPr>
          <w:rFonts w:hint="eastAsia" w:hAnsi="宋体" w:cs="宋体"/>
        </w:rPr>
        <w:t>当</w:t>
      </w:r>
      <w:r>
        <w:rPr>
          <w:rFonts w:hint="eastAsia" w:ascii="宋体" w:hAnsi="宋体" w:cs="宋体"/>
          <w:szCs w:val="21"/>
        </w:rPr>
        <w:t>加强本项目在用户工作场所使用设备，特别是笔记本电脑、移动存储介质等便携设备使用的保密管理。接入税务系统网络内使用的设备，必须遵守税务系统关于终端安全管理、移动存储介质管理等要求，要求服务笔记本电脑专网专用，采取必要的技术手段记录便携式设备的使用日志，并防止未经授权接入其他网络使用，投标人应</w:t>
      </w:r>
      <w:r>
        <w:rPr>
          <w:rFonts w:hint="eastAsia" w:hAnsi="宋体" w:cs="宋体"/>
        </w:rPr>
        <w:t>当</w:t>
      </w:r>
      <w:r>
        <w:rPr>
          <w:rFonts w:hint="eastAsia" w:ascii="宋体" w:hAnsi="宋体" w:cs="宋体"/>
          <w:szCs w:val="21"/>
        </w:rPr>
        <w:t>制定此类便携式设备保密使用管理规定。便携式设备保密使用管理规定的建立和修订需得到用户方的同意后方可实行。</w:t>
      </w:r>
    </w:p>
    <w:p>
      <w:pPr>
        <w:adjustRightInd w:val="0"/>
        <w:snapToGrid w:val="0"/>
        <w:spacing w:before="313" w:beforeLines="100" w:line="396" w:lineRule="auto"/>
        <w:jc w:val="left"/>
        <w:rPr>
          <w:rFonts w:ascii="宋体" w:hAnsi="宋体"/>
          <w:b/>
          <w:sz w:val="24"/>
          <w:szCs w:val="24"/>
        </w:rPr>
      </w:pPr>
      <w:r>
        <w:rPr>
          <w:rFonts w:hint="eastAsia" w:ascii="宋体" w:hAnsi="宋体"/>
          <w:b/>
          <w:sz w:val="24"/>
          <w:szCs w:val="24"/>
        </w:rPr>
        <w:t>（四）</w:t>
      </w:r>
      <w:r>
        <w:rPr>
          <w:rFonts w:ascii="宋体" w:hAnsi="宋体"/>
          <w:b/>
          <w:sz w:val="24"/>
          <w:szCs w:val="24"/>
        </w:rPr>
        <w:t>项目验收要求</w:t>
      </w:r>
    </w:p>
    <w:p>
      <w:pPr>
        <w:snapToGrid w:val="0"/>
        <w:spacing w:line="420" w:lineRule="exact"/>
        <w:ind w:firstLine="420" w:firstLineChars="200"/>
        <w:rPr>
          <w:rFonts w:ascii="宋体" w:hAnsi="宋体" w:cs="宋体"/>
          <w:szCs w:val="21"/>
        </w:rPr>
      </w:pPr>
      <w:r>
        <w:rPr>
          <w:rFonts w:hint="eastAsia" w:ascii="宋体" w:hAnsi="宋体" w:cs="宋体"/>
          <w:szCs w:val="21"/>
        </w:rPr>
        <w:t>项目相关内容在采购人部署实施完毕，并稳定试运行1个月后，中标人可申请进行验收。验收通过后，正式进入维保服务期。</w:t>
      </w:r>
    </w:p>
    <w:p>
      <w:pPr>
        <w:topLinePunct/>
        <w:spacing w:line="420" w:lineRule="exact"/>
        <w:ind w:firstLine="420" w:firstLineChars="200"/>
        <w:rPr>
          <w:rFonts w:ascii="宋体" w:hAnsi="宋体" w:cs="宋体"/>
          <w:szCs w:val="21"/>
        </w:rPr>
      </w:pPr>
      <w:r>
        <w:rPr>
          <w:rFonts w:hint="eastAsia" w:ascii="宋体" w:hAnsi="宋体" w:cs="宋体"/>
          <w:szCs w:val="21"/>
        </w:rPr>
        <w:t>验收小组由及指定的第三方（必要时）共同组成并完成验收工作。</w:t>
      </w:r>
    </w:p>
    <w:p>
      <w:pPr>
        <w:topLinePunct/>
        <w:spacing w:line="420" w:lineRule="exact"/>
        <w:ind w:firstLine="420" w:firstLineChars="200"/>
        <w:rPr>
          <w:rFonts w:ascii="宋体" w:hAnsi="宋体" w:cs="宋体"/>
          <w:szCs w:val="21"/>
        </w:rPr>
      </w:pPr>
      <w:r>
        <w:rPr>
          <w:rFonts w:hint="eastAsia" w:ascii="宋体" w:hAnsi="宋体" w:cs="宋体"/>
          <w:szCs w:val="21"/>
        </w:rPr>
        <w:t>中标人应</w:t>
      </w:r>
      <w:r>
        <w:rPr>
          <w:rFonts w:hint="eastAsia" w:hAnsi="宋体" w:cs="宋体"/>
        </w:rPr>
        <w:t>当</w:t>
      </w:r>
      <w:r>
        <w:rPr>
          <w:rFonts w:hint="eastAsia" w:ascii="宋体" w:hAnsi="宋体" w:cs="宋体"/>
          <w:szCs w:val="21"/>
        </w:rPr>
        <w:t>在项目验收时提供相关设备及工具，采购人不再额外支付任何费用。</w:t>
      </w:r>
    </w:p>
    <w:p>
      <w:pPr>
        <w:spacing w:line="460" w:lineRule="exact"/>
        <w:ind w:firstLine="422" w:firstLineChars="200"/>
        <w:rPr>
          <w:rFonts w:ascii="宋体" w:hAnsi="宋体" w:cs="宋体"/>
          <w:b/>
          <w:color w:val="000000"/>
          <w:szCs w:val="21"/>
        </w:rPr>
      </w:pPr>
      <w:bookmarkStart w:id="159" w:name="_Toc44505015"/>
      <w:bookmarkStart w:id="160" w:name="_Toc8064"/>
      <w:r>
        <w:rPr>
          <w:rFonts w:hint="eastAsia" w:ascii="宋体" w:hAnsi="宋体" w:cs="宋体"/>
          <w:b/>
          <w:color w:val="000000"/>
          <w:szCs w:val="21"/>
        </w:rPr>
        <w:t>1.项目验收的基本要求</w:t>
      </w:r>
      <w:bookmarkEnd w:id="159"/>
      <w:bookmarkEnd w:id="160"/>
    </w:p>
    <w:p>
      <w:pPr>
        <w:topLinePunct/>
        <w:spacing w:line="420" w:lineRule="exact"/>
        <w:ind w:firstLine="420" w:firstLineChars="200"/>
        <w:rPr>
          <w:rFonts w:ascii="宋体" w:hAnsi="宋体" w:cs="宋体"/>
          <w:szCs w:val="21"/>
        </w:rPr>
      </w:pPr>
      <w:r>
        <w:rPr>
          <w:rFonts w:hint="eastAsia" w:ascii="宋体" w:hAnsi="宋体" w:cs="宋体"/>
          <w:szCs w:val="21"/>
        </w:rPr>
        <w:t>（1）中标人在招标文件规定的地点和环境下，将本项目采购的内容部署到位，完成配套设备的集成连接测试，构成相应的系统平台，并实现正常运行。</w:t>
      </w:r>
    </w:p>
    <w:p>
      <w:pPr>
        <w:topLinePunct/>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（2）中标人在招标文件规定的地点和环境下，将为建设本系统采购的硬件设备与现有的系统进行集</w:t>
      </w:r>
      <w:r>
        <w:rPr>
          <w:rFonts w:hint="eastAsia" w:ascii="宋体" w:hAnsi="宋体" w:cs="宋体"/>
          <w:color w:val="000000" w:themeColor="text1"/>
          <w:szCs w:val="21"/>
          <w14:textFill>
            <w14:solidFill>
              <w14:schemeClr w14:val="tx1"/>
            </w14:solidFill>
          </w14:textFill>
        </w:rPr>
        <w:t>成并实现正常运行，同时满足招标文件的功能和性能要求。</w:t>
      </w:r>
    </w:p>
    <w:p>
      <w:pPr>
        <w:topLinePunct/>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（3）按合同要求对平台各项系统功能进行的验收。</w:t>
      </w:r>
    </w:p>
    <w:p>
      <w:pPr>
        <w:topLinePunct/>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（4）按招标文件技术部分要求对系统的性能和功能进行必要的测试检查，并做出测试方案和测试报告，中标人应</w:t>
      </w:r>
      <w:r>
        <w:rPr>
          <w:rFonts w:hint="eastAsia" w:hAnsi="宋体" w:cs="宋体"/>
        </w:rPr>
        <w:t>当</w:t>
      </w:r>
      <w:r>
        <w:rPr>
          <w:rFonts w:hint="eastAsia" w:ascii="宋体" w:hAnsi="宋体" w:cs="宋体"/>
          <w:color w:val="000000" w:themeColor="text1"/>
          <w:szCs w:val="21"/>
          <w14:textFill>
            <w14:solidFill>
              <w14:schemeClr w14:val="tx1"/>
            </w14:solidFill>
          </w14:textFill>
        </w:rPr>
        <w:t>在验收时提供相关调试设备及电缆（如需要）。</w:t>
      </w:r>
    </w:p>
    <w:p>
      <w:pPr>
        <w:topLinePunct/>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（5）设备及软件在测试或试运行阶段中出现性能指标或功能上达不到招标文件和合同要求时，由投标人负责解决，直至平台功能满足招标文件要求为止。</w:t>
      </w:r>
    </w:p>
    <w:p>
      <w:pPr>
        <w:topLinePunct/>
        <w:spacing w:line="420" w:lineRule="exact"/>
        <w:ind w:firstLine="420" w:firstLineChars="200"/>
        <w:rPr>
          <w:rFonts w:ascii="宋体" w:hAnsi="宋体" w:cs="宋体"/>
          <w:szCs w:val="21"/>
        </w:rPr>
      </w:pPr>
      <w:r>
        <w:rPr>
          <w:rFonts w:hint="eastAsia" w:ascii="宋体" w:hAnsi="宋体" w:cs="宋体"/>
          <w:szCs w:val="21"/>
        </w:rPr>
        <w:t>（6）驻场和维保期内因平台功能或人员问题，如果出现漏洞情报通报不及时，导致本单位出现漏洞被利用的情况，按次延长本单位驻场或维保合同服务期1个月。</w:t>
      </w:r>
    </w:p>
    <w:p>
      <w:pPr>
        <w:spacing w:line="460" w:lineRule="exact"/>
        <w:ind w:firstLine="422" w:firstLineChars="200"/>
        <w:rPr>
          <w:rFonts w:ascii="宋体" w:hAnsi="宋体" w:cs="宋体"/>
          <w:b/>
          <w:color w:val="000000"/>
          <w:szCs w:val="21"/>
        </w:rPr>
      </w:pPr>
      <w:bookmarkStart w:id="161" w:name="_Toc44505016"/>
      <w:bookmarkStart w:id="162" w:name="_Toc3278"/>
      <w:r>
        <w:rPr>
          <w:rFonts w:hint="eastAsia" w:ascii="宋体" w:hAnsi="宋体" w:cs="宋体"/>
          <w:b/>
          <w:color w:val="000000"/>
          <w:szCs w:val="21"/>
        </w:rPr>
        <w:t>2.项目验收文档</w:t>
      </w:r>
      <w:bookmarkEnd w:id="161"/>
      <w:bookmarkEnd w:id="162"/>
    </w:p>
    <w:p>
      <w:pPr>
        <w:topLinePunct/>
        <w:spacing w:line="420" w:lineRule="exact"/>
        <w:ind w:firstLine="420" w:firstLineChars="200"/>
        <w:rPr>
          <w:rFonts w:ascii="宋体" w:hAnsi="宋体" w:cs="宋体"/>
          <w:szCs w:val="21"/>
        </w:rPr>
      </w:pPr>
      <w:r>
        <w:rPr>
          <w:rFonts w:hint="eastAsia" w:ascii="宋体" w:hAnsi="宋体" w:cs="宋体"/>
          <w:szCs w:val="21"/>
        </w:rPr>
        <w:t>投标人应</w:t>
      </w:r>
      <w:r>
        <w:rPr>
          <w:rFonts w:hint="eastAsia" w:hAnsi="宋体" w:cs="宋体"/>
        </w:rPr>
        <w:t>当</w:t>
      </w:r>
      <w:r>
        <w:rPr>
          <w:rFonts w:hint="eastAsia" w:ascii="宋体" w:hAnsi="宋体" w:cs="宋体"/>
          <w:szCs w:val="21"/>
        </w:rPr>
        <w:t>向用户提供下述文档：</w:t>
      </w:r>
    </w:p>
    <w:p>
      <w:pPr>
        <w:topLinePunct/>
        <w:spacing w:line="420" w:lineRule="exact"/>
        <w:ind w:firstLine="420" w:firstLineChars="200"/>
        <w:rPr>
          <w:rFonts w:ascii="宋体" w:hAnsi="宋体" w:cs="宋体"/>
          <w:szCs w:val="21"/>
        </w:rPr>
      </w:pPr>
      <w:r>
        <w:rPr>
          <w:rFonts w:hint="eastAsia" w:ascii="宋体" w:hAnsi="宋体" w:cs="宋体"/>
          <w:szCs w:val="21"/>
        </w:rPr>
        <w:t>（1）技术文件</w:t>
      </w:r>
    </w:p>
    <w:p>
      <w:pPr>
        <w:topLinePunct/>
        <w:spacing w:line="420" w:lineRule="exact"/>
        <w:ind w:firstLine="420" w:firstLineChars="200"/>
        <w:rPr>
          <w:rFonts w:ascii="宋体" w:hAnsi="宋体" w:cs="宋体"/>
          <w:szCs w:val="21"/>
        </w:rPr>
      </w:pPr>
      <w:r>
        <w:rPr>
          <w:rFonts w:hint="eastAsia" w:ascii="宋体" w:hAnsi="宋体" w:cs="宋体"/>
          <w:szCs w:val="21"/>
        </w:rPr>
        <w:t>投标人应</w:t>
      </w:r>
      <w:r>
        <w:rPr>
          <w:rFonts w:hint="eastAsia" w:hAnsi="宋体" w:cs="宋体"/>
        </w:rPr>
        <w:t>当</w:t>
      </w:r>
      <w:r>
        <w:rPr>
          <w:rFonts w:hint="eastAsia" w:ascii="宋体" w:hAnsi="宋体" w:cs="宋体"/>
          <w:szCs w:val="21"/>
        </w:rPr>
        <w:t>提供平台的配置、运行、使用等技术文件，包括配置图和监控目标详细清单，提供平台的使用手册和运维手册。</w:t>
      </w:r>
    </w:p>
    <w:p>
      <w:pPr>
        <w:topLinePunct/>
        <w:spacing w:line="420" w:lineRule="exact"/>
        <w:ind w:firstLine="420" w:firstLineChars="200"/>
        <w:rPr>
          <w:rFonts w:ascii="宋体" w:hAnsi="宋体" w:cs="宋体"/>
          <w:szCs w:val="21"/>
        </w:rPr>
      </w:pPr>
      <w:r>
        <w:rPr>
          <w:rFonts w:hint="eastAsia" w:ascii="宋体" w:hAnsi="宋体" w:cs="宋体"/>
          <w:szCs w:val="21"/>
        </w:rPr>
        <w:t>（2）项目详细设计和实施方案</w:t>
      </w:r>
    </w:p>
    <w:p>
      <w:pPr>
        <w:topLinePunct/>
        <w:spacing w:line="420" w:lineRule="exact"/>
        <w:ind w:firstLine="420" w:firstLineChars="200"/>
        <w:rPr>
          <w:rFonts w:ascii="宋体" w:hAnsi="宋体" w:cs="宋体"/>
          <w:szCs w:val="21"/>
        </w:rPr>
      </w:pPr>
      <w:r>
        <w:rPr>
          <w:rFonts w:hint="eastAsia" w:ascii="宋体" w:hAnsi="宋体" w:cs="宋体"/>
          <w:szCs w:val="21"/>
        </w:rPr>
        <w:t>投标人提供针对该项目的详细的设计和实施方案。</w:t>
      </w:r>
    </w:p>
    <w:p>
      <w:pPr>
        <w:topLinePunct/>
        <w:spacing w:line="420" w:lineRule="exact"/>
        <w:ind w:firstLine="420" w:firstLineChars="200"/>
        <w:rPr>
          <w:rFonts w:ascii="宋体" w:hAnsi="宋体" w:cs="宋体"/>
          <w:szCs w:val="21"/>
        </w:rPr>
      </w:pPr>
      <w:r>
        <w:rPr>
          <w:rFonts w:hint="eastAsia" w:ascii="宋体" w:hAnsi="宋体" w:cs="宋体"/>
          <w:szCs w:val="21"/>
        </w:rPr>
        <w:t>（3）过程文档</w:t>
      </w:r>
    </w:p>
    <w:p>
      <w:pPr>
        <w:topLinePunct/>
        <w:spacing w:line="420" w:lineRule="exact"/>
        <w:ind w:firstLine="420" w:firstLineChars="200"/>
        <w:rPr>
          <w:rFonts w:ascii="宋体" w:hAnsi="宋体" w:cs="宋体"/>
          <w:szCs w:val="21"/>
        </w:rPr>
      </w:pPr>
      <w:r>
        <w:rPr>
          <w:rFonts w:hint="eastAsia" w:ascii="宋体" w:hAnsi="宋体" w:cs="宋体"/>
          <w:szCs w:val="21"/>
        </w:rPr>
        <w:t>投标人需对项目实施过程跟踪记录，并提供过程记录文档。</w:t>
      </w:r>
    </w:p>
    <w:p>
      <w:pPr>
        <w:topLinePunct/>
        <w:spacing w:line="420" w:lineRule="exact"/>
        <w:ind w:firstLine="420" w:firstLineChars="200"/>
        <w:rPr>
          <w:rFonts w:ascii="宋体" w:hAnsi="宋体" w:cs="宋体"/>
          <w:szCs w:val="21"/>
        </w:rPr>
      </w:pPr>
      <w:r>
        <w:rPr>
          <w:rFonts w:hint="eastAsia" w:ascii="宋体" w:hAnsi="宋体" w:cs="宋体"/>
          <w:szCs w:val="21"/>
        </w:rPr>
        <w:t>（4）变更文档</w:t>
      </w:r>
    </w:p>
    <w:p>
      <w:pPr>
        <w:topLinePunct/>
        <w:spacing w:line="420" w:lineRule="exact"/>
        <w:ind w:firstLine="420" w:firstLineChars="200"/>
        <w:rPr>
          <w:rFonts w:ascii="宋体" w:hAnsi="宋体" w:cs="宋体"/>
          <w:szCs w:val="21"/>
        </w:rPr>
      </w:pPr>
      <w:r>
        <w:rPr>
          <w:rFonts w:hint="eastAsia" w:ascii="宋体" w:hAnsi="宋体" w:cs="宋体"/>
          <w:szCs w:val="21"/>
        </w:rPr>
        <w:t>投标人需对项目实施过程中的变更情况包括项目计划、项目内容、变更会议的情况等进行记录，并提供变更文档。</w:t>
      </w:r>
    </w:p>
    <w:p>
      <w:pPr>
        <w:topLinePunct/>
        <w:spacing w:line="420" w:lineRule="exact"/>
        <w:ind w:firstLine="420" w:firstLineChars="200"/>
        <w:rPr>
          <w:rFonts w:ascii="宋体" w:hAnsi="宋体" w:cs="宋体"/>
          <w:szCs w:val="21"/>
        </w:rPr>
      </w:pPr>
      <w:r>
        <w:rPr>
          <w:rFonts w:hint="eastAsia" w:ascii="宋体" w:hAnsi="宋体" w:cs="宋体"/>
          <w:szCs w:val="21"/>
        </w:rPr>
        <w:t>（5）工作完成文档</w:t>
      </w:r>
    </w:p>
    <w:p>
      <w:pPr>
        <w:topLinePunct/>
        <w:spacing w:line="420" w:lineRule="exact"/>
        <w:ind w:firstLine="420" w:firstLineChars="200"/>
        <w:rPr>
          <w:rFonts w:ascii="宋体" w:hAnsi="宋体" w:cs="宋体"/>
          <w:szCs w:val="21"/>
        </w:rPr>
      </w:pPr>
      <w:r>
        <w:rPr>
          <w:rFonts w:hint="eastAsia" w:ascii="宋体" w:hAnsi="宋体" w:cs="宋体"/>
          <w:szCs w:val="21"/>
        </w:rPr>
        <w:t>项目实施完成文档，项目验收时平台运行的各类工作完成事项数据，汇总成册，并对项目进行综合评估。</w:t>
      </w:r>
    </w:p>
    <w:p>
      <w:pPr>
        <w:topLinePunct/>
        <w:spacing w:line="420" w:lineRule="exact"/>
        <w:ind w:firstLine="420" w:firstLineChars="200"/>
        <w:rPr>
          <w:rFonts w:ascii="宋体" w:hAnsi="宋体" w:cs="宋体"/>
          <w:szCs w:val="21"/>
        </w:rPr>
      </w:pPr>
      <w:r>
        <w:rPr>
          <w:rFonts w:hint="eastAsia" w:ascii="宋体" w:hAnsi="宋体" w:cs="宋体"/>
          <w:szCs w:val="21"/>
        </w:rPr>
        <w:t>（6）服务记录文档</w:t>
      </w:r>
    </w:p>
    <w:p>
      <w:pPr>
        <w:topLinePunct/>
        <w:spacing w:line="420" w:lineRule="exact"/>
        <w:ind w:firstLine="420" w:firstLineChars="200"/>
        <w:rPr>
          <w:rFonts w:ascii="宋体" w:hAnsi="宋体" w:cs="宋体"/>
          <w:szCs w:val="21"/>
        </w:rPr>
      </w:pPr>
      <w:r>
        <w:rPr>
          <w:rFonts w:hint="eastAsia" w:ascii="宋体" w:hAnsi="宋体" w:cs="宋体"/>
          <w:szCs w:val="21"/>
        </w:rPr>
        <w:t>投标人需提供日常运行服务、高级分析服务的工作内容、工作记录、工作完成情况及总结报告等。</w:t>
      </w:r>
    </w:p>
    <w:p>
      <w:pPr>
        <w:topLinePunct/>
        <w:spacing w:line="420" w:lineRule="exact"/>
        <w:ind w:firstLine="420" w:firstLineChars="200"/>
        <w:rPr>
          <w:rFonts w:ascii="宋体" w:hAnsi="宋体" w:cs="宋体"/>
          <w:szCs w:val="21"/>
        </w:rPr>
      </w:pPr>
      <w:r>
        <w:rPr>
          <w:rFonts w:hint="eastAsia" w:ascii="宋体" w:hAnsi="宋体" w:cs="宋体"/>
          <w:szCs w:val="21"/>
        </w:rPr>
        <w:t>（7）项目其它文档</w:t>
      </w:r>
    </w:p>
    <w:p>
      <w:pPr>
        <w:topLinePunct/>
        <w:spacing w:line="420" w:lineRule="exact"/>
        <w:ind w:firstLine="420" w:firstLineChars="200"/>
        <w:rPr>
          <w:rFonts w:ascii="宋体" w:hAnsi="宋体" w:cs="宋体"/>
          <w:szCs w:val="21"/>
        </w:rPr>
      </w:pPr>
      <w:r>
        <w:rPr>
          <w:rFonts w:hint="eastAsia" w:ascii="宋体" w:hAnsi="宋体" w:cs="宋体"/>
          <w:szCs w:val="21"/>
        </w:rPr>
        <w:t>所有的文档必须是中文。</w:t>
      </w:r>
    </w:p>
    <w:p>
      <w:pPr>
        <w:topLinePunct/>
        <w:spacing w:line="420" w:lineRule="exact"/>
        <w:ind w:firstLine="420" w:firstLineChars="200"/>
        <w:rPr>
          <w:rFonts w:ascii="宋体" w:hAnsi="宋体" w:cs="宋体"/>
          <w:szCs w:val="21"/>
        </w:rPr>
      </w:pPr>
      <w:r>
        <w:rPr>
          <w:rFonts w:hint="eastAsia" w:ascii="宋体" w:hAnsi="宋体" w:cs="宋体"/>
          <w:szCs w:val="21"/>
        </w:rPr>
        <w:t>投标人应</w:t>
      </w:r>
      <w:r>
        <w:rPr>
          <w:rFonts w:hint="eastAsia" w:hAnsi="宋体" w:cs="宋体"/>
        </w:rPr>
        <w:t>当</w:t>
      </w:r>
      <w:r>
        <w:rPr>
          <w:rFonts w:hint="eastAsia" w:ascii="宋体" w:hAnsi="宋体" w:cs="宋体"/>
          <w:szCs w:val="21"/>
        </w:rPr>
        <w:t>提供整个项目实施过程中所产生和需向用户提交的详细文档清单，包括文档提交的计划安排，在实施过程中分阶段按计划及时向用户提供文档。</w:t>
      </w:r>
    </w:p>
    <w:p>
      <w:pPr>
        <w:adjustRightInd w:val="0"/>
        <w:snapToGrid w:val="0"/>
        <w:spacing w:before="313" w:beforeLines="100" w:line="396" w:lineRule="auto"/>
        <w:jc w:val="left"/>
        <w:rPr>
          <w:rFonts w:ascii="宋体" w:hAnsi="宋体"/>
          <w:b/>
          <w:sz w:val="24"/>
          <w:szCs w:val="24"/>
        </w:rPr>
      </w:pPr>
      <w:r>
        <w:rPr>
          <w:rFonts w:hint="eastAsia" w:ascii="宋体" w:hAnsi="宋体"/>
          <w:b/>
          <w:sz w:val="24"/>
          <w:szCs w:val="24"/>
        </w:rPr>
        <w:t>（五）项目技术支持服务要求</w:t>
      </w:r>
    </w:p>
    <w:p>
      <w:pPr>
        <w:spacing w:line="460" w:lineRule="exact"/>
        <w:ind w:firstLine="422" w:firstLineChars="200"/>
        <w:rPr>
          <w:rFonts w:ascii="宋体" w:hAnsi="宋体" w:cs="宋体"/>
          <w:b/>
          <w:color w:val="000000"/>
          <w:szCs w:val="21"/>
        </w:rPr>
      </w:pPr>
      <w:bookmarkStart w:id="163" w:name="_Toc44505018"/>
      <w:bookmarkStart w:id="164" w:name="_Toc14205"/>
      <w:r>
        <w:rPr>
          <w:rFonts w:ascii="宋体" w:hAnsi="宋体" w:cs="宋体"/>
          <w:b/>
          <w:color w:val="000000"/>
          <w:szCs w:val="21"/>
        </w:rPr>
        <w:t>1</w:t>
      </w:r>
      <w:r>
        <w:rPr>
          <w:rFonts w:hint="eastAsia" w:ascii="宋体" w:hAnsi="宋体" w:cs="宋体"/>
          <w:b/>
          <w:color w:val="000000"/>
          <w:szCs w:val="21"/>
        </w:rPr>
        <w:t>.服务要求</w:t>
      </w:r>
      <w:bookmarkEnd w:id="163"/>
      <w:bookmarkEnd w:id="164"/>
    </w:p>
    <w:p>
      <w:pPr>
        <w:widowControl/>
        <w:numPr>
          <w:ilvl w:val="0"/>
          <w:numId w:val="10"/>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color w:val="000000" w:themeColor="text1"/>
          <w:szCs w:val="21"/>
          <w14:textFill>
            <w14:solidFill>
              <w14:schemeClr w14:val="tx1"/>
            </w14:solidFill>
          </w14:textFill>
        </w:rPr>
      </w:pPr>
      <w:r>
        <w:rPr>
          <w:rFonts w:hint="eastAsia" w:ascii="宋体" w:hAnsi="宋体" w:cs="宋体"/>
          <w:szCs w:val="21"/>
        </w:rPr>
        <w:t>中标人需对本项目整体提供3年</w:t>
      </w:r>
      <w:r>
        <w:rPr>
          <w:rFonts w:hint="eastAsia" w:ascii="宋体" w:hAnsi="宋体" w:cs="宋体"/>
          <w:color w:val="000000" w:themeColor="text1"/>
          <w:szCs w:val="21"/>
          <w14:textFill>
            <w14:solidFill>
              <w14:schemeClr w14:val="tx1"/>
            </w14:solidFill>
          </w14:textFill>
        </w:rPr>
        <w:t>免费质保，对所供第三方产品提供原厂商</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年免费软件升级、硬件维保和远程支持服务。</w:t>
      </w:r>
      <w:r>
        <w:rPr>
          <w:rFonts w:hint="eastAsia" w:ascii="宋体" w:hAnsi="宋体" w:cs="宋体"/>
          <w:color w:val="000000" w:themeColor="text1"/>
          <w14:textFill>
            <w14:solidFill>
              <w14:schemeClr w14:val="tx1"/>
            </w14:solidFill>
          </w14:textFill>
        </w:rPr>
        <w:t>其中湖南省税务局态势感知驻场运维服务期限为2年，从合同签订之日起计算。</w:t>
      </w:r>
    </w:p>
    <w:p>
      <w:pPr>
        <w:widowControl/>
        <w:numPr>
          <w:ilvl w:val="0"/>
          <w:numId w:val="10"/>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szCs w:val="21"/>
        </w:rPr>
      </w:pPr>
      <w:r>
        <w:rPr>
          <w:rFonts w:hint="eastAsia" w:ascii="宋体" w:hAnsi="宋体" w:cs="宋体"/>
          <w:szCs w:val="21"/>
        </w:rPr>
        <w:t>质量保证期按中标人的投标承诺期限从项目最终验收合格之日起计算。</w:t>
      </w:r>
    </w:p>
    <w:p>
      <w:pPr>
        <w:widowControl/>
        <w:numPr>
          <w:ilvl w:val="0"/>
          <w:numId w:val="10"/>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szCs w:val="21"/>
        </w:rPr>
      </w:pPr>
      <w:r>
        <w:rPr>
          <w:rFonts w:hint="eastAsia" w:ascii="宋体" w:hAnsi="宋体" w:cs="宋体"/>
          <w:szCs w:val="21"/>
        </w:rPr>
        <w:t>在质量保证期内，中标人提供免费设备维修服务，由此产生的一切费用由中标人承担；因人为因素出现的故障不在免费保修范围内。</w:t>
      </w:r>
    </w:p>
    <w:p>
      <w:pPr>
        <w:widowControl/>
        <w:numPr>
          <w:ilvl w:val="0"/>
          <w:numId w:val="10"/>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在质量保证期后，中标人保证继续提供设备零件、易损件的长期优质服务，服务费用由采购人和本公司两方协商；如货物出现故障需维修，只收货物维修的材料费。</w:t>
      </w:r>
    </w:p>
    <w:p>
      <w:pPr>
        <w:widowControl/>
        <w:tabs>
          <w:tab w:val="left" w:pos="993"/>
        </w:tabs>
        <w:spacing w:line="460" w:lineRule="exact"/>
        <w:ind w:firstLine="527" w:firstLineChars="250"/>
        <w:jc w:val="left"/>
        <w:rPr>
          <w:rFonts w:ascii="宋体" w:hAnsi="宋体" w:cs="宋体"/>
          <w:b/>
          <w:color w:val="000000"/>
          <w:szCs w:val="21"/>
        </w:rPr>
      </w:pPr>
      <w:r>
        <w:rPr>
          <w:rFonts w:hint="eastAsia" w:ascii="宋体" w:hAnsi="宋体" w:cs="宋体"/>
          <w:b/>
          <w:color w:val="000000"/>
          <w:szCs w:val="21"/>
        </w:rPr>
        <w:t>1.1服务范围和服务内容承诺</w:t>
      </w:r>
    </w:p>
    <w:p>
      <w:pPr>
        <w:spacing w:line="420" w:lineRule="exact"/>
        <w:ind w:firstLine="420" w:firstLineChars="200"/>
        <w:rPr>
          <w:rFonts w:ascii="宋体" w:hAnsi="宋体" w:cs="宋体"/>
          <w:szCs w:val="21"/>
        </w:rPr>
      </w:pPr>
      <w:r>
        <w:rPr>
          <w:rFonts w:hint="eastAsia" w:ascii="宋体" w:hAnsi="宋体" w:cs="宋体"/>
          <w:szCs w:val="21"/>
        </w:rPr>
        <w:t>（1）中标人按投标文件承诺的货物规格型号、技术要求、质量标准向采购人提供未经使用的全新产品。</w:t>
      </w:r>
    </w:p>
    <w:p>
      <w:pPr>
        <w:spacing w:line="420" w:lineRule="exact"/>
        <w:ind w:firstLine="420" w:firstLineChars="200"/>
        <w:rPr>
          <w:rFonts w:ascii="宋体" w:hAnsi="宋体" w:cs="宋体"/>
          <w:szCs w:val="21"/>
        </w:rPr>
      </w:pPr>
      <w:r>
        <w:rPr>
          <w:rFonts w:hint="eastAsia" w:ascii="宋体" w:hAnsi="宋体" w:cs="宋体"/>
          <w:szCs w:val="21"/>
        </w:rPr>
        <w:t>（2）中标人严格按国家的“三包”标准执行货物的退、换服务。因货物本身的质量问题发生故障，中标人在3个正常工作日内予以免费维修或更换，所发生的全部费用由中标人承担。</w:t>
      </w:r>
    </w:p>
    <w:p>
      <w:pPr>
        <w:spacing w:line="420" w:lineRule="exact"/>
        <w:ind w:firstLine="420" w:firstLineChars="200"/>
        <w:rPr>
          <w:rFonts w:ascii="宋体" w:hAnsi="宋体" w:cs="宋体"/>
          <w:szCs w:val="21"/>
        </w:rPr>
      </w:pPr>
      <w:r>
        <w:rPr>
          <w:rFonts w:hint="eastAsia" w:ascii="宋体" w:hAnsi="宋体" w:cs="宋体"/>
          <w:szCs w:val="21"/>
        </w:rPr>
        <w:t>（3）由于设备或零部件的自然损坏发生故障后，中标人在收到采购人故障维修请求后提供现场服务，免费维修或更换损坏的硬件并交付使用。若不能现场及时维修、更换损坏的硬件，则免费提供备用机或周转备件直至维修或更换好损坏的硬件。</w:t>
      </w:r>
    </w:p>
    <w:p>
      <w:pPr>
        <w:widowControl/>
        <w:tabs>
          <w:tab w:val="left" w:pos="993"/>
        </w:tabs>
        <w:overflowPunct w:val="0"/>
        <w:autoSpaceDE w:val="0"/>
        <w:autoSpaceDN w:val="0"/>
        <w:adjustRightInd w:val="0"/>
        <w:spacing w:line="420" w:lineRule="exact"/>
        <w:ind w:left="420" w:leftChars="200"/>
        <w:jc w:val="left"/>
        <w:textAlignment w:val="baseline"/>
        <w:rPr>
          <w:rFonts w:ascii="宋体" w:hAnsi="宋体" w:cs="宋体"/>
          <w:szCs w:val="21"/>
        </w:rPr>
      </w:pPr>
      <w:r>
        <w:rPr>
          <w:rFonts w:hint="eastAsia" w:ascii="宋体" w:hAnsi="宋体" w:cs="宋体"/>
          <w:szCs w:val="21"/>
        </w:rPr>
        <w:t>（4）中标人提供软件升级和应用培训服务。</w:t>
      </w:r>
    </w:p>
    <w:p>
      <w:pPr>
        <w:widowControl/>
        <w:tabs>
          <w:tab w:val="left" w:pos="993"/>
        </w:tabs>
        <w:spacing w:line="460" w:lineRule="exact"/>
        <w:ind w:firstLine="527" w:firstLineChars="250"/>
        <w:jc w:val="left"/>
        <w:rPr>
          <w:rFonts w:ascii="宋体" w:hAnsi="宋体" w:cs="宋体"/>
          <w:szCs w:val="21"/>
        </w:rPr>
      </w:pPr>
      <w:r>
        <w:rPr>
          <w:rFonts w:hint="eastAsia" w:ascii="宋体" w:hAnsi="宋体" w:cs="宋体"/>
          <w:b/>
          <w:color w:val="000000"/>
          <w:szCs w:val="21"/>
        </w:rPr>
        <w:t>1.2 服务措施承诺</w:t>
      </w:r>
    </w:p>
    <w:p>
      <w:pPr>
        <w:spacing w:line="420" w:lineRule="exact"/>
        <w:ind w:firstLine="420" w:firstLineChars="200"/>
        <w:rPr>
          <w:rFonts w:ascii="宋体" w:hAnsi="宋体" w:cs="宋体"/>
          <w:szCs w:val="21"/>
        </w:rPr>
      </w:pPr>
      <w:r>
        <w:rPr>
          <w:rFonts w:hint="eastAsia" w:ascii="宋体" w:hAnsi="宋体" w:cs="宋体"/>
          <w:szCs w:val="21"/>
        </w:rPr>
        <w:t>（1）对采购人在使用设备过程中产生的问题，中标人提供电话咨询服务。服务内容包括：在日常维护过程中的操作性问题；设备运行的提示性问题；设备的功能及配置、组网特点、设备结构问题等。</w:t>
      </w:r>
    </w:p>
    <w:p>
      <w:pPr>
        <w:spacing w:line="420" w:lineRule="exact"/>
        <w:ind w:firstLine="420" w:firstLineChars="200"/>
        <w:rPr>
          <w:rFonts w:ascii="宋体" w:hAnsi="宋体" w:cs="宋体"/>
          <w:szCs w:val="21"/>
        </w:rPr>
      </w:pPr>
      <w:r>
        <w:rPr>
          <w:rFonts w:hint="eastAsia" w:ascii="宋体" w:hAnsi="宋体" w:cs="宋体"/>
          <w:szCs w:val="21"/>
        </w:rPr>
        <w:t>（2）中标人指定专业技术人员作为电话咨询服务员，建立由维护工程师组成的电话支持小组，响应采购人的服务请求，协助与指导采购人解决问题。</w:t>
      </w:r>
    </w:p>
    <w:p>
      <w:pPr>
        <w:spacing w:line="420" w:lineRule="exact"/>
        <w:ind w:firstLine="420" w:firstLineChars="200"/>
        <w:rPr>
          <w:rFonts w:ascii="宋体" w:hAnsi="宋体" w:cs="宋体"/>
          <w:szCs w:val="21"/>
        </w:rPr>
      </w:pPr>
      <w:r>
        <w:rPr>
          <w:rFonts w:hint="eastAsia" w:ascii="宋体" w:hAnsi="宋体" w:cs="宋体"/>
          <w:szCs w:val="21"/>
        </w:rPr>
        <w:t>（3）中标人向采购人提供电话咨询服务号码和传真号码。如有更改，至少提前三天以书面形式（含传真）通知采购人。</w:t>
      </w:r>
    </w:p>
    <w:p>
      <w:pPr>
        <w:spacing w:line="420" w:lineRule="exact"/>
        <w:ind w:firstLine="420" w:firstLineChars="200"/>
        <w:rPr>
          <w:rFonts w:ascii="宋体" w:hAnsi="宋体" w:cs="宋体"/>
          <w:szCs w:val="21"/>
        </w:rPr>
      </w:pPr>
      <w:r>
        <w:rPr>
          <w:rFonts w:hint="eastAsia" w:ascii="宋体" w:hAnsi="宋体" w:cs="宋体"/>
          <w:szCs w:val="21"/>
        </w:rPr>
        <w:t>（4）中标人提供7×24小时的故障服务受理，接到故障处理通知后，一般故障应</w:t>
      </w:r>
      <w:r>
        <w:rPr>
          <w:rFonts w:hint="eastAsia" w:hAnsi="宋体" w:cs="宋体"/>
        </w:rPr>
        <w:t>当</w:t>
      </w:r>
      <w:r>
        <w:rPr>
          <w:rFonts w:hint="eastAsia" w:ascii="宋体" w:hAnsi="宋体" w:cs="宋体"/>
          <w:szCs w:val="21"/>
        </w:rPr>
        <w:t>在12小时内进行响应响应并排除；重大故障应</w:t>
      </w:r>
      <w:r>
        <w:rPr>
          <w:rFonts w:hint="eastAsia" w:hAnsi="宋体" w:cs="宋体"/>
        </w:rPr>
        <w:t>当</w:t>
      </w:r>
      <w:r>
        <w:rPr>
          <w:rFonts w:hint="eastAsia" w:ascii="宋体" w:hAnsi="宋体" w:cs="宋体"/>
          <w:szCs w:val="21"/>
        </w:rPr>
        <w:t>在12小时内响应并提出解决方案，需在24小时内排除。</w:t>
      </w:r>
    </w:p>
    <w:p>
      <w:pPr>
        <w:spacing w:line="420" w:lineRule="exact"/>
        <w:ind w:firstLine="420" w:firstLineChars="200"/>
        <w:rPr>
          <w:rFonts w:ascii="宋体" w:hAnsi="宋体" w:cs="宋体"/>
          <w:szCs w:val="21"/>
        </w:rPr>
      </w:pPr>
      <w:r>
        <w:rPr>
          <w:rFonts w:hint="eastAsia" w:ascii="宋体" w:hAnsi="宋体" w:cs="宋体"/>
          <w:szCs w:val="21"/>
        </w:rPr>
        <w:t>（5）出现由于设备引起的技术故障，采购人应</w:t>
      </w:r>
      <w:r>
        <w:rPr>
          <w:rFonts w:hint="eastAsia" w:hAnsi="宋体" w:cs="宋体"/>
        </w:rPr>
        <w:t>当</w:t>
      </w:r>
      <w:r>
        <w:rPr>
          <w:rFonts w:hint="eastAsia" w:ascii="宋体" w:hAnsi="宋体" w:cs="宋体"/>
          <w:szCs w:val="21"/>
        </w:rPr>
        <w:t>对故障现象进行仔细认真的调查和记录，然后通过电话或传真的方式向中标人指定服务联系人（以中标人提供给采购人的名单为准）提供故障的详细情况、服务请求时间、联系人和联系电话等。</w:t>
      </w:r>
    </w:p>
    <w:p>
      <w:pPr>
        <w:widowControl/>
        <w:tabs>
          <w:tab w:val="left" w:pos="993"/>
        </w:tabs>
        <w:spacing w:line="460" w:lineRule="exact"/>
        <w:ind w:firstLine="527" w:firstLineChars="250"/>
        <w:jc w:val="left"/>
        <w:rPr>
          <w:rFonts w:ascii="宋体" w:hAnsi="宋体" w:cs="宋体"/>
          <w:szCs w:val="21"/>
        </w:rPr>
      </w:pPr>
      <w:r>
        <w:rPr>
          <w:rFonts w:hint="eastAsia" w:ascii="宋体" w:hAnsi="宋体" w:cs="宋体"/>
          <w:b/>
          <w:color w:val="000000"/>
          <w:szCs w:val="21"/>
        </w:rPr>
        <w:t>1.3 远程支持服务</w:t>
      </w:r>
    </w:p>
    <w:p>
      <w:pPr>
        <w:spacing w:line="420" w:lineRule="exact"/>
        <w:ind w:firstLine="420" w:firstLineChars="200"/>
        <w:rPr>
          <w:rFonts w:ascii="宋体" w:hAnsi="宋体" w:cs="宋体"/>
          <w:szCs w:val="21"/>
        </w:rPr>
      </w:pPr>
      <w:r>
        <w:rPr>
          <w:rFonts w:hint="eastAsia" w:ascii="宋体" w:hAnsi="宋体" w:cs="宋体"/>
          <w:szCs w:val="21"/>
        </w:rPr>
        <w:t>（1）提供7*24小时远程支持服务。</w:t>
      </w:r>
    </w:p>
    <w:p>
      <w:pPr>
        <w:spacing w:line="420" w:lineRule="exact"/>
        <w:ind w:firstLine="420" w:firstLineChars="200"/>
        <w:rPr>
          <w:rFonts w:ascii="宋体" w:hAnsi="宋体" w:cs="宋体"/>
          <w:szCs w:val="21"/>
        </w:rPr>
      </w:pPr>
      <w:r>
        <w:rPr>
          <w:rFonts w:hint="eastAsia" w:ascii="宋体" w:hAnsi="宋体" w:cs="宋体"/>
          <w:szCs w:val="21"/>
        </w:rPr>
        <w:t>（2）在电话支持服务无法解决设备故障问题的情况下，或在进行电话技术支持的同时，根据需要并征得采购人同意后，实施远程支持服务。</w:t>
      </w:r>
    </w:p>
    <w:p>
      <w:pPr>
        <w:spacing w:line="420" w:lineRule="exact"/>
        <w:ind w:firstLine="420" w:firstLineChars="200"/>
        <w:rPr>
          <w:rFonts w:ascii="宋体" w:hAnsi="宋体" w:cs="宋体"/>
          <w:szCs w:val="21"/>
        </w:rPr>
      </w:pPr>
      <w:r>
        <w:rPr>
          <w:rFonts w:hint="eastAsia" w:ascii="宋体" w:hAnsi="宋体" w:cs="宋体"/>
          <w:szCs w:val="21"/>
        </w:rPr>
        <w:t>（3）远程技术支持的过程中，中标人采用网络技术，对故障设备进行远端问题诊断，提出解决问题的方案。</w:t>
      </w:r>
    </w:p>
    <w:p>
      <w:pPr>
        <w:widowControl/>
        <w:tabs>
          <w:tab w:val="left" w:pos="993"/>
        </w:tabs>
        <w:spacing w:line="460" w:lineRule="exact"/>
        <w:ind w:firstLine="527" w:firstLineChars="250"/>
        <w:jc w:val="left"/>
        <w:rPr>
          <w:rFonts w:ascii="宋体" w:hAnsi="宋体" w:cs="宋体"/>
          <w:szCs w:val="21"/>
        </w:rPr>
      </w:pPr>
      <w:r>
        <w:rPr>
          <w:rFonts w:hint="eastAsia" w:ascii="宋体" w:hAnsi="宋体" w:cs="宋体"/>
          <w:b/>
          <w:color w:val="000000"/>
          <w:szCs w:val="21"/>
        </w:rPr>
        <w:t>1.4 本地化现场支持服务</w:t>
      </w:r>
    </w:p>
    <w:p>
      <w:pPr>
        <w:spacing w:line="420" w:lineRule="exact"/>
        <w:ind w:firstLine="420" w:firstLineChars="200"/>
        <w:rPr>
          <w:rFonts w:ascii="宋体" w:hAnsi="宋体" w:cs="宋体"/>
          <w:szCs w:val="21"/>
        </w:rPr>
      </w:pPr>
      <w:r>
        <w:rPr>
          <w:rFonts w:hint="eastAsia" w:ascii="宋体" w:hAnsi="宋体" w:cs="宋体"/>
          <w:szCs w:val="21"/>
        </w:rPr>
        <w:t>（1）中标人组织的技术专家小组，提供每周5个正常工作日、每个正常工作日10小时（8：00-18：00）现场服务，并对故障做出正确判断并提出解决方案。</w:t>
      </w:r>
    </w:p>
    <w:p>
      <w:pPr>
        <w:spacing w:line="420" w:lineRule="exact"/>
        <w:ind w:firstLine="420" w:firstLineChars="200"/>
        <w:rPr>
          <w:rFonts w:ascii="宋体" w:hAnsi="宋体" w:cs="宋体"/>
          <w:szCs w:val="21"/>
        </w:rPr>
      </w:pPr>
      <w:r>
        <w:rPr>
          <w:rFonts w:hint="eastAsia" w:ascii="宋体" w:hAnsi="宋体" w:cs="宋体"/>
          <w:szCs w:val="21"/>
        </w:rPr>
        <w:t>（2）如果不能通过电话支持服务和远程支持服务解决设备发生的技术故障，且经双方商议确认需要进行现场支持的情况下，中标人将派技术工程师在1个正常工作日内赴现场排除故障。</w:t>
      </w:r>
    </w:p>
    <w:p>
      <w:pPr>
        <w:spacing w:line="420" w:lineRule="exact"/>
        <w:ind w:firstLine="420" w:firstLineChars="200"/>
        <w:rPr>
          <w:rFonts w:ascii="宋体" w:hAnsi="宋体" w:cs="宋体"/>
          <w:szCs w:val="21"/>
        </w:rPr>
      </w:pPr>
      <w:r>
        <w:rPr>
          <w:rFonts w:hint="eastAsia" w:ascii="宋体" w:hAnsi="宋体" w:cs="宋体"/>
          <w:szCs w:val="21"/>
        </w:rPr>
        <w:t>（3）提供</w:t>
      </w:r>
      <w:r>
        <w:rPr>
          <w:rFonts w:hint="eastAsia" w:ascii="宋体" w:hAnsi="宋体" w:cs="宋体"/>
          <w:color w:val="000000"/>
          <w:szCs w:val="21"/>
        </w:rPr>
        <w:t>7日*24小时硬件维修服务</w:t>
      </w:r>
      <w:r>
        <w:rPr>
          <w:rFonts w:hint="eastAsia" w:ascii="宋体" w:hAnsi="宋体" w:cs="宋体"/>
          <w:szCs w:val="21"/>
        </w:rPr>
        <w:t>。</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上门进行故障设备或零部件维修，对于无法现场修复的设备或零部件由中标人自己解决外送维修和修复后返回给用户，质保期内不</w:t>
      </w:r>
      <w:r>
        <w:rPr>
          <w:rFonts w:hint="eastAsia" w:ascii="宋体" w:hAnsi="宋体" w:cs="宋体"/>
          <w:color w:val="000000"/>
          <w:kern w:val="0"/>
          <w:szCs w:val="21"/>
        </w:rPr>
        <w:t>得</w:t>
      </w:r>
      <w:r>
        <w:rPr>
          <w:rFonts w:hint="eastAsia" w:ascii="宋体" w:hAnsi="宋体" w:cs="宋体"/>
          <w:szCs w:val="21"/>
        </w:rPr>
        <w:t>向用户收取运输费用</w:t>
      </w:r>
      <w:r>
        <w:rPr>
          <w:rFonts w:hint="eastAsia" w:ascii="宋体" w:hAnsi="宋体" w:cs="宋体"/>
          <w:color w:val="000000"/>
          <w:szCs w:val="21"/>
        </w:rPr>
        <w:t>。</w:t>
      </w:r>
    </w:p>
    <w:p>
      <w:pPr>
        <w:spacing w:line="460" w:lineRule="exact"/>
        <w:ind w:firstLine="422" w:firstLineChars="200"/>
        <w:rPr>
          <w:rFonts w:ascii="宋体" w:hAnsi="宋体" w:cs="宋体"/>
          <w:b/>
          <w:color w:val="000000"/>
          <w:szCs w:val="21"/>
        </w:rPr>
      </w:pPr>
      <w:bookmarkStart w:id="165" w:name="_Toc44505019"/>
      <w:bookmarkStart w:id="166" w:name="_Toc16375"/>
      <w:r>
        <w:rPr>
          <w:rFonts w:hint="eastAsia" w:ascii="宋体" w:hAnsi="宋体" w:cs="宋体"/>
          <w:b/>
          <w:color w:val="000000"/>
          <w:szCs w:val="21"/>
        </w:rPr>
        <w:t>2.服务体系与服务形式要求</w:t>
      </w:r>
      <w:bookmarkEnd w:id="165"/>
      <w:bookmarkEnd w:id="166"/>
    </w:p>
    <w:p>
      <w:pPr>
        <w:spacing w:line="420" w:lineRule="exact"/>
        <w:ind w:firstLine="420" w:firstLineChars="200"/>
        <w:rPr>
          <w:rFonts w:ascii="宋体" w:hAnsi="宋体" w:cs="宋体"/>
          <w:szCs w:val="21"/>
        </w:rPr>
      </w:pPr>
      <w:r>
        <w:rPr>
          <w:rFonts w:hint="eastAsia" w:ascii="宋体" w:hAnsi="宋体" w:cs="宋体"/>
          <w:szCs w:val="21"/>
        </w:rPr>
        <w:t>投标人必须建有完善的服务体系，在各部署平台所在地具有相应办事机构，能够向用户提供统一快捷的服务，并按照采购人运维体系建设要求，服从采购人的统一调度和管理。投标人应</w:t>
      </w:r>
      <w:r>
        <w:rPr>
          <w:rFonts w:hint="eastAsia" w:hAnsi="宋体" w:cs="宋体"/>
        </w:rPr>
        <w:t>当</w:t>
      </w:r>
      <w:r>
        <w:rPr>
          <w:rFonts w:hint="eastAsia" w:ascii="宋体" w:hAnsi="宋体" w:cs="宋体"/>
          <w:szCs w:val="21"/>
        </w:rPr>
        <w:t>提供项目组织的分工安排、详细的人员组成情况等。</w:t>
      </w:r>
    </w:p>
    <w:p>
      <w:pPr>
        <w:widowControl/>
        <w:numPr>
          <w:ilvl w:val="0"/>
          <w:numId w:val="11"/>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szCs w:val="21"/>
        </w:rPr>
      </w:pPr>
      <w:r>
        <w:rPr>
          <w:rFonts w:hint="eastAsia" w:ascii="宋体" w:hAnsi="宋体" w:cs="宋体"/>
          <w:szCs w:val="21"/>
        </w:rPr>
        <w:t>提供7×24小时售后服务和技术支持响应，按照采购人的要求，对重大问题提供现场技术支持。</w:t>
      </w:r>
    </w:p>
    <w:p>
      <w:pPr>
        <w:widowControl/>
        <w:numPr>
          <w:ilvl w:val="0"/>
          <w:numId w:val="11"/>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szCs w:val="21"/>
        </w:rPr>
      </w:pPr>
      <w:r>
        <w:rPr>
          <w:rFonts w:hint="eastAsia" w:ascii="宋体" w:hAnsi="宋体" w:cs="宋体"/>
          <w:szCs w:val="21"/>
        </w:rPr>
        <w:t>服务方式包括电话、互联网、E-MAIL和现场等方式。</w:t>
      </w:r>
    </w:p>
    <w:p>
      <w:pPr>
        <w:widowControl/>
        <w:numPr>
          <w:ilvl w:val="0"/>
          <w:numId w:val="11"/>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szCs w:val="21"/>
        </w:rPr>
      </w:pPr>
      <w:r>
        <w:rPr>
          <w:rFonts w:hint="eastAsia" w:ascii="宋体" w:hAnsi="宋体" w:cs="宋体"/>
          <w:szCs w:val="21"/>
        </w:rPr>
        <w:t>中标人应</w:t>
      </w:r>
      <w:r>
        <w:rPr>
          <w:rFonts w:hint="eastAsia" w:hAnsi="宋体" w:cs="宋体"/>
        </w:rPr>
        <w:t>当</w:t>
      </w:r>
      <w:r>
        <w:rPr>
          <w:rFonts w:hint="eastAsia" w:ascii="宋体" w:hAnsi="宋体" w:cs="宋体"/>
          <w:szCs w:val="21"/>
        </w:rPr>
        <w:t>在该项目第一次验收时，按照招、投标文件和合同要求以及采购人运行维护体系的要求，提交针对该项目的具体的运行维护工作说明书，作为维保服务工作的具体依据；售后服务队伍和运行维护工作说明书经采购人审核同意后，进入维保服务期，驻场服务人员和售后服务团队按照说明书开展售后工作。</w:t>
      </w:r>
    </w:p>
    <w:p>
      <w:pPr>
        <w:widowControl/>
        <w:numPr>
          <w:ilvl w:val="0"/>
          <w:numId w:val="11"/>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szCs w:val="21"/>
        </w:rPr>
      </w:pPr>
      <w:r>
        <w:rPr>
          <w:rFonts w:hint="eastAsia" w:ascii="宋体" w:hAnsi="宋体" w:cs="宋体"/>
          <w:szCs w:val="21"/>
        </w:rPr>
        <w:t>现场服务后应</w:t>
      </w:r>
      <w:r>
        <w:rPr>
          <w:rFonts w:hint="eastAsia" w:hAnsi="宋体" w:cs="宋体"/>
        </w:rPr>
        <w:t>当</w:t>
      </w:r>
      <w:r>
        <w:rPr>
          <w:rFonts w:hint="eastAsia" w:ascii="宋体" w:hAnsi="宋体" w:cs="宋体"/>
          <w:szCs w:val="21"/>
        </w:rPr>
        <w:t>填写服务表格。服务表格内容主要包括服务内容、服务实施结果、服务确认。现场服务后应</w:t>
      </w:r>
      <w:r>
        <w:rPr>
          <w:rFonts w:hint="eastAsia" w:hAnsi="宋体" w:cs="宋体"/>
        </w:rPr>
        <w:t>当</w:t>
      </w:r>
      <w:r>
        <w:rPr>
          <w:rFonts w:hint="eastAsia" w:ascii="宋体" w:hAnsi="宋体" w:cs="宋体"/>
          <w:szCs w:val="21"/>
        </w:rPr>
        <w:t>得到采购人指定技术人员签署的服务确认。服务确认内容包括服务实施结果、服务满意度。该服务表格一式两份，双方各执一份。</w:t>
      </w:r>
    </w:p>
    <w:p>
      <w:pPr>
        <w:widowControl/>
        <w:numPr>
          <w:ilvl w:val="0"/>
          <w:numId w:val="11"/>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szCs w:val="21"/>
        </w:rPr>
      </w:pPr>
      <w:r>
        <w:rPr>
          <w:rFonts w:hint="eastAsia" w:ascii="宋体" w:hAnsi="宋体" w:cs="宋体"/>
          <w:szCs w:val="21"/>
        </w:rPr>
        <w:t>在本项目的服务期间，采购人有权按照自身的运维体系建设和管理的要求，在招投标文件和合同约定的范围内，对中标人的服务进行管理。中标人必须按照采购人的要求，完成自身服务与税务系统运维体系的衔接工作，并按照税务系统运维体系要求和税务系统针对该项目的管理规范开展服务工作。</w:t>
      </w:r>
    </w:p>
    <w:p>
      <w:pPr>
        <w:widowControl/>
        <w:numPr>
          <w:ilvl w:val="0"/>
          <w:numId w:val="11"/>
        </w:numPr>
        <w:tabs>
          <w:tab w:val="left" w:pos="993"/>
        </w:tabs>
        <w:overflowPunct w:val="0"/>
        <w:autoSpaceDE w:val="0"/>
        <w:autoSpaceDN w:val="0"/>
        <w:adjustRightInd w:val="0"/>
        <w:spacing w:line="420" w:lineRule="exact"/>
        <w:ind w:left="0" w:firstLine="420" w:firstLineChars="200"/>
        <w:jc w:val="left"/>
        <w:textAlignment w:val="baseline"/>
        <w:rPr>
          <w:rFonts w:ascii="宋体" w:hAnsi="宋体" w:cs="宋体"/>
          <w:szCs w:val="21"/>
        </w:rPr>
      </w:pPr>
      <w:r>
        <w:rPr>
          <w:rFonts w:hint="eastAsia" w:ascii="宋体" w:hAnsi="宋体" w:cs="宋体"/>
          <w:szCs w:val="21"/>
        </w:rPr>
        <w:t>所有服务不得由第三方提供。</w:t>
      </w:r>
    </w:p>
    <w:p>
      <w:pPr>
        <w:spacing w:line="460" w:lineRule="exact"/>
        <w:ind w:firstLine="422" w:firstLineChars="200"/>
        <w:rPr>
          <w:rFonts w:ascii="宋体" w:hAnsi="宋体" w:cs="宋体"/>
          <w:b/>
          <w:color w:val="000000"/>
          <w:szCs w:val="21"/>
        </w:rPr>
      </w:pPr>
      <w:bookmarkStart w:id="167" w:name="_Toc44505020"/>
      <w:bookmarkStart w:id="168" w:name="_Toc9417"/>
      <w:r>
        <w:rPr>
          <w:rFonts w:hint="eastAsia" w:ascii="宋体" w:hAnsi="宋体" w:cs="宋体"/>
          <w:b/>
          <w:color w:val="000000"/>
          <w:szCs w:val="21"/>
        </w:rPr>
        <w:t>3.服务范围要求</w:t>
      </w:r>
      <w:bookmarkEnd w:id="167"/>
      <w:bookmarkEnd w:id="168"/>
    </w:p>
    <w:p>
      <w:pPr>
        <w:spacing w:line="420" w:lineRule="exact"/>
        <w:ind w:firstLine="420" w:firstLineChars="200"/>
        <w:rPr>
          <w:rFonts w:ascii="宋体" w:hAnsi="宋体" w:cs="宋体"/>
          <w:szCs w:val="21"/>
        </w:rPr>
      </w:pPr>
      <w:r>
        <w:rPr>
          <w:rFonts w:hint="eastAsia" w:ascii="宋体" w:hAnsi="宋体" w:cs="宋体"/>
          <w:szCs w:val="21"/>
        </w:rPr>
        <w:t>在服务期内，中标人提供的服务和技术支持包括但不限于以下内容：</w:t>
      </w:r>
    </w:p>
    <w:p>
      <w:pPr>
        <w:spacing w:line="42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.1 </w:t>
      </w:r>
      <w:r>
        <w:rPr>
          <w:rFonts w:hint="eastAsia" w:ascii="宋体" w:hAnsi="宋体" w:cs="宋体"/>
          <w:szCs w:val="21"/>
        </w:rPr>
        <w:t>问题解答服务</w:t>
      </w:r>
    </w:p>
    <w:p>
      <w:pPr>
        <w:spacing w:line="420" w:lineRule="exact"/>
        <w:ind w:firstLine="420" w:firstLineChars="200"/>
        <w:rPr>
          <w:rFonts w:ascii="宋体" w:hAnsi="宋体" w:cs="宋体"/>
          <w:szCs w:val="21"/>
        </w:rPr>
      </w:pPr>
      <w:r>
        <w:rPr>
          <w:rFonts w:hint="eastAsia" w:ascii="宋体" w:hAnsi="宋体" w:cs="宋体"/>
          <w:szCs w:val="21"/>
        </w:rPr>
        <w:t>（1）中标人应当对系统使用过程中出现的各类问题进行解答；</w:t>
      </w:r>
    </w:p>
    <w:p>
      <w:pPr>
        <w:spacing w:line="420" w:lineRule="exact"/>
        <w:ind w:firstLine="420" w:firstLineChars="200"/>
        <w:rPr>
          <w:rFonts w:ascii="宋体" w:hAnsi="宋体" w:cs="宋体"/>
          <w:szCs w:val="21"/>
        </w:rPr>
      </w:pPr>
      <w:r>
        <w:rPr>
          <w:rFonts w:hint="eastAsia" w:ascii="宋体" w:hAnsi="宋体" w:cs="宋体"/>
          <w:szCs w:val="21"/>
        </w:rPr>
        <w:t>（2）处理建议应</w:t>
      </w:r>
      <w:r>
        <w:rPr>
          <w:rFonts w:hint="eastAsia" w:hAnsi="宋体" w:cs="宋体"/>
        </w:rPr>
        <w:t>当</w:t>
      </w:r>
      <w:r>
        <w:rPr>
          <w:rFonts w:hint="eastAsia" w:ascii="宋体" w:hAnsi="宋体" w:cs="宋体"/>
          <w:szCs w:val="21"/>
        </w:rPr>
        <w:t>以前台操作为主，能够通过前台操作完成的，不能在后台调整；</w:t>
      </w:r>
    </w:p>
    <w:p>
      <w:pPr>
        <w:spacing w:line="420" w:lineRule="exact"/>
        <w:ind w:firstLine="420" w:firstLineChars="200"/>
        <w:rPr>
          <w:rFonts w:ascii="宋体" w:hAnsi="宋体" w:cs="宋体"/>
          <w:szCs w:val="21"/>
        </w:rPr>
      </w:pPr>
      <w:r>
        <w:rPr>
          <w:rFonts w:hint="eastAsia" w:ascii="宋体" w:hAnsi="宋体" w:cs="宋体"/>
          <w:szCs w:val="21"/>
        </w:rPr>
        <w:t>（3）操作中出现的常见问题，应</w:t>
      </w:r>
      <w:r>
        <w:rPr>
          <w:rFonts w:hint="eastAsia" w:hAnsi="宋体" w:cs="宋体"/>
        </w:rPr>
        <w:t>当</w:t>
      </w:r>
      <w:r>
        <w:rPr>
          <w:rFonts w:hint="eastAsia" w:ascii="宋体" w:hAnsi="宋体" w:cs="宋体"/>
          <w:szCs w:val="21"/>
        </w:rPr>
        <w:t>及时归集到平台知识库并发布。</w:t>
      </w:r>
    </w:p>
    <w:p>
      <w:pPr>
        <w:spacing w:line="42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.2 </w:t>
      </w:r>
      <w:r>
        <w:rPr>
          <w:rFonts w:hint="eastAsia" w:ascii="宋体" w:hAnsi="宋体" w:cs="宋体"/>
          <w:szCs w:val="21"/>
        </w:rPr>
        <w:t>故障处理服务</w:t>
      </w:r>
    </w:p>
    <w:p>
      <w:pPr>
        <w:spacing w:line="420" w:lineRule="exact"/>
        <w:ind w:firstLine="420" w:firstLineChars="200"/>
        <w:rPr>
          <w:rFonts w:ascii="宋体" w:hAnsi="宋体" w:cs="宋体"/>
          <w:szCs w:val="21"/>
        </w:rPr>
      </w:pPr>
      <w:r>
        <w:rPr>
          <w:rFonts w:hint="eastAsia" w:ascii="宋体" w:hAnsi="宋体" w:cs="宋体"/>
          <w:szCs w:val="21"/>
        </w:rPr>
        <w:t>（1）系统运行、升级期间出现故障由投标人及时到现场进行处理、解决；</w:t>
      </w:r>
    </w:p>
    <w:p>
      <w:pPr>
        <w:spacing w:line="420" w:lineRule="exact"/>
        <w:ind w:firstLine="420" w:firstLineChars="200"/>
        <w:rPr>
          <w:rFonts w:ascii="宋体" w:hAnsi="宋体" w:cs="宋体"/>
          <w:szCs w:val="21"/>
        </w:rPr>
      </w:pPr>
      <w:r>
        <w:rPr>
          <w:rFonts w:hint="eastAsia" w:ascii="宋体" w:hAnsi="宋体" w:cs="宋体"/>
          <w:szCs w:val="21"/>
        </w:rPr>
        <w:t>（2）在系统出现非停机性质的故障如系统运行缓慢时，视同系统故障；</w:t>
      </w:r>
    </w:p>
    <w:p>
      <w:pPr>
        <w:spacing w:line="420" w:lineRule="exact"/>
        <w:ind w:firstLine="420" w:firstLineChars="200"/>
        <w:rPr>
          <w:rFonts w:ascii="宋体" w:hAnsi="宋体" w:cs="宋体"/>
          <w:szCs w:val="21"/>
        </w:rPr>
      </w:pPr>
      <w:r>
        <w:rPr>
          <w:rFonts w:hint="eastAsia" w:ascii="宋体" w:hAnsi="宋体" w:cs="宋体"/>
          <w:szCs w:val="21"/>
        </w:rPr>
        <w:t>（3）在系统故障原因不明时，由中标人负责故障诊断；</w:t>
      </w:r>
    </w:p>
    <w:p>
      <w:pPr>
        <w:spacing w:line="420" w:lineRule="exact"/>
        <w:ind w:firstLine="420" w:firstLineChars="200"/>
        <w:rPr>
          <w:rFonts w:ascii="宋体" w:hAnsi="宋体" w:cs="宋体"/>
          <w:szCs w:val="21"/>
        </w:rPr>
      </w:pPr>
      <w:r>
        <w:rPr>
          <w:rFonts w:hint="eastAsia" w:ascii="宋体" w:hAnsi="宋体" w:cs="宋体"/>
          <w:szCs w:val="21"/>
        </w:rPr>
        <w:t>（4）中标人应</w:t>
      </w:r>
      <w:r>
        <w:rPr>
          <w:rFonts w:hint="eastAsia" w:hAnsi="宋体" w:cs="宋体"/>
        </w:rPr>
        <w:t>当</w:t>
      </w:r>
      <w:r>
        <w:rPr>
          <w:rFonts w:hint="eastAsia" w:ascii="宋体" w:hAnsi="宋体" w:cs="宋体"/>
          <w:szCs w:val="21"/>
        </w:rPr>
        <w:t>对系统故障提出故障处理建议，经采购人同意后，由投标人进行排除、系统调优或重置；</w:t>
      </w:r>
    </w:p>
    <w:p>
      <w:pPr>
        <w:spacing w:line="420" w:lineRule="exact"/>
        <w:ind w:firstLine="420" w:firstLineChars="200"/>
        <w:rPr>
          <w:rFonts w:ascii="宋体" w:hAnsi="宋体" w:cs="宋体"/>
          <w:szCs w:val="21"/>
        </w:rPr>
      </w:pPr>
      <w:r>
        <w:rPr>
          <w:rFonts w:hint="eastAsia" w:ascii="宋体" w:hAnsi="宋体" w:cs="宋体"/>
          <w:szCs w:val="21"/>
        </w:rPr>
        <w:t>（5）中标人接到用户技术支持请求后，必须立即做出实质性响应。对于税务总局设备和系统故障，必须在2小时内提出故障解决方案，8小时内恢复系统正常运行；省级设备和系统故障，必须在2小时内提出故障解决方案，24小时内恢复系统正常运行；</w:t>
      </w:r>
    </w:p>
    <w:p>
      <w:pPr>
        <w:spacing w:line="420" w:lineRule="exact"/>
        <w:ind w:firstLine="420" w:firstLineChars="200"/>
        <w:rPr>
          <w:rFonts w:ascii="宋体" w:hAnsi="宋体" w:cs="宋体"/>
          <w:szCs w:val="21"/>
        </w:rPr>
      </w:pPr>
      <w:r>
        <w:rPr>
          <w:rFonts w:hint="eastAsia" w:ascii="宋体" w:hAnsi="宋体" w:cs="宋体"/>
          <w:szCs w:val="21"/>
        </w:rPr>
        <w:t>（6）故障解决后24小时内，应</w:t>
      </w:r>
      <w:r>
        <w:rPr>
          <w:rFonts w:hint="eastAsia" w:hAnsi="宋体" w:cs="宋体"/>
        </w:rPr>
        <w:t>当</w:t>
      </w:r>
      <w:r>
        <w:rPr>
          <w:rFonts w:hint="eastAsia" w:ascii="宋体" w:hAnsi="宋体" w:cs="宋体"/>
          <w:szCs w:val="21"/>
        </w:rPr>
        <w:t>向用户单位提交故障处理报告。说明故障种类、故障原因、故障解决中使用的方法及故障损失等情况，给采购人的维护工作提供理由充分的参考依据。</w:t>
      </w:r>
    </w:p>
    <w:p>
      <w:pPr>
        <w:spacing w:line="42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.3 </w:t>
      </w:r>
      <w:r>
        <w:rPr>
          <w:rFonts w:hint="eastAsia" w:ascii="宋体" w:hAnsi="宋体" w:cs="宋体"/>
          <w:szCs w:val="21"/>
        </w:rPr>
        <w:t>巡检服务</w:t>
      </w:r>
    </w:p>
    <w:p>
      <w:pPr>
        <w:spacing w:line="420" w:lineRule="exact"/>
        <w:ind w:firstLine="420" w:firstLineChars="200"/>
        <w:rPr>
          <w:rFonts w:ascii="宋体" w:hAnsi="宋体" w:cs="宋体"/>
          <w:szCs w:val="21"/>
        </w:rPr>
      </w:pPr>
      <w:r>
        <w:rPr>
          <w:rFonts w:hint="eastAsia" w:ascii="宋体" w:hAnsi="宋体" w:cs="宋体"/>
          <w:szCs w:val="21"/>
        </w:rPr>
        <w:t>中标人应</w:t>
      </w:r>
      <w:r>
        <w:rPr>
          <w:rFonts w:hint="eastAsia" w:hAnsi="宋体" w:cs="宋体"/>
        </w:rPr>
        <w:t>当</w:t>
      </w:r>
      <w:r>
        <w:rPr>
          <w:rFonts w:hint="eastAsia" w:ascii="宋体" w:hAnsi="宋体" w:cs="宋体"/>
          <w:szCs w:val="21"/>
        </w:rPr>
        <w:t>按时按要求进行巡检，巡检对象为与本项目相关的所有硬件和软件。中标人应</w:t>
      </w:r>
      <w:r>
        <w:rPr>
          <w:rFonts w:hint="eastAsia" w:hAnsi="宋体" w:cs="宋体"/>
        </w:rPr>
        <w:t>当</w:t>
      </w:r>
      <w:r>
        <w:rPr>
          <w:rFonts w:hint="eastAsia" w:ascii="宋体" w:hAnsi="宋体" w:cs="宋体"/>
          <w:szCs w:val="21"/>
        </w:rPr>
        <w:t>在每个季度向用户单位及采购人提交故障受理报告、故障分析报告和汇总情况。中标人提供对所有部署单位设备每年至少进行一次上门现场巡检服务。每次巡检结束后，向采购人用户提供对系统运行状况的评估报告，分析系统的运行状况，系统的稳定程度，性能是否达到最优，并对系统的优化和今后运行维护给出指导性意见和建议。</w:t>
      </w:r>
    </w:p>
    <w:p>
      <w:pPr>
        <w:spacing w:line="42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.4 </w:t>
      </w:r>
      <w:r>
        <w:rPr>
          <w:rFonts w:hint="eastAsia" w:ascii="宋体" w:hAnsi="宋体" w:cs="宋体"/>
          <w:szCs w:val="21"/>
        </w:rPr>
        <w:t>系统变更支持</w:t>
      </w:r>
    </w:p>
    <w:p>
      <w:pPr>
        <w:spacing w:line="420" w:lineRule="exact"/>
        <w:ind w:firstLine="420" w:firstLineChars="200"/>
        <w:rPr>
          <w:rFonts w:ascii="宋体" w:hAnsi="宋体" w:cs="宋体"/>
          <w:szCs w:val="21"/>
        </w:rPr>
      </w:pPr>
      <w:r>
        <w:rPr>
          <w:rFonts w:hint="eastAsia" w:ascii="宋体" w:hAnsi="宋体" w:cs="宋体"/>
          <w:szCs w:val="21"/>
        </w:rPr>
        <w:t>用户发生系统变动时中标人必须承诺提供包括但不限于如下服务：</w:t>
      </w:r>
    </w:p>
    <w:p>
      <w:pPr>
        <w:spacing w:line="420" w:lineRule="exact"/>
        <w:ind w:firstLine="420" w:firstLineChars="200"/>
        <w:rPr>
          <w:rFonts w:ascii="宋体" w:hAnsi="宋体" w:cs="宋体"/>
          <w:szCs w:val="21"/>
        </w:rPr>
      </w:pPr>
      <w:r>
        <w:rPr>
          <w:rFonts w:hint="eastAsia" w:ascii="宋体" w:hAnsi="宋体" w:cs="宋体"/>
          <w:szCs w:val="21"/>
        </w:rPr>
        <w:t>（1）按照用户业务要求提供系统变更的相关上门服务：包括系统参数、配置变更、性能优化服务及现有系统的改造；</w:t>
      </w:r>
    </w:p>
    <w:p>
      <w:pPr>
        <w:spacing w:line="420" w:lineRule="exact"/>
        <w:ind w:firstLine="420" w:firstLineChars="200"/>
        <w:rPr>
          <w:rFonts w:ascii="宋体" w:hAnsi="宋体" w:cs="宋体"/>
          <w:szCs w:val="21"/>
        </w:rPr>
      </w:pPr>
      <w:r>
        <w:rPr>
          <w:rFonts w:hint="eastAsia" w:ascii="宋体" w:hAnsi="宋体" w:cs="宋体"/>
          <w:szCs w:val="21"/>
        </w:rPr>
        <w:t>（2）服务期内提供与本项目相关的技术咨询服务；</w:t>
      </w:r>
    </w:p>
    <w:p>
      <w:pPr>
        <w:spacing w:line="420" w:lineRule="exact"/>
        <w:ind w:firstLine="420" w:firstLineChars="200"/>
        <w:rPr>
          <w:rFonts w:ascii="宋体" w:hAnsi="宋体" w:cs="宋体"/>
          <w:szCs w:val="21"/>
        </w:rPr>
      </w:pPr>
      <w:r>
        <w:rPr>
          <w:rFonts w:hint="eastAsia" w:ascii="宋体" w:hAnsi="宋体" w:cs="宋体"/>
          <w:szCs w:val="21"/>
        </w:rPr>
        <w:t>（3）现场进行系统健康检查；</w:t>
      </w:r>
    </w:p>
    <w:p>
      <w:pPr>
        <w:spacing w:line="420" w:lineRule="exact"/>
        <w:ind w:firstLine="420" w:firstLineChars="200"/>
        <w:rPr>
          <w:rFonts w:ascii="宋体" w:hAnsi="宋体" w:cs="宋体"/>
          <w:szCs w:val="21"/>
        </w:rPr>
      </w:pPr>
      <w:r>
        <w:rPr>
          <w:rFonts w:hint="eastAsia" w:ascii="宋体" w:hAnsi="宋体" w:cs="宋体"/>
          <w:szCs w:val="21"/>
        </w:rPr>
        <w:t>（4）提供设备和系统迁移等现场服务。</w:t>
      </w:r>
    </w:p>
    <w:p>
      <w:pPr>
        <w:spacing w:line="42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.5 </w:t>
      </w:r>
      <w:r>
        <w:rPr>
          <w:rFonts w:hint="eastAsia" w:ascii="宋体" w:hAnsi="宋体" w:cs="宋体"/>
          <w:szCs w:val="21"/>
        </w:rPr>
        <w:t>知识库建设</w:t>
      </w:r>
    </w:p>
    <w:p>
      <w:pPr>
        <w:spacing w:line="420" w:lineRule="exact"/>
        <w:ind w:firstLine="420" w:firstLineChars="200"/>
        <w:rPr>
          <w:rFonts w:ascii="宋体" w:hAnsi="宋体" w:cs="宋体"/>
          <w:szCs w:val="21"/>
        </w:rPr>
      </w:pPr>
      <w:r>
        <w:rPr>
          <w:rFonts w:hint="eastAsia" w:ascii="宋体" w:hAnsi="宋体" w:cs="宋体"/>
          <w:szCs w:val="21"/>
        </w:rPr>
        <w:t>中标人应</w:t>
      </w:r>
      <w:r>
        <w:rPr>
          <w:rFonts w:hint="eastAsia" w:hAnsi="宋体" w:cs="宋体"/>
        </w:rPr>
        <w:t>当</w:t>
      </w:r>
      <w:r>
        <w:rPr>
          <w:rFonts w:hint="eastAsia" w:ascii="宋体" w:hAnsi="宋体" w:cs="宋体"/>
          <w:szCs w:val="21"/>
        </w:rPr>
        <w:t>负责涉及到本项目的硬件和软件的相关知识库的建设和维护工作，安排相关人员以月为周期对知识进行整理、审核、入库等工作。</w:t>
      </w:r>
    </w:p>
    <w:p>
      <w:pPr>
        <w:spacing w:line="420" w:lineRule="exact"/>
        <w:ind w:firstLine="420" w:firstLineChars="200"/>
        <w:rPr>
          <w:rFonts w:ascii="宋体" w:hAnsi="宋体" w:cs="宋体"/>
          <w:szCs w:val="21"/>
        </w:rPr>
      </w:pPr>
      <w:r>
        <w:rPr>
          <w:rFonts w:hint="eastAsia" w:ascii="宋体" w:hAnsi="宋体" w:cs="宋体"/>
          <w:szCs w:val="21"/>
        </w:rPr>
        <w:t>并负责对本项目的软件相关的各类问题的整理、解答和提供相应的咨询服务。</w:t>
      </w:r>
    </w:p>
    <w:p>
      <w:pPr>
        <w:spacing w:line="42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.6 </w:t>
      </w:r>
      <w:r>
        <w:rPr>
          <w:rFonts w:hint="eastAsia" w:ascii="宋体" w:hAnsi="宋体" w:cs="宋体"/>
          <w:szCs w:val="21"/>
        </w:rPr>
        <w:t>运维管理支持</w:t>
      </w:r>
    </w:p>
    <w:p>
      <w:pPr>
        <w:spacing w:line="420" w:lineRule="exact"/>
        <w:ind w:firstLine="420" w:firstLineChars="200"/>
        <w:rPr>
          <w:rFonts w:ascii="宋体" w:hAnsi="宋体" w:cs="宋体"/>
          <w:szCs w:val="21"/>
        </w:rPr>
      </w:pPr>
      <w:r>
        <w:rPr>
          <w:rFonts w:hint="eastAsia" w:ascii="宋体" w:hAnsi="宋体" w:cs="宋体"/>
          <w:szCs w:val="21"/>
        </w:rPr>
        <w:t>（1）中标人应</w:t>
      </w:r>
      <w:r>
        <w:rPr>
          <w:rFonts w:hint="eastAsia" w:hAnsi="宋体" w:cs="宋体"/>
        </w:rPr>
        <w:t>当</w:t>
      </w:r>
      <w:r>
        <w:rPr>
          <w:rFonts w:hint="eastAsia" w:ascii="宋体" w:hAnsi="宋体" w:cs="宋体"/>
          <w:szCs w:val="21"/>
        </w:rPr>
        <w:t>配合采购人做好相关运维工作情况统计。</w:t>
      </w:r>
    </w:p>
    <w:p>
      <w:pPr>
        <w:spacing w:line="420" w:lineRule="exact"/>
        <w:ind w:firstLine="420" w:firstLineChars="200"/>
        <w:rPr>
          <w:rFonts w:ascii="宋体" w:hAnsi="宋体" w:cs="宋体"/>
          <w:szCs w:val="21"/>
        </w:rPr>
      </w:pPr>
      <w:r>
        <w:rPr>
          <w:rFonts w:hint="eastAsia" w:ascii="宋体" w:hAnsi="宋体" w:cs="宋体"/>
          <w:szCs w:val="21"/>
        </w:rPr>
        <w:t>（2）中标人应</w:t>
      </w:r>
      <w:r>
        <w:rPr>
          <w:rFonts w:hint="eastAsia" w:hAnsi="宋体" w:cs="宋体"/>
        </w:rPr>
        <w:t>当</w:t>
      </w:r>
      <w:r>
        <w:rPr>
          <w:rFonts w:hint="eastAsia" w:ascii="宋体" w:hAnsi="宋体" w:cs="宋体"/>
          <w:szCs w:val="21"/>
        </w:rPr>
        <w:t>根据采购人要求，积极参加并配合采购人完成本项目售后服务研讨、会议、咨询、故障会诊等工作，并配合采购人制定本项目的售后服务管理、监督的各类规章制度和流程。</w:t>
      </w:r>
    </w:p>
    <w:p>
      <w:pPr>
        <w:spacing w:line="420" w:lineRule="exact"/>
        <w:ind w:firstLine="420" w:firstLineChars="200"/>
        <w:rPr>
          <w:rFonts w:ascii="宋体" w:hAnsi="宋体" w:cs="宋体"/>
          <w:szCs w:val="21"/>
        </w:rPr>
      </w:pPr>
      <w:r>
        <w:rPr>
          <w:rFonts w:hint="eastAsia" w:ascii="宋体" w:hAnsi="宋体" w:cs="宋体"/>
          <w:szCs w:val="21"/>
        </w:rPr>
        <w:t>（3）在采购人有关信息系统可能存在具有普遍性或者严重性的问题和隐患，以及在需要重点保障的特殊时期（如国家重大活动期间），中标人应</w:t>
      </w:r>
      <w:r>
        <w:rPr>
          <w:rFonts w:hint="eastAsia" w:hAnsi="宋体" w:cs="宋体"/>
        </w:rPr>
        <w:t>当</w:t>
      </w:r>
      <w:r>
        <w:rPr>
          <w:rFonts w:hint="eastAsia" w:ascii="宋体" w:hAnsi="宋体" w:cs="宋体"/>
          <w:szCs w:val="21"/>
        </w:rPr>
        <w:t>在采购人的统一组织和安排下，开展专家级现场服务，针对网络安全工作，开展监控和检查、排障和调整优化工作。</w:t>
      </w:r>
    </w:p>
    <w:p>
      <w:pPr>
        <w:spacing w:line="460" w:lineRule="exact"/>
        <w:ind w:firstLine="422" w:firstLineChars="200"/>
        <w:rPr>
          <w:rFonts w:ascii="宋体" w:hAnsi="宋体" w:cs="宋体"/>
          <w:b/>
          <w:color w:val="000000"/>
          <w:szCs w:val="21"/>
        </w:rPr>
      </w:pPr>
      <w:bookmarkStart w:id="169" w:name="_Toc16901"/>
      <w:bookmarkStart w:id="170" w:name="_Toc44505021"/>
      <w:r>
        <w:rPr>
          <w:rFonts w:hint="eastAsia" w:ascii="宋体" w:hAnsi="宋体" w:cs="宋体"/>
          <w:b/>
          <w:color w:val="000000"/>
          <w:szCs w:val="21"/>
        </w:rPr>
        <w:t>4.驻场运维服务需求</w:t>
      </w:r>
      <w:bookmarkEnd w:id="169"/>
      <w:bookmarkEnd w:id="170"/>
    </w:p>
    <w:p>
      <w:pPr>
        <w:spacing w:line="420" w:lineRule="exact"/>
        <w:ind w:firstLine="420" w:firstLineChars="200"/>
        <w:rPr>
          <w:rFonts w:ascii="宋体" w:hAnsi="宋体"/>
          <w:szCs w:val="21"/>
        </w:rPr>
      </w:pPr>
      <w:r>
        <w:rPr>
          <w:rFonts w:hint="eastAsia" w:ascii="宋体" w:hAnsi="宋体"/>
          <w:szCs w:val="21"/>
        </w:rPr>
        <w:t>本项目所需驻场运维服务包括但不限于资产管理、安全监测、安全场景建模、威胁分析、漏洞管理、事件处置管理、平台巡检、等保信息管理服务、风险分析、考核管理等方面的内容，具体内容要求如下：</w:t>
      </w:r>
    </w:p>
    <w:p>
      <w:pPr>
        <w:pStyle w:val="270"/>
        <w:spacing w:after="0" w:line="420" w:lineRule="exact"/>
        <w:ind w:firstLine="420" w:firstLineChars="0"/>
        <w:rPr>
          <w:rFonts w:ascii="宋体" w:hAnsi="宋体"/>
          <w:kern w:val="2"/>
        </w:rPr>
      </w:pPr>
      <w:r>
        <w:rPr>
          <w:rFonts w:ascii="宋体" w:hAnsi="宋体"/>
          <w:kern w:val="2"/>
        </w:rPr>
        <w:t>4.1 安全监测</w:t>
      </w:r>
      <w:r>
        <w:rPr>
          <w:rFonts w:hint="eastAsia" w:ascii="宋体" w:hAnsi="宋体"/>
          <w:kern w:val="2"/>
        </w:rPr>
        <w:t>要求</w:t>
      </w:r>
    </w:p>
    <w:p>
      <w:pPr>
        <w:pStyle w:val="270"/>
        <w:spacing w:after="0" w:line="420" w:lineRule="exact"/>
        <w:ind w:firstLine="420"/>
        <w:rPr>
          <w:rFonts w:ascii="宋体" w:hAnsi="宋体"/>
        </w:rPr>
      </w:pPr>
      <w:r>
        <w:rPr>
          <w:rFonts w:hint="eastAsia" w:ascii="宋体" w:hAnsi="宋体"/>
          <w:kern w:val="2"/>
        </w:rPr>
        <w:t>需开展常态化的日常告警监控工作，筛选过滤告警日志，记录并统计告警信息，协助开展告警信息的通告下发，定期跟踪事件处置情况，高危安全事件的通告工作等。监控内容包括但不限于：网页篡改、网站挂马、网站漏洞利用、告警恶意软件、入侵攻击、</w:t>
      </w:r>
      <w:r>
        <w:rPr>
          <w:rFonts w:ascii="宋体" w:hAnsi="宋体"/>
          <w:kern w:val="2"/>
        </w:rPr>
        <w:t>APT</w:t>
      </w:r>
      <w:r>
        <w:rPr>
          <w:rFonts w:hint="eastAsia" w:ascii="宋体" w:hAnsi="宋体"/>
          <w:kern w:val="2"/>
        </w:rPr>
        <w:t>攻击、漏洞利用攻击、仿冒网站、网络钓鱼、僵木蠕毒等进行监测。</w:t>
      </w:r>
    </w:p>
    <w:p>
      <w:pPr>
        <w:pStyle w:val="270"/>
        <w:spacing w:after="0" w:line="420" w:lineRule="exact"/>
        <w:ind w:firstLine="420" w:firstLineChars="0"/>
        <w:rPr>
          <w:rFonts w:ascii="宋体" w:hAnsi="宋体"/>
          <w:kern w:val="2"/>
        </w:rPr>
      </w:pPr>
      <w:r>
        <w:rPr>
          <w:rFonts w:ascii="宋体" w:hAnsi="宋体"/>
          <w:kern w:val="2"/>
        </w:rPr>
        <w:t xml:space="preserve">4.2 </w:t>
      </w:r>
      <w:r>
        <w:rPr>
          <w:rFonts w:hint="eastAsia" w:ascii="宋体" w:hAnsi="宋体"/>
          <w:kern w:val="2"/>
        </w:rPr>
        <w:t>安全场景建模</w:t>
      </w:r>
    </w:p>
    <w:p>
      <w:pPr>
        <w:pStyle w:val="270"/>
        <w:spacing w:after="0" w:line="420" w:lineRule="exact"/>
        <w:ind w:firstLine="420"/>
        <w:rPr>
          <w:rFonts w:ascii="宋体" w:hAnsi="宋体"/>
          <w:kern w:val="2"/>
        </w:rPr>
      </w:pPr>
      <w:r>
        <w:rPr>
          <w:rFonts w:hint="eastAsia" w:ascii="宋体" w:hAnsi="宋体"/>
          <w:kern w:val="2"/>
        </w:rPr>
        <w:t>应</w:t>
      </w:r>
      <w:r>
        <w:rPr>
          <w:rFonts w:hint="eastAsia" w:hAnsi="宋体" w:cs="宋体"/>
        </w:rPr>
        <w:t>当</w:t>
      </w:r>
      <w:r>
        <w:rPr>
          <w:rFonts w:hint="eastAsia" w:ascii="宋体" w:hAnsi="宋体"/>
          <w:kern w:val="2"/>
        </w:rPr>
        <w:t>能够在深入理解业务的基础上，结合税务业务特点，提供安全威胁场景建模的服务，支持自定义场景规则，支持通过</w:t>
      </w:r>
      <w:r>
        <w:rPr>
          <w:rFonts w:ascii="宋体" w:hAnsi="宋体"/>
          <w:kern w:val="2"/>
        </w:rPr>
        <w:t>日志过滤、日志</w:t>
      </w:r>
      <w:r>
        <w:rPr>
          <w:rFonts w:hint="eastAsia" w:ascii="宋体" w:hAnsi="宋体"/>
          <w:kern w:val="2"/>
        </w:rPr>
        <w:t>关联</w:t>
      </w:r>
      <w:r>
        <w:rPr>
          <w:rFonts w:ascii="宋体" w:hAnsi="宋体"/>
          <w:kern w:val="2"/>
        </w:rPr>
        <w:t>、日志统计、</w:t>
      </w:r>
      <w:r>
        <w:rPr>
          <w:rFonts w:hint="eastAsia" w:ascii="宋体" w:hAnsi="宋体"/>
          <w:kern w:val="2"/>
        </w:rPr>
        <w:t>阈值</w:t>
      </w:r>
      <w:r>
        <w:rPr>
          <w:rFonts w:ascii="宋体" w:hAnsi="宋体"/>
          <w:kern w:val="2"/>
        </w:rPr>
        <w:t>比较和序列分析</w:t>
      </w:r>
      <w:r>
        <w:rPr>
          <w:rFonts w:hint="eastAsia" w:ascii="宋体" w:hAnsi="宋体"/>
          <w:kern w:val="2"/>
        </w:rPr>
        <w:t>等手段对数据进行关联分析，实时发现复杂的、更具价值的威胁事件，并将威胁事件控制在可人工处理数量级。</w:t>
      </w:r>
    </w:p>
    <w:p>
      <w:pPr>
        <w:pStyle w:val="270"/>
        <w:spacing w:after="0" w:line="420" w:lineRule="exact"/>
        <w:ind w:firstLine="420" w:firstLineChars="0"/>
        <w:rPr>
          <w:rFonts w:ascii="宋体" w:hAnsi="宋体"/>
        </w:rPr>
      </w:pPr>
      <w:r>
        <w:rPr>
          <w:rFonts w:ascii="宋体" w:hAnsi="宋体"/>
          <w:kern w:val="2"/>
        </w:rPr>
        <w:t xml:space="preserve">4.3 </w:t>
      </w:r>
      <w:r>
        <w:rPr>
          <w:rFonts w:hint="eastAsia" w:ascii="宋体" w:hAnsi="宋体"/>
          <w:kern w:val="2"/>
        </w:rPr>
        <w:t>威胁分析</w:t>
      </w:r>
    </w:p>
    <w:p>
      <w:pPr>
        <w:pStyle w:val="270"/>
        <w:spacing w:after="0" w:line="420" w:lineRule="exact"/>
        <w:ind w:firstLine="420"/>
        <w:rPr>
          <w:rFonts w:ascii="宋体" w:hAnsi="宋体"/>
          <w:kern w:val="2"/>
        </w:rPr>
      </w:pPr>
      <w:r>
        <w:rPr>
          <w:rFonts w:hint="eastAsia" w:ascii="宋体" w:hAnsi="宋体"/>
          <w:kern w:val="2"/>
        </w:rPr>
        <w:t>能够针对安全威胁事件，通过</w:t>
      </w:r>
      <w:r>
        <w:rPr>
          <w:rFonts w:ascii="宋体" w:hAnsi="宋体"/>
          <w:kern w:val="2"/>
        </w:rPr>
        <w:t>基于</w:t>
      </w:r>
      <w:r>
        <w:rPr>
          <w:rFonts w:hint="eastAsia" w:ascii="宋体" w:hAnsi="宋体"/>
          <w:kern w:val="2"/>
        </w:rPr>
        <w:t>采集的安全日志、全流量数据或主机日志数据为基础，结合</w:t>
      </w:r>
      <w:r>
        <w:rPr>
          <w:rFonts w:ascii="宋体" w:hAnsi="宋体"/>
          <w:kern w:val="2"/>
        </w:rPr>
        <w:t>威胁情报</w:t>
      </w:r>
      <w:r>
        <w:rPr>
          <w:rFonts w:hint="eastAsia" w:ascii="宋体" w:hAnsi="宋体"/>
          <w:kern w:val="2"/>
        </w:rPr>
        <w:t>和</w:t>
      </w:r>
      <w:r>
        <w:rPr>
          <w:rFonts w:ascii="宋体" w:hAnsi="宋体"/>
          <w:kern w:val="2"/>
        </w:rPr>
        <w:t>规则</w:t>
      </w:r>
      <w:r>
        <w:rPr>
          <w:rFonts w:hint="eastAsia" w:ascii="宋体" w:hAnsi="宋体"/>
          <w:kern w:val="2"/>
        </w:rPr>
        <w:t>，开展</w:t>
      </w:r>
      <w:r>
        <w:rPr>
          <w:rFonts w:ascii="宋体" w:hAnsi="宋体"/>
          <w:kern w:val="2"/>
        </w:rPr>
        <w:t>关联分析</w:t>
      </w:r>
      <w:r>
        <w:rPr>
          <w:rFonts w:hint="eastAsia" w:ascii="宋体" w:hAnsi="宋体"/>
          <w:kern w:val="2"/>
        </w:rPr>
        <w:t>，以提供真实准确的事件分析结果，并提供安全事件分析报告。</w:t>
      </w:r>
    </w:p>
    <w:p>
      <w:pPr>
        <w:pStyle w:val="270"/>
        <w:spacing w:after="0" w:line="420" w:lineRule="exact"/>
        <w:ind w:firstLine="420" w:firstLineChars="0"/>
        <w:rPr>
          <w:rFonts w:ascii="宋体" w:hAnsi="宋体"/>
          <w:kern w:val="2"/>
        </w:rPr>
      </w:pPr>
      <w:r>
        <w:rPr>
          <w:rFonts w:ascii="宋体" w:hAnsi="宋体"/>
          <w:kern w:val="2"/>
        </w:rPr>
        <w:t>4.4 漏洞管理</w:t>
      </w:r>
    </w:p>
    <w:p>
      <w:pPr>
        <w:pStyle w:val="270"/>
        <w:spacing w:after="0" w:line="420" w:lineRule="exact"/>
        <w:ind w:firstLine="420"/>
        <w:rPr>
          <w:rFonts w:ascii="宋体" w:hAnsi="宋体"/>
          <w:kern w:val="2"/>
        </w:rPr>
      </w:pPr>
      <w:r>
        <w:rPr>
          <w:rFonts w:hint="eastAsia" w:ascii="宋体" w:hAnsi="宋体"/>
          <w:kern w:val="2"/>
        </w:rPr>
        <w:t>能够对网络内的重要主机系统和网络设备的漏洞信息进行收集和管理，支持对漏洞修复过程进行跟踪。支持第三方扫描报告的管理，能够识别主流第三方漏洞扫描结果。支持漏洞处置闭环跟踪，做到对处置流程的全面监控，达到可监可管的目的。支持知识库维护，对漏洞知识库信息，提供定期的漏洞解决方案更新，指导处置人员完成漏洞处置。</w:t>
      </w:r>
    </w:p>
    <w:p>
      <w:pPr>
        <w:pStyle w:val="270"/>
        <w:spacing w:after="0" w:line="420" w:lineRule="exact"/>
        <w:ind w:firstLine="420" w:firstLineChars="0"/>
        <w:rPr>
          <w:rFonts w:ascii="宋体" w:hAnsi="宋体"/>
          <w:kern w:val="2"/>
        </w:rPr>
      </w:pPr>
      <w:r>
        <w:rPr>
          <w:rFonts w:ascii="宋体" w:hAnsi="宋体"/>
          <w:kern w:val="2"/>
        </w:rPr>
        <w:t xml:space="preserve">4.5 </w:t>
      </w:r>
      <w:r>
        <w:rPr>
          <w:rFonts w:hint="eastAsia" w:ascii="宋体" w:hAnsi="宋体"/>
          <w:kern w:val="2"/>
        </w:rPr>
        <w:t>事件处置管理</w:t>
      </w:r>
    </w:p>
    <w:p>
      <w:pPr>
        <w:pStyle w:val="270"/>
        <w:spacing w:after="0" w:line="420" w:lineRule="exact"/>
        <w:ind w:firstLine="420"/>
        <w:rPr>
          <w:rFonts w:ascii="宋体" w:hAnsi="宋体"/>
          <w:kern w:val="2"/>
        </w:rPr>
      </w:pPr>
      <w:r>
        <w:rPr>
          <w:rFonts w:hint="eastAsia" w:ascii="宋体" w:hAnsi="宋体"/>
          <w:kern w:val="2"/>
        </w:rPr>
        <w:t>需能够对安全事件的处置状态进行跟踪和记录。保障每一个威胁事件都能够得到及时有效的跟踪，实现安全威胁的闭环管理，确保安全事件有人盯、有人查、有人管。</w:t>
      </w:r>
    </w:p>
    <w:p>
      <w:pPr>
        <w:pStyle w:val="270"/>
        <w:spacing w:after="0" w:line="420" w:lineRule="exact"/>
        <w:ind w:firstLine="420" w:firstLineChars="0"/>
        <w:rPr>
          <w:rFonts w:ascii="宋体" w:hAnsi="宋体"/>
          <w:kern w:val="2"/>
        </w:rPr>
      </w:pPr>
      <w:r>
        <w:rPr>
          <w:rFonts w:ascii="宋体" w:hAnsi="宋体"/>
          <w:kern w:val="2"/>
        </w:rPr>
        <w:t>4.6 平台巡检</w:t>
      </w:r>
    </w:p>
    <w:p>
      <w:pPr>
        <w:pStyle w:val="270"/>
        <w:spacing w:after="0" w:line="420" w:lineRule="exact"/>
        <w:ind w:firstLine="420"/>
        <w:rPr>
          <w:rFonts w:ascii="宋体" w:hAnsi="宋体"/>
        </w:rPr>
      </w:pPr>
      <w:r>
        <w:rPr>
          <w:rFonts w:hint="eastAsia" w:ascii="宋体" w:hAnsi="宋体"/>
          <w:kern w:val="2"/>
        </w:rPr>
        <w:t>需定期核查安全管控平台的实时采集数据、实时关联数据、实时计算分析数据的任务是否正常运转，平台的各项功能、传感器、采集模块等功能组件工作状态是否正常。以确保态势感知平台健康平稳的运行。</w:t>
      </w:r>
    </w:p>
    <w:p>
      <w:pPr>
        <w:pStyle w:val="270"/>
        <w:spacing w:after="0" w:line="420" w:lineRule="exact"/>
        <w:ind w:firstLine="420" w:firstLineChars="0"/>
        <w:rPr>
          <w:rFonts w:ascii="宋体" w:hAnsi="宋体"/>
        </w:rPr>
      </w:pPr>
      <w:r>
        <w:rPr>
          <w:rFonts w:ascii="宋体" w:hAnsi="宋体"/>
          <w:kern w:val="2"/>
        </w:rPr>
        <w:t xml:space="preserve">4.7 </w:t>
      </w:r>
      <w:r>
        <w:rPr>
          <w:rFonts w:hint="eastAsia" w:ascii="宋体" w:hAnsi="宋体"/>
          <w:kern w:val="2"/>
        </w:rPr>
        <w:t>等保信息管理服务</w:t>
      </w:r>
    </w:p>
    <w:p>
      <w:pPr>
        <w:pStyle w:val="270"/>
        <w:spacing w:after="0" w:line="420" w:lineRule="exact"/>
        <w:ind w:firstLine="420"/>
        <w:rPr>
          <w:rFonts w:ascii="宋体" w:hAnsi="宋体"/>
          <w:kern w:val="2"/>
        </w:rPr>
      </w:pPr>
      <w:r>
        <w:rPr>
          <w:rFonts w:hint="eastAsia" w:ascii="宋体" w:hAnsi="宋体"/>
          <w:kern w:val="2"/>
        </w:rPr>
        <w:t>需按照信息系统等级保护的相关要求，结合税务系统资产信息，梳理相关涉税业务系统的等保备案情况，具体包括：《信息系统安全自评估报告》、《信息安全等级保护定级评审结果》、《信息系统安全等级保护备案表》、《信息系统安全等级测评报告》等，并定期更新维护。</w:t>
      </w:r>
    </w:p>
    <w:p>
      <w:pPr>
        <w:pStyle w:val="270"/>
        <w:spacing w:after="0" w:line="420" w:lineRule="exact"/>
        <w:ind w:firstLine="420" w:firstLineChars="0"/>
        <w:rPr>
          <w:rFonts w:ascii="宋体" w:hAnsi="宋体"/>
        </w:rPr>
      </w:pPr>
      <w:r>
        <w:rPr>
          <w:rFonts w:ascii="宋体" w:hAnsi="宋体"/>
        </w:rPr>
        <w:t xml:space="preserve">4.8 </w:t>
      </w:r>
      <w:r>
        <w:rPr>
          <w:rFonts w:hint="eastAsia" w:ascii="宋体" w:hAnsi="宋体"/>
        </w:rPr>
        <w:t>风险分析</w:t>
      </w:r>
      <w:r>
        <w:rPr>
          <w:rFonts w:hint="eastAsia" w:ascii="宋体" w:hAnsi="宋体"/>
          <w:kern w:val="2"/>
        </w:rPr>
        <w:t>管理服务</w:t>
      </w:r>
    </w:p>
    <w:p>
      <w:pPr>
        <w:pStyle w:val="270"/>
        <w:spacing w:after="0" w:line="420" w:lineRule="exact"/>
        <w:ind w:firstLine="420"/>
        <w:rPr>
          <w:rFonts w:ascii="宋体" w:hAnsi="宋体"/>
          <w:kern w:val="2"/>
        </w:rPr>
      </w:pPr>
      <w:r>
        <w:rPr>
          <w:rFonts w:hint="eastAsia" w:ascii="宋体" w:hAnsi="宋体"/>
          <w:kern w:val="2"/>
        </w:rPr>
        <w:t>需按照信息系统等级保护的相关要求，结合ISO/IEC 27001：2013的安全管理要求，通过态势感知平台收集、汇总、分析的安全风险对现有的税务信息系统的安全现状进行全局性的评估，分析信息资产存在的安全漏洞，分析信息资产面临的安全威胁及威胁发生的可能性，检查现有安全措施的有效性，从而识别出信息资产中存在的安全风险点，协助安全管理人员对税务信息资产所面临的风险程度做出准确的评价，提供相关整改修复加固建议。</w:t>
      </w:r>
    </w:p>
    <w:p>
      <w:pPr>
        <w:pStyle w:val="270"/>
        <w:spacing w:after="0" w:line="420" w:lineRule="exact"/>
        <w:ind w:firstLine="420" w:firstLineChars="0"/>
        <w:rPr>
          <w:rFonts w:ascii="宋体" w:hAnsi="宋体"/>
        </w:rPr>
      </w:pPr>
      <w:r>
        <w:rPr>
          <w:rFonts w:ascii="宋体" w:hAnsi="宋体"/>
        </w:rPr>
        <w:t xml:space="preserve">4.9 </w:t>
      </w:r>
      <w:r>
        <w:rPr>
          <w:rFonts w:hint="eastAsia" w:ascii="宋体" w:hAnsi="宋体"/>
        </w:rPr>
        <w:t>考核管理服务</w:t>
      </w:r>
    </w:p>
    <w:p>
      <w:pPr>
        <w:pStyle w:val="270"/>
        <w:spacing w:after="0" w:line="420" w:lineRule="exact"/>
        <w:ind w:firstLine="420"/>
        <w:rPr>
          <w:rFonts w:ascii="宋体" w:hAnsi="宋体" w:cs="宋体"/>
        </w:rPr>
      </w:pPr>
      <w:r>
        <w:rPr>
          <w:rFonts w:hint="eastAsia" w:ascii="宋体" w:hAnsi="宋体"/>
          <w:kern w:val="2"/>
        </w:rPr>
        <w:t>考核管理应</w:t>
      </w:r>
      <w:r>
        <w:rPr>
          <w:rFonts w:hint="eastAsia" w:hAnsi="宋体" w:cs="宋体"/>
        </w:rPr>
        <w:t>当</w:t>
      </w:r>
      <w:r>
        <w:rPr>
          <w:rFonts w:hint="eastAsia" w:ascii="宋体" w:hAnsi="宋体"/>
          <w:kern w:val="2"/>
        </w:rPr>
        <w:t>能够结合安全监测、分析、通告、处置环节，对安全告警的发现、事件处置进行评估考核，根据实际业务情况，优化考核标准指标，推进事件处置工作正常运转，提高安全运营的效率和质量。</w:t>
      </w:r>
    </w:p>
    <w:p>
      <w:pPr>
        <w:spacing w:line="460" w:lineRule="exact"/>
        <w:ind w:firstLine="422" w:firstLineChars="200"/>
        <w:rPr>
          <w:rFonts w:ascii="宋体" w:hAnsi="宋体" w:cs="宋体"/>
          <w:b/>
          <w:color w:val="000000"/>
          <w:szCs w:val="21"/>
        </w:rPr>
      </w:pPr>
      <w:bookmarkStart w:id="171" w:name="_Toc44505022"/>
      <w:bookmarkStart w:id="172" w:name="_Toc29672"/>
      <w:bookmarkStart w:id="173" w:name="_Toc985479619"/>
      <w:r>
        <w:rPr>
          <w:rFonts w:hint="eastAsia" w:ascii="宋体" w:hAnsi="宋体" w:cs="宋体"/>
          <w:b/>
          <w:color w:val="000000"/>
          <w:szCs w:val="21"/>
        </w:rPr>
        <w:t>5.质量保证要求</w:t>
      </w:r>
      <w:bookmarkEnd w:id="171"/>
      <w:bookmarkEnd w:id="172"/>
      <w:bookmarkEnd w:id="173"/>
    </w:p>
    <w:p>
      <w:pPr>
        <w:spacing w:line="420" w:lineRule="exact"/>
        <w:ind w:firstLine="420" w:firstLineChars="200"/>
        <w:rPr>
          <w:rFonts w:ascii="宋体" w:hAnsi="宋体" w:cs="宋体"/>
          <w:szCs w:val="21"/>
        </w:rPr>
      </w:pPr>
      <w:r>
        <w:rPr>
          <w:rFonts w:ascii="宋体" w:hAnsi="宋体" w:cs="宋体"/>
          <w:szCs w:val="21"/>
        </w:rPr>
        <w:t xml:space="preserve">5.1 </w:t>
      </w:r>
      <w:r>
        <w:rPr>
          <w:rFonts w:hint="eastAsia" w:ascii="宋体" w:hAnsi="宋体" w:cs="宋体"/>
          <w:szCs w:val="21"/>
        </w:rPr>
        <w:t>投标人保证其提供的设备中所有预装和为本项目安装的软件为在中国境内具有合法版权或使用权的正版软件且无质量瑕疵，且为该产品的当前最新版本（提供有关软件版本的证明材料）。</w:t>
      </w:r>
    </w:p>
    <w:p>
      <w:pPr>
        <w:spacing w:line="4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2在项目服务期内，如遇软件产品升级、改版，应</w:t>
      </w:r>
      <w:r>
        <w:rPr>
          <w:rFonts w:hint="eastAsia" w:hAnsi="宋体" w:cs="宋体"/>
        </w:rPr>
        <w:t>当</w:t>
      </w:r>
      <w:r>
        <w:rPr>
          <w:rFonts w:hint="eastAsia" w:ascii="宋体" w:hAnsi="宋体" w:cs="宋体"/>
          <w:szCs w:val="21"/>
        </w:rPr>
        <w:t>免费提供更新、升级服务。</w:t>
      </w:r>
    </w:p>
    <w:p>
      <w:pPr>
        <w:spacing w:line="4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3 为保证系统长期稳定运行，投标人必须向用户提供高质量产品。</w:t>
      </w:r>
    </w:p>
    <w:p>
      <w:pPr>
        <w:spacing w:line="4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4 投标人应</w:t>
      </w:r>
      <w:r>
        <w:rPr>
          <w:rFonts w:hint="eastAsia" w:hAnsi="宋体" w:cs="宋体"/>
        </w:rPr>
        <w:t>当</w:t>
      </w:r>
      <w:r>
        <w:rPr>
          <w:rFonts w:hint="eastAsia" w:ascii="宋体" w:hAnsi="宋体" w:cs="宋体"/>
          <w:szCs w:val="21"/>
        </w:rPr>
        <w:t>具有完善的产品服务保障体系；投标产品品质和服务由投标人对采购人负责。</w:t>
      </w:r>
    </w:p>
    <w:p>
      <w:pPr>
        <w:spacing w:line="420" w:lineRule="exact"/>
        <w:ind w:firstLine="420" w:firstLineChars="200"/>
        <w:rPr>
          <w:rFonts w:ascii="宋体" w:hAnsi="宋体" w:cs="宋体"/>
          <w:szCs w:val="21"/>
        </w:rPr>
      </w:pPr>
      <w:r>
        <w:rPr>
          <w:rFonts w:hint="eastAsia" w:ascii="宋体" w:hAnsi="宋体" w:cs="宋体"/>
          <w:szCs w:val="21"/>
        </w:rPr>
        <w:t>（1）投标人应</w:t>
      </w:r>
      <w:r>
        <w:rPr>
          <w:rFonts w:hint="eastAsia" w:hAnsi="宋体" w:cs="宋体"/>
        </w:rPr>
        <w:t>当</w:t>
      </w:r>
      <w:r>
        <w:rPr>
          <w:rFonts w:hint="eastAsia" w:ascii="宋体" w:hAnsi="宋体" w:cs="宋体"/>
          <w:szCs w:val="21"/>
        </w:rPr>
        <w:t>明确说明此次投标的服务策略，提供此次投标产品的服务计划、售后服务内容、等级、相关服务指标、售后服务组织机构及人员安排情况及其联络信息。</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（2）在项目服务期内投标人必须为最终用户提供7*24小时技术服务热线，负责解答用户在设备使用中遇到的问题，并及时提出解决问题的建议和操作方法。</w:t>
      </w:r>
    </w:p>
    <w:p>
      <w:pPr>
        <w:spacing w:line="420" w:lineRule="exact"/>
        <w:ind w:firstLine="420" w:firstLineChars="200"/>
        <w:rPr>
          <w:rFonts w:ascii="宋体" w:hAnsi="宋体" w:cs="宋体"/>
          <w:szCs w:val="21"/>
        </w:rPr>
      </w:pPr>
      <w:r>
        <w:rPr>
          <w:rFonts w:hint="eastAsia" w:ascii="宋体" w:hAnsi="宋体" w:cs="宋体"/>
          <w:szCs w:val="21"/>
        </w:rPr>
        <w:t>（3）在项目服务期内，投标人有责任解决所提供的投标产品和服务的任何问题，在项目服务期满后，当需要时，投标人仍须对因投标设备本身的固有缺陷和瑕疵承担责任，并提供相应的更换和维修服务。</w:t>
      </w:r>
    </w:p>
    <w:p>
      <w:pPr>
        <w:spacing w:line="4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5 以上若干种支持维护计划和服务方式应结合成为完整统一的支持维护体系。</w:t>
      </w:r>
    </w:p>
    <w:p>
      <w:pPr>
        <w:spacing w:line="4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6 投标人应</w:t>
      </w:r>
      <w:r>
        <w:rPr>
          <w:rFonts w:hint="eastAsia" w:hAnsi="宋体" w:cs="宋体"/>
        </w:rPr>
        <w:t>当</w:t>
      </w:r>
      <w:r>
        <w:rPr>
          <w:rFonts w:hint="eastAsia" w:ascii="宋体" w:hAnsi="宋体" w:cs="宋体"/>
          <w:szCs w:val="21"/>
        </w:rPr>
        <w:t>针对本项目在内部建立完善的服务质量管理与监督体系，并在投标时提交针对本项目售后服务质量管理与监督的方案。</w:t>
      </w:r>
    </w:p>
    <w:p>
      <w:pPr>
        <w:snapToGrid w:val="0"/>
        <w:spacing w:line="420" w:lineRule="exact"/>
        <w:ind w:firstLine="480"/>
        <w:rPr>
          <w:rFonts w:ascii="宋体" w:hAnsi="宋体" w:cs="宋体"/>
          <w:szCs w:val="21"/>
        </w:rPr>
      </w:pPr>
      <w:r>
        <w:rPr>
          <w:rFonts w:ascii="宋体" w:hAnsi="宋体" w:cs="宋体"/>
          <w:szCs w:val="21"/>
        </w:rPr>
        <w:t xml:space="preserve">5.7 </w:t>
      </w:r>
      <w:r>
        <w:rPr>
          <w:rFonts w:hint="eastAsia" w:ascii="宋体" w:hAnsi="宋体" w:cs="宋体"/>
          <w:szCs w:val="21"/>
        </w:rPr>
        <w:t>在项目服务期间，中标人接受采购人统一的服务监督与评估，对自身的服务行为进行约束和改进。如果投标人售后服务不能满足采购人要求，投标人应</w:t>
      </w:r>
      <w:r>
        <w:rPr>
          <w:rFonts w:hint="eastAsia" w:hAnsi="宋体" w:cs="宋体"/>
        </w:rPr>
        <w:t>当</w:t>
      </w:r>
      <w:r>
        <w:rPr>
          <w:rFonts w:hint="eastAsia" w:ascii="宋体" w:hAnsi="宋体" w:cs="宋体"/>
          <w:szCs w:val="21"/>
        </w:rPr>
        <w:t>限期拿出整改办法，经采购人审核确认后，通过调整服务方式、增加或者调整服务人员，优化服务流程等措施，切实提高服务质量和水平。</w:t>
      </w:r>
    </w:p>
    <w:p>
      <w:pPr>
        <w:spacing w:line="460" w:lineRule="exact"/>
        <w:ind w:firstLine="422" w:firstLineChars="200"/>
        <w:rPr>
          <w:rFonts w:ascii="宋体" w:hAnsi="宋体" w:cs="宋体"/>
          <w:b/>
          <w:color w:val="000000"/>
          <w:szCs w:val="21"/>
        </w:rPr>
      </w:pPr>
      <w:r>
        <w:rPr>
          <w:rFonts w:hint="eastAsia" w:ascii="宋体" w:hAnsi="宋体" w:cs="宋体"/>
          <w:b/>
          <w:color w:val="000000"/>
          <w:szCs w:val="21"/>
        </w:rPr>
        <w:t>6.驻场运维服务考核</w:t>
      </w:r>
    </w:p>
    <w:p>
      <w:pPr>
        <w:snapToGrid w:val="0"/>
        <w:spacing w:line="420" w:lineRule="exact"/>
        <w:ind w:firstLine="420"/>
        <w:rPr>
          <w:rFonts w:ascii="宋体" w:hAnsi="宋体" w:cs="宋体"/>
          <w:b/>
          <w:bCs/>
          <w:szCs w:val="21"/>
        </w:rPr>
      </w:pPr>
      <w:r>
        <w:rPr>
          <w:rFonts w:hint="eastAsia" w:ascii="宋体" w:hAnsi="宋体" w:cs="宋体"/>
          <w:b/>
          <w:bCs/>
          <w:szCs w:val="21"/>
        </w:rPr>
        <w:t>6.1考核扣款</w:t>
      </w:r>
    </w:p>
    <w:p>
      <w:pPr>
        <w:snapToGrid w:val="0"/>
        <w:spacing w:line="420" w:lineRule="exact"/>
        <w:ind w:firstLine="420"/>
        <w:rPr>
          <w:rFonts w:ascii="宋体" w:hAnsi="宋体" w:cs="宋体"/>
          <w:szCs w:val="21"/>
        </w:rPr>
      </w:pPr>
      <w:r>
        <w:rPr>
          <w:rFonts w:ascii="宋体" w:hAnsi="宋体" w:cs="宋体"/>
          <w:szCs w:val="21"/>
        </w:rPr>
        <w:t>1.直接扣款</w:t>
      </w:r>
    </w:p>
    <w:p>
      <w:pPr>
        <w:snapToGrid w:val="0"/>
        <w:spacing w:line="420" w:lineRule="exact"/>
        <w:ind w:firstLine="420"/>
        <w:rPr>
          <w:rFonts w:ascii="宋体" w:hAnsi="宋体" w:cs="宋体"/>
          <w:szCs w:val="21"/>
        </w:rPr>
      </w:pPr>
      <w:r>
        <w:rPr>
          <w:rFonts w:hint="eastAsia" w:ascii="宋体" w:hAnsi="宋体" w:cs="宋体"/>
          <w:szCs w:val="21"/>
        </w:rPr>
        <w:t>对于发生以下情况的，每发生一次，在付款期内直接扣款，扣款上限为当期合同应付金额的15</w:t>
      </w:r>
      <w:r>
        <w:rPr>
          <w:rFonts w:ascii="宋体" w:hAnsi="宋体" w:cs="宋体"/>
          <w:szCs w:val="21"/>
        </w:rPr>
        <w:t>%：</w:t>
      </w:r>
    </w:p>
    <w:p>
      <w:pPr>
        <w:snapToGrid w:val="0"/>
        <w:spacing w:line="420" w:lineRule="exact"/>
        <w:ind w:firstLine="420"/>
        <w:rPr>
          <w:rFonts w:ascii="宋体" w:hAnsi="宋体" w:cs="宋体"/>
          <w:szCs w:val="21"/>
        </w:rPr>
      </w:pPr>
      <w:r>
        <w:rPr>
          <w:rFonts w:hint="eastAsia" w:ascii="宋体" w:hAnsi="宋体" w:cs="宋体"/>
          <w:szCs w:val="21"/>
        </w:rPr>
        <w:t>该部分付款金额</w:t>
      </w:r>
      <w:r>
        <w:rPr>
          <w:rFonts w:ascii="宋体" w:hAnsi="宋体" w:cs="宋体"/>
          <w:szCs w:val="21"/>
        </w:rPr>
        <w:t>=当期合同应付金额*</w:t>
      </w:r>
      <w:r>
        <w:rPr>
          <w:rFonts w:hint="eastAsia" w:ascii="宋体" w:hAnsi="宋体" w:cs="宋体"/>
          <w:szCs w:val="21"/>
        </w:rPr>
        <w:t>15</w:t>
      </w:r>
      <w:r>
        <w:rPr>
          <w:rFonts w:ascii="宋体" w:hAnsi="宋体" w:cs="宋体"/>
          <w:szCs w:val="21"/>
        </w:rPr>
        <w:t>% -直接扣款金额。</w:t>
      </w:r>
    </w:p>
    <w:p>
      <w:pPr>
        <w:snapToGrid w:val="0"/>
        <w:spacing w:line="420" w:lineRule="exact"/>
        <w:ind w:firstLine="420"/>
        <w:rPr>
          <w:rFonts w:ascii="宋体" w:hAnsi="宋体" w:cs="宋体"/>
          <w:szCs w:val="21"/>
        </w:rPr>
      </w:pPr>
      <w:r>
        <w:rPr>
          <w:rFonts w:ascii="宋体" w:hAnsi="宋体" w:cs="宋体"/>
          <w:szCs w:val="21"/>
        </w:rPr>
        <w:t xml:space="preserve">1）由于乙方工作未到位原因造成重大故障，达到全网重大通信故障，扣款1万元 </w:t>
      </w:r>
      <w:r>
        <w:rPr>
          <w:rFonts w:hint="eastAsia" w:ascii="宋体" w:hAnsi="宋体" w:cs="宋体"/>
          <w:szCs w:val="21"/>
        </w:rPr>
        <w:t>；引起甲方批量投诉、重要客户投诉扣款</w:t>
      </w:r>
      <w:r>
        <w:rPr>
          <w:rFonts w:ascii="宋体" w:hAnsi="宋体" w:cs="宋体"/>
          <w:szCs w:val="21"/>
        </w:rPr>
        <w:t>1万元；同一故障既达到</w:t>
      </w:r>
      <w:r>
        <w:rPr>
          <w:rFonts w:hint="eastAsia" w:ascii="宋体" w:hAnsi="宋体" w:cs="宋体"/>
          <w:szCs w:val="21"/>
        </w:rPr>
        <w:t>甲方重大故障又有批量投诉，不重复扣款，取较高金额扣款。</w:t>
      </w:r>
    </w:p>
    <w:p>
      <w:pPr>
        <w:snapToGrid w:val="0"/>
        <w:spacing w:line="420" w:lineRule="exact"/>
        <w:ind w:firstLine="420"/>
        <w:rPr>
          <w:rFonts w:ascii="宋体" w:hAnsi="宋体" w:cs="宋体"/>
          <w:szCs w:val="21"/>
        </w:rPr>
      </w:pPr>
      <w:r>
        <w:rPr>
          <w:rFonts w:ascii="宋体" w:hAnsi="宋体" w:cs="宋体"/>
          <w:szCs w:val="21"/>
        </w:rPr>
        <w:t>2）由于乙方工作未到位原因，引起重大负面报道和重大信息安全事故（如客户法律诉讼、媒体曝光等途径暴露的社会影响恶劣的负面报道或信息安全事故），每次扣1万元。</w:t>
      </w:r>
    </w:p>
    <w:p>
      <w:pPr>
        <w:snapToGrid w:val="0"/>
        <w:spacing w:line="420" w:lineRule="exact"/>
        <w:ind w:firstLine="420"/>
        <w:rPr>
          <w:rFonts w:ascii="宋体" w:hAnsi="宋体" w:cs="宋体"/>
          <w:szCs w:val="21"/>
        </w:rPr>
      </w:pPr>
      <w:r>
        <w:rPr>
          <w:rFonts w:ascii="宋体" w:hAnsi="宋体" w:cs="宋体"/>
          <w:szCs w:val="21"/>
        </w:rPr>
        <w:t>3）情节严重造成买方重大经济损失或社会影响的，根据实际情况酌情扣款并保留买方进一步索赔的权利。</w:t>
      </w:r>
    </w:p>
    <w:p>
      <w:pPr>
        <w:snapToGrid w:val="0"/>
        <w:spacing w:line="420" w:lineRule="exact"/>
        <w:ind w:firstLine="420"/>
        <w:rPr>
          <w:rFonts w:ascii="宋体" w:hAnsi="宋体" w:cs="宋体"/>
          <w:szCs w:val="21"/>
        </w:rPr>
      </w:pPr>
      <w:r>
        <w:rPr>
          <w:rFonts w:ascii="宋体" w:hAnsi="宋体" w:cs="宋体"/>
          <w:szCs w:val="21"/>
        </w:rPr>
        <w:t>2.评分扣款</w:t>
      </w:r>
    </w:p>
    <w:p>
      <w:pPr>
        <w:snapToGrid w:val="0"/>
        <w:spacing w:line="420" w:lineRule="exact"/>
        <w:ind w:firstLine="420"/>
        <w:rPr>
          <w:rFonts w:ascii="宋体" w:hAnsi="宋体" w:cs="宋体"/>
          <w:szCs w:val="21"/>
        </w:rPr>
      </w:pPr>
      <w:r>
        <w:rPr>
          <w:rFonts w:hint="eastAsia" w:ascii="宋体" w:hAnsi="宋体" w:cs="宋体"/>
          <w:szCs w:val="21"/>
        </w:rPr>
        <w:t>考核期内满分为</w:t>
      </w:r>
      <w:r>
        <w:rPr>
          <w:rFonts w:ascii="宋体" w:hAnsi="宋体" w:cs="宋体"/>
          <w:szCs w:val="21"/>
        </w:rPr>
        <w:t>100分，根据考核标准及实际服务情况进行考核评分。当考核得分小于100分时，按线性比例进行扣款，扣款上限为当期合同应付金额的</w:t>
      </w:r>
      <w:r>
        <w:rPr>
          <w:rFonts w:hint="eastAsia" w:ascii="宋体" w:hAnsi="宋体" w:cs="宋体"/>
          <w:szCs w:val="21"/>
        </w:rPr>
        <w:t>60</w:t>
      </w:r>
      <w:r>
        <w:rPr>
          <w:rFonts w:ascii="宋体" w:hAnsi="宋体" w:cs="宋体"/>
          <w:szCs w:val="21"/>
        </w:rPr>
        <w:t xml:space="preserve">%： </w:t>
      </w:r>
      <w:r>
        <w:rPr>
          <w:rFonts w:hint="eastAsia" w:ascii="宋体" w:hAnsi="宋体" w:cs="宋体"/>
          <w:szCs w:val="21"/>
        </w:rPr>
        <w:t>该部分付款金额</w:t>
      </w:r>
      <w:r>
        <w:rPr>
          <w:rFonts w:ascii="宋体" w:hAnsi="宋体" w:cs="宋体"/>
          <w:szCs w:val="21"/>
        </w:rPr>
        <w:t>=当期合同应付金额*</w:t>
      </w:r>
      <w:r>
        <w:rPr>
          <w:rFonts w:hint="eastAsia" w:ascii="宋体" w:hAnsi="宋体" w:cs="宋体"/>
          <w:szCs w:val="21"/>
        </w:rPr>
        <w:t>60</w:t>
      </w:r>
      <w:r>
        <w:rPr>
          <w:rFonts w:ascii="宋体" w:hAnsi="宋体" w:cs="宋体"/>
          <w:szCs w:val="21"/>
        </w:rPr>
        <w:t>%*考核得分/100</w:t>
      </w:r>
      <w:r>
        <w:rPr>
          <w:rFonts w:hint="eastAsia" w:ascii="宋体" w:hAnsi="宋体" w:cs="宋体"/>
          <w:szCs w:val="21"/>
        </w:rPr>
        <w:t>。</w:t>
      </w:r>
    </w:p>
    <w:p>
      <w:pPr>
        <w:snapToGrid w:val="0"/>
        <w:spacing w:line="420" w:lineRule="exact"/>
        <w:ind w:firstLine="420"/>
        <w:rPr>
          <w:rFonts w:ascii="宋体" w:hAnsi="宋体" w:cs="宋体"/>
          <w:szCs w:val="21"/>
        </w:rPr>
      </w:pPr>
      <w:r>
        <w:rPr>
          <w:rFonts w:ascii="宋体" w:hAnsi="宋体" w:cs="宋体"/>
          <w:szCs w:val="21"/>
        </w:rPr>
        <w:t>3.</w:t>
      </w:r>
      <w:r>
        <w:rPr>
          <w:rFonts w:hint="eastAsia" w:ascii="宋体" w:hAnsi="宋体" w:cs="宋体"/>
          <w:szCs w:val="21"/>
        </w:rPr>
        <w:t>最终应付金额</w:t>
      </w:r>
      <w:r>
        <w:rPr>
          <w:rFonts w:ascii="宋体" w:hAnsi="宋体" w:cs="宋体"/>
          <w:szCs w:val="21"/>
        </w:rPr>
        <w:t>=（当期合同应付金额*</w:t>
      </w:r>
      <w:r>
        <w:rPr>
          <w:rFonts w:hint="eastAsia" w:ascii="宋体" w:hAnsi="宋体" w:cs="宋体"/>
          <w:szCs w:val="21"/>
        </w:rPr>
        <w:t>15</w:t>
      </w:r>
      <w:r>
        <w:rPr>
          <w:rFonts w:ascii="宋体" w:hAnsi="宋体" w:cs="宋体"/>
          <w:szCs w:val="21"/>
        </w:rPr>
        <w:t>% -直接扣款金额）+（当期合同应付金额*</w:t>
      </w:r>
      <w:r>
        <w:rPr>
          <w:rFonts w:hint="eastAsia" w:ascii="宋体" w:hAnsi="宋体" w:cs="宋体"/>
          <w:szCs w:val="21"/>
        </w:rPr>
        <w:t>60</w:t>
      </w:r>
      <w:r>
        <w:rPr>
          <w:rFonts w:ascii="宋体" w:hAnsi="宋体" w:cs="宋体"/>
          <w:szCs w:val="21"/>
        </w:rPr>
        <w:t xml:space="preserve">%*考核得分/100 </w:t>
      </w:r>
      <w:r>
        <w:rPr>
          <w:rFonts w:hint="eastAsia" w:ascii="宋体" w:hAnsi="宋体" w:cs="宋体"/>
          <w:szCs w:val="21"/>
        </w:rPr>
        <w:t>）</w:t>
      </w:r>
    </w:p>
    <w:p>
      <w:pPr>
        <w:snapToGrid w:val="0"/>
        <w:spacing w:line="420" w:lineRule="exact"/>
        <w:ind w:firstLine="480"/>
        <w:rPr>
          <w:rFonts w:ascii="宋体" w:hAnsi="宋体" w:cs="宋体"/>
          <w:b/>
          <w:bCs/>
          <w:szCs w:val="21"/>
        </w:rPr>
      </w:pPr>
      <w:r>
        <w:rPr>
          <w:rFonts w:hint="eastAsia" w:ascii="宋体" w:hAnsi="宋体" w:cs="宋体"/>
          <w:b/>
          <w:bCs/>
          <w:szCs w:val="21"/>
        </w:rPr>
        <w:t>6.2考核细则</w:t>
      </w:r>
    </w:p>
    <w:tbl>
      <w:tblPr>
        <w:tblStyle w:val="4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4"/>
        <w:gridCol w:w="928"/>
        <w:gridCol w:w="7155"/>
        <w:gridCol w:w="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7" w:type="pct"/>
            <w:gridSpan w:val="3"/>
            <w:shd w:val="clear" w:color="auto" w:fill="auto"/>
            <w:noWrap/>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考核指标</w:t>
            </w:r>
          </w:p>
        </w:tc>
        <w:tc>
          <w:tcPr>
            <w:tcW w:w="3716" w:type="pct"/>
            <w:shd w:val="clear" w:color="auto" w:fill="auto"/>
            <w:noWrap/>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考核标准</w:t>
            </w:r>
          </w:p>
        </w:tc>
        <w:tc>
          <w:tcPr>
            <w:tcW w:w="376" w:type="pct"/>
            <w:shd w:val="clear" w:color="auto" w:fill="auto"/>
            <w:noWrap/>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907" w:type="pct"/>
            <w:gridSpan w:val="3"/>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1.日常维护（15分）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（1）未按时完成或未达到要求的日常维护工作，每次扣0.5分；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（2）对于临时性的维护工作，未按约定时间完成的或未达到要求的，每次扣0.5分。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（3）协维单位入场后一个月内提交完备的应急方案，明确应急责任人和应急流程，每延迟一周的扣5分；同时应</w:t>
            </w:r>
            <w:r>
              <w:rPr>
                <w:rFonts w:hint="eastAsia" w:hAnsi="宋体" w:cs="宋体"/>
              </w:rPr>
              <w:t>当</w:t>
            </w:r>
            <w:r>
              <w:rPr>
                <w:rFonts w:hint="eastAsia" w:ascii="宋体" w:hAnsi="宋体" w:cs="宋体"/>
                <w:color w:val="000000"/>
                <w:kern w:val="0"/>
                <w:szCs w:val="21"/>
              </w:rPr>
              <w:t>每半年完成一次应急演练，提交演练报告，提出优化建议并修订应急预案，未按要求完成的每次扣5分。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（4）由于协维工作不到位，被领导批评或被甲方专业部门考核或通报的，根据影响程度每次扣1-5分。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（5）由于协维工作不到位，导致甲方被上级单位或管理部门考核或通报，根据影响程度每次扣5-10分。</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907" w:type="pct"/>
            <w:gridSpan w:val="3"/>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2.故障管理（15分）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（1）对不影响业务正常使用的问题或故障，故障恢复时间＞3天的，每延迟1天扣0.5分，不足的按1天计算。</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（2）对于影响业务正常使用的故障，故障恢复时间＞20分钟的，按业务影响范围和严重程度扣分0.5-5分，每延迟半小时扣0.5-1分，不足的按半小时计算。</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（3）重大故障处理完后一周内必须召开故障分析会，查明原因，落实责任，并提出有效的整改措施和计划，不能达到“三不放过”要求的必须整改至达到要求为止，每延迟1天扣1分。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（4）对于其他故障，在故障处理完成后48小时内提供故障分析报告，不能达到“三不放过”要求的必须整改至达到要求为止，每延迟1天扣0.5分。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（5）故障必须追责，因协维合作伙伴原因造成故障的，根据故障严重程度，每次扣1-10分。</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07" w:type="pct"/>
            <w:gridSpan w:val="3"/>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3.安全合规（10分）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（1）协维合作伙伴必须遵守甲方相关管理规定，违反规定但未造成不良后果的，每次扣0.5分；造成不良后果的，根据事件影响面和严重程度，扣2-10分。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（2）协维人员必须遵守甲方信息安全、维护等相关管理规定、操作流程及规程，每违规一次扣1分。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3）因协维合作伙伴原因导致的网络与信息安全事件（如：通报批评、相关信息或数据泄漏、系统感染病毒等）或其它安全生产事件（盗窃、火灾等）的，根据事件影响面和严重程度，每次扣2-10分，且重大安全事件按相关规定处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（4）协维合作伙伴必须指定专人担任安全审计员，每月10日前按要求提交审计自查报告，每延迟一天扣0.5分；若违规现象未在审计报告中说明的，每条违规记录扣1分。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（5）维护操作、维护资料不符合审计要求，每处错误，扣0.5分，被内审、外审发现，每处错误扣1-5分。 </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vMerge w:val="restart"/>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4.服务质量（15分）</w:t>
            </w:r>
          </w:p>
        </w:tc>
        <w:tc>
          <w:tcPr>
            <w:tcW w:w="562" w:type="pct"/>
            <w:gridSpan w:val="2"/>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响应速度</w:t>
            </w:r>
          </w:p>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（5分）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（1）所有协维人员均配备电话并书面告知维护主管，现场负责人及主要协维人员须24小时开机并确保能够随时联系，若在20分钟内无法联系的，每次扣1分，现场负责人扣分加倍。</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（2）协维人员每项任务不能在约定的时间内完成的，每次扣0.5分。</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46" w:type="pct"/>
            <w:vMerge w:val="continue"/>
            <w:vAlign w:val="center"/>
          </w:tcPr>
          <w:p>
            <w:pPr>
              <w:widowControl/>
              <w:spacing w:line="320" w:lineRule="exact"/>
              <w:jc w:val="center"/>
              <w:rPr>
                <w:rFonts w:ascii="宋体" w:hAnsi="宋体" w:cs="宋体"/>
                <w:b/>
                <w:bCs/>
                <w:color w:val="000000"/>
                <w:kern w:val="0"/>
                <w:szCs w:val="21"/>
              </w:rPr>
            </w:pPr>
          </w:p>
        </w:tc>
        <w:tc>
          <w:tcPr>
            <w:tcW w:w="562" w:type="pct"/>
            <w:gridSpan w:val="2"/>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工作态度</w:t>
            </w:r>
          </w:p>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（5分）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（1）协维人员工作态度恶劣，工作责作心、主动性不够，敷衍工作任务，推诿责任，每次扣1分。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（2）协维人员不及时按要求完成临时交办的任务，每次扣0.5分。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（3）协维人员不及时反馈工作任务进度、结果的，每次扣0.5分。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（4）协维单位现场负责人应</w:t>
            </w:r>
            <w:r>
              <w:rPr>
                <w:rFonts w:hint="eastAsia" w:hAnsi="宋体" w:cs="宋体"/>
              </w:rPr>
              <w:t>当</w:t>
            </w:r>
            <w:r>
              <w:rPr>
                <w:rFonts w:hint="eastAsia" w:ascii="宋体" w:hAnsi="宋体" w:cs="宋体"/>
                <w:color w:val="000000"/>
                <w:kern w:val="0"/>
                <w:szCs w:val="21"/>
              </w:rPr>
              <w:t>定期主动与用户和维护主管沟通，及时报告工作情况，积极开展现场管理，不及时、不主动的每次扣1分。</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46" w:type="pct"/>
            <w:vMerge w:val="continue"/>
            <w:vAlign w:val="center"/>
          </w:tcPr>
          <w:p>
            <w:pPr>
              <w:widowControl/>
              <w:spacing w:line="320" w:lineRule="exact"/>
              <w:jc w:val="center"/>
              <w:rPr>
                <w:rFonts w:ascii="宋体" w:hAnsi="宋体" w:cs="宋体"/>
                <w:b/>
                <w:bCs/>
                <w:color w:val="000000"/>
                <w:kern w:val="0"/>
                <w:szCs w:val="21"/>
              </w:rPr>
            </w:pPr>
          </w:p>
        </w:tc>
        <w:tc>
          <w:tcPr>
            <w:tcW w:w="562" w:type="pct"/>
            <w:gridSpan w:val="2"/>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用户满意度</w:t>
            </w:r>
          </w:p>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（5分）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（1）在用户满意度调查中，协维合作伙伴评价为满意度低于85%的扣1分，每低2%加扣1分。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（2）由于协维人员工作态度、服务质量等问题导致用户或其他合作伙伴投诉，经核实后情况属实，每次扣0.5分。</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07" w:type="pct"/>
            <w:gridSpan w:val="3"/>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5.文档管理</w:t>
            </w:r>
          </w:p>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（5分）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协维合作伙伴必须按期提交服务报告（含维护周报、月报、总结、优化服务报告）及问题整改情况表等维护管理文档，按要求及时提供系统优化方案、故障分析报告等维护相关的技术文档，不符合要求的每次扣0.5分，每延迟1天扣0.5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（2）协维合作伙伴应</w:t>
            </w:r>
            <w:r>
              <w:rPr>
                <w:rFonts w:hint="eastAsia" w:hAnsi="宋体" w:cs="宋体"/>
              </w:rPr>
              <w:t>当</w:t>
            </w:r>
            <w:r>
              <w:rPr>
                <w:rFonts w:hint="eastAsia" w:ascii="宋体" w:hAnsi="宋体" w:cs="宋体"/>
                <w:color w:val="000000"/>
                <w:kern w:val="0"/>
                <w:szCs w:val="21"/>
              </w:rPr>
              <w:t>补充、完善维护所需技术文档，包括维护手册、用户手册、应急预案、所维护系统的完整网络拓扑图、系统功能图等，未按要求提供的每次扣0.5分。</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07" w:type="pct"/>
            <w:gridSpan w:val="3"/>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6.人员保障</w:t>
            </w:r>
          </w:p>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（20分）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（1）协维合作伙伴按要求在入场时确保人员到位，在入场一周内以公司盖章的书面文件方式提供人员名单（含姓名、职务、联系方式、分工等信息），书面文件每延迟一天的扣1分。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（2）协维合作伙伴必须指定现场负责人，代表公司全权处理现场管理事务，没有指定的扣5分，人员不满足要求的按人员投入不足扣分。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（3）若协维人数未达到合同约定数量，每少1人第一周扣2分，后续每周加倍扣分，不满一周的按一周计算。</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（4）协维人员分工应</w:t>
            </w:r>
            <w:r>
              <w:rPr>
                <w:rFonts w:hint="eastAsia" w:hAnsi="宋体" w:cs="宋体"/>
              </w:rPr>
              <w:t>当</w:t>
            </w:r>
            <w:r>
              <w:rPr>
                <w:rFonts w:hint="eastAsia" w:ascii="宋体" w:hAnsi="宋体" w:cs="宋体"/>
                <w:color w:val="000000"/>
                <w:kern w:val="0"/>
                <w:szCs w:val="21"/>
              </w:rPr>
              <w:t>明确并胜任所负责的协维工作，所有岗位应</w:t>
            </w:r>
            <w:r>
              <w:rPr>
                <w:rFonts w:hint="eastAsia" w:hAnsi="宋体" w:cs="宋体"/>
              </w:rPr>
              <w:t>当</w:t>
            </w:r>
            <w:r>
              <w:rPr>
                <w:rFonts w:hint="eastAsia" w:ascii="宋体" w:hAnsi="宋体" w:cs="宋体"/>
                <w:color w:val="000000"/>
                <w:kern w:val="0"/>
                <w:szCs w:val="21"/>
              </w:rPr>
              <w:t>设置AB角，未明确AB角每次扣1分；协维人员能力在入职一周后经专家组评定不能满足工作要求的，每人次扣1分；连续两次评定不能满足工作要求的，按人员投入不足扣分。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（5）协维人员变更前需提前1个月征得维护主管同意，在离职前两周接替人员必须到位，两周内一同工作，确保平稳交接，不满以上任意要求每次扣5分。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（6）保持协维人员稳定，全年人员变更占比不得超过一半，否则扣5分，每超20%扣5分。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（7）协维人员每两月至少接受一次与工作密切相关的专题技术培训，以提升维护技能，月末汇总提交相关证明文档（培训内容、目标、参与人员等），否则每月扣2分。</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7" w:type="pct"/>
            <w:gridSpan w:val="3"/>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7.劳动纪律</w:t>
            </w:r>
          </w:p>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（10分）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（1）协维合作伙伴入场一周内提供协维人员工作时间的排班表及非工作时间的值班表，并实时更新，每延迟一天扣0.5分。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（2）除特别约定外，现场协维护人员须按照甲方作息时间上下班，如迟到或早退，每人次扣0.5分；上班期间因故不能在岗的需提前征得维护主管同意，未请假者视同旷工，每人次扣1分。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（3）协维合作伙伴在工作时间之外必须有专人按值班表值班，值班电话要对外公布并保持通畅，未按排值班每次扣0.5分，未使用电话值班的扣0.5分。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（4）协维人员服从现场管理要求，遵守物业管理、安全生产相关规定，所有现场协维人员须签订《现场管理承诺书》，保持工作场地卫生整洁，如有违反，酌情每人次扣0.5-2分。</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26" w:type="pct"/>
            <w:gridSpan w:val="2"/>
            <w:vMerge w:val="restart"/>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10.其它（10分，根据需要可多选并均摊分数）</w:t>
            </w:r>
          </w:p>
        </w:tc>
        <w:tc>
          <w:tcPr>
            <w:tcW w:w="482" w:type="pct"/>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备品备件支持</w:t>
            </w:r>
          </w:p>
        </w:tc>
        <w:tc>
          <w:tcPr>
            <w:tcW w:w="3716" w:type="pct"/>
            <w:shd w:val="clear" w:color="000000" w:fill="FFFFFF"/>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（1）在影响业务或即将影响业务情况下，不能在4小时内提供常用备品备件的，根据影响程度每次扣2-5分，推卸或推迟准备不常用备品备件的，根据影响程度每次扣2-10分。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（2）未能在2小时内修复或更换故障件的，每发生一次扣2分。未能在24小时内修复或更换故障件的，每发生一次扣5分。</w:t>
            </w:r>
          </w:p>
        </w:tc>
        <w:tc>
          <w:tcPr>
            <w:tcW w:w="376" w:type="pct"/>
            <w:shd w:val="clear" w:color="auto" w:fill="auto"/>
            <w:noWrap/>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pct"/>
            <w:gridSpan w:val="2"/>
            <w:vMerge w:val="continue"/>
            <w:vAlign w:val="center"/>
          </w:tcPr>
          <w:p>
            <w:pPr>
              <w:widowControl/>
              <w:spacing w:line="320" w:lineRule="exact"/>
              <w:jc w:val="center"/>
              <w:rPr>
                <w:rFonts w:ascii="宋体" w:hAnsi="宋体" w:cs="宋体"/>
                <w:b/>
                <w:bCs/>
                <w:color w:val="000000"/>
                <w:kern w:val="0"/>
                <w:szCs w:val="21"/>
              </w:rPr>
            </w:pPr>
          </w:p>
        </w:tc>
        <w:tc>
          <w:tcPr>
            <w:tcW w:w="482" w:type="pct"/>
            <w:shd w:val="clear" w:color="auto" w:fill="auto"/>
            <w:noWrap/>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工单管理</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（1）省内工单处理不及时或处理不正确，每次扣0.5分。</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（2）集团工单处理不及时或处理不正确，根据影响程度每次扣1-5分。</w:t>
            </w:r>
          </w:p>
        </w:tc>
        <w:tc>
          <w:tcPr>
            <w:tcW w:w="376" w:type="pct"/>
            <w:shd w:val="clear" w:color="auto" w:fill="auto"/>
            <w:noWrap/>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pct"/>
            <w:gridSpan w:val="3"/>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加分项</w:t>
            </w:r>
          </w:p>
        </w:tc>
        <w:tc>
          <w:tcPr>
            <w:tcW w:w="3716" w:type="pct"/>
            <w:shd w:val="clear" w:color="auto" w:fill="auto"/>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相关工作因合作伙伴有效支撑得到上级单位或管理部门书面表扬的，加1至5分；得到业务部门书面表扬的，加1-2分。加分最多加至100分。</w:t>
            </w:r>
          </w:p>
        </w:tc>
        <w:tc>
          <w:tcPr>
            <w:tcW w:w="376" w:type="pct"/>
            <w:shd w:val="clear" w:color="auto" w:fill="auto"/>
            <w:noWrap/>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24" w:type="pct"/>
            <w:gridSpan w:val="4"/>
            <w:shd w:val="clear" w:color="auto" w:fill="auto"/>
            <w:vAlign w:val="center"/>
          </w:tcPr>
          <w:p>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合计得分</w:t>
            </w:r>
          </w:p>
        </w:tc>
        <w:tc>
          <w:tcPr>
            <w:tcW w:w="376" w:type="pct"/>
            <w:shd w:val="clear" w:color="auto" w:fill="auto"/>
            <w:noWrap/>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bl>
    <w:p>
      <w:pPr>
        <w:rPr>
          <w:rFonts w:ascii="宋体" w:hAnsi="宋体"/>
          <w:szCs w:val="21"/>
        </w:rPr>
      </w:pPr>
    </w:p>
    <w:p>
      <w:pPr>
        <w:rPr>
          <w:rFonts w:ascii="宋体" w:hAnsi="宋体"/>
          <w:b/>
          <w:sz w:val="24"/>
          <w:szCs w:val="24"/>
        </w:rPr>
      </w:pPr>
      <w:r>
        <w:rPr>
          <w:rFonts w:hint="eastAsia" w:ascii="宋体" w:hAnsi="宋体"/>
          <w:b/>
          <w:sz w:val="24"/>
          <w:szCs w:val="24"/>
        </w:rPr>
        <w:t>（六）</w:t>
      </w:r>
      <w:r>
        <w:rPr>
          <w:rFonts w:ascii="宋体" w:hAnsi="宋体"/>
          <w:b/>
          <w:sz w:val="24"/>
          <w:szCs w:val="24"/>
        </w:rPr>
        <w:t>其他要求</w:t>
      </w:r>
    </w:p>
    <w:p>
      <w:pPr>
        <w:spacing w:line="460" w:lineRule="exact"/>
        <w:ind w:firstLine="422" w:firstLineChars="200"/>
        <w:rPr>
          <w:rFonts w:ascii="宋体" w:hAnsi="宋体" w:cs="宋体"/>
          <w:b/>
          <w:color w:val="000000"/>
          <w:szCs w:val="21"/>
        </w:rPr>
      </w:pPr>
      <w:r>
        <w:rPr>
          <w:rFonts w:ascii="宋体" w:hAnsi="宋体" w:cs="宋体"/>
          <w:b/>
          <w:color w:val="000000"/>
          <w:szCs w:val="21"/>
        </w:rPr>
        <w:t>1</w:t>
      </w:r>
      <w:r>
        <w:rPr>
          <w:rFonts w:hint="eastAsia" w:ascii="宋体" w:hAnsi="宋体" w:cs="宋体"/>
          <w:b/>
          <w:color w:val="000000"/>
          <w:szCs w:val="21"/>
        </w:rPr>
        <w:t>、投标要求</w:t>
      </w:r>
    </w:p>
    <w:p>
      <w:pPr>
        <w:spacing w:line="420" w:lineRule="exact"/>
        <w:ind w:firstLine="480"/>
        <w:rPr>
          <w:rFonts w:ascii="宋体" w:hAnsi="宋体" w:cs="宋体"/>
          <w:color w:val="000000" w:themeColor="text1"/>
          <w:szCs w:val="21"/>
          <w:lang w:val="zh-CN"/>
          <w14:textFill>
            <w14:solidFill>
              <w14:schemeClr w14:val="tx1"/>
            </w14:solidFill>
          </w14:textFill>
        </w:rPr>
      </w:pPr>
      <w:bookmarkStart w:id="174" w:name="_Toc198664041"/>
      <w:r>
        <w:rPr>
          <w:rFonts w:hint="eastAsia" w:ascii="宋体" w:hAnsi="宋体" w:cs="宋体"/>
          <w:bCs/>
          <w:color w:val="000000" w:themeColor="text1"/>
          <w:szCs w:val="21"/>
          <w:lang w:val="zh-CN"/>
          <w14:textFill>
            <w14:solidFill>
              <w14:schemeClr w14:val="tx1"/>
            </w14:solidFill>
          </w14:textFill>
        </w:rPr>
        <w:t>投标人必须服从采购人的统一协调</w:t>
      </w:r>
      <w:r>
        <w:rPr>
          <w:rFonts w:hint="eastAsia" w:ascii="宋体" w:hAnsi="宋体" w:cs="宋体"/>
          <w:color w:val="000000" w:themeColor="text1"/>
          <w:szCs w:val="21"/>
          <w:lang w:val="zh-CN"/>
          <w14:textFill>
            <w14:solidFill>
              <w14:schemeClr w14:val="tx1"/>
            </w14:solidFill>
          </w14:textFill>
        </w:rPr>
        <w:t>，完成实施方案设计、定制功能需求设计、软件开发、安装调试、系统集成、项目验收、技术支持、运行维护等工作。采购人有权裁决项目执行各方的责任范围，投标人必须无条件执行，并在规定的时间内解决问题。如果不配合采购人工作或因投标人原因，严重影响工程质量和进度、造成严重后果的，采购人有权退货、索赔或拒付款项。</w:t>
      </w:r>
    </w:p>
    <w:p>
      <w:pPr>
        <w:spacing w:line="420" w:lineRule="exact"/>
        <w:ind w:firstLine="480"/>
        <w:rPr>
          <w:rFonts w:ascii="宋体" w:hAnsi="宋体" w:cs="宋体"/>
          <w:bCs/>
          <w:szCs w:val="21"/>
          <w:lang w:val="zh-CN"/>
        </w:rPr>
      </w:pPr>
      <w:r>
        <w:rPr>
          <w:rFonts w:hint="eastAsia" w:ascii="宋体" w:hAnsi="宋体" w:cs="宋体"/>
          <w:bCs/>
          <w:szCs w:val="21"/>
          <w:lang w:val="zh-CN"/>
        </w:rPr>
        <w:t>本项目要求投标人所投产品为业界成熟、</w:t>
      </w:r>
      <w:r>
        <w:rPr>
          <w:rFonts w:hint="eastAsia" w:ascii="宋体" w:hAnsi="宋体" w:cs="宋体"/>
          <w:bCs/>
          <w:szCs w:val="21"/>
        </w:rPr>
        <w:t>适配良好</w:t>
      </w:r>
      <w:r>
        <w:rPr>
          <w:rFonts w:hint="eastAsia" w:ascii="宋体" w:hAnsi="宋体" w:cs="宋体"/>
          <w:bCs/>
          <w:szCs w:val="21"/>
          <w:lang w:val="zh-CN"/>
        </w:rPr>
        <w:t>的产品或技术，</w:t>
      </w:r>
      <w:r>
        <w:rPr>
          <w:rFonts w:hint="eastAsia" w:ascii="宋体" w:hAnsi="宋体" w:cs="宋体"/>
          <w:bCs/>
          <w:szCs w:val="21"/>
        </w:rPr>
        <w:t>不得以实验室产品、测试产品等投标</w:t>
      </w:r>
      <w:r>
        <w:rPr>
          <w:rFonts w:hint="eastAsia" w:ascii="宋体" w:hAnsi="宋体" w:cs="宋体"/>
          <w:bCs/>
          <w:szCs w:val="21"/>
          <w:lang w:val="zh-CN"/>
        </w:rPr>
        <w:t>。</w:t>
      </w:r>
    </w:p>
    <w:p>
      <w:pPr>
        <w:spacing w:line="420" w:lineRule="exact"/>
        <w:ind w:firstLine="480"/>
        <w:rPr>
          <w:rFonts w:ascii="宋体" w:hAnsi="宋体" w:cs="宋体"/>
          <w:bCs/>
          <w:szCs w:val="21"/>
          <w:lang w:val="zh-CN"/>
        </w:rPr>
      </w:pPr>
      <w:r>
        <w:rPr>
          <w:rFonts w:hint="eastAsia" w:ascii="宋体" w:hAnsi="宋体" w:cs="宋体"/>
          <w:bCs/>
          <w:szCs w:val="21"/>
          <w:lang w:val="zh-CN"/>
        </w:rPr>
        <w:t>在本项目采购范围内的软件产品，投标人需提供完整的授权，</w:t>
      </w:r>
      <w:r>
        <w:rPr>
          <w:rFonts w:hint="eastAsia" w:ascii="宋体" w:hAnsi="宋体" w:cs="宋体"/>
          <w:bCs/>
          <w:szCs w:val="21"/>
        </w:rPr>
        <w:t>不得有产权或商业纠纷</w:t>
      </w:r>
      <w:r>
        <w:rPr>
          <w:rFonts w:hint="eastAsia" w:ascii="宋体" w:hAnsi="宋体" w:cs="宋体"/>
          <w:bCs/>
          <w:szCs w:val="21"/>
          <w:lang w:val="zh-CN"/>
        </w:rPr>
        <w:t>。如有第三方关软件或工具的，其产品和服务价格一并计入投标总价。</w:t>
      </w:r>
      <w:bookmarkEnd w:id="174"/>
    </w:p>
    <w:p>
      <w:pPr>
        <w:spacing w:line="460" w:lineRule="exact"/>
        <w:ind w:firstLine="422" w:firstLineChars="200"/>
        <w:rPr>
          <w:rFonts w:ascii="宋体" w:hAnsi="宋体" w:cs="宋体"/>
          <w:b/>
          <w:color w:val="000000"/>
          <w:szCs w:val="21"/>
        </w:rPr>
      </w:pPr>
      <w:bookmarkStart w:id="175" w:name="_Toc44505028"/>
      <w:r>
        <w:rPr>
          <w:rFonts w:ascii="宋体" w:hAnsi="宋体" w:cs="宋体"/>
          <w:b/>
          <w:color w:val="000000"/>
          <w:szCs w:val="21"/>
        </w:rPr>
        <w:t>2</w:t>
      </w:r>
      <w:r>
        <w:rPr>
          <w:rFonts w:hint="eastAsia" w:ascii="宋体" w:hAnsi="宋体" w:cs="宋体"/>
          <w:b/>
          <w:color w:val="000000"/>
          <w:szCs w:val="21"/>
        </w:rPr>
        <w:t>、保密要求</w:t>
      </w:r>
      <w:bookmarkEnd w:id="175"/>
    </w:p>
    <w:p>
      <w:pPr>
        <w:spacing w:line="420" w:lineRule="exact"/>
        <w:ind w:firstLine="420" w:firstLineChars="200"/>
        <w:rPr>
          <w:rFonts w:ascii="宋体" w:hAnsi="宋体" w:cs="宋体"/>
          <w:szCs w:val="21"/>
        </w:rPr>
      </w:pPr>
      <w:r>
        <w:rPr>
          <w:rFonts w:hint="eastAsia" w:ascii="宋体" w:hAnsi="宋体" w:cs="宋体"/>
          <w:szCs w:val="21"/>
        </w:rPr>
        <w:t>投标人参与项目的所有人员应</w:t>
      </w:r>
      <w:r>
        <w:rPr>
          <w:rFonts w:hint="eastAsia" w:hAnsi="宋体" w:cs="宋体"/>
        </w:rPr>
        <w:t>当</w:t>
      </w:r>
      <w:r>
        <w:rPr>
          <w:rFonts w:hint="eastAsia" w:ascii="宋体" w:hAnsi="宋体" w:cs="宋体"/>
          <w:szCs w:val="21"/>
        </w:rPr>
        <w:t>严格遵守采购人的保密要求，签订保密协议，并由投标人担保。</w:t>
      </w:r>
    </w:p>
    <w:p>
      <w:pPr>
        <w:spacing w:line="420" w:lineRule="exact"/>
        <w:ind w:firstLine="420" w:firstLineChars="200"/>
        <w:rPr>
          <w:rFonts w:ascii="宋体" w:hAnsi="宋体" w:cs="宋体"/>
          <w:szCs w:val="21"/>
        </w:rPr>
      </w:pPr>
      <w:r>
        <w:rPr>
          <w:rFonts w:hint="eastAsia" w:ascii="宋体" w:hAnsi="宋体" w:cs="宋体"/>
          <w:szCs w:val="21"/>
        </w:rPr>
        <w:t>投标人对于采购人提供的资料，以及本项目实施过程中所涉及的所有文档、数据、介质和相关信息保密，未经许可，不得以任何形式向第三方传播。保密期限不</w:t>
      </w:r>
      <w:r>
        <w:rPr>
          <w:rFonts w:hint="eastAsia" w:ascii="宋体" w:hAnsi="宋体" w:cs="宋体"/>
          <w:color w:val="000000"/>
          <w:kern w:val="0"/>
          <w:szCs w:val="21"/>
        </w:rPr>
        <w:t>得</w:t>
      </w:r>
      <w:r>
        <w:rPr>
          <w:rFonts w:hint="eastAsia" w:ascii="宋体" w:hAnsi="宋体" w:cs="宋体"/>
          <w:szCs w:val="21"/>
        </w:rPr>
        <w:t>受本项目期限的限制，在本项目履行完毕后，保密信息接受方仍应</w:t>
      </w:r>
      <w:r>
        <w:rPr>
          <w:rFonts w:hint="eastAsia" w:hAnsi="宋体" w:cs="宋体"/>
        </w:rPr>
        <w:t>当</w:t>
      </w:r>
      <w:r>
        <w:rPr>
          <w:rFonts w:hint="eastAsia" w:ascii="宋体" w:hAnsi="宋体" w:cs="宋体"/>
          <w:szCs w:val="21"/>
        </w:rPr>
        <w:t>承担保密义务。</w:t>
      </w:r>
    </w:p>
    <w:p>
      <w:pPr>
        <w:spacing w:line="420" w:lineRule="exact"/>
        <w:ind w:firstLine="420" w:firstLineChars="200"/>
        <w:rPr>
          <w:rFonts w:ascii="宋体" w:hAnsi="宋体" w:cs="宋体"/>
          <w:szCs w:val="21"/>
        </w:rPr>
      </w:pPr>
      <w:r>
        <w:rPr>
          <w:rFonts w:hint="eastAsia" w:ascii="宋体" w:hAnsi="宋体" w:cs="宋体"/>
          <w:szCs w:val="21"/>
        </w:rPr>
        <w:t>如因投标人一方的原因造成泄密，采购人将保留追究其法律责任的权利。</w:t>
      </w:r>
    </w:p>
    <w:p>
      <w:pPr>
        <w:spacing w:line="460" w:lineRule="exact"/>
        <w:ind w:firstLine="422" w:firstLineChars="200"/>
        <w:rPr>
          <w:rFonts w:ascii="宋体" w:hAnsi="宋体" w:cs="宋体"/>
          <w:b/>
          <w:color w:val="000000"/>
          <w:szCs w:val="21"/>
        </w:rPr>
      </w:pPr>
      <w:bookmarkStart w:id="176" w:name="_Toc44505029"/>
      <w:bookmarkStart w:id="177" w:name="_Toc462145355"/>
      <w:bookmarkStart w:id="178" w:name="_Toc10931"/>
      <w:r>
        <w:rPr>
          <w:rFonts w:ascii="宋体" w:hAnsi="宋体" w:cs="宋体"/>
          <w:b/>
          <w:color w:val="000000"/>
          <w:szCs w:val="21"/>
        </w:rPr>
        <w:t>3</w:t>
      </w:r>
      <w:r>
        <w:rPr>
          <w:rFonts w:hint="eastAsia" w:ascii="宋体" w:hAnsi="宋体" w:cs="宋体"/>
          <w:b/>
          <w:color w:val="000000"/>
          <w:szCs w:val="21"/>
        </w:rPr>
        <w:t>、知识转移要求</w:t>
      </w:r>
      <w:bookmarkEnd w:id="176"/>
      <w:bookmarkEnd w:id="177"/>
      <w:bookmarkEnd w:id="178"/>
    </w:p>
    <w:p>
      <w:pPr>
        <w:spacing w:line="420" w:lineRule="exact"/>
        <w:ind w:firstLine="420" w:firstLineChars="200"/>
        <w:rPr>
          <w:rFonts w:ascii="宋体" w:hAnsi="宋体" w:cs="宋体"/>
          <w:szCs w:val="21"/>
        </w:rPr>
      </w:pPr>
      <w:r>
        <w:rPr>
          <w:rFonts w:hint="eastAsia" w:ascii="宋体" w:hAnsi="宋体" w:cs="宋体"/>
          <w:szCs w:val="21"/>
        </w:rPr>
        <w:t>知识转移的目标是投标人要采取有效方法、途径保证采购人能顺利完成本项目实施过程中各阶段移交物的接收及技术知识的吸收和转移，确保采购人能够掌握该项目的核心技术。</w:t>
      </w:r>
    </w:p>
    <w:p>
      <w:pPr>
        <w:spacing w:line="420" w:lineRule="exact"/>
        <w:ind w:firstLine="420" w:firstLineChars="200"/>
        <w:rPr>
          <w:rFonts w:ascii="宋体" w:hAnsi="宋体" w:cs="宋体"/>
          <w:szCs w:val="21"/>
        </w:rPr>
      </w:pPr>
      <w:r>
        <w:rPr>
          <w:rFonts w:hint="eastAsia" w:ascii="宋体" w:hAnsi="宋体" w:cs="宋体"/>
          <w:szCs w:val="21"/>
        </w:rPr>
        <w:t>采购人不单独对知识转移支付费用。</w:t>
      </w:r>
    </w:p>
    <w:p>
      <w:pPr>
        <w:spacing w:line="460" w:lineRule="exact"/>
        <w:ind w:firstLine="422" w:firstLineChars="200"/>
        <w:rPr>
          <w:rFonts w:ascii="宋体" w:hAnsi="宋体" w:cs="宋体"/>
          <w:b/>
          <w:color w:val="000000"/>
          <w:szCs w:val="21"/>
        </w:rPr>
      </w:pPr>
      <w:bookmarkStart w:id="179" w:name="_Toc44505030"/>
      <w:bookmarkStart w:id="180" w:name="_Toc580539306"/>
      <w:bookmarkStart w:id="181" w:name="_Toc26954"/>
      <w:r>
        <w:rPr>
          <w:rFonts w:ascii="宋体" w:hAnsi="宋体" w:cs="宋体"/>
          <w:b/>
          <w:color w:val="000000"/>
          <w:szCs w:val="21"/>
        </w:rPr>
        <w:t>4</w:t>
      </w:r>
      <w:r>
        <w:rPr>
          <w:rFonts w:hint="eastAsia" w:ascii="宋体" w:hAnsi="宋体" w:cs="宋体"/>
          <w:b/>
          <w:color w:val="000000"/>
          <w:szCs w:val="21"/>
        </w:rPr>
        <w:t>、知识产权要求</w:t>
      </w:r>
      <w:bookmarkEnd w:id="179"/>
      <w:bookmarkEnd w:id="180"/>
      <w:bookmarkEnd w:id="181"/>
    </w:p>
    <w:p>
      <w:pPr>
        <w:pStyle w:val="265"/>
        <w:spacing w:line="420" w:lineRule="exact"/>
        <w:rPr>
          <w:rFonts w:ascii="宋体" w:hAnsi="宋体" w:cs="宋体"/>
          <w:sz w:val="21"/>
          <w:szCs w:val="21"/>
        </w:rPr>
      </w:pPr>
      <w:r>
        <w:rPr>
          <w:rFonts w:hint="eastAsia" w:ascii="宋体" w:hAnsi="宋体" w:cs="宋体"/>
          <w:sz w:val="21"/>
          <w:szCs w:val="21"/>
        </w:rPr>
        <w:t>项目实施过程中所产生的所有成果（包括发明、发现、可运行系统、相关技术资料、文档等）归采购人所有。对本项目开发的产品，采购人拥有全部版权。中标人必须完整提供所有与业务相关的文档和源代码，包括构基础类库及工具源代码、详细清单、技术文档（电子文档、打印文档）等，并保证没有漏洞及后门。源程序在采购人提供的环境下可编译，在采购人提供的平台下可组装。保证采购人可进行自主维护，不得采取安装加密狗或加密程序等限制措施。</w:t>
      </w:r>
    </w:p>
    <w:p>
      <w:pPr>
        <w:pStyle w:val="265"/>
        <w:spacing w:line="420" w:lineRule="exact"/>
        <w:rPr>
          <w:rFonts w:ascii="宋体" w:hAnsi="宋体" w:cs="宋体"/>
          <w:sz w:val="21"/>
          <w:szCs w:val="21"/>
        </w:rPr>
      </w:pPr>
      <w:r>
        <w:rPr>
          <w:rFonts w:hint="eastAsia" w:ascii="宋体" w:hAnsi="宋体" w:cs="宋体"/>
          <w:sz w:val="21"/>
          <w:szCs w:val="21"/>
        </w:rPr>
        <w:t>投标人应</w:t>
      </w:r>
      <w:r>
        <w:rPr>
          <w:rFonts w:hint="eastAsia" w:hAnsi="宋体" w:cs="宋体"/>
        </w:rPr>
        <w:t>当</w:t>
      </w:r>
      <w:r>
        <w:rPr>
          <w:rFonts w:hint="eastAsia" w:ascii="宋体" w:hAnsi="宋体" w:cs="宋体"/>
          <w:sz w:val="21"/>
          <w:szCs w:val="21"/>
        </w:rPr>
        <w:t>保证在本项目中所有预装和为本项目安装的软件为在中国境内具有合法版权或使用权的正版软件且无质量瑕疵。</w:t>
      </w:r>
    </w:p>
    <w:p>
      <w:pPr>
        <w:pStyle w:val="265"/>
        <w:spacing w:line="420" w:lineRule="exact"/>
        <w:rPr>
          <w:rFonts w:ascii="宋体" w:hAnsi="宋体" w:cs="宋体"/>
          <w:sz w:val="21"/>
          <w:szCs w:val="21"/>
        </w:rPr>
      </w:pPr>
      <w:r>
        <w:rPr>
          <w:rFonts w:hint="eastAsia" w:ascii="宋体" w:hAnsi="宋体" w:cs="宋体"/>
          <w:sz w:val="21"/>
          <w:szCs w:val="21"/>
        </w:rPr>
        <w:t>投标人应</w:t>
      </w:r>
      <w:r>
        <w:rPr>
          <w:rFonts w:hint="eastAsia" w:hAnsi="宋体" w:cs="宋体"/>
        </w:rPr>
        <w:t>当</w:t>
      </w:r>
      <w:r>
        <w:rPr>
          <w:rFonts w:hint="eastAsia" w:ascii="宋体" w:hAnsi="宋体" w:cs="宋体"/>
          <w:sz w:val="21"/>
          <w:szCs w:val="21"/>
        </w:rPr>
        <w:t>保证其所提供的产品及服务不</w:t>
      </w:r>
      <w:r>
        <w:rPr>
          <w:rFonts w:hint="eastAsia" w:ascii="宋体" w:hAnsi="宋体" w:cs="宋体"/>
          <w:color w:val="000000"/>
          <w:szCs w:val="21"/>
        </w:rPr>
        <w:t>得</w:t>
      </w:r>
      <w:r>
        <w:rPr>
          <w:rFonts w:hint="eastAsia" w:ascii="宋体" w:hAnsi="宋体" w:cs="宋体"/>
          <w:sz w:val="21"/>
          <w:szCs w:val="21"/>
        </w:rPr>
        <w:t>侵犯第三方的知识产权，否则，由此给采购人造成的一切损失由投标人承担。</w:t>
      </w:r>
    </w:p>
    <w:p>
      <w:pPr>
        <w:pStyle w:val="265"/>
        <w:spacing w:line="420" w:lineRule="exact"/>
        <w:rPr>
          <w:rFonts w:ascii="宋体" w:hAnsi="宋体" w:cs="宋体"/>
          <w:sz w:val="21"/>
          <w:szCs w:val="21"/>
        </w:rPr>
      </w:pPr>
      <w:r>
        <w:rPr>
          <w:rFonts w:hint="eastAsia" w:ascii="宋体" w:hAnsi="宋体" w:cs="宋体"/>
          <w:sz w:val="21"/>
          <w:szCs w:val="21"/>
        </w:rPr>
        <w:t>投标人需为本项目提供数据监控大数据分析系统平台永久软件使用许可，使用范围为本次采购范围，包括采购人全省系统单位。同时，投标人为本项目提供的其他配套产品（设备及软件）也必须为永久授权产品，使用范围为本次采购范围，包括采购人全省系统单位。</w:t>
      </w:r>
    </w:p>
    <w:p>
      <w:pPr>
        <w:spacing w:line="460" w:lineRule="exact"/>
        <w:ind w:firstLine="422" w:firstLineChars="200"/>
        <w:rPr>
          <w:rFonts w:ascii="宋体" w:hAnsi="宋体" w:cs="宋体"/>
          <w:b/>
          <w:color w:val="000000"/>
          <w:szCs w:val="21"/>
        </w:rPr>
      </w:pPr>
      <w:bookmarkStart w:id="182" w:name="_Toc44505031"/>
      <w:bookmarkStart w:id="183" w:name="_Toc10638"/>
      <w:bookmarkStart w:id="184" w:name="_Toc592381635"/>
      <w:r>
        <w:rPr>
          <w:rFonts w:ascii="宋体" w:hAnsi="宋体" w:cs="宋体"/>
          <w:b/>
          <w:color w:val="000000"/>
          <w:szCs w:val="21"/>
        </w:rPr>
        <w:t>5</w:t>
      </w:r>
      <w:r>
        <w:rPr>
          <w:rFonts w:hint="eastAsia" w:ascii="宋体" w:hAnsi="宋体" w:cs="宋体"/>
          <w:b/>
          <w:color w:val="000000"/>
          <w:szCs w:val="21"/>
        </w:rPr>
        <w:t>、归档要求</w:t>
      </w:r>
      <w:bookmarkEnd w:id="182"/>
      <w:bookmarkEnd w:id="183"/>
      <w:bookmarkEnd w:id="184"/>
    </w:p>
    <w:p>
      <w:pPr>
        <w:pStyle w:val="230"/>
        <w:spacing w:beforeLines="0" w:afterLines="0" w:line="420" w:lineRule="exact"/>
        <w:ind w:firstLine="420"/>
        <w:rPr>
          <w:rFonts w:ascii="宋体" w:hAnsi="宋体" w:cs="宋体"/>
          <w:sz w:val="21"/>
          <w:szCs w:val="21"/>
        </w:rPr>
      </w:pPr>
      <w:r>
        <w:rPr>
          <w:rFonts w:hint="eastAsia" w:ascii="宋体" w:hAnsi="宋体" w:cs="宋体"/>
          <w:sz w:val="21"/>
          <w:szCs w:val="21"/>
        </w:rPr>
        <w:t>投标人应</w:t>
      </w:r>
      <w:r>
        <w:rPr>
          <w:rFonts w:hint="eastAsia" w:hAnsi="宋体" w:cs="宋体"/>
        </w:rPr>
        <w:t>当</w:t>
      </w:r>
      <w:r>
        <w:rPr>
          <w:rFonts w:hint="eastAsia" w:ascii="宋体" w:hAnsi="宋体" w:cs="宋体"/>
          <w:sz w:val="21"/>
          <w:szCs w:val="21"/>
        </w:rPr>
        <w:t>按照采购人档案管理规程，对该项目所涉及的需求分析、设计、部署、测试验收等各阶段工作文档按采购人质量、数量、提供方式、提供时间等要求进行整理，经采购人确认后提交采购人归档。</w:t>
      </w:r>
    </w:p>
    <w:p>
      <w:pPr>
        <w:spacing w:line="460" w:lineRule="exact"/>
        <w:ind w:firstLine="422" w:firstLineChars="200"/>
        <w:rPr>
          <w:rFonts w:ascii="宋体" w:hAnsi="宋体" w:cs="宋体"/>
          <w:b/>
          <w:color w:val="000000"/>
          <w:szCs w:val="21"/>
        </w:rPr>
      </w:pPr>
      <w:bookmarkStart w:id="185" w:name="_Toc1198613066"/>
      <w:bookmarkStart w:id="186" w:name="_Toc5277"/>
      <w:bookmarkStart w:id="187" w:name="_Toc44505032"/>
      <w:r>
        <w:rPr>
          <w:rFonts w:ascii="宋体" w:hAnsi="宋体" w:cs="宋体"/>
          <w:b/>
          <w:color w:val="000000"/>
          <w:szCs w:val="21"/>
        </w:rPr>
        <w:t>6</w:t>
      </w:r>
      <w:r>
        <w:rPr>
          <w:rFonts w:hint="eastAsia" w:ascii="宋体" w:hAnsi="宋体" w:cs="宋体"/>
          <w:b/>
          <w:color w:val="000000"/>
          <w:szCs w:val="21"/>
        </w:rPr>
        <w:t>、项目移交</w:t>
      </w:r>
      <w:bookmarkEnd w:id="185"/>
      <w:bookmarkEnd w:id="186"/>
      <w:bookmarkEnd w:id="187"/>
    </w:p>
    <w:p>
      <w:pPr>
        <w:spacing w:line="420" w:lineRule="exact"/>
        <w:ind w:firstLine="420" w:firstLineChars="200"/>
        <w:rPr>
          <w:rFonts w:ascii="宋体" w:hAnsi="宋体" w:cs="宋体"/>
          <w:szCs w:val="21"/>
        </w:rPr>
      </w:pPr>
      <w:r>
        <w:rPr>
          <w:rFonts w:hint="eastAsia" w:ascii="宋体" w:hAnsi="宋体" w:cs="宋体"/>
          <w:szCs w:val="21"/>
        </w:rPr>
        <w:t>为确保项目的正常上线和运行，投标人在项目移交时须提供如下资料及说明（包括纸质文件和电子文件）：</w:t>
      </w:r>
    </w:p>
    <w:p>
      <w:pPr>
        <w:spacing w:line="420" w:lineRule="exact"/>
        <w:ind w:firstLine="420" w:firstLineChars="200"/>
        <w:rPr>
          <w:rFonts w:ascii="宋体" w:hAnsi="宋体" w:cs="宋体"/>
          <w:szCs w:val="21"/>
        </w:rPr>
      </w:pPr>
      <w:r>
        <w:rPr>
          <w:rFonts w:hint="eastAsia" w:ascii="宋体" w:hAnsi="宋体" w:cs="宋体"/>
          <w:szCs w:val="21"/>
        </w:rPr>
        <w:t>系统运行所需的硬件信息及相关文档；</w:t>
      </w:r>
    </w:p>
    <w:p>
      <w:pPr>
        <w:spacing w:line="420" w:lineRule="exact"/>
        <w:ind w:firstLine="420" w:firstLineChars="200"/>
        <w:rPr>
          <w:rFonts w:ascii="宋体" w:hAnsi="宋体" w:cs="宋体"/>
          <w:szCs w:val="21"/>
        </w:rPr>
      </w:pPr>
      <w:r>
        <w:rPr>
          <w:rFonts w:hint="eastAsia" w:ascii="宋体" w:hAnsi="宋体" w:cs="宋体"/>
          <w:szCs w:val="21"/>
        </w:rPr>
        <w:t>系统运行所需的软件信息及相关文档；</w:t>
      </w:r>
    </w:p>
    <w:p>
      <w:pPr>
        <w:spacing w:line="420" w:lineRule="exact"/>
        <w:ind w:firstLine="420" w:firstLineChars="200"/>
        <w:rPr>
          <w:rFonts w:ascii="宋体" w:hAnsi="宋体" w:cs="宋体"/>
          <w:szCs w:val="21"/>
        </w:rPr>
      </w:pPr>
      <w:r>
        <w:rPr>
          <w:rFonts w:hint="eastAsia" w:ascii="宋体" w:hAnsi="宋体" w:cs="宋体"/>
          <w:szCs w:val="21"/>
        </w:rPr>
        <w:t>系统运行所需第三方供应商的支持、许可证、资料版权的信息；</w:t>
      </w:r>
    </w:p>
    <w:p>
      <w:pPr>
        <w:spacing w:line="420" w:lineRule="exact"/>
        <w:ind w:firstLine="420" w:firstLineChars="200"/>
        <w:rPr>
          <w:rFonts w:ascii="宋体" w:hAnsi="宋体" w:cs="宋体"/>
          <w:szCs w:val="21"/>
        </w:rPr>
      </w:pPr>
      <w:r>
        <w:rPr>
          <w:rFonts w:hint="eastAsia" w:ascii="宋体" w:hAnsi="宋体" w:cs="宋体"/>
          <w:szCs w:val="21"/>
        </w:rPr>
        <w:t>系统部署、运维所需的信息。</w:t>
      </w:r>
    </w:p>
    <w:p>
      <w:pPr>
        <w:pStyle w:val="2"/>
      </w:pPr>
    </w:p>
    <w:sectPr>
      <w:pgSz w:w="11906" w:h="16838"/>
      <w:pgMar w:top="1247" w:right="1247" w:bottom="1134" w:left="1247" w:header="851" w:footer="850"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金山简黑体">
    <w:altName w:val="宋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仿宋体">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-25400</wp:posOffset>
              </wp:positionV>
              <wp:extent cx="6076950" cy="635"/>
              <wp:effectExtent l="0" t="0" r="0" b="18415"/>
              <wp:wrapNone/>
              <wp:docPr id="6" name="直线 10"/>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line">
                        <a:avLst/>
                      </a:prstGeom>
                      <a:noFill/>
                      <a:ln w="9525" cmpd="sng">
                        <a:solidFill>
                          <a:srgbClr val="000000"/>
                        </a:solidFill>
                        <a:round/>
                      </a:ln>
                    </wps:spPr>
                    <wps:bodyPr/>
                  </wps:wsp>
                </a:graphicData>
              </a:graphic>
            </wp:anchor>
          </w:drawing>
        </mc:Choice>
        <mc:Fallback>
          <w:pict>
            <v:line id="直线 10" o:spid="_x0000_s1026" o:spt="20" style="position:absolute;left:0pt;margin-left:-0.2pt;margin-top:-2pt;height:0.05pt;width:478.5pt;z-index:251661312;mso-width-relative:page;mso-height-relative:page;" filled="f" stroked="t" coordsize="21600,21600" o:gfxdata="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eyw9YAAAAHAQAA&#10;DwAAAAAAAAABACAAAAAiAAAAZHJzL2Rvd25yZXYueG1sUEsBAhQAFAAAAAgAh07iQHAkwTjiAQAA&#10;rwMAAA4AAAAAAAAAAQAgAAAAJQEAAGRycy9lMm9Eb2MueG1sUEsFBgAAAAAGAAYAWQEAAHkFAAAA&#10;AA==&#10;">
              <v:fill on="f" focussize="0,0"/>
              <v:stroke color="#000000" joinstyle="round"/>
              <v:imagedata o:title=""/>
              <o:lock v:ext="edit" aspectratio="f"/>
            </v:line>
          </w:pict>
        </mc:Fallback>
      </mc:AlternateContent>
    </w:r>
    <w:r>
      <w:rPr>
        <w:rFonts w:hint="eastAsia"/>
      </w:rPr>
      <w:t>湖南正兴项目管理有限公司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posOffset>5805170</wp:posOffset>
              </wp:positionH>
              <wp:positionV relativeFrom="paragraph">
                <wp:posOffset>0</wp:posOffset>
              </wp:positionV>
              <wp:extent cx="121285" cy="23495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21285" cy="234950"/>
                      </a:xfrm>
                      <a:prstGeom prst="rect">
                        <a:avLst/>
                      </a:prstGeom>
                      <a:noFill/>
                      <a:ln>
                        <a:noFill/>
                      </a:ln>
                    </wps:spPr>
                    <wps:txbx>
                      <w:txbxContent>
                        <w:p>
                          <w:pPr>
                            <w:pStyle w:val="30"/>
                          </w:pPr>
                          <w:r>
                            <w:fldChar w:fldCharType="begin"/>
                          </w:r>
                          <w:r>
                            <w:instrText xml:space="preserve"> PAGE  \* MERGEFORMAT </w:instrText>
                          </w:r>
                          <w:r>
                            <w:fldChar w:fldCharType="separate"/>
                          </w:r>
                          <w:r>
                            <w:t>7</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7.1pt;margin-top:0pt;height:18.5pt;width:9.55pt;mso-position-horizontal-relative:margin;z-index:251661312;mso-width-relative:page;mso-height-relative:page;" filled="f" stroked="f" coordsize="21600,21600" o:gfxdata="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F9171wAAAAcBAAAPAAAAAAAAAAEAIAAA&#10;ACIAAABkcnMvZG93bnJldi54bWxQSwECFAAUAAAACACHTuJAtkfHUA0CAAAEBAAADgAAAAAAAAAB&#10;ACAAAAAmAQAAZHJzL2Uyb0RvYy54bWxQSwUGAAAAAAYABgBZAQAApQUAAAAA&#10;">
              <v:fill on="f" focussize="0,0"/>
              <v:stroke on="f"/>
              <v:imagedata o:title=""/>
              <o:lock v:ext="edit" aspectratio="f"/>
              <v:textbox inset="0mm,0mm,0mm,0mm">
                <w:txbxContent>
                  <w:p>
                    <w:pPr>
                      <w:pStyle w:val="30"/>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-34925</wp:posOffset>
              </wp:positionV>
              <wp:extent cx="6076950" cy="635"/>
              <wp:effectExtent l="0" t="0" r="0" b="18415"/>
              <wp:wrapNone/>
              <wp:docPr id="7" name="直线 14"/>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line">
                        <a:avLst/>
                      </a:prstGeom>
                      <a:noFill/>
                      <a:ln w="9525" cmpd="sng">
                        <a:solidFill>
                          <a:srgbClr val="000000"/>
                        </a:solidFill>
                        <a:round/>
                      </a:ln>
                    </wps:spPr>
                    <wps:bodyPr/>
                  </wps:wsp>
                </a:graphicData>
              </a:graphic>
            </wp:anchor>
          </w:drawing>
        </mc:Choice>
        <mc:Fallback>
          <w:pict>
            <v:line id="直线 14" o:spid="_x0000_s1026" o:spt="20" style="position:absolute;left:0pt;margin-left:-2.45pt;margin-top:-2.75pt;height:0.05pt;width:478.5pt;z-index:251663360;mso-width-relative:page;mso-height-relative:page;" filled="f" stroked="t" coordsize="21600,21600" o:gfxdata="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TbjZtcAAAAIAQAA&#10;DwAAAAAAAAABACAAAAAiAAAAZHJzL2Rvd25yZXYueG1sUEsBAhQAFAAAAAgAh07iQOfN9TDhAQAA&#10;rwMAAA4AAAAAAAAAAQAgAAAAJgEAAGRycy9lMm9Eb2MueG1sUEsFBgAAAAAGAAYAWQEAAHkFAAAA&#10;AA==&#10;">
              <v:fill on="f" focussize="0,0"/>
              <v:stroke color="#000000" joinstyle="round"/>
              <v:imagedata o:title=""/>
              <o:lock v:ext="edit" aspectratio="f"/>
            </v:line>
          </w:pict>
        </mc:Fallback>
      </mc:AlternateContent>
    </w:r>
    <w:r>
      <w:rPr>
        <w:rFonts w:hint="eastAsia"/>
      </w:rPr>
      <w:t>湖南正兴项目管理有限公司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right" w:pos="9355"/>
      </w:tabs>
      <w:jc w:val="both"/>
      <w:rPr>
        <w:szCs w:val="18"/>
      </w:rPr>
    </w:pPr>
    <w:r>
      <w:rPr>
        <w:rFonts w:hint="eastAsia"/>
        <w:szCs w:val="18"/>
      </w:rPr>
      <w:t>湖南正兴项目管理有限公司</w:t>
    </w:r>
    <w:r>
      <w:rPr>
        <w:szCs w:val="18"/>
      </w:rPr>
      <w:tab/>
    </w:r>
    <w:r>
      <w:rPr>
        <w:szCs w:val="18"/>
      </w:rPr>
      <w:tab/>
    </w:r>
    <w:r>
      <w:rPr>
        <w:szCs w:val="18"/>
      </w:rPr>
      <w:tab/>
    </w:r>
    <w:r>
      <w:rPr>
        <w:szCs w:val="18"/>
      </w:rPr>
      <w:fldChar w:fldCharType="begin"/>
    </w:r>
    <w:r>
      <w:rPr>
        <w:szCs w:val="18"/>
      </w:rPr>
      <w:instrText xml:space="preserve">PAGE   \* MERGEFORMAT</w:instrText>
    </w:r>
    <w:r>
      <w:rPr>
        <w:szCs w:val="18"/>
      </w:rPr>
      <w:fldChar w:fldCharType="separate"/>
    </w:r>
    <w:r>
      <w:rPr>
        <w:szCs w:val="18"/>
        <w:lang w:val="zh-CN"/>
      </w:rPr>
      <w:t>6</w:t>
    </w:r>
    <w:r>
      <w:rPr>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360" w:lineRule="auto"/>
    </w:pPr>
    <w:r>
      <mc:AlternateContent>
        <mc:Choice Requires="wps">
          <w:drawing>
            <wp:anchor distT="0" distB="0" distL="114300" distR="114300" simplePos="0" relativeHeight="251659264" behindDoc="0" locked="0" layoutInCell="1" allowOverlap="1">
              <wp:simplePos x="0" y="0"/>
              <wp:positionH relativeFrom="margin">
                <wp:posOffset>5715000</wp:posOffset>
              </wp:positionH>
              <wp:positionV relativeFrom="paragraph">
                <wp:posOffset>0</wp:posOffset>
              </wp:positionV>
              <wp:extent cx="182880" cy="16383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 cy="163830"/>
                      </a:xfrm>
                      <a:prstGeom prst="rect">
                        <a:avLst/>
                      </a:prstGeom>
                      <a:noFill/>
                      <a:ln>
                        <a:noFill/>
                      </a:ln>
                    </wps:spPr>
                    <wps:txbx>
                      <w:txbxContent>
                        <w:p>
                          <w:pPr>
                            <w:pStyle w:val="30"/>
                          </w:pPr>
                          <w:r>
                            <w:fldChar w:fldCharType="begin"/>
                          </w:r>
                          <w:r>
                            <w:instrText xml:space="preserve"> PAGE  \* MERGEFORMAT </w:instrText>
                          </w:r>
                          <w:r>
                            <w:fldChar w:fldCharType="separate"/>
                          </w:r>
                          <w:r>
                            <w:t>96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0pt;margin-top:0pt;height:12.9pt;width:14.4pt;mso-position-horizontal-relative:margin;z-index:251659264;mso-width-relative:page;mso-height-relative:page;" filled="f" stroked="f" coordsize="21600,21600" o:gfxdata="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2BxO1gAAAAcBAAAPAAAAAAAAAAEAIAAAACIA&#10;AABkcnMvZG93bnJldi54bWxQSwECFAAUAAAACACHTuJATiL8wwsCAAAEBAAADgAAAAAAAAABACAA&#10;AAAlAQAAZHJzL2Uyb0RvYy54bWxQSwUGAAAAAAYABgBZAQAAogUAAAAA&#10;">
              <v:fill on="f" focussize="0,0"/>
              <v:stroke on="f"/>
              <v:imagedata o:title=""/>
              <o:lock v:ext="edit" aspectratio="f"/>
              <v:textbox inset="0mm,0mm,0mm,0mm">
                <w:txbxContent>
                  <w:p>
                    <w:pPr>
                      <w:pStyle w:val="30"/>
                    </w:pPr>
                    <w:r>
                      <w:fldChar w:fldCharType="begin"/>
                    </w:r>
                    <w:r>
                      <w:instrText xml:space="preserve"> PAGE  \* MERGEFORMAT </w:instrText>
                    </w:r>
                    <w:r>
                      <w:fldChar w:fldCharType="separate"/>
                    </w:r>
                    <w:r>
                      <w:t>96</w:t>
                    </w:r>
                    <w:r>
                      <w:fldChar w:fldCharType="end"/>
                    </w:r>
                  </w:p>
                </w:txbxContent>
              </v:textbox>
            </v:shape>
          </w:pict>
        </mc:Fallback>
      </mc:AlternateContent>
    </w:r>
    <w:r>
      <w:rPr>
        <w:rFonts w:hint="eastAsia"/>
      </w:rPr>
      <w:t>湖南正兴项目管理有限公司</w:t>
    </w:r>
    <w: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-40640</wp:posOffset>
              </wp:positionV>
              <wp:extent cx="6010275" cy="635"/>
              <wp:effectExtent l="0" t="0" r="9525" b="18415"/>
              <wp:wrapNone/>
              <wp:docPr id="5" name="直线 2"/>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line">
                        <a:avLst/>
                      </a:prstGeom>
                      <a:noFill/>
                      <a:ln w="9525" cmpd="sng">
                        <a:solidFill>
                          <a:srgbClr val="000000"/>
                        </a:solidFill>
                        <a:round/>
                      </a:ln>
                    </wps:spPr>
                    <wps:bodyPr/>
                  </wps:wsp>
                </a:graphicData>
              </a:graphic>
            </wp:anchor>
          </w:drawing>
        </mc:Choice>
        <mc:Fallback>
          <w:pict>
            <v:line id="直线 2" o:spid="_x0000_s1026" o:spt="20" style="position:absolute;left:0pt;margin-left:-2pt;margin-top:-3.2pt;height:0.05pt;width:473.25pt;z-index:251660288;mso-width-relative:page;mso-height-relative:page;" filled="f" stroked="t" coordsize="21600,21600" o:gfxdata="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Dvu1wAAAAgBAAAPAAAA&#10;AAAAAAEAIAAAACIAAABkcnMvZG93bnJldi54bWxQSwECFAAUAAAACACHTuJAc0mDQ90BAACuAwAA&#10;DgAAAAAAAAABACAAAAAmAQAAZHJzL2Uyb0RvYy54bWxQSwUGAAAAAAYABgBZAQAAdQUAAA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posOffset>5614035</wp:posOffset>
              </wp:positionH>
              <wp:positionV relativeFrom="paragraph">
                <wp:posOffset>36830</wp:posOffset>
              </wp:positionV>
              <wp:extent cx="220980" cy="1149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0980" cy="114935"/>
                      </a:xfrm>
                      <a:prstGeom prst="rect">
                        <a:avLst/>
                      </a:prstGeom>
                      <a:noFill/>
                      <a:ln>
                        <a:noFill/>
                      </a:ln>
                    </wps:spPr>
                    <wps:txbx>
                      <w:txbxContent>
                        <w:p>
                          <w:pPr>
                            <w:pStyle w:val="30"/>
                          </w:pPr>
                          <w:r>
                            <w:fldChar w:fldCharType="begin"/>
                          </w:r>
                          <w:r>
                            <w:instrText xml:space="preserve"> PAGE  \* MERGEFORMAT </w:instrText>
                          </w:r>
                          <w:r>
                            <w:fldChar w:fldCharType="separate"/>
                          </w:r>
                          <w:r>
                            <w:t>61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42.05pt;margin-top:2.9pt;height:9.05pt;width:17.4pt;mso-position-horizontal-relative:margin;z-index:251659264;mso-width-relative:page;mso-height-relative:page;" filled="f" stroked="f" coordsize="21600,21600" o:gfxdata="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VhQk2AAAAAgBAAAPAAAAAAAAAAEAIAAA&#10;ACIAAABkcnMvZG93bnJldi54bWxQSwECFAAUAAAACACHTuJA95asOQwCAAAEBAAADgAAAAAAAAAB&#10;ACAAAAAnAQAAZHJzL2Uyb0RvYy54bWxQSwUGAAAAAAYABgBZAQAApQUAAAAA&#10;">
              <v:fill on="f" focussize="0,0"/>
              <v:stroke on="f"/>
              <v:imagedata o:title=""/>
              <o:lock v:ext="edit" aspectratio="f"/>
              <v:textbox inset="0mm,0mm,0mm,0mm">
                <w:txbxContent>
                  <w:p>
                    <w:pPr>
                      <w:pStyle w:val="30"/>
                    </w:pPr>
                    <w:r>
                      <w:fldChar w:fldCharType="begin"/>
                    </w:r>
                    <w:r>
                      <w:instrText xml:space="preserve"> PAGE  \* MERGEFORMAT </w:instrText>
                    </w:r>
                    <w:r>
                      <w:fldChar w:fldCharType="separate"/>
                    </w:r>
                    <w:r>
                      <w:t>61</w:t>
                    </w:r>
                    <w:r>
                      <w:fldChar w:fldCharType="end"/>
                    </w:r>
                  </w:p>
                </w:txbxContent>
              </v:textbox>
            </v:shape>
          </w:pict>
        </mc:Fallback>
      </mc:AlternateContent>
    </w:r>
    <w:r>
      <w:rPr>
        <w:rFonts w:hint="eastAsia"/>
      </w:rPr>
      <w:t>湖南正兴项目管理有限公司</w:t>
    </w:r>
    <w: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-24765</wp:posOffset>
              </wp:positionV>
              <wp:extent cx="6123940" cy="635"/>
              <wp:effectExtent l="0" t="0" r="10160" b="18415"/>
              <wp:wrapNone/>
              <wp:docPr id="1" name="直线 18"/>
              <wp:cNvGraphicFramePr/>
              <a:graphic xmlns:a="http://schemas.openxmlformats.org/drawingml/2006/main">
                <a:graphicData uri="http://schemas.microsoft.com/office/word/2010/wordprocessingShape">
                  <wps:wsp>
                    <wps:cNvCnPr>
                      <a:cxnSpLocks noChangeShapeType="1"/>
                    </wps:cNvCnPr>
                    <wps:spPr bwMode="auto">
                      <a:xfrm>
                        <a:off x="0" y="0"/>
                        <a:ext cx="6123940" cy="635"/>
                      </a:xfrm>
                      <a:prstGeom prst="line">
                        <a:avLst/>
                      </a:prstGeom>
                      <a:noFill/>
                      <a:ln w="9525" cmpd="sng">
                        <a:solidFill>
                          <a:srgbClr val="000000"/>
                        </a:solidFill>
                        <a:round/>
                      </a:ln>
                    </wps:spPr>
                    <wps:bodyPr/>
                  </wps:wsp>
                </a:graphicData>
              </a:graphic>
            </wp:anchor>
          </w:drawing>
        </mc:Choice>
        <mc:Fallback>
          <w:pict>
            <v:line id="直线 18" o:spid="_x0000_s1026" o:spt="20" style="position:absolute;left:0pt;margin-left:0.25pt;margin-top:-1.95pt;height:0.05pt;width:482.2pt;z-index:251662336;mso-width-relative:page;mso-height-relative:page;" filled="f" stroked="t" coordsize="21600,21600" o:gfxdata="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10Yr3VAAAABgEAAA8A&#10;AAAAAAAAAQAgAAAAIgAAAGRycy9kb3ducmV2LnhtbFBLAQIUABQAAAAIAIdO4kCD8LfA4QEAAK8D&#10;AAAOAAAAAAAAAAEAIAAAACQBAABkcnMvZTJvRG9jLnhtbFBLBQYAAAAABgAGAFkBAAB3BQ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pPr>
    <w:r>
      <w:rPr>
        <w:rFonts w:hint="eastAsia"/>
      </w:rPr>
      <w:t>国家税务总局湖南省税务局三年安全规划第一期项目</w:t>
    </w:r>
    <w:r>
      <w:rPr>
        <w:rFonts w:hAnsi="宋体" w:cs="宋体"/>
      </w:rPr>
      <w:tab/>
    </w:r>
    <w:r>
      <w:rPr>
        <w:rFonts w:hint="eastAsia"/>
      </w:rPr>
      <w:t>（第</w:t>
    </w:r>
    <w:r>
      <w:rPr>
        <w:rFonts w:hint="eastAsia"/>
        <w:lang w:val="en-US" w:eastAsia="zh-CN"/>
      </w:rPr>
      <w:t>三</w:t>
    </w:r>
    <w:r>
      <w:rPr>
        <w:rFonts w:hint="eastAsia"/>
      </w:rPr>
      <w:t>次）</w:t>
    </w:r>
    <w:r>
      <w:rPr>
        <w:rFonts w:hAnsi="宋体" w:cs="宋体"/>
      </w:rPr>
      <w:tab/>
    </w:r>
    <w:r>
      <w:rPr>
        <w:rFonts w:hAnsi="宋体" w:cs="宋体"/>
      </w:rPr>
      <w:tab/>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5216"/>
        <w:tab w:val="clear" w:pos="4153"/>
      </w:tabs>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pPr>
    <w:r>
      <w:rPr>
        <w:rFonts w:hint="eastAsia"/>
        <w:lang w:eastAsia="zh-CN"/>
      </w:rPr>
      <w:t>国家税务总局湖南省税务局三年安全规划第一期项目（第三次）</w:t>
    </w:r>
    <w:r>
      <w:rPr>
        <w:rFonts w:hAnsi="宋体" w:cs="宋体"/>
      </w:rPr>
      <w:tab/>
    </w:r>
    <w:r>
      <w:rPr>
        <w:rFonts w:hAnsi="宋体" w:cs="宋体"/>
      </w:rPr>
      <w:tab/>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pPr>
    <w:r>
      <w:rPr>
        <w:rFonts w:hint="eastAsia"/>
      </w:rPr>
      <w:t>国家税务总局湖南省税务局三年安全规划第一期项目</w:t>
    </w:r>
    <w:r>
      <w:rPr>
        <w:rFonts w:hAnsi="宋体" w:cs="宋体"/>
      </w:rPr>
      <w:tab/>
    </w:r>
    <w:r>
      <w:rPr>
        <w:rFonts w:hint="eastAsia"/>
      </w:rPr>
      <w:t>（第</w:t>
    </w:r>
    <w:r>
      <w:rPr>
        <w:rFonts w:hint="eastAsia"/>
        <w:lang w:val="en-US" w:eastAsia="zh-CN"/>
      </w:rPr>
      <w:t>三</w:t>
    </w:r>
    <w:r>
      <w:rPr>
        <w:rFonts w:hint="eastAsia"/>
      </w:rPr>
      <w:t>次）</w:t>
    </w:r>
    <w:r>
      <w:rPr>
        <w:rFonts w:hAnsi="宋体" w:cs="宋体"/>
      </w:rP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pPr>
    <w:r>
      <w:rPr>
        <w:rFonts w:hint="eastAsia"/>
      </w:rPr>
      <w:t>国家税务总局湖南省税务局三年安全规划第一期项目</w:t>
    </w:r>
    <w:r>
      <w:rPr>
        <w:rFonts w:hAnsi="宋体" w:cs="宋体"/>
      </w:rPr>
      <w:tab/>
    </w:r>
    <w:r>
      <w:rPr>
        <w:rFonts w:hint="eastAsia"/>
      </w:rPr>
      <w:t>（第二次）</w:t>
    </w:r>
    <w:r>
      <w:rPr>
        <w:rFonts w:hAnsi="宋体" w:cs="宋体"/>
      </w:rPr>
      <w:tab/>
    </w:r>
    <w:r>
      <w:rPr>
        <w:rFonts w:hAnsi="宋体" w:cs="宋体"/>
      </w:rP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tabs>
        <w:tab w:val="right" w:pos="9355"/>
        <w:tab w:val="clear" w:pos="4153"/>
        <w:tab w:val="clear" w:pos="8306"/>
      </w:tabs>
    </w:pPr>
    <w:r>
      <w:rPr>
        <w:rFonts w:hint="eastAsia"/>
        <w:lang w:eastAsia="zh-CN"/>
      </w:rPr>
      <w:t>国家税务总局湖南省税务局三年安全规划第一期项目（第三次）</w:t>
    </w:r>
    <w:r>
      <w:rPr>
        <w:rFonts w:hAnsi="宋体" w:cs="宋体"/>
      </w:rPr>
      <w:tab/>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tabs>
        <w:tab w:val="right" w:pos="9355"/>
        <w:tab w:val="clear" w:pos="4153"/>
        <w:tab w:val="clear" w:pos="8306"/>
      </w:tabs>
      <w:jc w:val="left"/>
    </w:pPr>
    <w:r>
      <w:rPr>
        <w:rFonts w:hint="eastAsia"/>
      </w:rPr>
      <w:t>国家税务总局湖南省税务局三年安全规划第一期项目招标文件（第</w:t>
    </w:r>
    <w:r>
      <w:rPr>
        <w:rFonts w:hint="eastAsia"/>
        <w:lang w:val="en-US" w:eastAsia="zh-CN"/>
      </w:rPr>
      <w:t>三</w:t>
    </w:r>
    <w:r>
      <w:rPr>
        <w:rFonts w:hint="eastAsia"/>
      </w:rPr>
      <w:t>次）</w:t>
    </w:r>
    <w:r>
      <w:tab/>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C0FF1"/>
    <w:multiLevelType w:val="singleLevel"/>
    <w:tmpl w:val="C77C0FF1"/>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15"/>
      <w:suff w:val="nothing"/>
      <w:lvlText w:val="%1.%2.%3　"/>
      <w:lvlJc w:val="left"/>
      <w:pPr>
        <w:ind w:left="0" w:firstLine="0"/>
      </w:pPr>
      <w:rPr>
        <w:rFonts w:hint="eastAsia" w:ascii="黑体" w:hAnsi="Times New Roman" w:eastAsia="黑体"/>
        <w:b w:val="0"/>
        <w:i w:val="0"/>
        <w:sz w:val="21"/>
      </w:rPr>
    </w:lvl>
    <w:lvl w:ilvl="3" w:tentative="0">
      <w:start w:val="1"/>
      <w:numFmt w:val="decimal"/>
      <w:pStyle w:val="245"/>
      <w:suff w:val="nothing"/>
      <w:lvlText w:val="%1.%2.%3.%4　"/>
      <w:lvlJc w:val="left"/>
      <w:pPr>
        <w:ind w:left="71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0581466"/>
    <w:multiLevelType w:val="multilevel"/>
    <w:tmpl w:val="20581466"/>
    <w:lvl w:ilvl="0" w:tentative="0">
      <w:start w:val="1"/>
      <w:numFmt w:val="decimal"/>
      <w:lvlText w:val="（%1）"/>
      <w:lvlJc w:val="left"/>
      <w:pPr>
        <w:ind w:left="720" w:hanging="720"/>
      </w:pPr>
      <w:rPr>
        <w:rFonts w:hint="eastAsia"/>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3">
    <w:nsid w:val="29A42130"/>
    <w:multiLevelType w:val="multilevel"/>
    <w:tmpl w:val="29A42130"/>
    <w:lvl w:ilvl="0" w:tentative="0">
      <w:start w:val="1"/>
      <w:numFmt w:val="decimal"/>
      <w:lvlText w:val="（%1）"/>
      <w:lvlJc w:val="left"/>
      <w:pPr>
        <w:ind w:left="720" w:hanging="720"/>
      </w:pPr>
      <w:rPr>
        <w:rFonts w:hint="eastAsia"/>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4">
    <w:nsid w:val="2D5D0E71"/>
    <w:multiLevelType w:val="multilevel"/>
    <w:tmpl w:val="2D5D0E71"/>
    <w:lvl w:ilvl="0" w:tentative="0">
      <w:start w:val="1"/>
      <w:numFmt w:val="decimal"/>
      <w:lvlText w:val="（%1）"/>
      <w:lvlJc w:val="left"/>
      <w:pPr>
        <w:ind w:left="786"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0A84A0E"/>
    <w:multiLevelType w:val="multilevel"/>
    <w:tmpl w:val="30A84A0E"/>
    <w:lvl w:ilvl="0" w:tentative="0">
      <w:start w:val="1"/>
      <w:numFmt w:val="decimal"/>
      <w:lvlText w:val="（%1）"/>
      <w:lvlJc w:val="left"/>
      <w:pPr>
        <w:ind w:left="720" w:hanging="720"/>
      </w:pPr>
      <w:rPr>
        <w:rFonts w:hint="eastAsia"/>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6">
    <w:nsid w:val="32F76714"/>
    <w:multiLevelType w:val="multilevel"/>
    <w:tmpl w:val="32F76714"/>
    <w:lvl w:ilvl="0" w:tentative="0">
      <w:start w:val="1"/>
      <w:numFmt w:val="decimal"/>
      <w:lvlText w:val="（%1）"/>
      <w:lvlJc w:val="left"/>
      <w:pPr>
        <w:ind w:left="786"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32D0B85"/>
    <w:multiLevelType w:val="multilevel"/>
    <w:tmpl w:val="332D0B85"/>
    <w:lvl w:ilvl="0" w:tentative="0">
      <w:start w:val="1"/>
      <w:numFmt w:val="decimal"/>
      <w:lvlText w:val="（%1）"/>
      <w:lvlJc w:val="left"/>
      <w:pPr>
        <w:ind w:left="720" w:hanging="720"/>
      </w:pPr>
      <w:rPr>
        <w:rFonts w:hint="eastAsia"/>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8">
    <w:nsid w:val="380304DB"/>
    <w:multiLevelType w:val="multilevel"/>
    <w:tmpl w:val="380304DB"/>
    <w:lvl w:ilvl="0" w:tentative="0">
      <w:start w:val="1"/>
      <w:numFmt w:val="decimal"/>
      <w:lvlText w:val="（%1）"/>
      <w:lvlJc w:val="left"/>
      <w:pPr>
        <w:ind w:left="720" w:hanging="720"/>
      </w:pPr>
      <w:rPr>
        <w:rFonts w:hint="eastAsia"/>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9">
    <w:nsid w:val="39565B6F"/>
    <w:multiLevelType w:val="multilevel"/>
    <w:tmpl w:val="39565B6F"/>
    <w:lvl w:ilvl="0" w:tentative="0">
      <w:start w:val="1"/>
      <w:numFmt w:val="decimal"/>
      <w:lvlText w:val="（%1）"/>
      <w:lvlJc w:val="left"/>
      <w:pPr>
        <w:ind w:left="720" w:hanging="720"/>
      </w:pPr>
      <w:rPr>
        <w:rFonts w:hint="eastAsia"/>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10">
    <w:nsid w:val="61C34869"/>
    <w:multiLevelType w:val="multilevel"/>
    <w:tmpl w:val="61C34869"/>
    <w:lvl w:ilvl="0" w:tentative="0">
      <w:start w:val="1"/>
      <w:numFmt w:val="decimal"/>
      <w:lvlText w:val="%1."/>
      <w:lvlJc w:val="left"/>
      <w:pPr>
        <w:ind w:left="425" w:hanging="425"/>
      </w:pPr>
    </w:lvl>
    <w:lvl w:ilvl="1" w:tentative="0">
      <w:start w:val="1"/>
      <w:numFmt w:val="decimal"/>
      <w:pStyle w:val="246"/>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rPr>
        <w:color w:val="auto"/>
      </w:rPr>
    </w:lvl>
    <w:lvl w:ilvl="4" w:tentative="0">
      <w:start w:val="1"/>
      <w:numFmt w:val="decimal"/>
      <w:lvlText w:val="%1.%2.%3.%4.%5."/>
      <w:lvlJc w:val="left"/>
      <w:pPr>
        <w:ind w:left="992" w:hanging="992"/>
      </w:pPr>
      <w:rPr>
        <w:color w:val="auto"/>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10"/>
  </w:num>
  <w:num w:numId="3">
    <w:abstractNumId w:val="0"/>
  </w:num>
  <w:num w:numId="4">
    <w:abstractNumId w:val="5"/>
  </w:num>
  <w:num w:numId="5">
    <w:abstractNumId w:val="9"/>
  </w:num>
  <w:num w:numId="6">
    <w:abstractNumId w:val="8"/>
  </w:num>
  <w:num w:numId="7">
    <w:abstractNumId w:val="3"/>
  </w:num>
  <w:num w:numId="8">
    <w:abstractNumId w:val="7"/>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6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xMDEwODkwM2NjMGFmOTNlNTQ2YzRmYmFmNDA0MzIifQ=="/>
  </w:docVars>
  <w:rsids>
    <w:rsidRoot w:val="340F683A"/>
    <w:rsid w:val="00000E1B"/>
    <w:rsid w:val="00003408"/>
    <w:rsid w:val="0000492C"/>
    <w:rsid w:val="0000592A"/>
    <w:rsid w:val="00005C93"/>
    <w:rsid w:val="00007273"/>
    <w:rsid w:val="0000737A"/>
    <w:rsid w:val="00007F1D"/>
    <w:rsid w:val="000145A7"/>
    <w:rsid w:val="00014906"/>
    <w:rsid w:val="00014B86"/>
    <w:rsid w:val="00014C21"/>
    <w:rsid w:val="00015AFF"/>
    <w:rsid w:val="00016BF6"/>
    <w:rsid w:val="00016DB3"/>
    <w:rsid w:val="000178F0"/>
    <w:rsid w:val="00020282"/>
    <w:rsid w:val="00021841"/>
    <w:rsid w:val="00021B66"/>
    <w:rsid w:val="00021CA4"/>
    <w:rsid w:val="000233CA"/>
    <w:rsid w:val="000234F4"/>
    <w:rsid w:val="000244B0"/>
    <w:rsid w:val="00024587"/>
    <w:rsid w:val="000249F4"/>
    <w:rsid w:val="00025B27"/>
    <w:rsid w:val="0002683A"/>
    <w:rsid w:val="00030E16"/>
    <w:rsid w:val="000313F0"/>
    <w:rsid w:val="000322AD"/>
    <w:rsid w:val="000349D1"/>
    <w:rsid w:val="00035CD4"/>
    <w:rsid w:val="00035F99"/>
    <w:rsid w:val="000424F7"/>
    <w:rsid w:val="0004418F"/>
    <w:rsid w:val="000464AF"/>
    <w:rsid w:val="00047444"/>
    <w:rsid w:val="00047645"/>
    <w:rsid w:val="0005112F"/>
    <w:rsid w:val="00051802"/>
    <w:rsid w:val="00055284"/>
    <w:rsid w:val="000556BA"/>
    <w:rsid w:val="00055742"/>
    <w:rsid w:val="00061671"/>
    <w:rsid w:val="00062277"/>
    <w:rsid w:val="000649AB"/>
    <w:rsid w:val="000651ED"/>
    <w:rsid w:val="00067155"/>
    <w:rsid w:val="00071230"/>
    <w:rsid w:val="00071EC0"/>
    <w:rsid w:val="00072A8D"/>
    <w:rsid w:val="000763C8"/>
    <w:rsid w:val="00077EF8"/>
    <w:rsid w:val="00084293"/>
    <w:rsid w:val="00084FE7"/>
    <w:rsid w:val="00086C1D"/>
    <w:rsid w:val="00094F87"/>
    <w:rsid w:val="000A1647"/>
    <w:rsid w:val="000A2A0D"/>
    <w:rsid w:val="000A5E8C"/>
    <w:rsid w:val="000A61A9"/>
    <w:rsid w:val="000B0295"/>
    <w:rsid w:val="000B02D7"/>
    <w:rsid w:val="000B3FB0"/>
    <w:rsid w:val="000B496B"/>
    <w:rsid w:val="000B7634"/>
    <w:rsid w:val="000C04FC"/>
    <w:rsid w:val="000C11A9"/>
    <w:rsid w:val="000C1CC7"/>
    <w:rsid w:val="000C4B6F"/>
    <w:rsid w:val="000C66AA"/>
    <w:rsid w:val="000C68FD"/>
    <w:rsid w:val="000C78DB"/>
    <w:rsid w:val="000C7969"/>
    <w:rsid w:val="000D0476"/>
    <w:rsid w:val="000D1162"/>
    <w:rsid w:val="000D2773"/>
    <w:rsid w:val="000D2D0D"/>
    <w:rsid w:val="000D2EB3"/>
    <w:rsid w:val="000D3940"/>
    <w:rsid w:val="000D6A29"/>
    <w:rsid w:val="000D7979"/>
    <w:rsid w:val="000D7C8D"/>
    <w:rsid w:val="000E2846"/>
    <w:rsid w:val="000E3AEB"/>
    <w:rsid w:val="000E3F0E"/>
    <w:rsid w:val="000F02C1"/>
    <w:rsid w:val="000F08E6"/>
    <w:rsid w:val="000F0FD6"/>
    <w:rsid w:val="000F54FA"/>
    <w:rsid w:val="000F6A61"/>
    <w:rsid w:val="000F73BA"/>
    <w:rsid w:val="000F7ED2"/>
    <w:rsid w:val="001013B5"/>
    <w:rsid w:val="00101E31"/>
    <w:rsid w:val="0010215F"/>
    <w:rsid w:val="0010363E"/>
    <w:rsid w:val="001068D7"/>
    <w:rsid w:val="00110675"/>
    <w:rsid w:val="001135F9"/>
    <w:rsid w:val="00113A4E"/>
    <w:rsid w:val="001156EF"/>
    <w:rsid w:val="00115C51"/>
    <w:rsid w:val="0011749E"/>
    <w:rsid w:val="00117667"/>
    <w:rsid w:val="00124CA0"/>
    <w:rsid w:val="00125F8A"/>
    <w:rsid w:val="00127B54"/>
    <w:rsid w:val="00130D1D"/>
    <w:rsid w:val="00140A88"/>
    <w:rsid w:val="00140EFA"/>
    <w:rsid w:val="00142667"/>
    <w:rsid w:val="00144368"/>
    <w:rsid w:val="00145A4F"/>
    <w:rsid w:val="00146EB7"/>
    <w:rsid w:val="00152116"/>
    <w:rsid w:val="00153A99"/>
    <w:rsid w:val="00154257"/>
    <w:rsid w:val="001554A5"/>
    <w:rsid w:val="0015609C"/>
    <w:rsid w:val="00156A41"/>
    <w:rsid w:val="00161063"/>
    <w:rsid w:val="00164BD8"/>
    <w:rsid w:val="00174995"/>
    <w:rsid w:val="00174DD1"/>
    <w:rsid w:val="001769B2"/>
    <w:rsid w:val="00177A46"/>
    <w:rsid w:val="001808A3"/>
    <w:rsid w:val="00182ECA"/>
    <w:rsid w:val="0018333F"/>
    <w:rsid w:val="00187205"/>
    <w:rsid w:val="0019182B"/>
    <w:rsid w:val="00191F4B"/>
    <w:rsid w:val="00192325"/>
    <w:rsid w:val="001932CE"/>
    <w:rsid w:val="00194258"/>
    <w:rsid w:val="00195809"/>
    <w:rsid w:val="0019643C"/>
    <w:rsid w:val="001968AC"/>
    <w:rsid w:val="00196A3A"/>
    <w:rsid w:val="00197B33"/>
    <w:rsid w:val="001A03EF"/>
    <w:rsid w:val="001A08AD"/>
    <w:rsid w:val="001A0E2F"/>
    <w:rsid w:val="001A3B5B"/>
    <w:rsid w:val="001A43BE"/>
    <w:rsid w:val="001A5E53"/>
    <w:rsid w:val="001A6341"/>
    <w:rsid w:val="001B0976"/>
    <w:rsid w:val="001B0C72"/>
    <w:rsid w:val="001B1890"/>
    <w:rsid w:val="001B2F85"/>
    <w:rsid w:val="001B38AA"/>
    <w:rsid w:val="001B4389"/>
    <w:rsid w:val="001B469C"/>
    <w:rsid w:val="001B4F20"/>
    <w:rsid w:val="001B69BA"/>
    <w:rsid w:val="001B7EF7"/>
    <w:rsid w:val="001C04EE"/>
    <w:rsid w:val="001C191B"/>
    <w:rsid w:val="001C301D"/>
    <w:rsid w:val="001C32EC"/>
    <w:rsid w:val="001C370C"/>
    <w:rsid w:val="001C67B6"/>
    <w:rsid w:val="001D1269"/>
    <w:rsid w:val="001D16C8"/>
    <w:rsid w:val="001D2C01"/>
    <w:rsid w:val="001D317D"/>
    <w:rsid w:val="001D332F"/>
    <w:rsid w:val="001D5A49"/>
    <w:rsid w:val="001E2C28"/>
    <w:rsid w:val="001E4308"/>
    <w:rsid w:val="001F1903"/>
    <w:rsid w:val="001F1A80"/>
    <w:rsid w:val="001F4CC7"/>
    <w:rsid w:val="001F59BE"/>
    <w:rsid w:val="001F70EB"/>
    <w:rsid w:val="00200372"/>
    <w:rsid w:val="00205390"/>
    <w:rsid w:val="002061E3"/>
    <w:rsid w:val="00206202"/>
    <w:rsid w:val="002064BC"/>
    <w:rsid w:val="00206988"/>
    <w:rsid w:val="00206A29"/>
    <w:rsid w:val="0021047E"/>
    <w:rsid w:val="00211AD3"/>
    <w:rsid w:val="00214464"/>
    <w:rsid w:val="002161D3"/>
    <w:rsid w:val="00216D7C"/>
    <w:rsid w:val="00221AA2"/>
    <w:rsid w:val="0022219A"/>
    <w:rsid w:val="00222486"/>
    <w:rsid w:val="00222C44"/>
    <w:rsid w:val="00223CE4"/>
    <w:rsid w:val="0022432E"/>
    <w:rsid w:val="002265CC"/>
    <w:rsid w:val="00227B71"/>
    <w:rsid w:val="00231D59"/>
    <w:rsid w:val="0023229E"/>
    <w:rsid w:val="0023260F"/>
    <w:rsid w:val="00232E05"/>
    <w:rsid w:val="002372D5"/>
    <w:rsid w:val="0024073D"/>
    <w:rsid w:val="00241E42"/>
    <w:rsid w:val="00242F9D"/>
    <w:rsid w:val="00243A57"/>
    <w:rsid w:val="0024428A"/>
    <w:rsid w:val="0024675C"/>
    <w:rsid w:val="002513B9"/>
    <w:rsid w:val="002531E4"/>
    <w:rsid w:val="00253DB8"/>
    <w:rsid w:val="002545E1"/>
    <w:rsid w:val="002553F7"/>
    <w:rsid w:val="00255AFD"/>
    <w:rsid w:val="00262FFD"/>
    <w:rsid w:val="00263B77"/>
    <w:rsid w:val="00265488"/>
    <w:rsid w:val="00266BCB"/>
    <w:rsid w:val="00270486"/>
    <w:rsid w:val="00270F1D"/>
    <w:rsid w:val="00272F50"/>
    <w:rsid w:val="0027364F"/>
    <w:rsid w:val="002742D5"/>
    <w:rsid w:val="002779E8"/>
    <w:rsid w:val="00280487"/>
    <w:rsid w:val="00280EDA"/>
    <w:rsid w:val="00281C66"/>
    <w:rsid w:val="00281C76"/>
    <w:rsid w:val="00283135"/>
    <w:rsid w:val="00283B55"/>
    <w:rsid w:val="00283ED9"/>
    <w:rsid w:val="00284921"/>
    <w:rsid w:val="00286BF7"/>
    <w:rsid w:val="0028772F"/>
    <w:rsid w:val="0029233D"/>
    <w:rsid w:val="002930DC"/>
    <w:rsid w:val="0029345A"/>
    <w:rsid w:val="00293CCA"/>
    <w:rsid w:val="00294EB7"/>
    <w:rsid w:val="00295EE9"/>
    <w:rsid w:val="00296EC4"/>
    <w:rsid w:val="002974B3"/>
    <w:rsid w:val="002974F9"/>
    <w:rsid w:val="002A0E7D"/>
    <w:rsid w:val="002A1E22"/>
    <w:rsid w:val="002A4997"/>
    <w:rsid w:val="002A5681"/>
    <w:rsid w:val="002A66D6"/>
    <w:rsid w:val="002A6731"/>
    <w:rsid w:val="002A68B6"/>
    <w:rsid w:val="002A7BD1"/>
    <w:rsid w:val="002B08C8"/>
    <w:rsid w:val="002B0E4D"/>
    <w:rsid w:val="002B17B6"/>
    <w:rsid w:val="002B1AEE"/>
    <w:rsid w:val="002B3CA8"/>
    <w:rsid w:val="002B5E73"/>
    <w:rsid w:val="002B6D44"/>
    <w:rsid w:val="002B6FCA"/>
    <w:rsid w:val="002B7017"/>
    <w:rsid w:val="002B7755"/>
    <w:rsid w:val="002C1AB4"/>
    <w:rsid w:val="002C1B47"/>
    <w:rsid w:val="002C35BB"/>
    <w:rsid w:val="002C3731"/>
    <w:rsid w:val="002C37C8"/>
    <w:rsid w:val="002C3F7C"/>
    <w:rsid w:val="002C3FCD"/>
    <w:rsid w:val="002C4CD5"/>
    <w:rsid w:val="002C5C09"/>
    <w:rsid w:val="002C6924"/>
    <w:rsid w:val="002D0B69"/>
    <w:rsid w:val="002D37F8"/>
    <w:rsid w:val="002D3E9B"/>
    <w:rsid w:val="002D4D0A"/>
    <w:rsid w:val="002D6557"/>
    <w:rsid w:val="002D6756"/>
    <w:rsid w:val="002D6FE7"/>
    <w:rsid w:val="002E2BFE"/>
    <w:rsid w:val="002E3B11"/>
    <w:rsid w:val="002E4A8D"/>
    <w:rsid w:val="002E6A45"/>
    <w:rsid w:val="002F0551"/>
    <w:rsid w:val="002F0BFA"/>
    <w:rsid w:val="002F0FA7"/>
    <w:rsid w:val="002F1B97"/>
    <w:rsid w:val="002F1EBE"/>
    <w:rsid w:val="002F327E"/>
    <w:rsid w:val="002F4918"/>
    <w:rsid w:val="0030172B"/>
    <w:rsid w:val="00302063"/>
    <w:rsid w:val="00302F59"/>
    <w:rsid w:val="0030312A"/>
    <w:rsid w:val="00312470"/>
    <w:rsid w:val="00313EBD"/>
    <w:rsid w:val="003145F3"/>
    <w:rsid w:val="00314E29"/>
    <w:rsid w:val="00316577"/>
    <w:rsid w:val="003165AE"/>
    <w:rsid w:val="00317481"/>
    <w:rsid w:val="0032364A"/>
    <w:rsid w:val="00326051"/>
    <w:rsid w:val="00326AA2"/>
    <w:rsid w:val="00326EC0"/>
    <w:rsid w:val="00327400"/>
    <w:rsid w:val="00327CC5"/>
    <w:rsid w:val="003311CE"/>
    <w:rsid w:val="00333A9A"/>
    <w:rsid w:val="00336B0F"/>
    <w:rsid w:val="00337FF8"/>
    <w:rsid w:val="00342251"/>
    <w:rsid w:val="003438DD"/>
    <w:rsid w:val="00343DD4"/>
    <w:rsid w:val="00345805"/>
    <w:rsid w:val="00346F3B"/>
    <w:rsid w:val="00350FC7"/>
    <w:rsid w:val="00351B08"/>
    <w:rsid w:val="00351CBE"/>
    <w:rsid w:val="00352E9F"/>
    <w:rsid w:val="003532E9"/>
    <w:rsid w:val="00353B14"/>
    <w:rsid w:val="00354129"/>
    <w:rsid w:val="00356BA3"/>
    <w:rsid w:val="0035701C"/>
    <w:rsid w:val="003601BE"/>
    <w:rsid w:val="00362FA8"/>
    <w:rsid w:val="00365B64"/>
    <w:rsid w:val="00371DDB"/>
    <w:rsid w:val="0037233E"/>
    <w:rsid w:val="0037294E"/>
    <w:rsid w:val="00372B0B"/>
    <w:rsid w:val="0037344F"/>
    <w:rsid w:val="00375B34"/>
    <w:rsid w:val="00380869"/>
    <w:rsid w:val="003809F8"/>
    <w:rsid w:val="00381092"/>
    <w:rsid w:val="003810AA"/>
    <w:rsid w:val="003824B3"/>
    <w:rsid w:val="00382715"/>
    <w:rsid w:val="00382D25"/>
    <w:rsid w:val="003840EB"/>
    <w:rsid w:val="00386626"/>
    <w:rsid w:val="003902FA"/>
    <w:rsid w:val="003917EF"/>
    <w:rsid w:val="003A08DA"/>
    <w:rsid w:val="003A122B"/>
    <w:rsid w:val="003A1866"/>
    <w:rsid w:val="003A234E"/>
    <w:rsid w:val="003A2EC7"/>
    <w:rsid w:val="003A4292"/>
    <w:rsid w:val="003A4A2E"/>
    <w:rsid w:val="003A508D"/>
    <w:rsid w:val="003A5D7F"/>
    <w:rsid w:val="003A7680"/>
    <w:rsid w:val="003B11A5"/>
    <w:rsid w:val="003B6A92"/>
    <w:rsid w:val="003C0C62"/>
    <w:rsid w:val="003C128D"/>
    <w:rsid w:val="003C1626"/>
    <w:rsid w:val="003C356A"/>
    <w:rsid w:val="003C6777"/>
    <w:rsid w:val="003D2F3F"/>
    <w:rsid w:val="003D4BF5"/>
    <w:rsid w:val="003D6BF3"/>
    <w:rsid w:val="003E2B95"/>
    <w:rsid w:val="003E3557"/>
    <w:rsid w:val="003E370B"/>
    <w:rsid w:val="003E7A99"/>
    <w:rsid w:val="003E7BD8"/>
    <w:rsid w:val="003F0F42"/>
    <w:rsid w:val="003F1C3E"/>
    <w:rsid w:val="003F4AD6"/>
    <w:rsid w:val="0040086E"/>
    <w:rsid w:val="00400C68"/>
    <w:rsid w:val="00401242"/>
    <w:rsid w:val="004016BC"/>
    <w:rsid w:val="00401817"/>
    <w:rsid w:val="0040498E"/>
    <w:rsid w:val="004072ED"/>
    <w:rsid w:val="00410248"/>
    <w:rsid w:val="00412562"/>
    <w:rsid w:val="00413F05"/>
    <w:rsid w:val="00415598"/>
    <w:rsid w:val="00416C6E"/>
    <w:rsid w:val="00416D1C"/>
    <w:rsid w:val="00417971"/>
    <w:rsid w:val="00420CC5"/>
    <w:rsid w:val="004216A9"/>
    <w:rsid w:val="004240AC"/>
    <w:rsid w:val="00425714"/>
    <w:rsid w:val="00426F90"/>
    <w:rsid w:val="004277CB"/>
    <w:rsid w:val="00430F49"/>
    <w:rsid w:val="00431AF5"/>
    <w:rsid w:val="00433B3D"/>
    <w:rsid w:val="00433E6B"/>
    <w:rsid w:val="00434CBC"/>
    <w:rsid w:val="00435005"/>
    <w:rsid w:val="00436098"/>
    <w:rsid w:val="00436DF2"/>
    <w:rsid w:val="00437EDD"/>
    <w:rsid w:val="004405E4"/>
    <w:rsid w:val="0044394F"/>
    <w:rsid w:val="004446E9"/>
    <w:rsid w:val="004457EE"/>
    <w:rsid w:val="00446211"/>
    <w:rsid w:val="004524E7"/>
    <w:rsid w:val="0045305D"/>
    <w:rsid w:val="00455B27"/>
    <w:rsid w:val="004562AD"/>
    <w:rsid w:val="00457E20"/>
    <w:rsid w:val="00464E31"/>
    <w:rsid w:val="00466648"/>
    <w:rsid w:val="0047068B"/>
    <w:rsid w:val="00471ABA"/>
    <w:rsid w:val="00471F41"/>
    <w:rsid w:val="00472297"/>
    <w:rsid w:val="004744CA"/>
    <w:rsid w:val="00474E07"/>
    <w:rsid w:val="00476C5B"/>
    <w:rsid w:val="004770F6"/>
    <w:rsid w:val="00477A9D"/>
    <w:rsid w:val="0048004B"/>
    <w:rsid w:val="00480173"/>
    <w:rsid w:val="004815E4"/>
    <w:rsid w:val="00485654"/>
    <w:rsid w:val="0049040A"/>
    <w:rsid w:val="00490517"/>
    <w:rsid w:val="0049125A"/>
    <w:rsid w:val="00491A83"/>
    <w:rsid w:val="004951BD"/>
    <w:rsid w:val="00497DCF"/>
    <w:rsid w:val="004A0579"/>
    <w:rsid w:val="004A2637"/>
    <w:rsid w:val="004A2755"/>
    <w:rsid w:val="004A4FA0"/>
    <w:rsid w:val="004A603E"/>
    <w:rsid w:val="004A6DAB"/>
    <w:rsid w:val="004A6E50"/>
    <w:rsid w:val="004A7080"/>
    <w:rsid w:val="004A78D1"/>
    <w:rsid w:val="004B1FEB"/>
    <w:rsid w:val="004B2697"/>
    <w:rsid w:val="004B323E"/>
    <w:rsid w:val="004B3F06"/>
    <w:rsid w:val="004B43A6"/>
    <w:rsid w:val="004B5D1D"/>
    <w:rsid w:val="004B75DF"/>
    <w:rsid w:val="004C014E"/>
    <w:rsid w:val="004C059E"/>
    <w:rsid w:val="004C0702"/>
    <w:rsid w:val="004C1338"/>
    <w:rsid w:val="004C14D2"/>
    <w:rsid w:val="004C301B"/>
    <w:rsid w:val="004C3E44"/>
    <w:rsid w:val="004C4325"/>
    <w:rsid w:val="004C4669"/>
    <w:rsid w:val="004C4E54"/>
    <w:rsid w:val="004C5208"/>
    <w:rsid w:val="004C63F8"/>
    <w:rsid w:val="004C6A5E"/>
    <w:rsid w:val="004C6C34"/>
    <w:rsid w:val="004C7DD3"/>
    <w:rsid w:val="004D006F"/>
    <w:rsid w:val="004D074F"/>
    <w:rsid w:val="004D2DE0"/>
    <w:rsid w:val="004D4323"/>
    <w:rsid w:val="004D6BCB"/>
    <w:rsid w:val="004D7164"/>
    <w:rsid w:val="004E0D10"/>
    <w:rsid w:val="004E1BF8"/>
    <w:rsid w:val="004E1EAF"/>
    <w:rsid w:val="004E3082"/>
    <w:rsid w:val="004E325F"/>
    <w:rsid w:val="004E4497"/>
    <w:rsid w:val="004E4B6F"/>
    <w:rsid w:val="004E772D"/>
    <w:rsid w:val="004F0593"/>
    <w:rsid w:val="004F21CE"/>
    <w:rsid w:val="004F297B"/>
    <w:rsid w:val="004F32F4"/>
    <w:rsid w:val="004F4D27"/>
    <w:rsid w:val="004F4F3B"/>
    <w:rsid w:val="004F59C7"/>
    <w:rsid w:val="004F60B4"/>
    <w:rsid w:val="0050283F"/>
    <w:rsid w:val="00502843"/>
    <w:rsid w:val="0050305D"/>
    <w:rsid w:val="00503970"/>
    <w:rsid w:val="0050397B"/>
    <w:rsid w:val="005045C5"/>
    <w:rsid w:val="005065B3"/>
    <w:rsid w:val="00506B7A"/>
    <w:rsid w:val="005071F3"/>
    <w:rsid w:val="00511A95"/>
    <w:rsid w:val="00513E3A"/>
    <w:rsid w:val="00514548"/>
    <w:rsid w:val="005170D3"/>
    <w:rsid w:val="00520968"/>
    <w:rsid w:val="0052328E"/>
    <w:rsid w:val="00523B24"/>
    <w:rsid w:val="005240C4"/>
    <w:rsid w:val="00525D53"/>
    <w:rsid w:val="0052698F"/>
    <w:rsid w:val="00527BDA"/>
    <w:rsid w:val="005310DC"/>
    <w:rsid w:val="00532070"/>
    <w:rsid w:val="005322D5"/>
    <w:rsid w:val="005324B4"/>
    <w:rsid w:val="00532995"/>
    <w:rsid w:val="00534936"/>
    <w:rsid w:val="00537907"/>
    <w:rsid w:val="00541055"/>
    <w:rsid w:val="005413E0"/>
    <w:rsid w:val="00541F39"/>
    <w:rsid w:val="00542A83"/>
    <w:rsid w:val="00543132"/>
    <w:rsid w:val="00543994"/>
    <w:rsid w:val="00543CAB"/>
    <w:rsid w:val="00544107"/>
    <w:rsid w:val="00544710"/>
    <w:rsid w:val="005450A8"/>
    <w:rsid w:val="00546796"/>
    <w:rsid w:val="00546CC1"/>
    <w:rsid w:val="00546EAB"/>
    <w:rsid w:val="00551931"/>
    <w:rsid w:val="00552680"/>
    <w:rsid w:val="005550CC"/>
    <w:rsid w:val="005551D5"/>
    <w:rsid w:val="005579FA"/>
    <w:rsid w:val="00560286"/>
    <w:rsid w:val="00561B93"/>
    <w:rsid w:val="00561D87"/>
    <w:rsid w:val="00561EE2"/>
    <w:rsid w:val="00562AFF"/>
    <w:rsid w:val="00562D39"/>
    <w:rsid w:val="00565CCA"/>
    <w:rsid w:val="005664F9"/>
    <w:rsid w:val="005671B6"/>
    <w:rsid w:val="005675A9"/>
    <w:rsid w:val="005676F2"/>
    <w:rsid w:val="00571DAB"/>
    <w:rsid w:val="005726F6"/>
    <w:rsid w:val="005742C7"/>
    <w:rsid w:val="005810DA"/>
    <w:rsid w:val="005848CC"/>
    <w:rsid w:val="0059165A"/>
    <w:rsid w:val="00593372"/>
    <w:rsid w:val="00594C35"/>
    <w:rsid w:val="00596886"/>
    <w:rsid w:val="005968C1"/>
    <w:rsid w:val="00596E56"/>
    <w:rsid w:val="005A1E1E"/>
    <w:rsid w:val="005A2CA2"/>
    <w:rsid w:val="005A31E5"/>
    <w:rsid w:val="005A4605"/>
    <w:rsid w:val="005A4DC7"/>
    <w:rsid w:val="005A5575"/>
    <w:rsid w:val="005A781C"/>
    <w:rsid w:val="005B1A67"/>
    <w:rsid w:val="005B29B5"/>
    <w:rsid w:val="005B341C"/>
    <w:rsid w:val="005B36ED"/>
    <w:rsid w:val="005B408F"/>
    <w:rsid w:val="005B454C"/>
    <w:rsid w:val="005B4795"/>
    <w:rsid w:val="005C0380"/>
    <w:rsid w:val="005C1D25"/>
    <w:rsid w:val="005C4811"/>
    <w:rsid w:val="005C4C17"/>
    <w:rsid w:val="005C5947"/>
    <w:rsid w:val="005C6EC7"/>
    <w:rsid w:val="005C7BB0"/>
    <w:rsid w:val="005D008E"/>
    <w:rsid w:val="005D091A"/>
    <w:rsid w:val="005D0DC3"/>
    <w:rsid w:val="005D193C"/>
    <w:rsid w:val="005D3281"/>
    <w:rsid w:val="005D32DA"/>
    <w:rsid w:val="005D4981"/>
    <w:rsid w:val="005D5601"/>
    <w:rsid w:val="005D6E62"/>
    <w:rsid w:val="005E3C8B"/>
    <w:rsid w:val="005E4125"/>
    <w:rsid w:val="005E4673"/>
    <w:rsid w:val="005E4A5F"/>
    <w:rsid w:val="005E4E49"/>
    <w:rsid w:val="005E5093"/>
    <w:rsid w:val="005F23C8"/>
    <w:rsid w:val="005F44DC"/>
    <w:rsid w:val="00601B6C"/>
    <w:rsid w:val="00603EAE"/>
    <w:rsid w:val="00605F96"/>
    <w:rsid w:val="00610BE4"/>
    <w:rsid w:val="00611550"/>
    <w:rsid w:val="00611D33"/>
    <w:rsid w:val="006137F9"/>
    <w:rsid w:val="00613B43"/>
    <w:rsid w:val="006161BA"/>
    <w:rsid w:val="00616FCD"/>
    <w:rsid w:val="00617245"/>
    <w:rsid w:val="00620118"/>
    <w:rsid w:val="00621517"/>
    <w:rsid w:val="006219FE"/>
    <w:rsid w:val="00622960"/>
    <w:rsid w:val="00622977"/>
    <w:rsid w:val="00624F55"/>
    <w:rsid w:val="00626BD9"/>
    <w:rsid w:val="006318FB"/>
    <w:rsid w:val="0063287D"/>
    <w:rsid w:val="00632F09"/>
    <w:rsid w:val="006332C9"/>
    <w:rsid w:val="006350CA"/>
    <w:rsid w:val="00635167"/>
    <w:rsid w:val="0064064D"/>
    <w:rsid w:val="00644B51"/>
    <w:rsid w:val="00647038"/>
    <w:rsid w:val="00647631"/>
    <w:rsid w:val="006500E8"/>
    <w:rsid w:val="0065172D"/>
    <w:rsid w:val="00655BE4"/>
    <w:rsid w:val="00656BBC"/>
    <w:rsid w:val="00660796"/>
    <w:rsid w:val="00660BD2"/>
    <w:rsid w:val="00661ABA"/>
    <w:rsid w:val="00662806"/>
    <w:rsid w:val="00662A74"/>
    <w:rsid w:val="006634D3"/>
    <w:rsid w:val="00663FE7"/>
    <w:rsid w:val="0066472E"/>
    <w:rsid w:val="00664987"/>
    <w:rsid w:val="006655F7"/>
    <w:rsid w:val="00666B4C"/>
    <w:rsid w:val="00667DA8"/>
    <w:rsid w:val="00667DDB"/>
    <w:rsid w:val="00673A30"/>
    <w:rsid w:val="00675513"/>
    <w:rsid w:val="006758FD"/>
    <w:rsid w:val="006803BA"/>
    <w:rsid w:val="00682E19"/>
    <w:rsid w:val="0068312D"/>
    <w:rsid w:val="00684B59"/>
    <w:rsid w:val="0068588B"/>
    <w:rsid w:val="00687B7B"/>
    <w:rsid w:val="0069052F"/>
    <w:rsid w:val="006906FC"/>
    <w:rsid w:val="006908A4"/>
    <w:rsid w:val="00695738"/>
    <w:rsid w:val="006965D1"/>
    <w:rsid w:val="00697ED2"/>
    <w:rsid w:val="006A1B9D"/>
    <w:rsid w:val="006A3DE3"/>
    <w:rsid w:val="006A592E"/>
    <w:rsid w:val="006A65CF"/>
    <w:rsid w:val="006A7521"/>
    <w:rsid w:val="006B0D46"/>
    <w:rsid w:val="006B352B"/>
    <w:rsid w:val="006B3B18"/>
    <w:rsid w:val="006B3DDB"/>
    <w:rsid w:val="006B541B"/>
    <w:rsid w:val="006B5BCF"/>
    <w:rsid w:val="006B68DD"/>
    <w:rsid w:val="006B6CA0"/>
    <w:rsid w:val="006B6DE4"/>
    <w:rsid w:val="006C2802"/>
    <w:rsid w:val="006C2F9A"/>
    <w:rsid w:val="006C46C7"/>
    <w:rsid w:val="006D0256"/>
    <w:rsid w:val="006D154D"/>
    <w:rsid w:val="006D1839"/>
    <w:rsid w:val="006D5208"/>
    <w:rsid w:val="006D6EA2"/>
    <w:rsid w:val="006D7C6D"/>
    <w:rsid w:val="006E2C55"/>
    <w:rsid w:val="006E473D"/>
    <w:rsid w:val="006E6BBF"/>
    <w:rsid w:val="006E73AD"/>
    <w:rsid w:val="006F0581"/>
    <w:rsid w:val="006F35C6"/>
    <w:rsid w:val="006F61FC"/>
    <w:rsid w:val="006F77C3"/>
    <w:rsid w:val="00701091"/>
    <w:rsid w:val="007038BC"/>
    <w:rsid w:val="00703998"/>
    <w:rsid w:val="00704CD5"/>
    <w:rsid w:val="007051C9"/>
    <w:rsid w:val="00705369"/>
    <w:rsid w:val="00706555"/>
    <w:rsid w:val="007066CA"/>
    <w:rsid w:val="007066F4"/>
    <w:rsid w:val="0070730B"/>
    <w:rsid w:val="00711830"/>
    <w:rsid w:val="00712979"/>
    <w:rsid w:val="00714E2A"/>
    <w:rsid w:val="00716630"/>
    <w:rsid w:val="00721BCD"/>
    <w:rsid w:val="00723258"/>
    <w:rsid w:val="00724771"/>
    <w:rsid w:val="00724A8E"/>
    <w:rsid w:val="00727195"/>
    <w:rsid w:val="00731004"/>
    <w:rsid w:val="007311F1"/>
    <w:rsid w:val="00732E9F"/>
    <w:rsid w:val="00733C68"/>
    <w:rsid w:val="00736402"/>
    <w:rsid w:val="00737675"/>
    <w:rsid w:val="007413B1"/>
    <w:rsid w:val="00743BAE"/>
    <w:rsid w:val="00746B3E"/>
    <w:rsid w:val="00746E48"/>
    <w:rsid w:val="00747699"/>
    <w:rsid w:val="007476A5"/>
    <w:rsid w:val="0075055B"/>
    <w:rsid w:val="00750F18"/>
    <w:rsid w:val="0075132A"/>
    <w:rsid w:val="007539CC"/>
    <w:rsid w:val="00753BD1"/>
    <w:rsid w:val="0075513C"/>
    <w:rsid w:val="0075569D"/>
    <w:rsid w:val="00757784"/>
    <w:rsid w:val="007619D3"/>
    <w:rsid w:val="00761B08"/>
    <w:rsid w:val="00761B6E"/>
    <w:rsid w:val="0076380A"/>
    <w:rsid w:val="00764CD8"/>
    <w:rsid w:val="007662A7"/>
    <w:rsid w:val="007705DC"/>
    <w:rsid w:val="00772A0A"/>
    <w:rsid w:val="00772ECF"/>
    <w:rsid w:val="00772F02"/>
    <w:rsid w:val="0077391A"/>
    <w:rsid w:val="00775992"/>
    <w:rsid w:val="00776885"/>
    <w:rsid w:val="00776AFD"/>
    <w:rsid w:val="00776B3E"/>
    <w:rsid w:val="00777601"/>
    <w:rsid w:val="00781DF9"/>
    <w:rsid w:val="007828D6"/>
    <w:rsid w:val="00785AC4"/>
    <w:rsid w:val="007877A9"/>
    <w:rsid w:val="007908B0"/>
    <w:rsid w:val="00790A26"/>
    <w:rsid w:val="00796258"/>
    <w:rsid w:val="00796BC1"/>
    <w:rsid w:val="0079720C"/>
    <w:rsid w:val="007973E6"/>
    <w:rsid w:val="00797922"/>
    <w:rsid w:val="007A0282"/>
    <w:rsid w:val="007A02C5"/>
    <w:rsid w:val="007A3449"/>
    <w:rsid w:val="007A378A"/>
    <w:rsid w:val="007A37FB"/>
    <w:rsid w:val="007A4EDA"/>
    <w:rsid w:val="007A5D11"/>
    <w:rsid w:val="007A6E62"/>
    <w:rsid w:val="007B6380"/>
    <w:rsid w:val="007C06E0"/>
    <w:rsid w:val="007C1090"/>
    <w:rsid w:val="007C179E"/>
    <w:rsid w:val="007C22CC"/>
    <w:rsid w:val="007C2BF4"/>
    <w:rsid w:val="007C4FF5"/>
    <w:rsid w:val="007D10CB"/>
    <w:rsid w:val="007D1AE8"/>
    <w:rsid w:val="007D1D25"/>
    <w:rsid w:val="007D21AA"/>
    <w:rsid w:val="007D3513"/>
    <w:rsid w:val="007D4C24"/>
    <w:rsid w:val="007D5836"/>
    <w:rsid w:val="007D606C"/>
    <w:rsid w:val="007D60A6"/>
    <w:rsid w:val="007D797E"/>
    <w:rsid w:val="007E156E"/>
    <w:rsid w:val="007E380B"/>
    <w:rsid w:val="007E59A7"/>
    <w:rsid w:val="007E605E"/>
    <w:rsid w:val="007E7C94"/>
    <w:rsid w:val="007F0751"/>
    <w:rsid w:val="007F20FB"/>
    <w:rsid w:val="007F4DFF"/>
    <w:rsid w:val="00800639"/>
    <w:rsid w:val="00800FF8"/>
    <w:rsid w:val="00801276"/>
    <w:rsid w:val="00802102"/>
    <w:rsid w:val="00805385"/>
    <w:rsid w:val="00805DBA"/>
    <w:rsid w:val="00805DDA"/>
    <w:rsid w:val="00810FE6"/>
    <w:rsid w:val="0081253A"/>
    <w:rsid w:val="00813073"/>
    <w:rsid w:val="008138C2"/>
    <w:rsid w:val="00815109"/>
    <w:rsid w:val="008172F8"/>
    <w:rsid w:val="00817F79"/>
    <w:rsid w:val="008208C5"/>
    <w:rsid w:val="00823C7A"/>
    <w:rsid w:val="008240F8"/>
    <w:rsid w:val="00824E32"/>
    <w:rsid w:val="00826211"/>
    <w:rsid w:val="00826792"/>
    <w:rsid w:val="00833A09"/>
    <w:rsid w:val="00833C5C"/>
    <w:rsid w:val="00835709"/>
    <w:rsid w:val="008359A2"/>
    <w:rsid w:val="00840EB7"/>
    <w:rsid w:val="008439C5"/>
    <w:rsid w:val="008459D3"/>
    <w:rsid w:val="00846165"/>
    <w:rsid w:val="00847F19"/>
    <w:rsid w:val="0085063D"/>
    <w:rsid w:val="00850C4A"/>
    <w:rsid w:val="00852DD7"/>
    <w:rsid w:val="0085352C"/>
    <w:rsid w:val="00854ACC"/>
    <w:rsid w:val="00854E8B"/>
    <w:rsid w:val="00855242"/>
    <w:rsid w:val="00855292"/>
    <w:rsid w:val="008557C6"/>
    <w:rsid w:val="00855A85"/>
    <w:rsid w:val="00856287"/>
    <w:rsid w:val="008577C5"/>
    <w:rsid w:val="00860B14"/>
    <w:rsid w:val="00861546"/>
    <w:rsid w:val="008639AF"/>
    <w:rsid w:val="00865066"/>
    <w:rsid w:val="00873466"/>
    <w:rsid w:val="0087375F"/>
    <w:rsid w:val="008740B2"/>
    <w:rsid w:val="00874CE2"/>
    <w:rsid w:val="00875051"/>
    <w:rsid w:val="00877AFB"/>
    <w:rsid w:val="00877EF6"/>
    <w:rsid w:val="008805B4"/>
    <w:rsid w:val="008827FB"/>
    <w:rsid w:val="008839F2"/>
    <w:rsid w:val="00884090"/>
    <w:rsid w:val="00884283"/>
    <w:rsid w:val="00886F2C"/>
    <w:rsid w:val="00887367"/>
    <w:rsid w:val="00890FF6"/>
    <w:rsid w:val="00891D5F"/>
    <w:rsid w:val="0089240A"/>
    <w:rsid w:val="00893BB4"/>
    <w:rsid w:val="008A056B"/>
    <w:rsid w:val="008A600B"/>
    <w:rsid w:val="008A62B4"/>
    <w:rsid w:val="008A6B75"/>
    <w:rsid w:val="008B083A"/>
    <w:rsid w:val="008B1DF5"/>
    <w:rsid w:val="008B1F8B"/>
    <w:rsid w:val="008B322C"/>
    <w:rsid w:val="008B4228"/>
    <w:rsid w:val="008B52E2"/>
    <w:rsid w:val="008B707B"/>
    <w:rsid w:val="008B72FC"/>
    <w:rsid w:val="008B7B61"/>
    <w:rsid w:val="008C13ED"/>
    <w:rsid w:val="008C2D62"/>
    <w:rsid w:val="008C300F"/>
    <w:rsid w:val="008C5A67"/>
    <w:rsid w:val="008C62D6"/>
    <w:rsid w:val="008C6427"/>
    <w:rsid w:val="008C6BDA"/>
    <w:rsid w:val="008C6C98"/>
    <w:rsid w:val="008D2F1F"/>
    <w:rsid w:val="008D751C"/>
    <w:rsid w:val="008E0580"/>
    <w:rsid w:val="008E38E3"/>
    <w:rsid w:val="008E44CA"/>
    <w:rsid w:val="008E49CC"/>
    <w:rsid w:val="008E4A36"/>
    <w:rsid w:val="008E4E1D"/>
    <w:rsid w:val="008F0791"/>
    <w:rsid w:val="008F09CA"/>
    <w:rsid w:val="008F184D"/>
    <w:rsid w:val="008F1F4E"/>
    <w:rsid w:val="00901C49"/>
    <w:rsid w:val="00902806"/>
    <w:rsid w:val="00902D05"/>
    <w:rsid w:val="00903785"/>
    <w:rsid w:val="00903F0B"/>
    <w:rsid w:val="00905D65"/>
    <w:rsid w:val="009063D5"/>
    <w:rsid w:val="00907383"/>
    <w:rsid w:val="0091016D"/>
    <w:rsid w:val="00910385"/>
    <w:rsid w:val="00910C98"/>
    <w:rsid w:val="00910EAE"/>
    <w:rsid w:val="00911003"/>
    <w:rsid w:val="00911C3B"/>
    <w:rsid w:val="00911FC5"/>
    <w:rsid w:val="00914220"/>
    <w:rsid w:val="00914392"/>
    <w:rsid w:val="0092010D"/>
    <w:rsid w:val="00920B9C"/>
    <w:rsid w:val="00920BCE"/>
    <w:rsid w:val="009211FB"/>
    <w:rsid w:val="009233C3"/>
    <w:rsid w:val="00924C05"/>
    <w:rsid w:val="00927101"/>
    <w:rsid w:val="009275EE"/>
    <w:rsid w:val="00927758"/>
    <w:rsid w:val="00927C90"/>
    <w:rsid w:val="00930A57"/>
    <w:rsid w:val="00932167"/>
    <w:rsid w:val="0093266F"/>
    <w:rsid w:val="00934D6E"/>
    <w:rsid w:val="00935844"/>
    <w:rsid w:val="00935EB0"/>
    <w:rsid w:val="00937BA8"/>
    <w:rsid w:val="009407D5"/>
    <w:rsid w:val="00940926"/>
    <w:rsid w:val="00941246"/>
    <w:rsid w:val="00941F16"/>
    <w:rsid w:val="0094200F"/>
    <w:rsid w:val="0094461E"/>
    <w:rsid w:val="009455AD"/>
    <w:rsid w:val="00945983"/>
    <w:rsid w:val="00946868"/>
    <w:rsid w:val="0095009A"/>
    <w:rsid w:val="0095045D"/>
    <w:rsid w:val="00950D53"/>
    <w:rsid w:val="00952551"/>
    <w:rsid w:val="009546AA"/>
    <w:rsid w:val="00955207"/>
    <w:rsid w:val="009563F5"/>
    <w:rsid w:val="009571AD"/>
    <w:rsid w:val="009571ED"/>
    <w:rsid w:val="009575CE"/>
    <w:rsid w:val="00962845"/>
    <w:rsid w:val="00964A27"/>
    <w:rsid w:val="00964E13"/>
    <w:rsid w:val="00966F90"/>
    <w:rsid w:val="0096722F"/>
    <w:rsid w:val="00967B85"/>
    <w:rsid w:val="0097325E"/>
    <w:rsid w:val="00973484"/>
    <w:rsid w:val="00973F5F"/>
    <w:rsid w:val="00975274"/>
    <w:rsid w:val="009778EF"/>
    <w:rsid w:val="00977AAD"/>
    <w:rsid w:val="00977E0E"/>
    <w:rsid w:val="00977EEF"/>
    <w:rsid w:val="00981E92"/>
    <w:rsid w:val="00983128"/>
    <w:rsid w:val="00983EF8"/>
    <w:rsid w:val="00984F7C"/>
    <w:rsid w:val="00985869"/>
    <w:rsid w:val="00986217"/>
    <w:rsid w:val="00986526"/>
    <w:rsid w:val="00987973"/>
    <w:rsid w:val="009903B8"/>
    <w:rsid w:val="00991CDB"/>
    <w:rsid w:val="00992D15"/>
    <w:rsid w:val="0099479D"/>
    <w:rsid w:val="009951AE"/>
    <w:rsid w:val="00995303"/>
    <w:rsid w:val="009957FE"/>
    <w:rsid w:val="00995DF1"/>
    <w:rsid w:val="009969E8"/>
    <w:rsid w:val="009A2D36"/>
    <w:rsid w:val="009A34AC"/>
    <w:rsid w:val="009A46BA"/>
    <w:rsid w:val="009A55D0"/>
    <w:rsid w:val="009B4B1C"/>
    <w:rsid w:val="009C04BF"/>
    <w:rsid w:val="009C0921"/>
    <w:rsid w:val="009C0BC2"/>
    <w:rsid w:val="009C1CA7"/>
    <w:rsid w:val="009C408C"/>
    <w:rsid w:val="009C6B67"/>
    <w:rsid w:val="009C7801"/>
    <w:rsid w:val="009C7ECF"/>
    <w:rsid w:val="009D39BB"/>
    <w:rsid w:val="009D4CE5"/>
    <w:rsid w:val="009D5239"/>
    <w:rsid w:val="009D5436"/>
    <w:rsid w:val="009D590B"/>
    <w:rsid w:val="009D70DD"/>
    <w:rsid w:val="009D713A"/>
    <w:rsid w:val="009E3E0A"/>
    <w:rsid w:val="009E4374"/>
    <w:rsid w:val="009E61E1"/>
    <w:rsid w:val="009E687B"/>
    <w:rsid w:val="009E7563"/>
    <w:rsid w:val="009F0BB7"/>
    <w:rsid w:val="009F24DC"/>
    <w:rsid w:val="009F5EC6"/>
    <w:rsid w:val="009F73A4"/>
    <w:rsid w:val="00A00C84"/>
    <w:rsid w:val="00A02346"/>
    <w:rsid w:val="00A03B70"/>
    <w:rsid w:val="00A063B3"/>
    <w:rsid w:val="00A07197"/>
    <w:rsid w:val="00A13966"/>
    <w:rsid w:val="00A13BB3"/>
    <w:rsid w:val="00A17A63"/>
    <w:rsid w:val="00A2040F"/>
    <w:rsid w:val="00A21522"/>
    <w:rsid w:val="00A2379A"/>
    <w:rsid w:val="00A26813"/>
    <w:rsid w:val="00A269C5"/>
    <w:rsid w:val="00A31F5D"/>
    <w:rsid w:val="00A325B3"/>
    <w:rsid w:val="00A32AB0"/>
    <w:rsid w:val="00A32C15"/>
    <w:rsid w:val="00A341F0"/>
    <w:rsid w:val="00A35764"/>
    <w:rsid w:val="00A3626D"/>
    <w:rsid w:val="00A405EB"/>
    <w:rsid w:val="00A4080A"/>
    <w:rsid w:val="00A42C4F"/>
    <w:rsid w:val="00A44398"/>
    <w:rsid w:val="00A44A49"/>
    <w:rsid w:val="00A469A7"/>
    <w:rsid w:val="00A4768F"/>
    <w:rsid w:val="00A47AC3"/>
    <w:rsid w:val="00A52E18"/>
    <w:rsid w:val="00A53433"/>
    <w:rsid w:val="00A537A4"/>
    <w:rsid w:val="00A53EA1"/>
    <w:rsid w:val="00A5585C"/>
    <w:rsid w:val="00A56080"/>
    <w:rsid w:val="00A562DC"/>
    <w:rsid w:val="00A56BE2"/>
    <w:rsid w:val="00A57616"/>
    <w:rsid w:val="00A60486"/>
    <w:rsid w:val="00A61AF1"/>
    <w:rsid w:val="00A64DC8"/>
    <w:rsid w:val="00A66F14"/>
    <w:rsid w:val="00A705DD"/>
    <w:rsid w:val="00A70C95"/>
    <w:rsid w:val="00A70F15"/>
    <w:rsid w:val="00A72589"/>
    <w:rsid w:val="00A7294C"/>
    <w:rsid w:val="00A72BEC"/>
    <w:rsid w:val="00A7331A"/>
    <w:rsid w:val="00A73A00"/>
    <w:rsid w:val="00A7401F"/>
    <w:rsid w:val="00A74398"/>
    <w:rsid w:val="00A76C17"/>
    <w:rsid w:val="00A77002"/>
    <w:rsid w:val="00A81BD5"/>
    <w:rsid w:val="00A820B6"/>
    <w:rsid w:val="00A821D7"/>
    <w:rsid w:val="00A83AA3"/>
    <w:rsid w:val="00A83C4B"/>
    <w:rsid w:val="00A83E4D"/>
    <w:rsid w:val="00A85232"/>
    <w:rsid w:val="00A85A7B"/>
    <w:rsid w:val="00A875C2"/>
    <w:rsid w:val="00A90DC4"/>
    <w:rsid w:val="00A90E1A"/>
    <w:rsid w:val="00A91300"/>
    <w:rsid w:val="00A91740"/>
    <w:rsid w:val="00A9317D"/>
    <w:rsid w:val="00A94081"/>
    <w:rsid w:val="00A9505B"/>
    <w:rsid w:val="00A95EFE"/>
    <w:rsid w:val="00AA08F9"/>
    <w:rsid w:val="00AA0CA5"/>
    <w:rsid w:val="00AA191F"/>
    <w:rsid w:val="00AA2DE1"/>
    <w:rsid w:val="00AA4CDE"/>
    <w:rsid w:val="00AA501A"/>
    <w:rsid w:val="00AA6C83"/>
    <w:rsid w:val="00AA72F8"/>
    <w:rsid w:val="00AA7927"/>
    <w:rsid w:val="00AB0656"/>
    <w:rsid w:val="00AB0C61"/>
    <w:rsid w:val="00AB430C"/>
    <w:rsid w:val="00AB5010"/>
    <w:rsid w:val="00AB58FD"/>
    <w:rsid w:val="00AC16C4"/>
    <w:rsid w:val="00AC19C0"/>
    <w:rsid w:val="00AC1D94"/>
    <w:rsid w:val="00AC3418"/>
    <w:rsid w:val="00AC4547"/>
    <w:rsid w:val="00AC5855"/>
    <w:rsid w:val="00AD19E6"/>
    <w:rsid w:val="00AD3422"/>
    <w:rsid w:val="00AD3801"/>
    <w:rsid w:val="00AD4D81"/>
    <w:rsid w:val="00AD585E"/>
    <w:rsid w:val="00AD5DCC"/>
    <w:rsid w:val="00AD5E59"/>
    <w:rsid w:val="00AE0C6F"/>
    <w:rsid w:val="00AE1521"/>
    <w:rsid w:val="00AE3754"/>
    <w:rsid w:val="00AE3AB2"/>
    <w:rsid w:val="00AE4D75"/>
    <w:rsid w:val="00AE6B63"/>
    <w:rsid w:val="00AF0CF0"/>
    <w:rsid w:val="00AF2587"/>
    <w:rsid w:val="00AF2866"/>
    <w:rsid w:val="00AF34FC"/>
    <w:rsid w:val="00AF3F25"/>
    <w:rsid w:val="00AF51F5"/>
    <w:rsid w:val="00AF76C7"/>
    <w:rsid w:val="00B00E9F"/>
    <w:rsid w:val="00B01732"/>
    <w:rsid w:val="00B0638E"/>
    <w:rsid w:val="00B069FC"/>
    <w:rsid w:val="00B112DB"/>
    <w:rsid w:val="00B11A62"/>
    <w:rsid w:val="00B11C75"/>
    <w:rsid w:val="00B13F8C"/>
    <w:rsid w:val="00B145E1"/>
    <w:rsid w:val="00B1583B"/>
    <w:rsid w:val="00B15D4F"/>
    <w:rsid w:val="00B17030"/>
    <w:rsid w:val="00B17B76"/>
    <w:rsid w:val="00B23E1E"/>
    <w:rsid w:val="00B24261"/>
    <w:rsid w:val="00B24646"/>
    <w:rsid w:val="00B25449"/>
    <w:rsid w:val="00B254CE"/>
    <w:rsid w:val="00B258A9"/>
    <w:rsid w:val="00B30706"/>
    <w:rsid w:val="00B315D7"/>
    <w:rsid w:val="00B31763"/>
    <w:rsid w:val="00B3424B"/>
    <w:rsid w:val="00B34B4F"/>
    <w:rsid w:val="00B356B5"/>
    <w:rsid w:val="00B37B26"/>
    <w:rsid w:val="00B4035C"/>
    <w:rsid w:val="00B40525"/>
    <w:rsid w:val="00B40F3D"/>
    <w:rsid w:val="00B445A0"/>
    <w:rsid w:val="00B45374"/>
    <w:rsid w:val="00B45465"/>
    <w:rsid w:val="00B467A0"/>
    <w:rsid w:val="00B505C1"/>
    <w:rsid w:val="00B51C88"/>
    <w:rsid w:val="00B53C06"/>
    <w:rsid w:val="00B53F49"/>
    <w:rsid w:val="00B547D2"/>
    <w:rsid w:val="00B54871"/>
    <w:rsid w:val="00B54E36"/>
    <w:rsid w:val="00B55A2C"/>
    <w:rsid w:val="00B560D0"/>
    <w:rsid w:val="00B56C96"/>
    <w:rsid w:val="00B618F3"/>
    <w:rsid w:val="00B61E6A"/>
    <w:rsid w:val="00B62F59"/>
    <w:rsid w:val="00B62FD4"/>
    <w:rsid w:val="00B63274"/>
    <w:rsid w:val="00B63AB8"/>
    <w:rsid w:val="00B63B9F"/>
    <w:rsid w:val="00B650A0"/>
    <w:rsid w:val="00B679E8"/>
    <w:rsid w:val="00B721B7"/>
    <w:rsid w:val="00B72738"/>
    <w:rsid w:val="00B73299"/>
    <w:rsid w:val="00B73C1C"/>
    <w:rsid w:val="00B74F17"/>
    <w:rsid w:val="00B758A0"/>
    <w:rsid w:val="00B77BA5"/>
    <w:rsid w:val="00B813F9"/>
    <w:rsid w:val="00B821E7"/>
    <w:rsid w:val="00B90398"/>
    <w:rsid w:val="00B91160"/>
    <w:rsid w:val="00B919CA"/>
    <w:rsid w:val="00B932F0"/>
    <w:rsid w:val="00B94A08"/>
    <w:rsid w:val="00B94FB5"/>
    <w:rsid w:val="00B95776"/>
    <w:rsid w:val="00B95C9F"/>
    <w:rsid w:val="00B972AC"/>
    <w:rsid w:val="00BA03B8"/>
    <w:rsid w:val="00BA1FA0"/>
    <w:rsid w:val="00BA43F7"/>
    <w:rsid w:val="00BA4C45"/>
    <w:rsid w:val="00BA58D7"/>
    <w:rsid w:val="00BA6974"/>
    <w:rsid w:val="00BA69D9"/>
    <w:rsid w:val="00BB0827"/>
    <w:rsid w:val="00BB12B4"/>
    <w:rsid w:val="00BB22EB"/>
    <w:rsid w:val="00BB261F"/>
    <w:rsid w:val="00BB3B52"/>
    <w:rsid w:val="00BB3C29"/>
    <w:rsid w:val="00BB3CCE"/>
    <w:rsid w:val="00BB5EDC"/>
    <w:rsid w:val="00BC03EF"/>
    <w:rsid w:val="00BC1263"/>
    <w:rsid w:val="00BC6C77"/>
    <w:rsid w:val="00BD2E4A"/>
    <w:rsid w:val="00BD736B"/>
    <w:rsid w:val="00BD769F"/>
    <w:rsid w:val="00BD7BD9"/>
    <w:rsid w:val="00BE2869"/>
    <w:rsid w:val="00BE7DAE"/>
    <w:rsid w:val="00BE7ED3"/>
    <w:rsid w:val="00BF0F71"/>
    <w:rsid w:val="00BF0FCE"/>
    <w:rsid w:val="00BF126C"/>
    <w:rsid w:val="00BF2223"/>
    <w:rsid w:val="00BF4B6D"/>
    <w:rsid w:val="00BF748B"/>
    <w:rsid w:val="00BF74BC"/>
    <w:rsid w:val="00C03C98"/>
    <w:rsid w:val="00C03FD5"/>
    <w:rsid w:val="00C05F21"/>
    <w:rsid w:val="00C07BE3"/>
    <w:rsid w:val="00C07E9E"/>
    <w:rsid w:val="00C07F4F"/>
    <w:rsid w:val="00C11E86"/>
    <w:rsid w:val="00C13FAC"/>
    <w:rsid w:val="00C14234"/>
    <w:rsid w:val="00C14589"/>
    <w:rsid w:val="00C14DA1"/>
    <w:rsid w:val="00C16D0E"/>
    <w:rsid w:val="00C21ACF"/>
    <w:rsid w:val="00C21D5F"/>
    <w:rsid w:val="00C222E7"/>
    <w:rsid w:val="00C22F1F"/>
    <w:rsid w:val="00C26426"/>
    <w:rsid w:val="00C30640"/>
    <w:rsid w:val="00C30BAA"/>
    <w:rsid w:val="00C31D90"/>
    <w:rsid w:val="00C32B66"/>
    <w:rsid w:val="00C33673"/>
    <w:rsid w:val="00C33861"/>
    <w:rsid w:val="00C33B90"/>
    <w:rsid w:val="00C40DA8"/>
    <w:rsid w:val="00C41BCF"/>
    <w:rsid w:val="00C42E5A"/>
    <w:rsid w:val="00C43B50"/>
    <w:rsid w:val="00C4577F"/>
    <w:rsid w:val="00C4677C"/>
    <w:rsid w:val="00C4683C"/>
    <w:rsid w:val="00C46C95"/>
    <w:rsid w:val="00C50B75"/>
    <w:rsid w:val="00C574C0"/>
    <w:rsid w:val="00C60DDB"/>
    <w:rsid w:val="00C6352E"/>
    <w:rsid w:val="00C63C54"/>
    <w:rsid w:val="00C63ED0"/>
    <w:rsid w:val="00C7063A"/>
    <w:rsid w:val="00C7465B"/>
    <w:rsid w:val="00C74BA0"/>
    <w:rsid w:val="00C77345"/>
    <w:rsid w:val="00C77E6E"/>
    <w:rsid w:val="00C80B94"/>
    <w:rsid w:val="00C8388F"/>
    <w:rsid w:val="00C84D51"/>
    <w:rsid w:val="00C85547"/>
    <w:rsid w:val="00C90A5E"/>
    <w:rsid w:val="00C91F8C"/>
    <w:rsid w:val="00C9297D"/>
    <w:rsid w:val="00C93023"/>
    <w:rsid w:val="00C93D1F"/>
    <w:rsid w:val="00C95C43"/>
    <w:rsid w:val="00C9624E"/>
    <w:rsid w:val="00C968F4"/>
    <w:rsid w:val="00CA0BBE"/>
    <w:rsid w:val="00CA0CF2"/>
    <w:rsid w:val="00CA0FB2"/>
    <w:rsid w:val="00CA23DB"/>
    <w:rsid w:val="00CA2808"/>
    <w:rsid w:val="00CA4B5A"/>
    <w:rsid w:val="00CA517A"/>
    <w:rsid w:val="00CA6FCB"/>
    <w:rsid w:val="00CA735C"/>
    <w:rsid w:val="00CB00B9"/>
    <w:rsid w:val="00CB56E9"/>
    <w:rsid w:val="00CB598C"/>
    <w:rsid w:val="00CB6052"/>
    <w:rsid w:val="00CB6C80"/>
    <w:rsid w:val="00CB7085"/>
    <w:rsid w:val="00CB7AE1"/>
    <w:rsid w:val="00CC2206"/>
    <w:rsid w:val="00CC5EB7"/>
    <w:rsid w:val="00CC62CA"/>
    <w:rsid w:val="00CC6EC3"/>
    <w:rsid w:val="00CC711E"/>
    <w:rsid w:val="00CD3CA0"/>
    <w:rsid w:val="00CD3FD7"/>
    <w:rsid w:val="00CD646F"/>
    <w:rsid w:val="00CE19E2"/>
    <w:rsid w:val="00CE1DD7"/>
    <w:rsid w:val="00CE1EB2"/>
    <w:rsid w:val="00CE2C18"/>
    <w:rsid w:val="00CE3DFC"/>
    <w:rsid w:val="00CE4051"/>
    <w:rsid w:val="00CE74C9"/>
    <w:rsid w:val="00CE7D15"/>
    <w:rsid w:val="00CF0B3E"/>
    <w:rsid w:val="00CF3A5D"/>
    <w:rsid w:val="00CF404D"/>
    <w:rsid w:val="00CF4398"/>
    <w:rsid w:val="00CF48EB"/>
    <w:rsid w:val="00CF6B4C"/>
    <w:rsid w:val="00CF6BCF"/>
    <w:rsid w:val="00CF6DFE"/>
    <w:rsid w:val="00CF704E"/>
    <w:rsid w:val="00D0075D"/>
    <w:rsid w:val="00D06885"/>
    <w:rsid w:val="00D10C5C"/>
    <w:rsid w:val="00D1215D"/>
    <w:rsid w:val="00D12258"/>
    <w:rsid w:val="00D13C94"/>
    <w:rsid w:val="00D154B3"/>
    <w:rsid w:val="00D16440"/>
    <w:rsid w:val="00D1761A"/>
    <w:rsid w:val="00D17657"/>
    <w:rsid w:val="00D22378"/>
    <w:rsid w:val="00D2292A"/>
    <w:rsid w:val="00D25B3E"/>
    <w:rsid w:val="00D25CB9"/>
    <w:rsid w:val="00D25DB9"/>
    <w:rsid w:val="00D27433"/>
    <w:rsid w:val="00D300DC"/>
    <w:rsid w:val="00D30D5D"/>
    <w:rsid w:val="00D351AA"/>
    <w:rsid w:val="00D37013"/>
    <w:rsid w:val="00D37EFA"/>
    <w:rsid w:val="00D428C7"/>
    <w:rsid w:val="00D4497A"/>
    <w:rsid w:val="00D52EBA"/>
    <w:rsid w:val="00D55774"/>
    <w:rsid w:val="00D60D03"/>
    <w:rsid w:val="00D635B1"/>
    <w:rsid w:val="00D64E4F"/>
    <w:rsid w:val="00D65A49"/>
    <w:rsid w:val="00D669E0"/>
    <w:rsid w:val="00D6702C"/>
    <w:rsid w:val="00D67E03"/>
    <w:rsid w:val="00D7011E"/>
    <w:rsid w:val="00D7260E"/>
    <w:rsid w:val="00D72873"/>
    <w:rsid w:val="00D7414A"/>
    <w:rsid w:val="00D7544C"/>
    <w:rsid w:val="00D761E1"/>
    <w:rsid w:val="00D813B9"/>
    <w:rsid w:val="00D8164E"/>
    <w:rsid w:val="00D82422"/>
    <w:rsid w:val="00D84B7F"/>
    <w:rsid w:val="00D85368"/>
    <w:rsid w:val="00D90065"/>
    <w:rsid w:val="00D91B03"/>
    <w:rsid w:val="00D939D1"/>
    <w:rsid w:val="00D94E8B"/>
    <w:rsid w:val="00D956BF"/>
    <w:rsid w:val="00D95BB1"/>
    <w:rsid w:val="00D96D70"/>
    <w:rsid w:val="00D97288"/>
    <w:rsid w:val="00D97519"/>
    <w:rsid w:val="00DA09F9"/>
    <w:rsid w:val="00DA135B"/>
    <w:rsid w:val="00DA4514"/>
    <w:rsid w:val="00DA4889"/>
    <w:rsid w:val="00DA5C8B"/>
    <w:rsid w:val="00DB09FE"/>
    <w:rsid w:val="00DB1BCD"/>
    <w:rsid w:val="00DB1C50"/>
    <w:rsid w:val="00DB39A1"/>
    <w:rsid w:val="00DB3FC0"/>
    <w:rsid w:val="00DB4985"/>
    <w:rsid w:val="00DB6725"/>
    <w:rsid w:val="00DB71CF"/>
    <w:rsid w:val="00DC02B5"/>
    <w:rsid w:val="00DC1287"/>
    <w:rsid w:val="00DC1654"/>
    <w:rsid w:val="00DC1953"/>
    <w:rsid w:val="00DC260A"/>
    <w:rsid w:val="00DC601E"/>
    <w:rsid w:val="00DC7B47"/>
    <w:rsid w:val="00DD0619"/>
    <w:rsid w:val="00DD0924"/>
    <w:rsid w:val="00DD0F43"/>
    <w:rsid w:val="00DD24A3"/>
    <w:rsid w:val="00DD26BD"/>
    <w:rsid w:val="00DD42E4"/>
    <w:rsid w:val="00DD461F"/>
    <w:rsid w:val="00DD5FF3"/>
    <w:rsid w:val="00DE074C"/>
    <w:rsid w:val="00DE0962"/>
    <w:rsid w:val="00DE2004"/>
    <w:rsid w:val="00DE52CD"/>
    <w:rsid w:val="00DF0150"/>
    <w:rsid w:val="00DF0190"/>
    <w:rsid w:val="00DF0CA7"/>
    <w:rsid w:val="00DF38F0"/>
    <w:rsid w:val="00DF4C66"/>
    <w:rsid w:val="00DF5663"/>
    <w:rsid w:val="00DF698E"/>
    <w:rsid w:val="00DF73A4"/>
    <w:rsid w:val="00E000B6"/>
    <w:rsid w:val="00E00872"/>
    <w:rsid w:val="00E013F9"/>
    <w:rsid w:val="00E03D62"/>
    <w:rsid w:val="00E04BAB"/>
    <w:rsid w:val="00E04DA1"/>
    <w:rsid w:val="00E06C86"/>
    <w:rsid w:val="00E07010"/>
    <w:rsid w:val="00E11751"/>
    <w:rsid w:val="00E11FC7"/>
    <w:rsid w:val="00E12A22"/>
    <w:rsid w:val="00E12C54"/>
    <w:rsid w:val="00E12E98"/>
    <w:rsid w:val="00E12F34"/>
    <w:rsid w:val="00E132A1"/>
    <w:rsid w:val="00E13580"/>
    <w:rsid w:val="00E15894"/>
    <w:rsid w:val="00E17E75"/>
    <w:rsid w:val="00E2078E"/>
    <w:rsid w:val="00E211EB"/>
    <w:rsid w:val="00E21DC7"/>
    <w:rsid w:val="00E22F18"/>
    <w:rsid w:val="00E23061"/>
    <w:rsid w:val="00E24179"/>
    <w:rsid w:val="00E25398"/>
    <w:rsid w:val="00E272C7"/>
    <w:rsid w:val="00E275FD"/>
    <w:rsid w:val="00E30629"/>
    <w:rsid w:val="00E30F9D"/>
    <w:rsid w:val="00E3184B"/>
    <w:rsid w:val="00E33726"/>
    <w:rsid w:val="00E36648"/>
    <w:rsid w:val="00E36657"/>
    <w:rsid w:val="00E37C61"/>
    <w:rsid w:val="00E4053B"/>
    <w:rsid w:val="00E42DD7"/>
    <w:rsid w:val="00E50936"/>
    <w:rsid w:val="00E511BE"/>
    <w:rsid w:val="00E52D2B"/>
    <w:rsid w:val="00E553FA"/>
    <w:rsid w:val="00E555B5"/>
    <w:rsid w:val="00E563EF"/>
    <w:rsid w:val="00E56B63"/>
    <w:rsid w:val="00E60A3E"/>
    <w:rsid w:val="00E60B39"/>
    <w:rsid w:val="00E66E4D"/>
    <w:rsid w:val="00E6736B"/>
    <w:rsid w:val="00E67424"/>
    <w:rsid w:val="00E73ECF"/>
    <w:rsid w:val="00E74F80"/>
    <w:rsid w:val="00E76760"/>
    <w:rsid w:val="00E7699E"/>
    <w:rsid w:val="00E76A86"/>
    <w:rsid w:val="00E77CE0"/>
    <w:rsid w:val="00E77F46"/>
    <w:rsid w:val="00E8039B"/>
    <w:rsid w:val="00E818CF"/>
    <w:rsid w:val="00E81FC1"/>
    <w:rsid w:val="00E82813"/>
    <w:rsid w:val="00E83BE0"/>
    <w:rsid w:val="00E84BEC"/>
    <w:rsid w:val="00E87774"/>
    <w:rsid w:val="00E9232B"/>
    <w:rsid w:val="00E932DF"/>
    <w:rsid w:val="00E94E51"/>
    <w:rsid w:val="00E960FE"/>
    <w:rsid w:val="00E96866"/>
    <w:rsid w:val="00E96B5C"/>
    <w:rsid w:val="00E97E0A"/>
    <w:rsid w:val="00EA279D"/>
    <w:rsid w:val="00EA2C7F"/>
    <w:rsid w:val="00EA45B9"/>
    <w:rsid w:val="00EA476C"/>
    <w:rsid w:val="00EA5867"/>
    <w:rsid w:val="00EA6685"/>
    <w:rsid w:val="00EA686C"/>
    <w:rsid w:val="00EB0C71"/>
    <w:rsid w:val="00EB1B7F"/>
    <w:rsid w:val="00EB1FE1"/>
    <w:rsid w:val="00EB230A"/>
    <w:rsid w:val="00EB2DE0"/>
    <w:rsid w:val="00EB3F5A"/>
    <w:rsid w:val="00EB5772"/>
    <w:rsid w:val="00EB659D"/>
    <w:rsid w:val="00EC06CE"/>
    <w:rsid w:val="00EC0A93"/>
    <w:rsid w:val="00EC2A80"/>
    <w:rsid w:val="00EC4FF2"/>
    <w:rsid w:val="00EC5E01"/>
    <w:rsid w:val="00EC7508"/>
    <w:rsid w:val="00EC7B02"/>
    <w:rsid w:val="00ED0F04"/>
    <w:rsid w:val="00ED3D41"/>
    <w:rsid w:val="00ED700A"/>
    <w:rsid w:val="00ED72B1"/>
    <w:rsid w:val="00ED7788"/>
    <w:rsid w:val="00EE1EBA"/>
    <w:rsid w:val="00EE2B60"/>
    <w:rsid w:val="00EE3A7D"/>
    <w:rsid w:val="00EE5465"/>
    <w:rsid w:val="00EE548E"/>
    <w:rsid w:val="00EE5D3A"/>
    <w:rsid w:val="00EE649A"/>
    <w:rsid w:val="00EE6D28"/>
    <w:rsid w:val="00EE6D69"/>
    <w:rsid w:val="00EE6E49"/>
    <w:rsid w:val="00EE6E75"/>
    <w:rsid w:val="00EF0DC4"/>
    <w:rsid w:val="00EF15CF"/>
    <w:rsid w:val="00EF320F"/>
    <w:rsid w:val="00EF3B41"/>
    <w:rsid w:val="00EF7EA0"/>
    <w:rsid w:val="00F007BD"/>
    <w:rsid w:val="00F02AA3"/>
    <w:rsid w:val="00F03A52"/>
    <w:rsid w:val="00F03FC2"/>
    <w:rsid w:val="00F05385"/>
    <w:rsid w:val="00F05B98"/>
    <w:rsid w:val="00F05DBB"/>
    <w:rsid w:val="00F076E9"/>
    <w:rsid w:val="00F11466"/>
    <w:rsid w:val="00F1278C"/>
    <w:rsid w:val="00F14258"/>
    <w:rsid w:val="00F14622"/>
    <w:rsid w:val="00F153F0"/>
    <w:rsid w:val="00F15CB3"/>
    <w:rsid w:val="00F1723A"/>
    <w:rsid w:val="00F178ED"/>
    <w:rsid w:val="00F20444"/>
    <w:rsid w:val="00F207B9"/>
    <w:rsid w:val="00F21101"/>
    <w:rsid w:val="00F21AC2"/>
    <w:rsid w:val="00F23616"/>
    <w:rsid w:val="00F24D0C"/>
    <w:rsid w:val="00F25234"/>
    <w:rsid w:val="00F25CE7"/>
    <w:rsid w:val="00F262DA"/>
    <w:rsid w:val="00F30CD2"/>
    <w:rsid w:val="00F3249E"/>
    <w:rsid w:val="00F37B9D"/>
    <w:rsid w:val="00F412D3"/>
    <w:rsid w:val="00F418C1"/>
    <w:rsid w:val="00F41C5C"/>
    <w:rsid w:val="00F422DF"/>
    <w:rsid w:val="00F43E9D"/>
    <w:rsid w:val="00F443EF"/>
    <w:rsid w:val="00F45D41"/>
    <w:rsid w:val="00F52B45"/>
    <w:rsid w:val="00F54C2C"/>
    <w:rsid w:val="00F55E55"/>
    <w:rsid w:val="00F57F86"/>
    <w:rsid w:val="00F604CF"/>
    <w:rsid w:val="00F60562"/>
    <w:rsid w:val="00F62EDB"/>
    <w:rsid w:val="00F6385C"/>
    <w:rsid w:val="00F63884"/>
    <w:rsid w:val="00F644FA"/>
    <w:rsid w:val="00F64789"/>
    <w:rsid w:val="00F709DF"/>
    <w:rsid w:val="00F71260"/>
    <w:rsid w:val="00F7403C"/>
    <w:rsid w:val="00F7519E"/>
    <w:rsid w:val="00F7648F"/>
    <w:rsid w:val="00F76EFB"/>
    <w:rsid w:val="00F83A64"/>
    <w:rsid w:val="00F83E68"/>
    <w:rsid w:val="00F858BB"/>
    <w:rsid w:val="00F86181"/>
    <w:rsid w:val="00F91CC0"/>
    <w:rsid w:val="00F943DC"/>
    <w:rsid w:val="00F971F8"/>
    <w:rsid w:val="00FA0516"/>
    <w:rsid w:val="00FA0565"/>
    <w:rsid w:val="00FA0A5D"/>
    <w:rsid w:val="00FA0DAD"/>
    <w:rsid w:val="00FA1113"/>
    <w:rsid w:val="00FA2094"/>
    <w:rsid w:val="00FA2636"/>
    <w:rsid w:val="00FA2E05"/>
    <w:rsid w:val="00FA3420"/>
    <w:rsid w:val="00FA3D5D"/>
    <w:rsid w:val="00FA46C6"/>
    <w:rsid w:val="00FA6425"/>
    <w:rsid w:val="00FA694E"/>
    <w:rsid w:val="00FA6ADE"/>
    <w:rsid w:val="00FB0316"/>
    <w:rsid w:val="00FB0D8D"/>
    <w:rsid w:val="00FB0F18"/>
    <w:rsid w:val="00FB279B"/>
    <w:rsid w:val="00FB27E0"/>
    <w:rsid w:val="00FB2FC5"/>
    <w:rsid w:val="00FB623D"/>
    <w:rsid w:val="00FB74F8"/>
    <w:rsid w:val="00FC0D4E"/>
    <w:rsid w:val="00FC16F2"/>
    <w:rsid w:val="00FC37A3"/>
    <w:rsid w:val="00FC3EDC"/>
    <w:rsid w:val="00FC4B59"/>
    <w:rsid w:val="00FC6950"/>
    <w:rsid w:val="00FC73E6"/>
    <w:rsid w:val="00FC7471"/>
    <w:rsid w:val="00FC7A05"/>
    <w:rsid w:val="00FC7F2E"/>
    <w:rsid w:val="00FD2D61"/>
    <w:rsid w:val="00FD44EA"/>
    <w:rsid w:val="00FE24A8"/>
    <w:rsid w:val="00FE4723"/>
    <w:rsid w:val="00FE4A57"/>
    <w:rsid w:val="00FE5BAA"/>
    <w:rsid w:val="00FE6AFF"/>
    <w:rsid w:val="00FF0ABF"/>
    <w:rsid w:val="00FF1272"/>
    <w:rsid w:val="00FF23CB"/>
    <w:rsid w:val="00FF33FC"/>
    <w:rsid w:val="00FF3A65"/>
    <w:rsid w:val="00FF52CA"/>
    <w:rsid w:val="00FF5CEB"/>
    <w:rsid w:val="00FF60F2"/>
    <w:rsid w:val="00FF795F"/>
    <w:rsid w:val="00FF7AF0"/>
    <w:rsid w:val="010C0545"/>
    <w:rsid w:val="0120101F"/>
    <w:rsid w:val="013102DA"/>
    <w:rsid w:val="01362FFE"/>
    <w:rsid w:val="014B59D9"/>
    <w:rsid w:val="015328BE"/>
    <w:rsid w:val="015A4C29"/>
    <w:rsid w:val="01A2783F"/>
    <w:rsid w:val="01E9719A"/>
    <w:rsid w:val="01ED32F4"/>
    <w:rsid w:val="01ED4BEE"/>
    <w:rsid w:val="02212DCC"/>
    <w:rsid w:val="024A4826"/>
    <w:rsid w:val="024D098B"/>
    <w:rsid w:val="02551F24"/>
    <w:rsid w:val="025E779B"/>
    <w:rsid w:val="025F5256"/>
    <w:rsid w:val="0281753B"/>
    <w:rsid w:val="02885C58"/>
    <w:rsid w:val="02C544AB"/>
    <w:rsid w:val="02D60F29"/>
    <w:rsid w:val="02D7684F"/>
    <w:rsid w:val="02E471E2"/>
    <w:rsid w:val="02F57AD5"/>
    <w:rsid w:val="03172675"/>
    <w:rsid w:val="032B49D9"/>
    <w:rsid w:val="033966B5"/>
    <w:rsid w:val="033D3D77"/>
    <w:rsid w:val="03444038"/>
    <w:rsid w:val="0348082D"/>
    <w:rsid w:val="034B7678"/>
    <w:rsid w:val="0390505E"/>
    <w:rsid w:val="03950237"/>
    <w:rsid w:val="039928F5"/>
    <w:rsid w:val="03CA5B31"/>
    <w:rsid w:val="03D64BE2"/>
    <w:rsid w:val="03F3160B"/>
    <w:rsid w:val="03FA1D66"/>
    <w:rsid w:val="042B2742"/>
    <w:rsid w:val="04506CE8"/>
    <w:rsid w:val="04531A87"/>
    <w:rsid w:val="046618EC"/>
    <w:rsid w:val="048479E8"/>
    <w:rsid w:val="04B70BCD"/>
    <w:rsid w:val="051C565A"/>
    <w:rsid w:val="05327428"/>
    <w:rsid w:val="05420C4A"/>
    <w:rsid w:val="058300C6"/>
    <w:rsid w:val="059378BB"/>
    <w:rsid w:val="059C3C42"/>
    <w:rsid w:val="05C96E30"/>
    <w:rsid w:val="05D85E8F"/>
    <w:rsid w:val="05E4334F"/>
    <w:rsid w:val="060A1B50"/>
    <w:rsid w:val="061B0BAC"/>
    <w:rsid w:val="062848F7"/>
    <w:rsid w:val="063E08C1"/>
    <w:rsid w:val="06606C31"/>
    <w:rsid w:val="06750B37"/>
    <w:rsid w:val="06BC57E7"/>
    <w:rsid w:val="06BF79A0"/>
    <w:rsid w:val="06D54F58"/>
    <w:rsid w:val="06F1273A"/>
    <w:rsid w:val="06FA506B"/>
    <w:rsid w:val="07094394"/>
    <w:rsid w:val="075A700F"/>
    <w:rsid w:val="075B374B"/>
    <w:rsid w:val="077E5D80"/>
    <w:rsid w:val="07847626"/>
    <w:rsid w:val="07897465"/>
    <w:rsid w:val="07910025"/>
    <w:rsid w:val="079A694F"/>
    <w:rsid w:val="07B54729"/>
    <w:rsid w:val="07B56115"/>
    <w:rsid w:val="07F93B86"/>
    <w:rsid w:val="080E2B7A"/>
    <w:rsid w:val="08232CE2"/>
    <w:rsid w:val="08333432"/>
    <w:rsid w:val="08451BBE"/>
    <w:rsid w:val="085A5575"/>
    <w:rsid w:val="08C226A2"/>
    <w:rsid w:val="08C66C2B"/>
    <w:rsid w:val="08C7291B"/>
    <w:rsid w:val="08E510A5"/>
    <w:rsid w:val="08E65840"/>
    <w:rsid w:val="08EB6998"/>
    <w:rsid w:val="090D735B"/>
    <w:rsid w:val="09186E49"/>
    <w:rsid w:val="092624F7"/>
    <w:rsid w:val="094E3A48"/>
    <w:rsid w:val="096239B8"/>
    <w:rsid w:val="097D4F38"/>
    <w:rsid w:val="098017A8"/>
    <w:rsid w:val="09806E4B"/>
    <w:rsid w:val="09874CF3"/>
    <w:rsid w:val="09CD584D"/>
    <w:rsid w:val="09D11050"/>
    <w:rsid w:val="09EB7FE8"/>
    <w:rsid w:val="0A101DDC"/>
    <w:rsid w:val="0A107802"/>
    <w:rsid w:val="0A7448B8"/>
    <w:rsid w:val="0A8A4C90"/>
    <w:rsid w:val="0A8E7521"/>
    <w:rsid w:val="0AA01544"/>
    <w:rsid w:val="0AB14754"/>
    <w:rsid w:val="0AC76B6E"/>
    <w:rsid w:val="0B163E93"/>
    <w:rsid w:val="0B1F4BF5"/>
    <w:rsid w:val="0B3F76EC"/>
    <w:rsid w:val="0B654038"/>
    <w:rsid w:val="0B6D3A26"/>
    <w:rsid w:val="0B6E0577"/>
    <w:rsid w:val="0B786837"/>
    <w:rsid w:val="0B866023"/>
    <w:rsid w:val="0BA14008"/>
    <w:rsid w:val="0BAD4464"/>
    <w:rsid w:val="0BB20B75"/>
    <w:rsid w:val="0BC6768F"/>
    <w:rsid w:val="0C097B69"/>
    <w:rsid w:val="0C0D456F"/>
    <w:rsid w:val="0C291873"/>
    <w:rsid w:val="0C67092C"/>
    <w:rsid w:val="0C732ECC"/>
    <w:rsid w:val="0C781BED"/>
    <w:rsid w:val="0C81655A"/>
    <w:rsid w:val="0C941E91"/>
    <w:rsid w:val="0C9F2BB8"/>
    <w:rsid w:val="0CB119C3"/>
    <w:rsid w:val="0CCA60A4"/>
    <w:rsid w:val="0CD2160D"/>
    <w:rsid w:val="0CD263D5"/>
    <w:rsid w:val="0CD26F33"/>
    <w:rsid w:val="0CE635F8"/>
    <w:rsid w:val="0D1057FE"/>
    <w:rsid w:val="0D1A1FBD"/>
    <w:rsid w:val="0D2051FE"/>
    <w:rsid w:val="0D4448BC"/>
    <w:rsid w:val="0D6554A2"/>
    <w:rsid w:val="0D7A64A9"/>
    <w:rsid w:val="0D9B1BBA"/>
    <w:rsid w:val="0DA7695C"/>
    <w:rsid w:val="0DC67364"/>
    <w:rsid w:val="0DDF3B1B"/>
    <w:rsid w:val="0DE86644"/>
    <w:rsid w:val="0E033243"/>
    <w:rsid w:val="0E06235D"/>
    <w:rsid w:val="0E1A0518"/>
    <w:rsid w:val="0E206CD8"/>
    <w:rsid w:val="0E212B6A"/>
    <w:rsid w:val="0E6B0203"/>
    <w:rsid w:val="0E7C2072"/>
    <w:rsid w:val="0E8B2E0A"/>
    <w:rsid w:val="0EA05B3C"/>
    <w:rsid w:val="0EAF14D2"/>
    <w:rsid w:val="0EBE22F7"/>
    <w:rsid w:val="0ED12552"/>
    <w:rsid w:val="0EE772E8"/>
    <w:rsid w:val="0EF81742"/>
    <w:rsid w:val="0F0D4DBC"/>
    <w:rsid w:val="0F3964B5"/>
    <w:rsid w:val="0F5228A0"/>
    <w:rsid w:val="0F7E7F7C"/>
    <w:rsid w:val="0F7F263D"/>
    <w:rsid w:val="0FB763F9"/>
    <w:rsid w:val="0FC06360"/>
    <w:rsid w:val="0FCE7D1A"/>
    <w:rsid w:val="0FD34745"/>
    <w:rsid w:val="0FED43E9"/>
    <w:rsid w:val="10216C53"/>
    <w:rsid w:val="10417FE6"/>
    <w:rsid w:val="10465BE0"/>
    <w:rsid w:val="106D3B01"/>
    <w:rsid w:val="10761254"/>
    <w:rsid w:val="108D59F5"/>
    <w:rsid w:val="10927F72"/>
    <w:rsid w:val="10B228D8"/>
    <w:rsid w:val="10DB0834"/>
    <w:rsid w:val="10DB6364"/>
    <w:rsid w:val="10E72412"/>
    <w:rsid w:val="10F91F03"/>
    <w:rsid w:val="110F17FB"/>
    <w:rsid w:val="11185FC4"/>
    <w:rsid w:val="116F704A"/>
    <w:rsid w:val="11A50958"/>
    <w:rsid w:val="11DE5AD5"/>
    <w:rsid w:val="12011B6C"/>
    <w:rsid w:val="12447567"/>
    <w:rsid w:val="126863F0"/>
    <w:rsid w:val="126A10DA"/>
    <w:rsid w:val="127666AE"/>
    <w:rsid w:val="12832289"/>
    <w:rsid w:val="12BF2E83"/>
    <w:rsid w:val="12CE71C5"/>
    <w:rsid w:val="12DB014F"/>
    <w:rsid w:val="12E9774D"/>
    <w:rsid w:val="12FD1CBC"/>
    <w:rsid w:val="13063A5D"/>
    <w:rsid w:val="13064C71"/>
    <w:rsid w:val="131073F8"/>
    <w:rsid w:val="13116BFB"/>
    <w:rsid w:val="13143E7A"/>
    <w:rsid w:val="1319126E"/>
    <w:rsid w:val="132404F3"/>
    <w:rsid w:val="13363808"/>
    <w:rsid w:val="133A755D"/>
    <w:rsid w:val="13770E20"/>
    <w:rsid w:val="137D18C1"/>
    <w:rsid w:val="13952275"/>
    <w:rsid w:val="13A032B5"/>
    <w:rsid w:val="13B67996"/>
    <w:rsid w:val="13C01D83"/>
    <w:rsid w:val="13EA387B"/>
    <w:rsid w:val="13F41150"/>
    <w:rsid w:val="14114361"/>
    <w:rsid w:val="14231809"/>
    <w:rsid w:val="142A3110"/>
    <w:rsid w:val="142D6BAC"/>
    <w:rsid w:val="145B4295"/>
    <w:rsid w:val="145E7705"/>
    <w:rsid w:val="14607FC4"/>
    <w:rsid w:val="14733A18"/>
    <w:rsid w:val="1488112F"/>
    <w:rsid w:val="148B0393"/>
    <w:rsid w:val="14A52F38"/>
    <w:rsid w:val="14F92BAC"/>
    <w:rsid w:val="151F3184"/>
    <w:rsid w:val="152248B7"/>
    <w:rsid w:val="153D774B"/>
    <w:rsid w:val="153F7B00"/>
    <w:rsid w:val="15413A9A"/>
    <w:rsid w:val="154D0700"/>
    <w:rsid w:val="154D4C51"/>
    <w:rsid w:val="154D5CA6"/>
    <w:rsid w:val="158B3C32"/>
    <w:rsid w:val="15A420CD"/>
    <w:rsid w:val="15BD1BAF"/>
    <w:rsid w:val="15C30DDB"/>
    <w:rsid w:val="15D908EE"/>
    <w:rsid w:val="15F3111F"/>
    <w:rsid w:val="15FF72A0"/>
    <w:rsid w:val="160551A5"/>
    <w:rsid w:val="16557421"/>
    <w:rsid w:val="165E3B78"/>
    <w:rsid w:val="16605676"/>
    <w:rsid w:val="16682A11"/>
    <w:rsid w:val="166A5654"/>
    <w:rsid w:val="169A7069"/>
    <w:rsid w:val="16CE4AD0"/>
    <w:rsid w:val="16DA1D23"/>
    <w:rsid w:val="16E02F34"/>
    <w:rsid w:val="170E49BF"/>
    <w:rsid w:val="17156DAD"/>
    <w:rsid w:val="17440393"/>
    <w:rsid w:val="174F19C4"/>
    <w:rsid w:val="17560EA8"/>
    <w:rsid w:val="175A06A5"/>
    <w:rsid w:val="17765A30"/>
    <w:rsid w:val="179B514C"/>
    <w:rsid w:val="17D4040C"/>
    <w:rsid w:val="17D51005"/>
    <w:rsid w:val="17E1233A"/>
    <w:rsid w:val="17F31071"/>
    <w:rsid w:val="181D10DE"/>
    <w:rsid w:val="183C0E0F"/>
    <w:rsid w:val="184C093D"/>
    <w:rsid w:val="188A4BB9"/>
    <w:rsid w:val="18926817"/>
    <w:rsid w:val="18C1089E"/>
    <w:rsid w:val="18EB0263"/>
    <w:rsid w:val="1905000C"/>
    <w:rsid w:val="19605BCF"/>
    <w:rsid w:val="197D775C"/>
    <w:rsid w:val="19960E12"/>
    <w:rsid w:val="199772E5"/>
    <w:rsid w:val="19AC56A6"/>
    <w:rsid w:val="19B41F5C"/>
    <w:rsid w:val="19B84263"/>
    <w:rsid w:val="19B959F1"/>
    <w:rsid w:val="19D45AD5"/>
    <w:rsid w:val="19EF5080"/>
    <w:rsid w:val="1A2060E2"/>
    <w:rsid w:val="1A2061ED"/>
    <w:rsid w:val="1A286451"/>
    <w:rsid w:val="1A2A1B4B"/>
    <w:rsid w:val="1A5E0288"/>
    <w:rsid w:val="1B084239"/>
    <w:rsid w:val="1B153AAB"/>
    <w:rsid w:val="1B1951B5"/>
    <w:rsid w:val="1B1A6617"/>
    <w:rsid w:val="1B5542D8"/>
    <w:rsid w:val="1B6169CA"/>
    <w:rsid w:val="1B9B7917"/>
    <w:rsid w:val="1BBF17C2"/>
    <w:rsid w:val="1BCC4EDE"/>
    <w:rsid w:val="1C040A99"/>
    <w:rsid w:val="1C212CB6"/>
    <w:rsid w:val="1C2A6E05"/>
    <w:rsid w:val="1C322436"/>
    <w:rsid w:val="1C4D2A43"/>
    <w:rsid w:val="1C56272F"/>
    <w:rsid w:val="1C73464A"/>
    <w:rsid w:val="1C7A3CD6"/>
    <w:rsid w:val="1C9D0365"/>
    <w:rsid w:val="1CA41672"/>
    <w:rsid w:val="1CB14629"/>
    <w:rsid w:val="1CDC3563"/>
    <w:rsid w:val="1CF31F98"/>
    <w:rsid w:val="1CF545B0"/>
    <w:rsid w:val="1CFE3876"/>
    <w:rsid w:val="1D0E46A6"/>
    <w:rsid w:val="1D1E71CE"/>
    <w:rsid w:val="1D6235BD"/>
    <w:rsid w:val="1D6E158F"/>
    <w:rsid w:val="1D834DEC"/>
    <w:rsid w:val="1DBC7FCD"/>
    <w:rsid w:val="1DD40AEE"/>
    <w:rsid w:val="1DD831B0"/>
    <w:rsid w:val="1DFE74F9"/>
    <w:rsid w:val="1E0B1D50"/>
    <w:rsid w:val="1E1D525F"/>
    <w:rsid w:val="1E26164D"/>
    <w:rsid w:val="1E692226"/>
    <w:rsid w:val="1E6B221A"/>
    <w:rsid w:val="1E6F2254"/>
    <w:rsid w:val="1E7C5C5E"/>
    <w:rsid w:val="1ED1472B"/>
    <w:rsid w:val="1ED37EC0"/>
    <w:rsid w:val="1EE14AA3"/>
    <w:rsid w:val="1EFB3EB7"/>
    <w:rsid w:val="1F244282"/>
    <w:rsid w:val="1F466F8E"/>
    <w:rsid w:val="1F705103"/>
    <w:rsid w:val="1F724321"/>
    <w:rsid w:val="1F7361F8"/>
    <w:rsid w:val="1F7F3642"/>
    <w:rsid w:val="1F8A3DC2"/>
    <w:rsid w:val="1F9F6631"/>
    <w:rsid w:val="1FB803A2"/>
    <w:rsid w:val="1FC24AC4"/>
    <w:rsid w:val="20014BB0"/>
    <w:rsid w:val="201275C7"/>
    <w:rsid w:val="2017122B"/>
    <w:rsid w:val="201C75F4"/>
    <w:rsid w:val="202107AA"/>
    <w:rsid w:val="203A4B58"/>
    <w:rsid w:val="206059EB"/>
    <w:rsid w:val="20682DF3"/>
    <w:rsid w:val="20690C0E"/>
    <w:rsid w:val="20884C53"/>
    <w:rsid w:val="20994426"/>
    <w:rsid w:val="20DD10FB"/>
    <w:rsid w:val="20DF6191"/>
    <w:rsid w:val="20FD52DE"/>
    <w:rsid w:val="21014340"/>
    <w:rsid w:val="2103358B"/>
    <w:rsid w:val="21211E5A"/>
    <w:rsid w:val="21250508"/>
    <w:rsid w:val="21374E0C"/>
    <w:rsid w:val="215D145B"/>
    <w:rsid w:val="216511A7"/>
    <w:rsid w:val="21881461"/>
    <w:rsid w:val="21C23D5F"/>
    <w:rsid w:val="21C76D7B"/>
    <w:rsid w:val="21CE20CA"/>
    <w:rsid w:val="22005671"/>
    <w:rsid w:val="220E7320"/>
    <w:rsid w:val="22140FC1"/>
    <w:rsid w:val="222701BF"/>
    <w:rsid w:val="22314A31"/>
    <w:rsid w:val="22346048"/>
    <w:rsid w:val="22380DB3"/>
    <w:rsid w:val="22477AA5"/>
    <w:rsid w:val="224C0CF6"/>
    <w:rsid w:val="226070E8"/>
    <w:rsid w:val="226F785C"/>
    <w:rsid w:val="227B2ED3"/>
    <w:rsid w:val="22967155"/>
    <w:rsid w:val="22BB7021"/>
    <w:rsid w:val="22ED18C5"/>
    <w:rsid w:val="22EE019D"/>
    <w:rsid w:val="22F931C1"/>
    <w:rsid w:val="231357C4"/>
    <w:rsid w:val="2326742B"/>
    <w:rsid w:val="23676DC4"/>
    <w:rsid w:val="23B12F3E"/>
    <w:rsid w:val="23C80667"/>
    <w:rsid w:val="23D72B31"/>
    <w:rsid w:val="23EC4ECB"/>
    <w:rsid w:val="23EC5DED"/>
    <w:rsid w:val="23F813B1"/>
    <w:rsid w:val="240514AC"/>
    <w:rsid w:val="24284ACE"/>
    <w:rsid w:val="243A7862"/>
    <w:rsid w:val="245E5C4F"/>
    <w:rsid w:val="246048BB"/>
    <w:rsid w:val="24653788"/>
    <w:rsid w:val="24683DE3"/>
    <w:rsid w:val="248A6495"/>
    <w:rsid w:val="24C67498"/>
    <w:rsid w:val="24CE6B2C"/>
    <w:rsid w:val="24D07898"/>
    <w:rsid w:val="24EB4218"/>
    <w:rsid w:val="24FB68B6"/>
    <w:rsid w:val="25214981"/>
    <w:rsid w:val="25580B55"/>
    <w:rsid w:val="25725205"/>
    <w:rsid w:val="25882B94"/>
    <w:rsid w:val="258C0A33"/>
    <w:rsid w:val="25A93770"/>
    <w:rsid w:val="26121104"/>
    <w:rsid w:val="261712DA"/>
    <w:rsid w:val="26230AB5"/>
    <w:rsid w:val="26237F6C"/>
    <w:rsid w:val="262C7517"/>
    <w:rsid w:val="263F5AC5"/>
    <w:rsid w:val="264C1D60"/>
    <w:rsid w:val="265E0777"/>
    <w:rsid w:val="265E60DA"/>
    <w:rsid w:val="26740F04"/>
    <w:rsid w:val="26787791"/>
    <w:rsid w:val="267A05EA"/>
    <w:rsid w:val="267D6943"/>
    <w:rsid w:val="26A06F5A"/>
    <w:rsid w:val="26FF43B6"/>
    <w:rsid w:val="272B2C77"/>
    <w:rsid w:val="272E0F5C"/>
    <w:rsid w:val="27335855"/>
    <w:rsid w:val="273929C9"/>
    <w:rsid w:val="27563194"/>
    <w:rsid w:val="275924F0"/>
    <w:rsid w:val="27595774"/>
    <w:rsid w:val="276C323F"/>
    <w:rsid w:val="2781405D"/>
    <w:rsid w:val="278C7250"/>
    <w:rsid w:val="279F6281"/>
    <w:rsid w:val="27A43AC1"/>
    <w:rsid w:val="27AD20E8"/>
    <w:rsid w:val="27C32719"/>
    <w:rsid w:val="27C84233"/>
    <w:rsid w:val="27E45D48"/>
    <w:rsid w:val="28423C49"/>
    <w:rsid w:val="28453A67"/>
    <w:rsid w:val="2875054C"/>
    <w:rsid w:val="28913E9A"/>
    <w:rsid w:val="289227D7"/>
    <w:rsid w:val="28A71DE8"/>
    <w:rsid w:val="28AA559D"/>
    <w:rsid w:val="28CF6BA8"/>
    <w:rsid w:val="28EF43D6"/>
    <w:rsid w:val="28FF0D3C"/>
    <w:rsid w:val="29181605"/>
    <w:rsid w:val="2976479E"/>
    <w:rsid w:val="29784634"/>
    <w:rsid w:val="2997205C"/>
    <w:rsid w:val="29A25543"/>
    <w:rsid w:val="29AC2699"/>
    <w:rsid w:val="29AE052D"/>
    <w:rsid w:val="29B62F9A"/>
    <w:rsid w:val="29C53F2A"/>
    <w:rsid w:val="29DC7594"/>
    <w:rsid w:val="2A0C7993"/>
    <w:rsid w:val="2A2C3BE8"/>
    <w:rsid w:val="2A346075"/>
    <w:rsid w:val="2A5663A8"/>
    <w:rsid w:val="2A5762FB"/>
    <w:rsid w:val="2A6C33F4"/>
    <w:rsid w:val="2A8245D0"/>
    <w:rsid w:val="2A84619D"/>
    <w:rsid w:val="2A9D0968"/>
    <w:rsid w:val="2AC2130A"/>
    <w:rsid w:val="2AE64822"/>
    <w:rsid w:val="2AE75A45"/>
    <w:rsid w:val="2B0F5250"/>
    <w:rsid w:val="2B1C5C5A"/>
    <w:rsid w:val="2B440AE2"/>
    <w:rsid w:val="2B4C2870"/>
    <w:rsid w:val="2B4F51FE"/>
    <w:rsid w:val="2B7E7E17"/>
    <w:rsid w:val="2C51590E"/>
    <w:rsid w:val="2C5C5163"/>
    <w:rsid w:val="2C7B7E32"/>
    <w:rsid w:val="2C837F80"/>
    <w:rsid w:val="2C8E78F2"/>
    <w:rsid w:val="2C940E94"/>
    <w:rsid w:val="2CA5685A"/>
    <w:rsid w:val="2CA70E32"/>
    <w:rsid w:val="2CCB631F"/>
    <w:rsid w:val="2CE566DB"/>
    <w:rsid w:val="2CE75661"/>
    <w:rsid w:val="2CF82B82"/>
    <w:rsid w:val="2D0E7429"/>
    <w:rsid w:val="2D5D1AAB"/>
    <w:rsid w:val="2D626644"/>
    <w:rsid w:val="2DA02458"/>
    <w:rsid w:val="2DC243A5"/>
    <w:rsid w:val="2E031C2F"/>
    <w:rsid w:val="2E0C4B98"/>
    <w:rsid w:val="2E3D7BFE"/>
    <w:rsid w:val="2E46159F"/>
    <w:rsid w:val="2E4F3F53"/>
    <w:rsid w:val="2E8C3AD0"/>
    <w:rsid w:val="2E8F093E"/>
    <w:rsid w:val="2E9D6944"/>
    <w:rsid w:val="2EF2328C"/>
    <w:rsid w:val="2F0E6711"/>
    <w:rsid w:val="2F172320"/>
    <w:rsid w:val="2F3C67ED"/>
    <w:rsid w:val="2F4D7999"/>
    <w:rsid w:val="2F5B4AC9"/>
    <w:rsid w:val="2F5E34E2"/>
    <w:rsid w:val="2F5F7F4F"/>
    <w:rsid w:val="2F6C19FA"/>
    <w:rsid w:val="2F7B350A"/>
    <w:rsid w:val="2F951BF1"/>
    <w:rsid w:val="2F9F29A5"/>
    <w:rsid w:val="2FA07A57"/>
    <w:rsid w:val="2FB34DB4"/>
    <w:rsid w:val="2FB839BA"/>
    <w:rsid w:val="300B575B"/>
    <w:rsid w:val="303148AB"/>
    <w:rsid w:val="305D3A43"/>
    <w:rsid w:val="305D775E"/>
    <w:rsid w:val="305F08BD"/>
    <w:rsid w:val="306E341B"/>
    <w:rsid w:val="30796496"/>
    <w:rsid w:val="308541D8"/>
    <w:rsid w:val="30862E19"/>
    <w:rsid w:val="30BF48F3"/>
    <w:rsid w:val="30D934BB"/>
    <w:rsid w:val="30E412D3"/>
    <w:rsid w:val="30FA1811"/>
    <w:rsid w:val="312968C1"/>
    <w:rsid w:val="31464417"/>
    <w:rsid w:val="314E78C0"/>
    <w:rsid w:val="31750543"/>
    <w:rsid w:val="31783687"/>
    <w:rsid w:val="31884F26"/>
    <w:rsid w:val="318C1F53"/>
    <w:rsid w:val="318E7813"/>
    <w:rsid w:val="31983C3F"/>
    <w:rsid w:val="31AA5EE0"/>
    <w:rsid w:val="31AB68BF"/>
    <w:rsid w:val="31CE35D9"/>
    <w:rsid w:val="31E96F65"/>
    <w:rsid w:val="31ED59DD"/>
    <w:rsid w:val="31F76332"/>
    <w:rsid w:val="31FC7FD7"/>
    <w:rsid w:val="32145094"/>
    <w:rsid w:val="32230D1B"/>
    <w:rsid w:val="32243952"/>
    <w:rsid w:val="32303C28"/>
    <w:rsid w:val="323F5519"/>
    <w:rsid w:val="325B78B9"/>
    <w:rsid w:val="32602805"/>
    <w:rsid w:val="32E4075E"/>
    <w:rsid w:val="32FE5F06"/>
    <w:rsid w:val="33053221"/>
    <w:rsid w:val="33080081"/>
    <w:rsid w:val="336239E1"/>
    <w:rsid w:val="33696172"/>
    <w:rsid w:val="33A91811"/>
    <w:rsid w:val="33AA4AE2"/>
    <w:rsid w:val="340E3B32"/>
    <w:rsid w:val="340F683A"/>
    <w:rsid w:val="34432F8C"/>
    <w:rsid w:val="3465340F"/>
    <w:rsid w:val="34656D4D"/>
    <w:rsid w:val="349125B6"/>
    <w:rsid w:val="34B0092B"/>
    <w:rsid w:val="34B84366"/>
    <w:rsid w:val="34DE2024"/>
    <w:rsid w:val="34F16EF6"/>
    <w:rsid w:val="358133B4"/>
    <w:rsid w:val="35916021"/>
    <w:rsid w:val="35942567"/>
    <w:rsid w:val="35A64B25"/>
    <w:rsid w:val="35C32248"/>
    <w:rsid w:val="35C92D11"/>
    <w:rsid w:val="36050773"/>
    <w:rsid w:val="36187149"/>
    <w:rsid w:val="364B497E"/>
    <w:rsid w:val="36594FDA"/>
    <w:rsid w:val="36682971"/>
    <w:rsid w:val="369468CF"/>
    <w:rsid w:val="36B421C4"/>
    <w:rsid w:val="37110E98"/>
    <w:rsid w:val="37193B3B"/>
    <w:rsid w:val="37197972"/>
    <w:rsid w:val="372D3A92"/>
    <w:rsid w:val="37341157"/>
    <w:rsid w:val="379039F3"/>
    <w:rsid w:val="37D036EF"/>
    <w:rsid w:val="37D425DA"/>
    <w:rsid w:val="37EA24D5"/>
    <w:rsid w:val="37EF3551"/>
    <w:rsid w:val="37F343D8"/>
    <w:rsid w:val="383A378C"/>
    <w:rsid w:val="384C5F7E"/>
    <w:rsid w:val="38603BB0"/>
    <w:rsid w:val="387A2164"/>
    <w:rsid w:val="388E52DA"/>
    <w:rsid w:val="38AB2C82"/>
    <w:rsid w:val="38AF13B2"/>
    <w:rsid w:val="38FA1A3B"/>
    <w:rsid w:val="3912079D"/>
    <w:rsid w:val="39127E9D"/>
    <w:rsid w:val="391F499E"/>
    <w:rsid w:val="39617229"/>
    <w:rsid w:val="39622244"/>
    <w:rsid w:val="3988116D"/>
    <w:rsid w:val="398E7C96"/>
    <w:rsid w:val="39D15C7A"/>
    <w:rsid w:val="39DE199A"/>
    <w:rsid w:val="39E04D9E"/>
    <w:rsid w:val="3A165847"/>
    <w:rsid w:val="3A271A76"/>
    <w:rsid w:val="3A446DDB"/>
    <w:rsid w:val="3AA6054C"/>
    <w:rsid w:val="3AAC501E"/>
    <w:rsid w:val="3AB14007"/>
    <w:rsid w:val="3AD80E71"/>
    <w:rsid w:val="3AE23C36"/>
    <w:rsid w:val="3AEA4C6B"/>
    <w:rsid w:val="3AEF1566"/>
    <w:rsid w:val="3AEF5C48"/>
    <w:rsid w:val="3B2031C5"/>
    <w:rsid w:val="3B226546"/>
    <w:rsid w:val="3B235B63"/>
    <w:rsid w:val="3B34421D"/>
    <w:rsid w:val="3B360A8F"/>
    <w:rsid w:val="3B36547B"/>
    <w:rsid w:val="3B6E183F"/>
    <w:rsid w:val="3B714204"/>
    <w:rsid w:val="3B7774A2"/>
    <w:rsid w:val="3B7C0EDB"/>
    <w:rsid w:val="3B975128"/>
    <w:rsid w:val="3BDB6BE6"/>
    <w:rsid w:val="3BE5554B"/>
    <w:rsid w:val="3BF1476F"/>
    <w:rsid w:val="3BFE4B9E"/>
    <w:rsid w:val="3C163804"/>
    <w:rsid w:val="3C2A5290"/>
    <w:rsid w:val="3C5301B0"/>
    <w:rsid w:val="3C7709EA"/>
    <w:rsid w:val="3C894EBE"/>
    <w:rsid w:val="3C96376F"/>
    <w:rsid w:val="3CA9790E"/>
    <w:rsid w:val="3CC84C8E"/>
    <w:rsid w:val="3CEB0EB2"/>
    <w:rsid w:val="3D334C36"/>
    <w:rsid w:val="3D3D1538"/>
    <w:rsid w:val="3D451A47"/>
    <w:rsid w:val="3D4D55BB"/>
    <w:rsid w:val="3D502206"/>
    <w:rsid w:val="3D5C1B2E"/>
    <w:rsid w:val="3D762478"/>
    <w:rsid w:val="3D8D69ED"/>
    <w:rsid w:val="3D900710"/>
    <w:rsid w:val="3DAD0486"/>
    <w:rsid w:val="3DAF2834"/>
    <w:rsid w:val="3DB1348F"/>
    <w:rsid w:val="3DB55A0D"/>
    <w:rsid w:val="3DB868D1"/>
    <w:rsid w:val="3DD202FF"/>
    <w:rsid w:val="3DDD7F09"/>
    <w:rsid w:val="3DE85F7F"/>
    <w:rsid w:val="3DEB48BF"/>
    <w:rsid w:val="3E044147"/>
    <w:rsid w:val="3E307EDB"/>
    <w:rsid w:val="3E4230E6"/>
    <w:rsid w:val="3E517508"/>
    <w:rsid w:val="3E691A3B"/>
    <w:rsid w:val="3E6C7664"/>
    <w:rsid w:val="3E6F30F6"/>
    <w:rsid w:val="3E917064"/>
    <w:rsid w:val="3E951D58"/>
    <w:rsid w:val="3EC35186"/>
    <w:rsid w:val="3EC96FDD"/>
    <w:rsid w:val="3ED13CDA"/>
    <w:rsid w:val="3EDF3082"/>
    <w:rsid w:val="3EF4792D"/>
    <w:rsid w:val="3F0D7357"/>
    <w:rsid w:val="3F6E52EA"/>
    <w:rsid w:val="3F8F3BB8"/>
    <w:rsid w:val="3F9B3536"/>
    <w:rsid w:val="3FAD4F40"/>
    <w:rsid w:val="3FB83E4E"/>
    <w:rsid w:val="3FDE6E82"/>
    <w:rsid w:val="3FE24D8B"/>
    <w:rsid w:val="407E2E55"/>
    <w:rsid w:val="408F1643"/>
    <w:rsid w:val="40926683"/>
    <w:rsid w:val="40A90AFF"/>
    <w:rsid w:val="40B81343"/>
    <w:rsid w:val="40DA1BD3"/>
    <w:rsid w:val="40F411ED"/>
    <w:rsid w:val="41006A09"/>
    <w:rsid w:val="41094709"/>
    <w:rsid w:val="41300A41"/>
    <w:rsid w:val="41487269"/>
    <w:rsid w:val="41533BA0"/>
    <w:rsid w:val="41637E5D"/>
    <w:rsid w:val="41725947"/>
    <w:rsid w:val="4187411D"/>
    <w:rsid w:val="418B4D58"/>
    <w:rsid w:val="41A86BEF"/>
    <w:rsid w:val="41C560EC"/>
    <w:rsid w:val="41CE003F"/>
    <w:rsid w:val="41D364B6"/>
    <w:rsid w:val="41E013E0"/>
    <w:rsid w:val="41EC49F9"/>
    <w:rsid w:val="41F95BE4"/>
    <w:rsid w:val="420E2C61"/>
    <w:rsid w:val="421021A0"/>
    <w:rsid w:val="423A4CBB"/>
    <w:rsid w:val="42580542"/>
    <w:rsid w:val="426D65C0"/>
    <w:rsid w:val="42766EBC"/>
    <w:rsid w:val="42922F74"/>
    <w:rsid w:val="429364AA"/>
    <w:rsid w:val="429E7F43"/>
    <w:rsid w:val="42A070FE"/>
    <w:rsid w:val="42B1257D"/>
    <w:rsid w:val="42DC0895"/>
    <w:rsid w:val="42FD435B"/>
    <w:rsid w:val="43104D49"/>
    <w:rsid w:val="43115D28"/>
    <w:rsid w:val="43115D5A"/>
    <w:rsid w:val="43133B97"/>
    <w:rsid w:val="432006F4"/>
    <w:rsid w:val="4330456D"/>
    <w:rsid w:val="43554EC2"/>
    <w:rsid w:val="4367727C"/>
    <w:rsid w:val="438447B9"/>
    <w:rsid w:val="4390147E"/>
    <w:rsid w:val="43C06058"/>
    <w:rsid w:val="43F4090A"/>
    <w:rsid w:val="43FD213A"/>
    <w:rsid w:val="44340953"/>
    <w:rsid w:val="44461FEB"/>
    <w:rsid w:val="444D1441"/>
    <w:rsid w:val="445E0A91"/>
    <w:rsid w:val="449E532E"/>
    <w:rsid w:val="44B20F21"/>
    <w:rsid w:val="44DF7D06"/>
    <w:rsid w:val="44EF7C5D"/>
    <w:rsid w:val="45071D12"/>
    <w:rsid w:val="450909B9"/>
    <w:rsid w:val="45227671"/>
    <w:rsid w:val="45317F5F"/>
    <w:rsid w:val="45507ACD"/>
    <w:rsid w:val="45572CBC"/>
    <w:rsid w:val="458676B4"/>
    <w:rsid w:val="4588311B"/>
    <w:rsid w:val="458B669C"/>
    <w:rsid w:val="45C43A68"/>
    <w:rsid w:val="45D120F3"/>
    <w:rsid w:val="45D27902"/>
    <w:rsid w:val="45F215C6"/>
    <w:rsid w:val="46030898"/>
    <w:rsid w:val="460739BD"/>
    <w:rsid w:val="460D5892"/>
    <w:rsid w:val="46382F5E"/>
    <w:rsid w:val="4659256F"/>
    <w:rsid w:val="465F5F1B"/>
    <w:rsid w:val="46875119"/>
    <w:rsid w:val="468B556A"/>
    <w:rsid w:val="468D7045"/>
    <w:rsid w:val="46D60A5B"/>
    <w:rsid w:val="46E17FE5"/>
    <w:rsid w:val="46F63EC9"/>
    <w:rsid w:val="46F946A1"/>
    <w:rsid w:val="473A2D2F"/>
    <w:rsid w:val="474419F1"/>
    <w:rsid w:val="47474C67"/>
    <w:rsid w:val="47553AA1"/>
    <w:rsid w:val="47636297"/>
    <w:rsid w:val="47733EBD"/>
    <w:rsid w:val="47B644C9"/>
    <w:rsid w:val="47CC20D0"/>
    <w:rsid w:val="47D85E1E"/>
    <w:rsid w:val="48182AC4"/>
    <w:rsid w:val="482D6384"/>
    <w:rsid w:val="483357B7"/>
    <w:rsid w:val="48406F83"/>
    <w:rsid w:val="48451020"/>
    <w:rsid w:val="484C5267"/>
    <w:rsid w:val="488B3BB3"/>
    <w:rsid w:val="488B6D40"/>
    <w:rsid w:val="489C0F0A"/>
    <w:rsid w:val="48D03BEA"/>
    <w:rsid w:val="48E24799"/>
    <w:rsid w:val="4914648E"/>
    <w:rsid w:val="493F4058"/>
    <w:rsid w:val="49594E53"/>
    <w:rsid w:val="495A78CB"/>
    <w:rsid w:val="49632D1F"/>
    <w:rsid w:val="498156ED"/>
    <w:rsid w:val="4987541F"/>
    <w:rsid w:val="49A03387"/>
    <w:rsid w:val="49A27D19"/>
    <w:rsid w:val="49B87468"/>
    <w:rsid w:val="49CE1643"/>
    <w:rsid w:val="49D470D7"/>
    <w:rsid w:val="49E44122"/>
    <w:rsid w:val="4A10091B"/>
    <w:rsid w:val="4A682A6E"/>
    <w:rsid w:val="4A6B0237"/>
    <w:rsid w:val="4A77047D"/>
    <w:rsid w:val="4A9266B3"/>
    <w:rsid w:val="4A94075A"/>
    <w:rsid w:val="4ABC680A"/>
    <w:rsid w:val="4ADB04A4"/>
    <w:rsid w:val="4AE77FEF"/>
    <w:rsid w:val="4B1A3E83"/>
    <w:rsid w:val="4B4452F2"/>
    <w:rsid w:val="4B527257"/>
    <w:rsid w:val="4B955969"/>
    <w:rsid w:val="4C051710"/>
    <w:rsid w:val="4C1674BF"/>
    <w:rsid w:val="4C241430"/>
    <w:rsid w:val="4C276029"/>
    <w:rsid w:val="4C2A4C8C"/>
    <w:rsid w:val="4C415578"/>
    <w:rsid w:val="4C4272D1"/>
    <w:rsid w:val="4C4E7114"/>
    <w:rsid w:val="4C502CCA"/>
    <w:rsid w:val="4C532872"/>
    <w:rsid w:val="4C550190"/>
    <w:rsid w:val="4C8A6350"/>
    <w:rsid w:val="4C9A533B"/>
    <w:rsid w:val="4CA21EA3"/>
    <w:rsid w:val="4CA96225"/>
    <w:rsid w:val="4CAF336E"/>
    <w:rsid w:val="4D1B2D79"/>
    <w:rsid w:val="4D2045D5"/>
    <w:rsid w:val="4D2547F4"/>
    <w:rsid w:val="4D5225FF"/>
    <w:rsid w:val="4D5857FE"/>
    <w:rsid w:val="4D60095E"/>
    <w:rsid w:val="4D601640"/>
    <w:rsid w:val="4D6747B5"/>
    <w:rsid w:val="4D713DE4"/>
    <w:rsid w:val="4DAB5C04"/>
    <w:rsid w:val="4DB94B19"/>
    <w:rsid w:val="4DED0172"/>
    <w:rsid w:val="4E092B7E"/>
    <w:rsid w:val="4E2D03FD"/>
    <w:rsid w:val="4E2E5790"/>
    <w:rsid w:val="4E35789B"/>
    <w:rsid w:val="4E472645"/>
    <w:rsid w:val="4E4A3047"/>
    <w:rsid w:val="4E4F662C"/>
    <w:rsid w:val="4E551E0A"/>
    <w:rsid w:val="4E6B0503"/>
    <w:rsid w:val="4E7B78F8"/>
    <w:rsid w:val="4E7C784A"/>
    <w:rsid w:val="4E8B0847"/>
    <w:rsid w:val="4E8E2585"/>
    <w:rsid w:val="4EB2097F"/>
    <w:rsid w:val="4EB857BC"/>
    <w:rsid w:val="4EC32E20"/>
    <w:rsid w:val="4EC77BDF"/>
    <w:rsid w:val="4F2D7126"/>
    <w:rsid w:val="4F423518"/>
    <w:rsid w:val="4F514435"/>
    <w:rsid w:val="4F5450FA"/>
    <w:rsid w:val="4F5A77A4"/>
    <w:rsid w:val="4F8F0827"/>
    <w:rsid w:val="4FB24B6E"/>
    <w:rsid w:val="4FBB4916"/>
    <w:rsid w:val="4FBC169B"/>
    <w:rsid w:val="4FD161F6"/>
    <w:rsid w:val="500C05E3"/>
    <w:rsid w:val="50413409"/>
    <w:rsid w:val="50617683"/>
    <w:rsid w:val="50A0574B"/>
    <w:rsid w:val="50C2570B"/>
    <w:rsid w:val="50CF53D3"/>
    <w:rsid w:val="50DF680E"/>
    <w:rsid w:val="50FC7140"/>
    <w:rsid w:val="51075177"/>
    <w:rsid w:val="511452FF"/>
    <w:rsid w:val="511A2CB7"/>
    <w:rsid w:val="511F721F"/>
    <w:rsid w:val="51596E64"/>
    <w:rsid w:val="51620FDE"/>
    <w:rsid w:val="517F4A92"/>
    <w:rsid w:val="51827093"/>
    <w:rsid w:val="51860AE9"/>
    <w:rsid w:val="51AE0D32"/>
    <w:rsid w:val="51C66E6F"/>
    <w:rsid w:val="51C83D23"/>
    <w:rsid w:val="51DE3A7D"/>
    <w:rsid w:val="51E03297"/>
    <w:rsid w:val="51FA265A"/>
    <w:rsid w:val="51FB7CB4"/>
    <w:rsid w:val="52065A7B"/>
    <w:rsid w:val="52393DA1"/>
    <w:rsid w:val="52397AF3"/>
    <w:rsid w:val="528256E0"/>
    <w:rsid w:val="52A00A56"/>
    <w:rsid w:val="52AE1D66"/>
    <w:rsid w:val="52B82399"/>
    <w:rsid w:val="52EF5FD7"/>
    <w:rsid w:val="530B31AB"/>
    <w:rsid w:val="531E092A"/>
    <w:rsid w:val="534E2098"/>
    <w:rsid w:val="53697CB3"/>
    <w:rsid w:val="537C4FC2"/>
    <w:rsid w:val="53826220"/>
    <w:rsid w:val="538D3169"/>
    <w:rsid w:val="538D5EFF"/>
    <w:rsid w:val="53AB3048"/>
    <w:rsid w:val="53DC4A73"/>
    <w:rsid w:val="542C20CF"/>
    <w:rsid w:val="54540452"/>
    <w:rsid w:val="54A87E6D"/>
    <w:rsid w:val="54A90B87"/>
    <w:rsid w:val="54BF4C96"/>
    <w:rsid w:val="54E93AEB"/>
    <w:rsid w:val="55021EE3"/>
    <w:rsid w:val="552076BF"/>
    <w:rsid w:val="554F5D72"/>
    <w:rsid w:val="556121AC"/>
    <w:rsid w:val="557D1DAB"/>
    <w:rsid w:val="558720CB"/>
    <w:rsid w:val="55892916"/>
    <w:rsid w:val="55916C2B"/>
    <w:rsid w:val="55C1309C"/>
    <w:rsid w:val="55CC53AE"/>
    <w:rsid w:val="55F2226D"/>
    <w:rsid w:val="560F3013"/>
    <w:rsid w:val="56165D61"/>
    <w:rsid w:val="561A13B6"/>
    <w:rsid w:val="5621546F"/>
    <w:rsid w:val="562564CA"/>
    <w:rsid w:val="562E5487"/>
    <w:rsid w:val="56487855"/>
    <w:rsid w:val="56600E11"/>
    <w:rsid w:val="566E333F"/>
    <w:rsid w:val="568C1AB3"/>
    <w:rsid w:val="56903FA9"/>
    <w:rsid w:val="56BC7E5C"/>
    <w:rsid w:val="56C715B2"/>
    <w:rsid w:val="56FD6E5B"/>
    <w:rsid w:val="57144339"/>
    <w:rsid w:val="5736109D"/>
    <w:rsid w:val="57383B3C"/>
    <w:rsid w:val="575E52DF"/>
    <w:rsid w:val="57636702"/>
    <w:rsid w:val="576D2701"/>
    <w:rsid w:val="578012FB"/>
    <w:rsid w:val="57B203CC"/>
    <w:rsid w:val="57B33F29"/>
    <w:rsid w:val="57D00A73"/>
    <w:rsid w:val="57EA37F8"/>
    <w:rsid w:val="57F74D4F"/>
    <w:rsid w:val="580010E6"/>
    <w:rsid w:val="582C4D28"/>
    <w:rsid w:val="583F1421"/>
    <w:rsid w:val="584E764D"/>
    <w:rsid w:val="585039FA"/>
    <w:rsid w:val="58591F7E"/>
    <w:rsid w:val="587845CB"/>
    <w:rsid w:val="58851ED1"/>
    <w:rsid w:val="589A4811"/>
    <w:rsid w:val="58A730AB"/>
    <w:rsid w:val="58B33883"/>
    <w:rsid w:val="58C34F8E"/>
    <w:rsid w:val="5902552A"/>
    <w:rsid w:val="59084CA4"/>
    <w:rsid w:val="59394AB3"/>
    <w:rsid w:val="596002A4"/>
    <w:rsid w:val="59631911"/>
    <w:rsid w:val="598A2759"/>
    <w:rsid w:val="59906399"/>
    <w:rsid w:val="599767B6"/>
    <w:rsid w:val="59C9030E"/>
    <w:rsid w:val="59D9082B"/>
    <w:rsid w:val="59DB298B"/>
    <w:rsid w:val="5A15488C"/>
    <w:rsid w:val="5A1C31E3"/>
    <w:rsid w:val="5A1D037B"/>
    <w:rsid w:val="5A241777"/>
    <w:rsid w:val="5A592AF2"/>
    <w:rsid w:val="5A593857"/>
    <w:rsid w:val="5A6A6BD3"/>
    <w:rsid w:val="5A6C20F4"/>
    <w:rsid w:val="5A814D55"/>
    <w:rsid w:val="5AAB7A5A"/>
    <w:rsid w:val="5AEE76BD"/>
    <w:rsid w:val="5AEF7BBF"/>
    <w:rsid w:val="5B0D7942"/>
    <w:rsid w:val="5B210441"/>
    <w:rsid w:val="5B241D26"/>
    <w:rsid w:val="5B7155FD"/>
    <w:rsid w:val="5B722761"/>
    <w:rsid w:val="5B764720"/>
    <w:rsid w:val="5BA40324"/>
    <w:rsid w:val="5BC93B56"/>
    <w:rsid w:val="5BCE4B55"/>
    <w:rsid w:val="5BE459E7"/>
    <w:rsid w:val="5BF60529"/>
    <w:rsid w:val="5C360AC9"/>
    <w:rsid w:val="5C773E89"/>
    <w:rsid w:val="5CD50F55"/>
    <w:rsid w:val="5CEF02B2"/>
    <w:rsid w:val="5CF30AD9"/>
    <w:rsid w:val="5D0574D2"/>
    <w:rsid w:val="5D071B3C"/>
    <w:rsid w:val="5D3E041E"/>
    <w:rsid w:val="5D4C2301"/>
    <w:rsid w:val="5D6A0F6C"/>
    <w:rsid w:val="5D6E4B26"/>
    <w:rsid w:val="5DAD23E0"/>
    <w:rsid w:val="5DB260FF"/>
    <w:rsid w:val="5DDA1BCB"/>
    <w:rsid w:val="5E3423D0"/>
    <w:rsid w:val="5E3D1DDE"/>
    <w:rsid w:val="5E4B5A3F"/>
    <w:rsid w:val="5E7420D2"/>
    <w:rsid w:val="5E8D0B73"/>
    <w:rsid w:val="5EA525D1"/>
    <w:rsid w:val="5EAE260E"/>
    <w:rsid w:val="5EC4117C"/>
    <w:rsid w:val="5EC61F3A"/>
    <w:rsid w:val="5EE41361"/>
    <w:rsid w:val="5F006AE5"/>
    <w:rsid w:val="5F123C7C"/>
    <w:rsid w:val="5F2B1231"/>
    <w:rsid w:val="5F415FCA"/>
    <w:rsid w:val="5F4D36C8"/>
    <w:rsid w:val="5F637A0D"/>
    <w:rsid w:val="5F824BB4"/>
    <w:rsid w:val="5F95260D"/>
    <w:rsid w:val="5FD970FB"/>
    <w:rsid w:val="5FE1521B"/>
    <w:rsid w:val="5FFB20C0"/>
    <w:rsid w:val="600A46E6"/>
    <w:rsid w:val="600E0A6B"/>
    <w:rsid w:val="60111156"/>
    <w:rsid w:val="602E4D78"/>
    <w:rsid w:val="60306135"/>
    <w:rsid w:val="603870C3"/>
    <w:rsid w:val="60447B86"/>
    <w:rsid w:val="605E70C9"/>
    <w:rsid w:val="60687BE0"/>
    <w:rsid w:val="609F269A"/>
    <w:rsid w:val="60BF31F7"/>
    <w:rsid w:val="60C55115"/>
    <w:rsid w:val="60D05034"/>
    <w:rsid w:val="60E10906"/>
    <w:rsid w:val="60ED219B"/>
    <w:rsid w:val="60FA57CB"/>
    <w:rsid w:val="60FE3103"/>
    <w:rsid w:val="61427154"/>
    <w:rsid w:val="614A6426"/>
    <w:rsid w:val="61663695"/>
    <w:rsid w:val="61947211"/>
    <w:rsid w:val="619F2960"/>
    <w:rsid w:val="61A90DF0"/>
    <w:rsid w:val="61A9736E"/>
    <w:rsid w:val="61DE2F6F"/>
    <w:rsid w:val="61F27ACF"/>
    <w:rsid w:val="61F83A32"/>
    <w:rsid w:val="620C627D"/>
    <w:rsid w:val="62481E49"/>
    <w:rsid w:val="62682080"/>
    <w:rsid w:val="626F5B86"/>
    <w:rsid w:val="627E40D1"/>
    <w:rsid w:val="62854595"/>
    <w:rsid w:val="62B21015"/>
    <w:rsid w:val="62B25B1C"/>
    <w:rsid w:val="62F73468"/>
    <w:rsid w:val="63051B7E"/>
    <w:rsid w:val="63266522"/>
    <w:rsid w:val="633275CF"/>
    <w:rsid w:val="6339633C"/>
    <w:rsid w:val="63586A50"/>
    <w:rsid w:val="636F1259"/>
    <w:rsid w:val="63833F25"/>
    <w:rsid w:val="63872778"/>
    <w:rsid w:val="63B17531"/>
    <w:rsid w:val="63D12A1B"/>
    <w:rsid w:val="63F3466C"/>
    <w:rsid w:val="64234723"/>
    <w:rsid w:val="64652DD6"/>
    <w:rsid w:val="647C126B"/>
    <w:rsid w:val="64980DFA"/>
    <w:rsid w:val="64A25BEA"/>
    <w:rsid w:val="64A351B0"/>
    <w:rsid w:val="64AD6E25"/>
    <w:rsid w:val="64B419E7"/>
    <w:rsid w:val="65047421"/>
    <w:rsid w:val="650642CC"/>
    <w:rsid w:val="651635F6"/>
    <w:rsid w:val="652663EB"/>
    <w:rsid w:val="65323E8F"/>
    <w:rsid w:val="65486CCB"/>
    <w:rsid w:val="654D5B62"/>
    <w:rsid w:val="656C0C98"/>
    <w:rsid w:val="657213CF"/>
    <w:rsid w:val="658762AE"/>
    <w:rsid w:val="65984F5A"/>
    <w:rsid w:val="65C04AC5"/>
    <w:rsid w:val="65C20364"/>
    <w:rsid w:val="65C37A07"/>
    <w:rsid w:val="65CF1ECC"/>
    <w:rsid w:val="65D24358"/>
    <w:rsid w:val="65E95C3B"/>
    <w:rsid w:val="66251621"/>
    <w:rsid w:val="6641604D"/>
    <w:rsid w:val="664A694E"/>
    <w:rsid w:val="665138A0"/>
    <w:rsid w:val="667A67CE"/>
    <w:rsid w:val="669973A3"/>
    <w:rsid w:val="66B75302"/>
    <w:rsid w:val="66EB2862"/>
    <w:rsid w:val="66ED028B"/>
    <w:rsid w:val="66EE6B0B"/>
    <w:rsid w:val="66F036A5"/>
    <w:rsid w:val="66F16C0B"/>
    <w:rsid w:val="67137B62"/>
    <w:rsid w:val="671A3371"/>
    <w:rsid w:val="673104C3"/>
    <w:rsid w:val="674A6A44"/>
    <w:rsid w:val="675A46EA"/>
    <w:rsid w:val="67747ED6"/>
    <w:rsid w:val="678C47CC"/>
    <w:rsid w:val="678E3068"/>
    <w:rsid w:val="67BB57D1"/>
    <w:rsid w:val="67D376FE"/>
    <w:rsid w:val="67D45E85"/>
    <w:rsid w:val="67DC2F54"/>
    <w:rsid w:val="67E074F3"/>
    <w:rsid w:val="680D74D9"/>
    <w:rsid w:val="681D259D"/>
    <w:rsid w:val="684C10B2"/>
    <w:rsid w:val="68721968"/>
    <w:rsid w:val="68771F9B"/>
    <w:rsid w:val="6881045A"/>
    <w:rsid w:val="689707FF"/>
    <w:rsid w:val="68995D7F"/>
    <w:rsid w:val="68E405AA"/>
    <w:rsid w:val="69061A14"/>
    <w:rsid w:val="69063368"/>
    <w:rsid w:val="691C7034"/>
    <w:rsid w:val="692C3405"/>
    <w:rsid w:val="69540179"/>
    <w:rsid w:val="697642F1"/>
    <w:rsid w:val="699A504F"/>
    <w:rsid w:val="69DB75BA"/>
    <w:rsid w:val="69EA213B"/>
    <w:rsid w:val="69EE61F5"/>
    <w:rsid w:val="6A17138B"/>
    <w:rsid w:val="6A1E4D90"/>
    <w:rsid w:val="6A2640B6"/>
    <w:rsid w:val="6A5E3E93"/>
    <w:rsid w:val="6A8E5AC5"/>
    <w:rsid w:val="6A9B549D"/>
    <w:rsid w:val="6AB507F4"/>
    <w:rsid w:val="6ACA793F"/>
    <w:rsid w:val="6AE21024"/>
    <w:rsid w:val="6AE21CA7"/>
    <w:rsid w:val="6AE4566E"/>
    <w:rsid w:val="6AF60034"/>
    <w:rsid w:val="6AFD4C9F"/>
    <w:rsid w:val="6B034226"/>
    <w:rsid w:val="6B2C7514"/>
    <w:rsid w:val="6B4B461F"/>
    <w:rsid w:val="6B5A7F02"/>
    <w:rsid w:val="6B6D6794"/>
    <w:rsid w:val="6B72015A"/>
    <w:rsid w:val="6B73530A"/>
    <w:rsid w:val="6B8C3500"/>
    <w:rsid w:val="6B907C13"/>
    <w:rsid w:val="6BA67A78"/>
    <w:rsid w:val="6BB3747E"/>
    <w:rsid w:val="6BB93DA9"/>
    <w:rsid w:val="6C1E7492"/>
    <w:rsid w:val="6C3F5FC4"/>
    <w:rsid w:val="6C405BA5"/>
    <w:rsid w:val="6C7B43AA"/>
    <w:rsid w:val="6CA04E86"/>
    <w:rsid w:val="6CA40306"/>
    <w:rsid w:val="6CBD4C57"/>
    <w:rsid w:val="6CC1442D"/>
    <w:rsid w:val="6CD837F1"/>
    <w:rsid w:val="6CE9626D"/>
    <w:rsid w:val="6CEC70A0"/>
    <w:rsid w:val="6D055CB5"/>
    <w:rsid w:val="6D1772DB"/>
    <w:rsid w:val="6D1B3ADA"/>
    <w:rsid w:val="6D1C3EB4"/>
    <w:rsid w:val="6D685105"/>
    <w:rsid w:val="6D7B1092"/>
    <w:rsid w:val="6D9D2DAE"/>
    <w:rsid w:val="6DBA3AB9"/>
    <w:rsid w:val="6DD55D72"/>
    <w:rsid w:val="6DE17683"/>
    <w:rsid w:val="6E0907F7"/>
    <w:rsid w:val="6E582346"/>
    <w:rsid w:val="6E732ADB"/>
    <w:rsid w:val="6EA923CE"/>
    <w:rsid w:val="6ED03ACB"/>
    <w:rsid w:val="6EEB765E"/>
    <w:rsid w:val="6F170CE3"/>
    <w:rsid w:val="6F18657C"/>
    <w:rsid w:val="6F276E0D"/>
    <w:rsid w:val="6F2A47F7"/>
    <w:rsid w:val="6F375468"/>
    <w:rsid w:val="6F436633"/>
    <w:rsid w:val="6F607314"/>
    <w:rsid w:val="6F7739E8"/>
    <w:rsid w:val="6F7F6DA4"/>
    <w:rsid w:val="6F866769"/>
    <w:rsid w:val="6F884095"/>
    <w:rsid w:val="6F8C06C8"/>
    <w:rsid w:val="6F945720"/>
    <w:rsid w:val="6FA16B79"/>
    <w:rsid w:val="6FAC4502"/>
    <w:rsid w:val="6FAF6F01"/>
    <w:rsid w:val="6FB146A8"/>
    <w:rsid w:val="6FCB5D24"/>
    <w:rsid w:val="6FCF5648"/>
    <w:rsid w:val="6FFB1485"/>
    <w:rsid w:val="700C138F"/>
    <w:rsid w:val="702B3438"/>
    <w:rsid w:val="70450BB8"/>
    <w:rsid w:val="704F4077"/>
    <w:rsid w:val="7050350F"/>
    <w:rsid w:val="70694CEB"/>
    <w:rsid w:val="70751E54"/>
    <w:rsid w:val="708D2A4E"/>
    <w:rsid w:val="70905DDA"/>
    <w:rsid w:val="70BA5BDF"/>
    <w:rsid w:val="70EB7A7F"/>
    <w:rsid w:val="71265172"/>
    <w:rsid w:val="71357823"/>
    <w:rsid w:val="714D62A7"/>
    <w:rsid w:val="718E0CDF"/>
    <w:rsid w:val="7191361F"/>
    <w:rsid w:val="71B84396"/>
    <w:rsid w:val="71D33A83"/>
    <w:rsid w:val="71DB28C5"/>
    <w:rsid w:val="720772F8"/>
    <w:rsid w:val="720866E2"/>
    <w:rsid w:val="72226F1A"/>
    <w:rsid w:val="723E2680"/>
    <w:rsid w:val="72836061"/>
    <w:rsid w:val="728C4830"/>
    <w:rsid w:val="72AF6E11"/>
    <w:rsid w:val="72B540EC"/>
    <w:rsid w:val="72BD324A"/>
    <w:rsid w:val="72CB3930"/>
    <w:rsid w:val="72EC6792"/>
    <w:rsid w:val="73232A92"/>
    <w:rsid w:val="732C2B57"/>
    <w:rsid w:val="733E7962"/>
    <w:rsid w:val="736215EF"/>
    <w:rsid w:val="736E028E"/>
    <w:rsid w:val="73784E79"/>
    <w:rsid w:val="737C174E"/>
    <w:rsid w:val="739877DD"/>
    <w:rsid w:val="73996331"/>
    <w:rsid w:val="73A7430B"/>
    <w:rsid w:val="73D32036"/>
    <w:rsid w:val="73EE118F"/>
    <w:rsid w:val="73F43D8F"/>
    <w:rsid w:val="740927FE"/>
    <w:rsid w:val="740E5C8C"/>
    <w:rsid w:val="741C2BFD"/>
    <w:rsid w:val="741D4C5B"/>
    <w:rsid w:val="742D7977"/>
    <w:rsid w:val="74326FD6"/>
    <w:rsid w:val="74376DD1"/>
    <w:rsid w:val="74971603"/>
    <w:rsid w:val="74D069D0"/>
    <w:rsid w:val="74D87971"/>
    <w:rsid w:val="74E05DC6"/>
    <w:rsid w:val="75056F06"/>
    <w:rsid w:val="7519185A"/>
    <w:rsid w:val="75244946"/>
    <w:rsid w:val="752C03FB"/>
    <w:rsid w:val="753043C9"/>
    <w:rsid w:val="75531EA0"/>
    <w:rsid w:val="757E5D5E"/>
    <w:rsid w:val="7597274A"/>
    <w:rsid w:val="75AA2E45"/>
    <w:rsid w:val="75AB43EB"/>
    <w:rsid w:val="75DA7B56"/>
    <w:rsid w:val="75F43812"/>
    <w:rsid w:val="7602535D"/>
    <w:rsid w:val="761F2319"/>
    <w:rsid w:val="762844B3"/>
    <w:rsid w:val="76445E59"/>
    <w:rsid w:val="76456244"/>
    <w:rsid w:val="76724AF5"/>
    <w:rsid w:val="7686505A"/>
    <w:rsid w:val="7698295B"/>
    <w:rsid w:val="76CC4C17"/>
    <w:rsid w:val="76D528DB"/>
    <w:rsid w:val="770616C7"/>
    <w:rsid w:val="770F51A4"/>
    <w:rsid w:val="772A13FC"/>
    <w:rsid w:val="77527511"/>
    <w:rsid w:val="77B75EE4"/>
    <w:rsid w:val="781C3886"/>
    <w:rsid w:val="782822D9"/>
    <w:rsid w:val="7836490F"/>
    <w:rsid w:val="783C509A"/>
    <w:rsid w:val="783C5EB8"/>
    <w:rsid w:val="78576CA3"/>
    <w:rsid w:val="78645A3F"/>
    <w:rsid w:val="78811224"/>
    <w:rsid w:val="78A42C80"/>
    <w:rsid w:val="78B64CED"/>
    <w:rsid w:val="78B91000"/>
    <w:rsid w:val="78CF7A66"/>
    <w:rsid w:val="78EB6FFA"/>
    <w:rsid w:val="79006B3D"/>
    <w:rsid w:val="79111E24"/>
    <w:rsid w:val="792D1775"/>
    <w:rsid w:val="79401CE2"/>
    <w:rsid w:val="79457F6B"/>
    <w:rsid w:val="79504D22"/>
    <w:rsid w:val="79637EC1"/>
    <w:rsid w:val="798F0DB8"/>
    <w:rsid w:val="799F5D40"/>
    <w:rsid w:val="79B74D5E"/>
    <w:rsid w:val="79BD7C2D"/>
    <w:rsid w:val="79E72C91"/>
    <w:rsid w:val="79F347A7"/>
    <w:rsid w:val="7A1A1808"/>
    <w:rsid w:val="7A233F54"/>
    <w:rsid w:val="7A2B08E0"/>
    <w:rsid w:val="7A3D5212"/>
    <w:rsid w:val="7A500B19"/>
    <w:rsid w:val="7A5431B7"/>
    <w:rsid w:val="7A975636"/>
    <w:rsid w:val="7AC63F4F"/>
    <w:rsid w:val="7AC64073"/>
    <w:rsid w:val="7AE77566"/>
    <w:rsid w:val="7AFB7743"/>
    <w:rsid w:val="7B06619F"/>
    <w:rsid w:val="7B1E14E0"/>
    <w:rsid w:val="7B6466B7"/>
    <w:rsid w:val="7B6E18E2"/>
    <w:rsid w:val="7B7605DA"/>
    <w:rsid w:val="7BA77C6B"/>
    <w:rsid w:val="7BD219ED"/>
    <w:rsid w:val="7BD40338"/>
    <w:rsid w:val="7C022A0F"/>
    <w:rsid w:val="7C195D44"/>
    <w:rsid w:val="7C274A29"/>
    <w:rsid w:val="7C297075"/>
    <w:rsid w:val="7C3D08C6"/>
    <w:rsid w:val="7C731759"/>
    <w:rsid w:val="7C7A1DBA"/>
    <w:rsid w:val="7CBE71E6"/>
    <w:rsid w:val="7CC90B98"/>
    <w:rsid w:val="7CDE1165"/>
    <w:rsid w:val="7CE33071"/>
    <w:rsid w:val="7CE76A14"/>
    <w:rsid w:val="7CF33733"/>
    <w:rsid w:val="7D1925C9"/>
    <w:rsid w:val="7D4F2920"/>
    <w:rsid w:val="7D710D42"/>
    <w:rsid w:val="7D992A6B"/>
    <w:rsid w:val="7DBC380D"/>
    <w:rsid w:val="7DCD0737"/>
    <w:rsid w:val="7DD67720"/>
    <w:rsid w:val="7E04165D"/>
    <w:rsid w:val="7E124B99"/>
    <w:rsid w:val="7E1E522F"/>
    <w:rsid w:val="7E297CD3"/>
    <w:rsid w:val="7E2D706E"/>
    <w:rsid w:val="7E333688"/>
    <w:rsid w:val="7E3A21BD"/>
    <w:rsid w:val="7E5E4673"/>
    <w:rsid w:val="7E7403CF"/>
    <w:rsid w:val="7E780CEE"/>
    <w:rsid w:val="7E7F1656"/>
    <w:rsid w:val="7E905B2E"/>
    <w:rsid w:val="7EAF1DFB"/>
    <w:rsid w:val="7EEB648E"/>
    <w:rsid w:val="7F0D3B6D"/>
    <w:rsid w:val="7F357012"/>
    <w:rsid w:val="7F5113D3"/>
    <w:rsid w:val="7F5706D3"/>
    <w:rsid w:val="7F9776FB"/>
    <w:rsid w:val="7FA54B75"/>
    <w:rsid w:val="7FC24DAD"/>
    <w:rsid w:val="7FE14BC3"/>
    <w:rsid w:val="7FE4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0" w:name="macro"/>
    <w:lsdException w:qFormat="1"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97"/>
    <w:qFormat/>
    <w:uiPriority w:val="0"/>
    <w:pPr>
      <w:keepNext/>
      <w:keepLines/>
      <w:spacing w:before="340" w:after="330" w:line="578" w:lineRule="auto"/>
      <w:jc w:val="center"/>
      <w:outlineLvl w:val="0"/>
    </w:pPr>
    <w:rPr>
      <w:rFonts w:eastAsia="方正小标宋_GBK"/>
      <w:bCs/>
      <w:kern w:val="44"/>
      <w:sz w:val="36"/>
      <w:szCs w:val="44"/>
    </w:rPr>
  </w:style>
  <w:style w:type="paragraph" w:styleId="5">
    <w:name w:val="heading 2"/>
    <w:basedOn w:val="1"/>
    <w:next w:val="1"/>
    <w:link w:val="54"/>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3"/>
    <w:qFormat/>
    <w:uiPriority w:val="0"/>
    <w:pPr>
      <w:keepNext/>
      <w:keepLines/>
      <w:spacing w:before="260" w:after="260" w:line="413" w:lineRule="auto"/>
      <w:outlineLvl w:val="2"/>
    </w:pPr>
    <w:rPr>
      <w:b/>
      <w:sz w:val="32"/>
    </w:rPr>
  </w:style>
  <w:style w:type="paragraph" w:styleId="7">
    <w:name w:val="heading 4"/>
    <w:basedOn w:val="1"/>
    <w:next w:val="1"/>
    <w:link w:val="67"/>
    <w:qFormat/>
    <w:uiPriority w:val="0"/>
    <w:pPr>
      <w:keepNext/>
      <w:keepLines/>
      <w:spacing w:before="280" w:after="290" w:line="377" w:lineRule="auto"/>
      <w:ind w:firstLine="200" w:firstLineChars="200"/>
      <w:outlineLvl w:val="3"/>
    </w:pPr>
    <w:rPr>
      <w:rFonts w:ascii="Cambria" w:hAnsi="Cambria"/>
      <w:b/>
      <w:bCs/>
      <w:sz w:val="28"/>
      <w:szCs w:val="28"/>
    </w:rPr>
  </w:style>
  <w:style w:type="paragraph" w:styleId="8">
    <w:name w:val="heading 5"/>
    <w:basedOn w:val="1"/>
    <w:next w:val="1"/>
    <w:link w:val="293"/>
    <w:qFormat/>
    <w:uiPriority w:val="0"/>
    <w:pPr>
      <w:keepNext/>
      <w:keepLines/>
      <w:spacing w:before="280" w:after="290" w:line="377" w:lineRule="auto"/>
      <w:ind w:firstLine="200" w:firstLineChars="200"/>
      <w:outlineLvl w:val="4"/>
    </w:pPr>
    <w:rPr>
      <w:b/>
      <w:bCs/>
      <w:sz w:val="24"/>
      <w:szCs w:val="28"/>
    </w:rPr>
  </w:style>
  <w:style w:type="paragraph" w:styleId="9">
    <w:name w:val="heading 6"/>
    <w:basedOn w:val="1"/>
    <w:next w:val="1"/>
    <w:link w:val="81"/>
    <w:qFormat/>
    <w:uiPriority w:val="9"/>
    <w:pPr>
      <w:keepNext/>
      <w:keepLines/>
      <w:spacing w:before="240" w:after="64" w:line="320" w:lineRule="auto"/>
      <w:outlineLvl w:val="5"/>
    </w:pPr>
    <w:rPr>
      <w:rFonts w:ascii="Cambria" w:hAnsi="Cambria"/>
      <w:b/>
      <w:bCs/>
      <w:sz w:val="24"/>
      <w:szCs w:val="24"/>
    </w:rPr>
  </w:style>
  <w:style w:type="paragraph" w:styleId="10">
    <w:name w:val="heading 7"/>
    <w:basedOn w:val="1"/>
    <w:next w:val="1"/>
    <w:link w:val="289"/>
    <w:qFormat/>
    <w:uiPriority w:val="0"/>
    <w:pPr>
      <w:keepNext/>
      <w:keepLines/>
      <w:spacing w:before="240" w:after="64" w:line="317" w:lineRule="auto"/>
      <w:outlineLvl w:val="6"/>
    </w:pPr>
    <w:rPr>
      <w:b/>
      <w:sz w:val="24"/>
      <w:szCs w:val="24"/>
    </w:rPr>
  </w:style>
  <w:style w:type="paragraph" w:styleId="11">
    <w:name w:val="heading 8"/>
    <w:basedOn w:val="1"/>
    <w:next w:val="1"/>
    <w:link w:val="290"/>
    <w:qFormat/>
    <w:uiPriority w:val="0"/>
    <w:pPr>
      <w:keepNext/>
      <w:keepLines/>
      <w:spacing w:before="240" w:after="64" w:line="317" w:lineRule="auto"/>
      <w:outlineLvl w:val="7"/>
    </w:pPr>
    <w:rPr>
      <w:rFonts w:ascii="Arial" w:hAnsi="Arial" w:eastAsia="黑体"/>
      <w:sz w:val="24"/>
      <w:szCs w:val="24"/>
    </w:rPr>
  </w:style>
  <w:style w:type="paragraph" w:styleId="12">
    <w:name w:val="heading 9"/>
    <w:basedOn w:val="1"/>
    <w:next w:val="1"/>
    <w:link w:val="296"/>
    <w:qFormat/>
    <w:uiPriority w:val="0"/>
    <w:pPr>
      <w:keepNext/>
      <w:keepLines/>
      <w:spacing w:before="240" w:after="64" w:line="317"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szCs w:val="21"/>
    </w:rPr>
  </w:style>
  <w:style w:type="paragraph" w:styleId="3">
    <w:name w:val="macro"/>
    <w:link w:val="316"/>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13">
    <w:name w:val="toc 7"/>
    <w:basedOn w:val="1"/>
    <w:next w:val="1"/>
    <w:qFormat/>
    <w:uiPriority w:val="0"/>
    <w:pPr>
      <w:ind w:left="2520" w:leftChars="1200"/>
    </w:pPr>
  </w:style>
  <w:style w:type="paragraph" w:styleId="14">
    <w:name w:val="Normal Indent"/>
    <w:basedOn w:val="1"/>
    <w:link w:val="95"/>
    <w:qFormat/>
    <w:uiPriority w:val="0"/>
    <w:pPr>
      <w:ind w:firstLine="420"/>
    </w:pPr>
    <w:rPr>
      <w:szCs w:val="21"/>
    </w:rPr>
  </w:style>
  <w:style w:type="paragraph" w:styleId="15">
    <w:name w:val="caption"/>
    <w:basedOn w:val="1"/>
    <w:next w:val="1"/>
    <w:qFormat/>
    <w:uiPriority w:val="0"/>
    <w:pPr>
      <w:spacing w:before="152" w:afterLines="100" w:line="360" w:lineRule="auto"/>
      <w:ind w:firstLine="200" w:firstLineChars="200"/>
      <w:jc w:val="center"/>
    </w:pPr>
    <w:rPr>
      <w:rFonts w:ascii="Arial" w:hAnsi="Arial"/>
      <w:b/>
      <w:sz w:val="24"/>
      <w:szCs w:val="20"/>
      <w:lang w:val="zh-CN"/>
    </w:rPr>
  </w:style>
  <w:style w:type="paragraph" w:styleId="16">
    <w:name w:val="Document Map"/>
    <w:basedOn w:val="1"/>
    <w:link w:val="79"/>
    <w:qFormat/>
    <w:uiPriority w:val="0"/>
    <w:rPr>
      <w:kern w:val="0"/>
      <w:sz w:val="18"/>
      <w:szCs w:val="18"/>
    </w:rPr>
  </w:style>
  <w:style w:type="paragraph" w:styleId="17">
    <w:name w:val="toa heading"/>
    <w:basedOn w:val="1"/>
    <w:next w:val="1"/>
    <w:unhideWhenUsed/>
    <w:qFormat/>
    <w:uiPriority w:val="0"/>
    <w:pPr>
      <w:spacing w:before="120"/>
    </w:pPr>
    <w:rPr>
      <w:rFonts w:ascii="等线 Light" w:hAnsi="等线 Light" w:eastAsia="等线 Light"/>
      <w:sz w:val="24"/>
      <w:szCs w:val="24"/>
    </w:rPr>
  </w:style>
  <w:style w:type="paragraph" w:styleId="18">
    <w:name w:val="annotation text"/>
    <w:basedOn w:val="1"/>
    <w:link w:val="198"/>
    <w:unhideWhenUsed/>
    <w:qFormat/>
    <w:uiPriority w:val="0"/>
    <w:pPr>
      <w:jc w:val="left"/>
    </w:pPr>
    <w:rPr>
      <w:szCs w:val="24"/>
    </w:rPr>
  </w:style>
  <w:style w:type="paragraph" w:styleId="19">
    <w:name w:val="Body Text 3"/>
    <w:basedOn w:val="1"/>
    <w:link w:val="317"/>
    <w:qFormat/>
    <w:uiPriority w:val="0"/>
    <w:pPr>
      <w:autoSpaceDE w:val="0"/>
      <w:autoSpaceDN w:val="0"/>
      <w:adjustRightInd w:val="0"/>
      <w:spacing w:line="410" w:lineRule="atLeast"/>
      <w:jc w:val="left"/>
    </w:pPr>
    <w:rPr>
      <w:rFonts w:ascii="宋体"/>
      <w:color w:val="000000"/>
      <w:kern w:val="0"/>
      <w:sz w:val="24"/>
      <w:szCs w:val="20"/>
    </w:rPr>
  </w:style>
  <w:style w:type="paragraph" w:styleId="20">
    <w:name w:val="Body Text"/>
    <w:basedOn w:val="1"/>
    <w:link w:val="61"/>
    <w:qFormat/>
    <w:uiPriority w:val="0"/>
    <w:pPr>
      <w:spacing w:after="120"/>
    </w:pPr>
  </w:style>
  <w:style w:type="paragraph" w:styleId="21">
    <w:name w:val="Body Text Indent"/>
    <w:basedOn w:val="1"/>
    <w:link w:val="155"/>
    <w:qFormat/>
    <w:uiPriority w:val="0"/>
    <w:pPr>
      <w:spacing w:after="120"/>
      <w:ind w:left="420" w:leftChars="200"/>
    </w:pPr>
  </w:style>
  <w:style w:type="paragraph" w:styleId="22">
    <w:name w:val="Block Text"/>
    <w:basedOn w:val="1"/>
    <w:qFormat/>
    <w:uiPriority w:val="0"/>
    <w:pPr>
      <w:autoSpaceDE w:val="0"/>
      <w:autoSpaceDN w:val="0"/>
      <w:adjustRightInd w:val="0"/>
      <w:spacing w:line="500" w:lineRule="exact"/>
      <w:ind w:left="391" w:right="246"/>
    </w:pPr>
    <w:rPr>
      <w:rFonts w:ascii="仿宋_GB2312" w:eastAsia="仿宋_GB2312" w:cs="仿宋_GB2312"/>
      <w:kern w:val="0"/>
      <w:sz w:val="24"/>
      <w:szCs w:val="24"/>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146"/>
    <w:qFormat/>
    <w:uiPriority w:val="0"/>
    <w:rPr>
      <w:rFonts w:ascii="宋体" w:hAnsi="Courier New"/>
      <w:szCs w:val="21"/>
    </w:rPr>
  </w:style>
  <w:style w:type="paragraph" w:styleId="26">
    <w:name w:val="toc 8"/>
    <w:basedOn w:val="1"/>
    <w:next w:val="1"/>
    <w:qFormat/>
    <w:uiPriority w:val="0"/>
    <w:pPr>
      <w:ind w:left="2940" w:leftChars="1400"/>
    </w:pPr>
  </w:style>
  <w:style w:type="paragraph" w:styleId="27">
    <w:name w:val="Date"/>
    <w:basedOn w:val="1"/>
    <w:next w:val="1"/>
    <w:link w:val="108"/>
    <w:qFormat/>
    <w:uiPriority w:val="0"/>
    <w:pPr>
      <w:ind w:left="100" w:leftChars="2500"/>
    </w:pPr>
    <w:rPr>
      <w:szCs w:val="24"/>
    </w:rPr>
  </w:style>
  <w:style w:type="paragraph" w:styleId="28">
    <w:name w:val="Body Text Indent 2"/>
    <w:basedOn w:val="1"/>
    <w:link w:val="131"/>
    <w:qFormat/>
    <w:uiPriority w:val="0"/>
    <w:pPr>
      <w:spacing w:after="120" w:line="480" w:lineRule="auto"/>
      <w:ind w:left="420" w:leftChars="200"/>
    </w:pPr>
    <w:rPr>
      <w:kern w:val="0"/>
      <w:sz w:val="24"/>
      <w:szCs w:val="24"/>
    </w:rPr>
  </w:style>
  <w:style w:type="paragraph" w:styleId="29">
    <w:name w:val="Balloon Text"/>
    <w:basedOn w:val="1"/>
    <w:link w:val="70"/>
    <w:unhideWhenUsed/>
    <w:qFormat/>
    <w:uiPriority w:val="0"/>
    <w:rPr>
      <w:sz w:val="18"/>
      <w:szCs w:val="18"/>
    </w:rPr>
  </w:style>
  <w:style w:type="paragraph" w:styleId="30">
    <w:name w:val="footer"/>
    <w:basedOn w:val="1"/>
    <w:link w:val="154"/>
    <w:qFormat/>
    <w:uiPriority w:val="99"/>
    <w:pPr>
      <w:tabs>
        <w:tab w:val="center" w:pos="4153"/>
        <w:tab w:val="right" w:pos="8306"/>
      </w:tabs>
      <w:snapToGrid w:val="0"/>
      <w:jc w:val="left"/>
    </w:pPr>
    <w:rPr>
      <w:sz w:val="18"/>
    </w:rPr>
  </w:style>
  <w:style w:type="paragraph" w:styleId="31">
    <w:name w:val="header"/>
    <w:basedOn w:val="1"/>
    <w:link w:val="1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qFormat/>
    <w:uiPriority w:val="39"/>
  </w:style>
  <w:style w:type="paragraph" w:styleId="33">
    <w:name w:val="toc 4"/>
    <w:basedOn w:val="1"/>
    <w:next w:val="1"/>
    <w:qFormat/>
    <w:uiPriority w:val="0"/>
    <w:pPr>
      <w:ind w:left="1260" w:leftChars="600"/>
    </w:pPr>
  </w:style>
  <w:style w:type="paragraph" w:styleId="34">
    <w:name w:val="Subtitle"/>
    <w:basedOn w:val="1"/>
    <w:next w:val="1"/>
    <w:link w:val="121"/>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style>
  <w:style w:type="paragraph" w:styleId="36">
    <w:name w:val="Body Text Indent 3"/>
    <w:basedOn w:val="1"/>
    <w:link w:val="86"/>
    <w:qFormat/>
    <w:uiPriority w:val="0"/>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0"/>
    <w:pPr>
      <w:ind w:left="3360" w:leftChars="1600"/>
    </w:pPr>
  </w:style>
  <w:style w:type="paragraph" w:styleId="39">
    <w:name w:val="HTML Preformatted"/>
    <w:basedOn w:val="1"/>
    <w:link w:val="308"/>
    <w:qFormat/>
    <w:uiPriority w:val="0"/>
    <w:rPr>
      <w:rFonts w:ascii="Courier New" w:hAnsi="Courier New"/>
      <w:sz w:val="20"/>
      <w:szCs w:val="24"/>
    </w:rPr>
  </w:style>
  <w:style w:type="paragraph" w:styleId="40">
    <w:name w:val="Normal (Web)"/>
    <w:basedOn w:val="1"/>
    <w:link w:val="189"/>
    <w:unhideWhenUsed/>
    <w:qFormat/>
    <w:uiPriority w:val="0"/>
    <w:pPr>
      <w:widowControl/>
      <w:spacing w:before="100" w:beforeAutospacing="1" w:after="100" w:afterAutospacing="1"/>
      <w:jc w:val="left"/>
    </w:pPr>
    <w:rPr>
      <w:rFonts w:ascii="宋体" w:hAnsi="宋体"/>
      <w:kern w:val="0"/>
      <w:sz w:val="24"/>
      <w:szCs w:val="24"/>
    </w:rPr>
  </w:style>
  <w:style w:type="paragraph" w:styleId="41">
    <w:name w:val="Title"/>
    <w:basedOn w:val="1"/>
    <w:next w:val="1"/>
    <w:link w:val="134"/>
    <w:qFormat/>
    <w:uiPriority w:val="0"/>
    <w:pPr>
      <w:spacing w:before="240" w:after="60"/>
      <w:jc w:val="center"/>
      <w:outlineLvl w:val="0"/>
    </w:pPr>
    <w:rPr>
      <w:rFonts w:ascii="Cambria" w:hAnsi="Cambria"/>
      <w:b/>
      <w:bCs/>
      <w:sz w:val="32"/>
      <w:szCs w:val="32"/>
    </w:rPr>
  </w:style>
  <w:style w:type="paragraph" w:styleId="42">
    <w:name w:val="annotation subject"/>
    <w:basedOn w:val="25"/>
    <w:next w:val="25"/>
    <w:link w:val="185"/>
    <w:qFormat/>
    <w:uiPriority w:val="0"/>
    <w:rPr>
      <w:rFonts w:ascii="Times New Roman" w:hAnsi="Times New Roman"/>
      <w:b/>
      <w:bCs/>
      <w:kern w:val="0"/>
      <w:sz w:val="20"/>
    </w:rPr>
  </w:style>
  <w:style w:type="paragraph" w:styleId="43">
    <w:name w:val="Body Text First Indent"/>
    <w:basedOn w:val="20"/>
    <w:link w:val="129"/>
    <w:qFormat/>
    <w:uiPriority w:val="99"/>
    <w:pPr>
      <w:ind w:firstLine="420" w:firstLineChars="100"/>
    </w:pPr>
    <w:rPr>
      <w:kern w:val="0"/>
      <w:sz w:val="20"/>
    </w:rPr>
  </w:style>
  <w:style w:type="paragraph" w:styleId="44">
    <w:name w:val="Body Text First Indent 2"/>
    <w:basedOn w:val="21"/>
    <w:link w:val="181"/>
    <w:qFormat/>
    <w:uiPriority w:val="0"/>
    <w:pPr>
      <w:ind w:firstLine="420" w:firstLineChars="20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unhideWhenUsed/>
    <w:qFormat/>
    <w:uiPriority w:val="99"/>
    <w:rPr>
      <w:color w:val="800080"/>
      <w:u w:val="single"/>
    </w:rPr>
  </w:style>
  <w:style w:type="character" w:styleId="51">
    <w:name w:val="Hyperlink"/>
    <w:qFormat/>
    <w:uiPriority w:val="99"/>
    <w:rPr>
      <w:color w:val="136EC2"/>
      <w:u w:val="single"/>
    </w:rPr>
  </w:style>
  <w:style w:type="character" w:styleId="52">
    <w:name w:val="annotation reference"/>
    <w:qFormat/>
    <w:uiPriority w:val="0"/>
    <w:rPr>
      <w:sz w:val="21"/>
      <w:szCs w:val="21"/>
    </w:rPr>
  </w:style>
  <w:style w:type="character" w:styleId="53">
    <w:name w:val="HTML Sample"/>
    <w:qFormat/>
    <w:uiPriority w:val="0"/>
    <w:rPr>
      <w:rFonts w:ascii="Courier New" w:hAnsi="Courier New" w:eastAsia="Times New Roman" w:cs="Courier New"/>
    </w:rPr>
  </w:style>
  <w:style w:type="character" w:customStyle="1" w:styleId="54">
    <w:name w:val="标题 2 字符1"/>
    <w:link w:val="5"/>
    <w:qFormat/>
    <w:uiPriority w:val="0"/>
    <w:rPr>
      <w:rFonts w:ascii="Arial" w:hAnsi="Arial" w:eastAsia="黑体"/>
      <w:b/>
      <w:kern w:val="2"/>
      <w:sz w:val="32"/>
      <w:szCs w:val="22"/>
    </w:rPr>
  </w:style>
  <w:style w:type="character" w:customStyle="1" w:styleId="55">
    <w:name w:val="Plain Text Char"/>
    <w:qFormat/>
    <w:locked/>
    <w:uiPriority w:val="0"/>
    <w:rPr>
      <w:rFonts w:ascii="宋体" w:hAnsi="Courier New" w:cs="宋体"/>
      <w:sz w:val="21"/>
      <w:szCs w:val="21"/>
    </w:rPr>
  </w:style>
  <w:style w:type="character" w:customStyle="1" w:styleId="56">
    <w:name w:val="font91"/>
    <w:qFormat/>
    <w:uiPriority w:val="0"/>
    <w:rPr>
      <w:rFonts w:hint="eastAsia" w:ascii="宋体" w:hAnsi="宋体" w:eastAsia="宋体" w:cs="宋体"/>
      <w:color w:val="000000"/>
      <w:sz w:val="18"/>
      <w:szCs w:val="18"/>
      <w:u w:val="none"/>
    </w:rPr>
  </w:style>
  <w:style w:type="character" w:customStyle="1" w:styleId="57">
    <w:name w:val="批注主题 Char11"/>
    <w:qFormat/>
    <w:locked/>
    <w:uiPriority w:val="0"/>
    <w:rPr>
      <w:rFonts w:ascii="Times New Roman" w:hAnsi="Times New Roman"/>
      <w:b/>
      <w:bCs/>
      <w:kern w:val="2"/>
      <w:sz w:val="24"/>
      <w:szCs w:val="24"/>
    </w:rPr>
  </w:style>
  <w:style w:type="character" w:customStyle="1" w:styleId="58">
    <w:name w:val="正文文本缩进 2 Char"/>
    <w:qFormat/>
    <w:uiPriority w:val="0"/>
    <w:rPr>
      <w:kern w:val="2"/>
      <w:sz w:val="21"/>
      <w:szCs w:val="22"/>
    </w:rPr>
  </w:style>
  <w:style w:type="character" w:customStyle="1" w:styleId="59">
    <w:name w:val="case31"/>
    <w:qFormat/>
    <w:uiPriority w:val="0"/>
    <w:rPr>
      <w:sz w:val="21"/>
      <w:szCs w:val="21"/>
    </w:rPr>
  </w:style>
  <w:style w:type="character" w:customStyle="1" w:styleId="60">
    <w:name w:val="正文首行缩进 Char"/>
    <w:basedOn w:val="61"/>
    <w:qFormat/>
    <w:uiPriority w:val="0"/>
    <w:rPr>
      <w:kern w:val="2"/>
      <w:sz w:val="21"/>
      <w:szCs w:val="22"/>
    </w:rPr>
  </w:style>
  <w:style w:type="character" w:customStyle="1" w:styleId="61">
    <w:name w:val="正文文本 字符"/>
    <w:link w:val="20"/>
    <w:qFormat/>
    <w:uiPriority w:val="0"/>
    <w:rPr>
      <w:kern w:val="2"/>
      <w:sz w:val="21"/>
      <w:szCs w:val="22"/>
    </w:rPr>
  </w:style>
  <w:style w:type="character" w:customStyle="1" w:styleId="62">
    <w:name w:val="日期 Char3"/>
    <w:qFormat/>
    <w:locked/>
    <w:uiPriority w:val="0"/>
    <w:rPr>
      <w:rFonts w:ascii="Times New Roman" w:hAnsi="Times New Roman"/>
      <w:sz w:val="21"/>
      <w:szCs w:val="21"/>
    </w:rPr>
  </w:style>
  <w:style w:type="character" w:customStyle="1" w:styleId="63">
    <w:name w:val="页眉 Char4"/>
    <w:qFormat/>
    <w:uiPriority w:val="0"/>
    <w:rPr>
      <w:kern w:val="2"/>
      <w:sz w:val="18"/>
      <w:szCs w:val="18"/>
    </w:rPr>
  </w:style>
  <w:style w:type="character" w:customStyle="1" w:styleId="64">
    <w:name w:val="批注主题 Char12"/>
    <w:qFormat/>
    <w:uiPriority w:val="0"/>
    <w:rPr>
      <w:b/>
      <w:bCs/>
      <w:kern w:val="2"/>
      <w:sz w:val="21"/>
      <w:szCs w:val="22"/>
    </w:rPr>
  </w:style>
  <w:style w:type="character" w:customStyle="1" w:styleId="65">
    <w:name w:val="批注主题 Char14"/>
    <w:qFormat/>
    <w:uiPriority w:val="0"/>
    <w:rPr>
      <w:b/>
      <w:bCs/>
      <w:kern w:val="2"/>
      <w:sz w:val="21"/>
      <w:szCs w:val="22"/>
    </w:rPr>
  </w:style>
  <w:style w:type="character" w:customStyle="1" w:styleId="66">
    <w:name w:val="副标题 Char1"/>
    <w:qFormat/>
    <w:uiPriority w:val="11"/>
    <w:rPr>
      <w:rFonts w:ascii="Cambria" w:hAnsi="Cambria" w:cs="Times New Roman"/>
      <w:b/>
      <w:bCs/>
      <w:kern w:val="28"/>
      <w:sz w:val="32"/>
      <w:szCs w:val="32"/>
    </w:rPr>
  </w:style>
  <w:style w:type="character" w:customStyle="1" w:styleId="67">
    <w:name w:val="标题 4 字符1"/>
    <w:link w:val="7"/>
    <w:qFormat/>
    <w:uiPriority w:val="0"/>
    <w:rPr>
      <w:rFonts w:ascii="Cambria" w:hAnsi="Cambria"/>
      <w:b/>
      <w:bCs/>
      <w:kern w:val="2"/>
      <w:sz w:val="28"/>
      <w:szCs w:val="28"/>
    </w:rPr>
  </w:style>
  <w:style w:type="character" w:customStyle="1" w:styleId="68">
    <w:name w:val="正文缩进 Char"/>
    <w:qFormat/>
    <w:uiPriority w:val="0"/>
    <w:rPr>
      <w:kern w:val="2"/>
      <w:sz w:val="21"/>
      <w:szCs w:val="22"/>
    </w:rPr>
  </w:style>
  <w:style w:type="character" w:customStyle="1" w:styleId="69">
    <w:name w:val="标题 1 Char2"/>
    <w:qFormat/>
    <w:uiPriority w:val="0"/>
    <w:rPr>
      <w:b/>
      <w:bCs/>
      <w:kern w:val="44"/>
      <w:sz w:val="44"/>
      <w:szCs w:val="44"/>
    </w:rPr>
  </w:style>
  <w:style w:type="character" w:customStyle="1" w:styleId="70">
    <w:name w:val="批注框文本 字符1"/>
    <w:link w:val="29"/>
    <w:qFormat/>
    <w:uiPriority w:val="0"/>
    <w:rPr>
      <w:rFonts w:ascii="Calibri" w:hAnsi="Calibri"/>
      <w:kern w:val="2"/>
      <w:sz w:val="18"/>
      <w:szCs w:val="18"/>
    </w:rPr>
  </w:style>
  <w:style w:type="character" w:customStyle="1" w:styleId="71">
    <w:name w:val="标题 Char"/>
    <w:qFormat/>
    <w:locked/>
    <w:uiPriority w:val="0"/>
    <w:rPr>
      <w:rFonts w:ascii="Cambria" w:hAnsi="Cambria" w:cs="Cambria"/>
      <w:b/>
      <w:bCs/>
      <w:sz w:val="32"/>
      <w:szCs w:val="32"/>
    </w:rPr>
  </w:style>
  <w:style w:type="character" w:customStyle="1" w:styleId="72">
    <w:name w:val="页眉 Char1"/>
    <w:qFormat/>
    <w:uiPriority w:val="0"/>
    <w:rPr>
      <w:kern w:val="2"/>
      <w:sz w:val="18"/>
      <w:szCs w:val="18"/>
    </w:rPr>
  </w:style>
  <w:style w:type="character" w:customStyle="1" w:styleId="73">
    <w:name w:val="标题 Char2"/>
    <w:qFormat/>
    <w:uiPriority w:val="0"/>
    <w:rPr>
      <w:rFonts w:ascii="Cambria" w:hAnsi="Cambria" w:cs="Times New Roman"/>
      <w:b/>
      <w:bCs/>
      <w:kern w:val="2"/>
      <w:sz w:val="32"/>
      <w:szCs w:val="32"/>
    </w:rPr>
  </w:style>
  <w:style w:type="character" w:customStyle="1" w:styleId="74">
    <w:name w:val="纯文本 Char12"/>
    <w:qFormat/>
    <w:uiPriority w:val="0"/>
    <w:rPr>
      <w:rFonts w:ascii="宋体" w:hAnsi="Courier New" w:cs="Courier New"/>
      <w:kern w:val="2"/>
      <w:sz w:val="21"/>
      <w:szCs w:val="21"/>
    </w:rPr>
  </w:style>
  <w:style w:type="character" w:customStyle="1" w:styleId="75">
    <w:name w:val="纯文本 Char11"/>
    <w:qFormat/>
    <w:uiPriority w:val="0"/>
    <w:rPr>
      <w:rFonts w:ascii="宋体" w:hAnsi="Courier New" w:cs="Courier New"/>
      <w:kern w:val="2"/>
      <w:sz w:val="21"/>
      <w:szCs w:val="21"/>
    </w:rPr>
  </w:style>
  <w:style w:type="character" w:customStyle="1" w:styleId="76">
    <w:name w:val="标题 1 Char1"/>
    <w:qFormat/>
    <w:uiPriority w:val="0"/>
    <w:rPr>
      <w:b/>
      <w:bCs/>
      <w:kern w:val="44"/>
      <w:sz w:val="44"/>
      <w:szCs w:val="44"/>
    </w:rPr>
  </w:style>
  <w:style w:type="character" w:customStyle="1" w:styleId="77">
    <w:name w:val="页脚 Char2"/>
    <w:qFormat/>
    <w:uiPriority w:val="0"/>
    <w:rPr>
      <w:kern w:val="2"/>
      <w:sz w:val="18"/>
      <w:szCs w:val="18"/>
    </w:rPr>
  </w:style>
  <w:style w:type="character" w:customStyle="1" w:styleId="78">
    <w:name w:val="纯文本 字符3"/>
    <w:qFormat/>
    <w:uiPriority w:val="0"/>
    <w:rPr>
      <w:rFonts w:ascii="宋体" w:hAnsi="Courier New" w:cs="Courier New"/>
      <w:kern w:val="2"/>
      <w:sz w:val="21"/>
      <w:szCs w:val="21"/>
    </w:rPr>
  </w:style>
  <w:style w:type="character" w:customStyle="1" w:styleId="79">
    <w:name w:val="文档结构图 字符"/>
    <w:link w:val="16"/>
    <w:qFormat/>
    <w:uiPriority w:val="0"/>
    <w:rPr>
      <w:sz w:val="18"/>
      <w:szCs w:val="18"/>
    </w:rPr>
  </w:style>
  <w:style w:type="character" w:customStyle="1" w:styleId="80">
    <w:name w:val="日期 Char6"/>
    <w:qFormat/>
    <w:uiPriority w:val="0"/>
    <w:rPr>
      <w:rFonts w:ascii="宋体" w:hAnsi="Courier New" w:cs="Courier New"/>
      <w:kern w:val="2"/>
      <w:sz w:val="21"/>
      <w:szCs w:val="21"/>
    </w:rPr>
  </w:style>
  <w:style w:type="character" w:customStyle="1" w:styleId="81">
    <w:name w:val="标题 6 字符"/>
    <w:link w:val="9"/>
    <w:qFormat/>
    <w:uiPriority w:val="9"/>
    <w:rPr>
      <w:rFonts w:ascii="Cambria" w:hAnsi="Cambria"/>
      <w:b/>
      <w:bCs/>
      <w:kern w:val="2"/>
      <w:sz w:val="24"/>
      <w:szCs w:val="24"/>
    </w:rPr>
  </w:style>
  <w:style w:type="character" w:customStyle="1" w:styleId="82">
    <w:name w:val="标题 字符"/>
    <w:qFormat/>
    <w:uiPriority w:val="10"/>
    <w:rPr>
      <w:rFonts w:ascii="Cambria" w:hAnsi="Cambria" w:eastAsia="宋体" w:cs="Times New Roman"/>
      <w:b/>
      <w:bCs/>
      <w:sz w:val="32"/>
      <w:szCs w:val="32"/>
    </w:rPr>
  </w:style>
  <w:style w:type="character" w:customStyle="1" w:styleId="83">
    <w:name w:val="标题 1 字符"/>
    <w:qFormat/>
    <w:uiPriority w:val="9"/>
    <w:rPr>
      <w:rFonts w:ascii="Times New Roman" w:hAnsi="Times New Roman" w:eastAsia="宋体" w:cs="Times New Roman"/>
      <w:b/>
      <w:bCs/>
      <w:kern w:val="44"/>
      <w:sz w:val="44"/>
      <w:szCs w:val="44"/>
    </w:rPr>
  </w:style>
  <w:style w:type="character" w:customStyle="1" w:styleId="84">
    <w:name w:val="font21"/>
    <w:qFormat/>
    <w:uiPriority w:val="0"/>
    <w:rPr>
      <w:rFonts w:hint="eastAsia" w:ascii="宋体" w:hAnsi="宋体" w:eastAsia="宋体" w:cs="宋体"/>
      <w:color w:val="000000"/>
      <w:sz w:val="22"/>
      <w:szCs w:val="22"/>
      <w:u w:val="none"/>
    </w:rPr>
  </w:style>
  <w:style w:type="character" w:customStyle="1" w:styleId="85">
    <w:name w:val="批注主题 Char3"/>
    <w:qFormat/>
    <w:locked/>
    <w:uiPriority w:val="0"/>
    <w:rPr>
      <w:rFonts w:ascii="Times New Roman" w:hAnsi="Times New Roman"/>
      <w:b/>
      <w:bCs/>
      <w:kern w:val="2"/>
      <w:sz w:val="24"/>
      <w:szCs w:val="24"/>
    </w:rPr>
  </w:style>
  <w:style w:type="character" w:customStyle="1" w:styleId="86">
    <w:name w:val="正文文本缩进 3 字符"/>
    <w:link w:val="36"/>
    <w:qFormat/>
    <w:uiPriority w:val="0"/>
    <w:rPr>
      <w:rFonts w:ascii="Calibri" w:hAnsi="Calibri"/>
      <w:kern w:val="2"/>
      <w:sz w:val="16"/>
      <w:szCs w:val="16"/>
    </w:rPr>
  </w:style>
  <w:style w:type="character" w:customStyle="1" w:styleId="87">
    <w:name w:val="正文文本缩进 2 Char1"/>
    <w:qFormat/>
    <w:uiPriority w:val="0"/>
    <w:rPr>
      <w:kern w:val="2"/>
      <w:sz w:val="21"/>
      <w:szCs w:val="22"/>
    </w:rPr>
  </w:style>
  <w:style w:type="character" w:customStyle="1" w:styleId="88">
    <w:name w:val="标题 Char4"/>
    <w:qFormat/>
    <w:locked/>
    <w:uiPriority w:val="0"/>
    <w:rPr>
      <w:rFonts w:ascii="Cambria" w:hAnsi="Cambria" w:cs="Cambria"/>
      <w:b/>
      <w:bCs/>
      <w:sz w:val="32"/>
      <w:szCs w:val="32"/>
    </w:rPr>
  </w:style>
  <w:style w:type="character" w:customStyle="1" w:styleId="89">
    <w:name w:val="无间隔 字符"/>
    <w:link w:val="90"/>
    <w:qFormat/>
    <w:uiPriority w:val="0"/>
    <w:rPr>
      <w:kern w:val="2"/>
      <w:sz w:val="24"/>
      <w:szCs w:val="32"/>
    </w:rPr>
  </w:style>
  <w:style w:type="paragraph" w:styleId="90">
    <w:name w:val="No Spacing"/>
    <w:basedOn w:val="1"/>
    <w:link w:val="89"/>
    <w:qFormat/>
    <w:uiPriority w:val="0"/>
    <w:pPr>
      <w:spacing w:line="360" w:lineRule="auto"/>
    </w:pPr>
    <w:rPr>
      <w:sz w:val="24"/>
      <w:szCs w:val="32"/>
    </w:rPr>
  </w:style>
  <w:style w:type="character" w:customStyle="1" w:styleId="91">
    <w:name w:val="批注文字 Char"/>
    <w:qFormat/>
    <w:uiPriority w:val="0"/>
    <w:rPr>
      <w:kern w:val="2"/>
      <w:sz w:val="21"/>
      <w:szCs w:val="22"/>
    </w:rPr>
  </w:style>
  <w:style w:type="character" w:customStyle="1" w:styleId="92">
    <w:name w:val="纯文本 Char21"/>
    <w:qFormat/>
    <w:uiPriority w:val="0"/>
    <w:rPr>
      <w:rFonts w:ascii="宋体" w:hAnsi="Courier New"/>
      <w:sz w:val="21"/>
      <w:szCs w:val="21"/>
    </w:rPr>
  </w:style>
  <w:style w:type="character" w:customStyle="1" w:styleId="93">
    <w:name w:val="标题 3 字符1"/>
    <w:link w:val="6"/>
    <w:qFormat/>
    <w:uiPriority w:val="0"/>
    <w:rPr>
      <w:b/>
      <w:kern w:val="2"/>
      <w:sz w:val="32"/>
      <w:szCs w:val="22"/>
    </w:rPr>
  </w:style>
  <w:style w:type="character" w:customStyle="1" w:styleId="94">
    <w:name w:val="fontstyle01"/>
    <w:qFormat/>
    <w:uiPriority w:val="0"/>
    <w:rPr>
      <w:rFonts w:hint="eastAsia" w:ascii="宋体" w:hAnsi="宋体" w:eastAsia="宋体"/>
      <w:color w:val="000000"/>
      <w:sz w:val="22"/>
      <w:szCs w:val="22"/>
    </w:rPr>
  </w:style>
  <w:style w:type="character" w:customStyle="1" w:styleId="95">
    <w:name w:val="正文缩进 字符"/>
    <w:link w:val="14"/>
    <w:qFormat/>
    <w:uiPriority w:val="0"/>
    <w:rPr>
      <w:rFonts w:cs="Calibri"/>
      <w:kern w:val="2"/>
      <w:sz w:val="21"/>
      <w:szCs w:val="21"/>
    </w:rPr>
  </w:style>
  <w:style w:type="character" w:customStyle="1" w:styleId="96">
    <w:name w:val="文档结构图 Char4"/>
    <w:qFormat/>
    <w:uiPriority w:val="0"/>
    <w:rPr>
      <w:kern w:val="2"/>
      <w:sz w:val="21"/>
      <w:szCs w:val="24"/>
      <w:shd w:val="clear" w:color="auto" w:fill="000080"/>
    </w:rPr>
  </w:style>
  <w:style w:type="character" w:customStyle="1" w:styleId="97">
    <w:name w:val="正文文本缩进 2 Char12"/>
    <w:qFormat/>
    <w:uiPriority w:val="0"/>
    <w:rPr>
      <w:kern w:val="2"/>
      <w:sz w:val="21"/>
      <w:szCs w:val="22"/>
    </w:rPr>
  </w:style>
  <w:style w:type="character" w:customStyle="1" w:styleId="98">
    <w:name w:val="Date Char"/>
    <w:qFormat/>
    <w:locked/>
    <w:uiPriority w:val="0"/>
    <w:rPr>
      <w:rFonts w:ascii="宋体" w:hAnsi="Courier New" w:cs="宋体"/>
      <w:sz w:val="21"/>
      <w:szCs w:val="21"/>
    </w:rPr>
  </w:style>
  <w:style w:type="character" w:customStyle="1" w:styleId="99">
    <w:name w:val="正文要点 Char Char"/>
    <w:link w:val="100"/>
    <w:qFormat/>
    <w:locked/>
    <w:uiPriority w:val="0"/>
    <w:rPr>
      <w:szCs w:val="21"/>
    </w:rPr>
  </w:style>
  <w:style w:type="paragraph" w:customStyle="1" w:styleId="100">
    <w:name w:val="正文要点"/>
    <w:basedOn w:val="1"/>
    <w:next w:val="101"/>
    <w:link w:val="99"/>
    <w:qFormat/>
    <w:uiPriority w:val="0"/>
    <w:pPr>
      <w:tabs>
        <w:tab w:val="left" w:pos="420"/>
      </w:tabs>
      <w:spacing w:line="360" w:lineRule="auto"/>
      <w:ind w:left="840" w:hanging="420"/>
    </w:pPr>
    <w:rPr>
      <w:kern w:val="0"/>
      <w:sz w:val="20"/>
      <w:szCs w:val="21"/>
    </w:rPr>
  </w:style>
  <w:style w:type="paragraph" w:customStyle="1" w:styleId="101">
    <w:name w:val="正文要点内容"/>
    <w:basedOn w:val="100"/>
    <w:link w:val="152"/>
    <w:qFormat/>
    <w:uiPriority w:val="0"/>
    <w:pPr>
      <w:tabs>
        <w:tab w:val="left" w:pos="840"/>
        <w:tab w:val="clear" w:pos="420"/>
      </w:tabs>
      <w:ind w:left="400" w:leftChars="400" w:firstLine="200" w:firstLineChars="200"/>
    </w:pPr>
  </w:style>
  <w:style w:type="character" w:customStyle="1" w:styleId="102">
    <w:name w:val="正文缩进 Char5"/>
    <w:qFormat/>
    <w:uiPriority w:val="0"/>
    <w:rPr>
      <w:kern w:val="2"/>
      <w:sz w:val="21"/>
      <w:szCs w:val="22"/>
    </w:rPr>
  </w:style>
  <w:style w:type="character" w:customStyle="1" w:styleId="103">
    <w:name w:val="页眉 Char2"/>
    <w:qFormat/>
    <w:uiPriority w:val="0"/>
    <w:rPr>
      <w:kern w:val="2"/>
      <w:sz w:val="18"/>
      <w:szCs w:val="18"/>
    </w:rPr>
  </w:style>
  <w:style w:type="character" w:customStyle="1" w:styleId="104">
    <w:name w:val="Body Text Indent Char"/>
    <w:qFormat/>
    <w:locked/>
    <w:uiPriority w:val="0"/>
    <w:rPr>
      <w:rFonts w:ascii="仿宋_GB2312" w:hAnsi="Times New Roman" w:eastAsia="仿宋_GB2312" w:cs="仿宋_GB2312"/>
      <w:sz w:val="32"/>
      <w:szCs w:val="32"/>
    </w:rPr>
  </w:style>
  <w:style w:type="character" w:customStyle="1" w:styleId="105">
    <w:name w:val="页脚 Char1"/>
    <w:qFormat/>
    <w:uiPriority w:val="0"/>
    <w:rPr>
      <w:kern w:val="2"/>
      <w:sz w:val="18"/>
      <w:szCs w:val="18"/>
    </w:rPr>
  </w:style>
  <w:style w:type="character" w:customStyle="1" w:styleId="106">
    <w:name w:val="Char Char4"/>
    <w:qFormat/>
    <w:uiPriority w:val="0"/>
    <w:rPr>
      <w:rFonts w:eastAsia="宋体"/>
      <w:b/>
      <w:bCs/>
      <w:kern w:val="44"/>
      <w:sz w:val="44"/>
      <w:szCs w:val="44"/>
      <w:lang w:val="en-US" w:eastAsia="zh-CN"/>
    </w:rPr>
  </w:style>
  <w:style w:type="character" w:customStyle="1" w:styleId="107">
    <w:name w:val="Header Char"/>
    <w:qFormat/>
    <w:locked/>
    <w:uiPriority w:val="0"/>
    <w:rPr>
      <w:rFonts w:ascii="Times New Roman" w:hAnsi="Times New Roman" w:cs="Times New Roman"/>
      <w:sz w:val="18"/>
      <w:szCs w:val="18"/>
    </w:rPr>
  </w:style>
  <w:style w:type="character" w:customStyle="1" w:styleId="108">
    <w:name w:val="日期 字符1"/>
    <w:link w:val="27"/>
    <w:qFormat/>
    <w:uiPriority w:val="0"/>
    <w:rPr>
      <w:kern w:val="2"/>
      <w:sz w:val="21"/>
      <w:szCs w:val="24"/>
    </w:rPr>
  </w:style>
  <w:style w:type="character" w:customStyle="1" w:styleId="109">
    <w:name w:val="Subtitle Char"/>
    <w:qFormat/>
    <w:locked/>
    <w:uiPriority w:val="0"/>
    <w:rPr>
      <w:rFonts w:ascii="Cambria" w:hAnsi="Cambria" w:eastAsia="方正楷体简体" w:cs="Cambria"/>
      <w:kern w:val="28"/>
      <w:sz w:val="32"/>
      <w:szCs w:val="32"/>
    </w:rPr>
  </w:style>
  <w:style w:type="character" w:customStyle="1" w:styleId="110">
    <w:name w:val="页眉 Char3"/>
    <w:qFormat/>
    <w:uiPriority w:val="99"/>
    <w:rPr>
      <w:rFonts w:ascii="Times New Roman" w:hAnsi="Times New Roman" w:eastAsia="宋体" w:cs="Times New Roman"/>
      <w:sz w:val="18"/>
      <w:szCs w:val="18"/>
    </w:rPr>
  </w:style>
  <w:style w:type="character" w:customStyle="1" w:styleId="111">
    <w:name w:val="副标题 字符"/>
    <w:qFormat/>
    <w:uiPriority w:val="11"/>
    <w:rPr>
      <w:b/>
      <w:bCs/>
      <w:kern w:val="28"/>
      <w:sz w:val="32"/>
      <w:szCs w:val="32"/>
    </w:rPr>
  </w:style>
  <w:style w:type="character" w:customStyle="1" w:styleId="112">
    <w:name w:val="正文文本缩进 2 Char2"/>
    <w:qFormat/>
    <w:locked/>
    <w:uiPriority w:val="0"/>
    <w:rPr>
      <w:rFonts w:ascii="Times New Roman" w:hAnsi="Times New Roman"/>
      <w:sz w:val="21"/>
      <w:szCs w:val="21"/>
    </w:rPr>
  </w:style>
  <w:style w:type="character" w:customStyle="1" w:styleId="113">
    <w:name w:val="页脚 字符"/>
    <w:qFormat/>
    <w:uiPriority w:val="99"/>
  </w:style>
  <w:style w:type="character" w:customStyle="1" w:styleId="114">
    <w:name w:val="页脚 Char5"/>
    <w:qFormat/>
    <w:uiPriority w:val="99"/>
    <w:rPr>
      <w:rFonts w:ascii="Times New Roman" w:hAnsi="Times New Roman" w:eastAsia="宋体" w:cs="Times New Roman"/>
      <w:sz w:val="18"/>
      <w:szCs w:val="18"/>
    </w:rPr>
  </w:style>
  <w:style w:type="character" w:customStyle="1" w:styleId="115">
    <w:name w:val="标题 Char3"/>
    <w:qFormat/>
    <w:locked/>
    <w:uiPriority w:val="0"/>
    <w:rPr>
      <w:rFonts w:ascii="Cambria" w:hAnsi="Cambria" w:cs="Cambria"/>
      <w:b/>
      <w:bCs/>
      <w:sz w:val="32"/>
      <w:szCs w:val="32"/>
    </w:rPr>
  </w:style>
  <w:style w:type="character" w:customStyle="1" w:styleId="116">
    <w:name w:val="正文文本缩进 2 Char13"/>
    <w:qFormat/>
    <w:uiPriority w:val="0"/>
    <w:rPr>
      <w:kern w:val="2"/>
      <w:sz w:val="21"/>
      <w:szCs w:val="22"/>
    </w:rPr>
  </w:style>
  <w:style w:type="character" w:customStyle="1" w:styleId="117">
    <w:name w:val="批注文字 Char3"/>
    <w:qFormat/>
    <w:uiPriority w:val="0"/>
    <w:rPr>
      <w:kern w:val="2"/>
      <w:sz w:val="21"/>
      <w:szCs w:val="22"/>
    </w:rPr>
  </w:style>
  <w:style w:type="character" w:customStyle="1" w:styleId="118">
    <w:name w:val="纯文本 Char1"/>
    <w:qFormat/>
    <w:uiPriority w:val="0"/>
    <w:rPr>
      <w:rFonts w:ascii="宋体" w:hAnsi="Courier New" w:cs="Courier New"/>
      <w:kern w:val="2"/>
      <w:sz w:val="21"/>
      <w:szCs w:val="21"/>
    </w:rPr>
  </w:style>
  <w:style w:type="character" w:customStyle="1" w:styleId="119">
    <w:name w:val="日期 Char11"/>
    <w:qFormat/>
    <w:uiPriority w:val="0"/>
    <w:rPr>
      <w:kern w:val="2"/>
      <w:sz w:val="21"/>
      <w:szCs w:val="22"/>
    </w:rPr>
  </w:style>
  <w:style w:type="character" w:customStyle="1" w:styleId="120">
    <w:name w:val="纯文本 Char"/>
    <w:qFormat/>
    <w:uiPriority w:val="99"/>
    <w:rPr>
      <w:rFonts w:ascii="宋体" w:hAnsi="Courier New" w:cs="Courier New"/>
      <w:kern w:val="2"/>
      <w:sz w:val="21"/>
      <w:szCs w:val="21"/>
    </w:rPr>
  </w:style>
  <w:style w:type="character" w:customStyle="1" w:styleId="121">
    <w:name w:val="副标题 字符1"/>
    <w:link w:val="34"/>
    <w:qFormat/>
    <w:uiPriority w:val="0"/>
    <w:rPr>
      <w:rFonts w:ascii="Cambria" w:hAnsi="Cambria"/>
      <w:b/>
      <w:bCs/>
      <w:kern w:val="28"/>
      <w:sz w:val="32"/>
      <w:szCs w:val="32"/>
    </w:rPr>
  </w:style>
  <w:style w:type="character" w:customStyle="1" w:styleId="122">
    <w:name w:val="vote-count"/>
    <w:qFormat/>
    <w:uiPriority w:val="0"/>
  </w:style>
  <w:style w:type="character" w:customStyle="1" w:styleId="123">
    <w:name w:val="标题 3 Char1"/>
    <w:qFormat/>
    <w:uiPriority w:val="0"/>
    <w:rPr>
      <w:rFonts w:ascii="Times New Roman" w:hAnsi="Times New Roman" w:eastAsia="黑体" w:cs="Times New Roman"/>
      <w:kern w:val="0"/>
      <w:sz w:val="28"/>
      <w:szCs w:val="20"/>
    </w:rPr>
  </w:style>
  <w:style w:type="character" w:customStyle="1" w:styleId="124">
    <w:name w:val="纯文本 Char13"/>
    <w:qFormat/>
    <w:uiPriority w:val="0"/>
    <w:rPr>
      <w:rFonts w:ascii="宋体" w:hAnsi="Courier New" w:cs="Courier New"/>
      <w:kern w:val="2"/>
      <w:sz w:val="21"/>
      <w:szCs w:val="21"/>
    </w:rPr>
  </w:style>
  <w:style w:type="character" w:customStyle="1" w:styleId="125">
    <w:name w:val="日期 Char13"/>
    <w:qFormat/>
    <w:uiPriority w:val="0"/>
    <w:rPr>
      <w:kern w:val="2"/>
      <w:sz w:val="21"/>
      <w:szCs w:val="22"/>
    </w:rPr>
  </w:style>
  <w:style w:type="character" w:customStyle="1" w:styleId="126">
    <w:name w:val="正文文本 Char1"/>
    <w:qFormat/>
    <w:uiPriority w:val="0"/>
    <w:rPr>
      <w:sz w:val="24"/>
      <w:szCs w:val="24"/>
    </w:rPr>
  </w:style>
  <w:style w:type="character" w:customStyle="1" w:styleId="127">
    <w:name w:val="页脚 Char3"/>
    <w:qFormat/>
    <w:uiPriority w:val="0"/>
    <w:rPr>
      <w:kern w:val="2"/>
      <w:sz w:val="18"/>
      <w:szCs w:val="18"/>
    </w:rPr>
  </w:style>
  <w:style w:type="character" w:customStyle="1" w:styleId="128">
    <w:name w:val="纯文本 Char2"/>
    <w:qFormat/>
    <w:uiPriority w:val="0"/>
    <w:rPr>
      <w:rFonts w:ascii="宋体" w:hAnsi="Courier New" w:cs="Courier New"/>
      <w:kern w:val="2"/>
      <w:sz w:val="21"/>
      <w:szCs w:val="21"/>
    </w:rPr>
  </w:style>
  <w:style w:type="character" w:customStyle="1" w:styleId="129">
    <w:name w:val="正文文本首行缩进 字符"/>
    <w:basedOn w:val="61"/>
    <w:link w:val="43"/>
    <w:qFormat/>
    <w:uiPriority w:val="99"/>
    <w:rPr>
      <w:kern w:val="2"/>
      <w:sz w:val="21"/>
      <w:szCs w:val="22"/>
    </w:rPr>
  </w:style>
  <w:style w:type="character" w:customStyle="1" w:styleId="130">
    <w:name w:val="正文文本缩进 3 Char1"/>
    <w:qFormat/>
    <w:uiPriority w:val="99"/>
    <w:rPr>
      <w:kern w:val="2"/>
      <w:sz w:val="16"/>
      <w:szCs w:val="16"/>
    </w:rPr>
  </w:style>
  <w:style w:type="character" w:customStyle="1" w:styleId="131">
    <w:name w:val="正文文本缩进 2 字符"/>
    <w:link w:val="28"/>
    <w:qFormat/>
    <w:uiPriority w:val="0"/>
    <w:rPr>
      <w:sz w:val="24"/>
      <w:szCs w:val="24"/>
    </w:rPr>
  </w:style>
  <w:style w:type="character" w:customStyle="1" w:styleId="132">
    <w:name w:val="标题 Char7"/>
    <w:qFormat/>
    <w:uiPriority w:val="10"/>
    <w:rPr>
      <w:rFonts w:ascii="Cambria" w:hAnsi="Cambria" w:cs="Times New Roman"/>
      <w:b/>
      <w:bCs/>
      <w:kern w:val="2"/>
      <w:sz w:val="32"/>
      <w:szCs w:val="32"/>
    </w:rPr>
  </w:style>
  <w:style w:type="character" w:customStyle="1" w:styleId="133">
    <w:name w:val="日期 Char4"/>
    <w:qFormat/>
    <w:locked/>
    <w:uiPriority w:val="0"/>
    <w:rPr>
      <w:rFonts w:ascii="Times New Roman" w:hAnsi="Times New Roman"/>
      <w:sz w:val="21"/>
      <w:szCs w:val="21"/>
    </w:rPr>
  </w:style>
  <w:style w:type="character" w:customStyle="1" w:styleId="134">
    <w:name w:val="标题 字符1"/>
    <w:basedOn w:val="108"/>
    <w:link w:val="41"/>
    <w:qFormat/>
    <w:uiPriority w:val="0"/>
    <w:rPr>
      <w:kern w:val="2"/>
      <w:sz w:val="21"/>
      <w:szCs w:val="24"/>
    </w:rPr>
  </w:style>
  <w:style w:type="character" w:customStyle="1" w:styleId="135">
    <w:name w:val="批注主题 Char13"/>
    <w:qFormat/>
    <w:uiPriority w:val="0"/>
    <w:rPr>
      <w:b/>
      <w:bCs/>
      <w:kern w:val="2"/>
      <w:sz w:val="21"/>
      <w:szCs w:val="22"/>
    </w:rPr>
  </w:style>
  <w:style w:type="character" w:customStyle="1" w:styleId="136">
    <w:name w:val="日期 Char12"/>
    <w:qFormat/>
    <w:uiPriority w:val="0"/>
    <w:rPr>
      <w:kern w:val="2"/>
      <w:sz w:val="21"/>
      <w:szCs w:val="22"/>
    </w:rPr>
  </w:style>
  <w:style w:type="character" w:customStyle="1" w:styleId="137">
    <w:name w:val="正文文本缩进 2 Char3"/>
    <w:qFormat/>
    <w:locked/>
    <w:uiPriority w:val="0"/>
    <w:rPr>
      <w:rFonts w:ascii="Times New Roman" w:hAnsi="Times New Roman"/>
      <w:sz w:val="21"/>
      <w:szCs w:val="21"/>
    </w:rPr>
  </w:style>
  <w:style w:type="character" w:customStyle="1" w:styleId="138">
    <w:name w:val="页脚 Char4"/>
    <w:qFormat/>
    <w:uiPriority w:val="0"/>
    <w:rPr>
      <w:kern w:val="2"/>
      <w:sz w:val="18"/>
      <w:szCs w:val="18"/>
    </w:rPr>
  </w:style>
  <w:style w:type="character" w:customStyle="1" w:styleId="139">
    <w:name w:val="Body Text Char"/>
    <w:qFormat/>
    <w:locked/>
    <w:uiPriority w:val="0"/>
    <w:rPr>
      <w:rFonts w:ascii="Times New Roman" w:hAnsi="Times New Roman" w:cs="Times New Roman"/>
      <w:sz w:val="24"/>
      <w:szCs w:val="24"/>
    </w:rPr>
  </w:style>
  <w:style w:type="character" w:customStyle="1" w:styleId="140">
    <w:name w:val="h3 Char1"/>
    <w:qFormat/>
    <w:locked/>
    <w:uiPriority w:val="0"/>
    <w:rPr>
      <w:rFonts w:ascii="Times New Roman" w:hAnsi="Times New Roman" w:eastAsia="宋体" w:cs="Times New Roman"/>
      <w:sz w:val="20"/>
      <w:szCs w:val="20"/>
    </w:rPr>
  </w:style>
  <w:style w:type="character" w:customStyle="1" w:styleId="141">
    <w:name w:val="标题 Char13"/>
    <w:qFormat/>
    <w:uiPriority w:val="0"/>
    <w:rPr>
      <w:rFonts w:ascii="Cambria" w:hAnsi="Cambria" w:cs="Times New Roman"/>
      <w:b/>
      <w:bCs/>
      <w:kern w:val="2"/>
      <w:sz w:val="32"/>
      <w:szCs w:val="32"/>
    </w:rPr>
  </w:style>
  <w:style w:type="character" w:customStyle="1" w:styleId="142">
    <w:name w:val="纯文本 Char7"/>
    <w:qFormat/>
    <w:locked/>
    <w:uiPriority w:val="0"/>
    <w:rPr>
      <w:rFonts w:ascii="宋体" w:hAnsi="Courier New" w:cs="宋体"/>
      <w:sz w:val="21"/>
      <w:szCs w:val="21"/>
    </w:rPr>
  </w:style>
  <w:style w:type="character" w:customStyle="1" w:styleId="143">
    <w:name w:val="标题 Char12"/>
    <w:qFormat/>
    <w:uiPriority w:val="0"/>
    <w:rPr>
      <w:rFonts w:ascii="Cambria" w:hAnsi="Cambria" w:cs="Times New Roman"/>
      <w:b/>
      <w:bCs/>
      <w:kern w:val="2"/>
      <w:sz w:val="32"/>
      <w:szCs w:val="32"/>
    </w:rPr>
  </w:style>
  <w:style w:type="character" w:customStyle="1" w:styleId="144">
    <w:name w:val="Footer Char"/>
    <w:qFormat/>
    <w:locked/>
    <w:uiPriority w:val="0"/>
    <w:rPr>
      <w:rFonts w:ascii="Times New Roman" w:hAnsi="Times New Roman" w:cs="Times New Roman"/>
      <w:sz w:val="18"/>
      <w:szCs w:val="18"/>
    </w:rPr>
  </w:style>
  <w:style w:type="character" w:customStyle="1" w:styleId="145">
    <w:name w:val="Body Text Indent 3 Char"/>
    <w:qFormat/>
    <w:locked/>
    <w:uiPriority w:val="0"/>
    <w:rPr>
      <w:rFonts w:ascii="Times New Roman" w:hAnsi="Times New Roman" w:cs="Times New Roman"/>
      <w:sz w:val="16"/>
      <w:szCs w:val="16"/>
    </w:rPr>
  </w:style>
  <w:style w:type="character" w:customStyle="1" w:styleId="146">
    <w:name w:val="纯文本 字符2"/>
    <w:link w:val="25"/>
    <w:qFormat/>
    <w:uiPriority w:val="0"/>
    <w:rPr>
      <w:rFonts w:ascii="宋体" w:hAnsi="Courier New" w:cs="Courier New"/>
      <w:kern w:val="2"/>
      <w:sz w:val="21"/>
      <w:szCs w:val="21"/>
    </w:rPr>
  </w:style>
  <w:style w:type="character" w:customStyle="1" w:styleId="147">
    <w:name w:val="正文缩进 Char3"/>
    <w:qFormat/>
    <w:uiPriority w:val="0"/>
    <w:rPr>
      <w:kern w:val="2"/>
      <w:sz w:val="21"/>
      <w:szCs w:val="22"/>
    </w:rPr>
  </w:style>
  <w:style w:type="character" w:customStyle="1" w:styleId="148">
    <w:name w:val="正文缩进 Char4"/>
    <w:qFormat/>
    <w:uiPriority w:val="0"/>
    <w:rPr>
      <w:kern w:val="2"/>
      <w:sz w:val="21"/>
      <w:szCs w:val="22"/>
    </w:rPr>
  </w:style>
  <w:style w:type="character" w:customStyle="1" w:styleId="149">
    <w:name w:val="批注文字 Char1"/>
    <w:qFormat/>
    <w:uiPriority w:val="0"/>
    <w:rPr>
      <w:kern w:val="2"/>
      <w:sz w:val="21"/>
      <w:szCs w:val="22"/>
    </w:rPr>
  </w:style>
  <w:style w:type="character" w:customStyle="1" w:styleId="150">
    <w:name w:val="纯文本 Char5"/>
    <w:qFormat/>
    <w:locked/>
    <w:uiPriority w:val="0"/>
    <w:rPr>
      <w:rFonts w:ascii="宋体" w:hAnsi="Courier New" w:cs="宋体"/>
      <w:sz w:val="21"/>
      <w:szCs w:val="21"/>
    </w:rPr>
  </w:style>
  <w:style w:type="character" w:customStyle="1" w:styleId="151">
    <w:name w:val="纯文本 Char22"/>
    <w:qFormat/>
    <w:uiPriority w:val="0"/>
    <w:rPr>
      <w:rFonts w:ascii="宋体" w:hAnsi="Courier New"/>
      <w:sz w:val="21"/>
      <w:szCs w:val="21"/>
    </w:rPr>
  </w:style>
  <w:style w:type="character" w:customStyle="1" w:styleId="152">
    <w:name w:val="正文要点内容 Char Char"/>
    <w:basedOn w:val="99"/>
    <w:link w:val="101"/>
    <w:qFormat/>
    <w:locked/>
    <w:uiPriority w:val="0"/>
    <w:rPr>
      <w:szCs w:val="21"/>
    </w:rPr>
  </w:style>
  <w:style w:type="character" w:customStyle="1" w:styleId="153">
    <w:name w:val="批注文字 Char5"/>
    <w:qFormat/>
    <w:uiPriority w:val="0"/>
    <w:rPr>
      <w:kern w:val="2"/>
      <w:sz w:val="21"/>
      <w:szCs w:val="24"/>
    </w:rPr>
  </w:style>
  <w:style w:type="character" w:customStyle="1" w:styleId="154">
    <w:name w:val="页脚 字符1"/>
    <w:link w:val="30"/>
    <w:qFormat/>
    <w:uiPriority w:val="99"/>
    <w:rPr>
      <w:kern w:val="2"/>
      <w:sz w:val="18"/>
      <w:szCs w:val="22"/>
    </w:rPr>
  </w:style>
  <w:style w:type="character" w:customStyle="1" w:styleId="155">
    <w:name w:val="正文文本缩进 字符"/>
    <w:link w:val="21"/>
    <w:qFormat/>
    <w:uiPriority w:val="0"/>
    <w:rPr>
      <w:kern w:val="2"/>
      <w:sz w:val="21"/>
      <w:szCs w:val="22"/>
    </w:rPr>
  </w:style>
  <w:style w:type="character" w:customStyle="1" w:styleId="156">
    <w:name w:val="纯文本 Char6"/>
    <w:qFormat/>
    <w:locked/>
    <w:uiPriority w:val="0"/>
    <w:rPr>
      <w:rFonts w:ascii="宋体" w:hAnsi="Courier New" w:cs="宋体"/>
      <w:sz w:val="21"/>
      <w:szCs w:val="21"/>
    </w:rPr>
  </w:style>
  <w:style w:type="character" w:customStyle="1" w:styleId="157">
    <w:name w:val="日期 Char2"/>
    <w:qFormat/>
    <w:locked/>
    <w:uiPriority w:val="0"/>
    <w:rPr>
      <w:rFonts w:ascii="Times New Roman" w:hAnsi="Times New Roman"/>
      <w:sz w:val="21"/>
      <w:szCs w:val="21"/>
    </w:rPr>
  </w:style>
  <w:style w:type="character" w:customStyle="1" w:styleId="158">
    <w:name w:val="批注主题 Char1"/>
    <w:qFormat/>
    <w:uiPriority w:val="0"/>
    <w:rPr>
      <w:b/>
      <w:bCs/>
      <w:kern w:val="2"/>
      <w:sz w:val="21"/>
      <w:szCs w:val="22"/>
    </w:rPr>
  </w:style>
  <w:style w:type="character" w:customStyle="1" w:styleId="159">
    <w:name w:val="批注主题 Char2"/>
    <w:qFormat/>
    <w:locked/>
    <w:uiPriority w:val="0"/>
    <w:rPr>
      <w:rFonts w:ascii="Times New Roman" w:hAnsi="Times New Roman"/>
      <w:b/>
      <w:bCs/>
      <w:kern w:val="2"/>
      <w:sz w:val="24"/>
      <w:szCs w:val="24"/>
    </w:rPr>
  </w:style>
  <w:style w:type="character" w:customStyle="1" w:styleId="160">
    <w:name w:val="正文缩进 Char1"/>
    <w:qFormat/>
    <w:uiPriority w:val="0"/>
    <w:rPr>
      <w:kern w:val="2"/>
      <w:sz w:val="21"/>
      <w:szCs w:val="21"/>
    </w:rPr>
  </w:style>
  <w:style w:type="character" w:customStyle="1" w:styleId="161">
    <w:name w:val="正文文本 Char"/>
    <w:qFormat/>
    <w:uiPriority w:val="0"/>
    <w:rPr>
      <w:rFonts w:ascii="金山简黑体" w:hAnsi="金山简黑体" w:eastAsia="金山简黑体"/>
      <w:b/>
      <w:spacing w:val="-8"/>
      <w:kern w:val="2"/>
      <w:sz w:val="44"/>
    </w:rPr>
  </w:style>
  <w:style w:type="character" w:customStyle="1" w:styleId="162">
    <w:name w:val="未处理的提及1"/>
    <w:unhideWhenUsed/>
    <w:qFormat/>
    <w:uiPriority w:val="99"/>
    <w:rPr>
      <w:color w:val="605E5C"/>
      <w:shd w:val="clear" w:color="auto" w:fill="E1DFDD"/>
    </w:rPr>
  </w:style>
  <w:style w:type="character" w:customStyle="1" w:styleId="163">
    <w:name w:val="纯文本 字符"/>
    <w:qFormat/>
    <w:locked/>
    <w:uiPriority w:val="0"/>
    <w:rPr>
      <w:rFonts w:ascii="宋体" w:hAnsi="Courier New" w:eastAsia="宋体" w:cs="Courier New"/>
      <w:sz w:val="21"/>
      <w:szCs w:val="21"/>
    </w:rPr>
  </w:style>
  <w:style w:type="character" w:customStyle="1" w:styleId="164">
    <w:name w:val="标题 2 Char1"/>
    <w:qFormat/>
    <w:uiPriority w:val="0"/>
    <w:rPr>
      <w:rFonts w:ascii="Times New Roman" w:hAnsi="Times New Roman" w:eastAsia="黑体" w:cs="Times New Roman"/>
      <w:kern w:val="0"/>
      <w:sz w:val="28"/>
      <w:szCs w:val="20"/>
    </w:rPr>
  </w:style>
  <w:style w:type="character" w:customStyle="1" w:styleId="165">
    <w:name w:val="页眉 字符1"/>
    <w:link w:val="31"/>
    <w:qFormat/>
    <w:uiPriority w:val="99"/>
    <w:rPr>
      <w:kern w:val="2"/>
      <w:sz w:val="18"/>
      <w:szCs w:val="22"/>
    </w:rPr>
  </w:style>
  <w:style w:type="character" w:customStyle="1" w:styleId="166">
    <w:name w:val="font01"/>
    <w:qFormat/>
    <w:uiPriority w:val="0"/>
    <w:rPr>
      <w:rFonts w:ascii="仿宋" w:hAnsi="仿宋" w:eastAsia="仿宋" w:cs="仿宋"/>
      <w:color w:val="000000"/>
      <w:sz w:val="20"/>
      <w:szCs w:val="20"/>
      <w:u w:val="none"/>
    </w:rPr>
  </w:style>
  <w:style w:type="character" w:customStyle="1" w:styleId="167">
    <w:name w:val="文档结构图 Char2"/>
    <w:qFormat/>
    <w:uiPriority w:val="0"/>
    <w:rPr>
      <w:rFonts w:ascii="宋体"/>
      <w:kern w:val="2"/>
      <w:sz w:val="18"/>
      <w:szCs w:val="18"/>
    </w:rPr>
  </w:style>
  <w:style w:type="character" w:customStyle="1" w:styleId="168">
    <w:name w:val="share-count"/>
    <w:qFormat/>
    <w:uiPriority w:val="0"/>
  </w:style>
  <w:style w:type="character" w:customStyle="1" w:styleId="169">
    <w:name w:val="标题 1 Char3"/>
    <w:qFormat/>
    <w:uiPriority w:val="0"/>
    <w:rPr>
      <w:b/>
      <w:bCs/>
      <w:kern w:val="44"/>
      <w:sz w:val="44"/>
      <w:szCs w:val="44"/>
    </w:rPr>
  </w:style>
  <w:style w:type="character" w:customStyle="1" w:styleId="170">
    <w:name w:val="批注框文本 Char1"/>
    <w:qFormat/>
    <w:uiPriority w:val="0"/>
    <w:rPr>
      <w:sz w:val="18"/>
      <w:szCs w:val="18"/>
    </w:rPr>
  </w:style>
  <w:style w:type="character" w:customStyle="1" w:styleId="171">
    <w:name w:val="正文文本缩进 2 Char4"/>
    <w:qFormat/>
    <w:locked/>
    <w:uiPriority w:val="0"/>
    <w:rPr>
      <w:rFonts w:ascii="Times New Roman" w:hAnsi="Times New Roman"/>
      <w:sz w:val="21"/>
      <w:szCs w:val="21"/>
    </w:rPr>
  </w:style>
  <w:style w:type="character" w:customStyle="1" w:styleId="172">
    <w:name w:val="批注主题 Char4"/>
    <w:qFormat/>
    <w:locked/>
    <w:uiPriority w:val="0"/>
    <w:rPr>
      <w:rFonts w:ascii="Times New Roman" w:hAnsi="Times New Roman"/>
      <w:b/>
      <w:bCs/>
      <w:kern w:val="2"/>
      <w:sz w:val="24"/>
      <w:szCs w:val="24"/>
    </w:rPr>
  </w:style>
  <w:style w:type="character" w:customStyle="1" w:styleId="173">
    <w:name w:val="批注文字 Char2"/>
    <w:qFormat/>
    <w:uiPriority w:val="0"/>
    <w:rPr>
      <w:kern w:val="2"/>
      <w:sz w:val="21"/>
      <w:szCs w:val="22"/>
    </w:rPr>
  </w:style>
  <w:style w:type="character" w:customStyle="1" w:styleId="174">
    <w:name w:val="标题 1 Char4"/>
    <w:qFormat/>
    <w:uiPriority w:val="0"/>
    <w:rPr>
      <w:rFonts w:ascii="Times New Roman" w:hAnsi="Times New Roman" w:eastAsia="黑体" w:cs="Times New Roman"/>
      <w:kern w:val="44"/>
      <w:sz w:val="28"/>
      <w:szCs w:val="20"/>
    </w:rPr>
  </w:style>
  <w:style w:type="character" w:customStyle="1" w:styleId="175">
    <w:name w:val="标题 Char11"/>
    <w:qFormat/>
    <w:uiPriority w:val="0"/>
    <w:rPr>
      <w:rFonts w:ascii="Cambria" w:hAnsi="Cambria" w:cs="Times New Roman"/>
      <w:b/>
      <w:bCs/>
      <w:kern w:val="2"/>
      <w:sz w:val="32"/>
      <w:szCs w:val="32"/>
    </w:rPr>
  </w:style>
  <w:style w:type="character" w:customStyle="1" w:styleId="176">
    <w:name w:val="标题 Char1"/>
    <w:qFormat/>
    <w:uiPriority w:val="0"/>
    <w:rPr>
      <w:rFonts w:ascii="Cambria" w:hAnsi="Cambria" w:cs="Times New Roman"/>
      <w:b/>
      <w:bCs/>
      <w:kern w:val="2"/>
      <w:sz w:val="32"/>
      <w:szCs w:val="32"/>
    </w:rPr>
  </w:style>
  <w:style w:type="character" w:customStyle="1" w:styleId="177">
    <w:name w:val="日期 Char"/>
    <w:qFormat/>
    <w:uiPriority w:val="0"/>
    <w:rPr>
      <w:kern w:val="2"/>
      <w:sz w:val="21"/>
      <w:szCs w:val="22"/>
    </w:rPr>
  </w:style>
  <w:style w:type="character" w:customStyle="1" w:styleId="178">
    <w:name w:val="文档结构图 Char3"/>
    <w:qFormat/>
    <w:uiPriority w:val="0"/>
    <w:rPr>
      <w:rFonts w:ascii="宋体"/>
      <w:kern w:val="2"/>
      <w:sz w:val="18"/>
      <w:szCs w:val="18"/>
    </w:rPr>
  </w:style>
  <w:style w:type="character" w:customStyle="1" w:styleId="179">
    <w:name w:val="日期 Char1"/>
    <w:qFormat/>
    <w:uiPriority w:val="0"/>
    <w:rPr>
      <w:kern w:val="2"/>
      <w:sz w:val="21"/>
      <w:szCs w:val="22"/>
    </w:rPr>
  </w:style>
  <w:style w:type="character" w:customStyle="1" w:styleId="180">
    <w:name w:val="Title Char"/>
    <w:qFormat/>
    <w:locked/>
    <w:uiPriority w:val="0"/>
    <w:rPr>
      <w:rFonts w:ascii="Cambria" w:hAnsi="Cambria" w:eastAsia="方正小标宋简体" w:cs="Cambria"/>
      <w:b/>
      <w:bCs/>
      <w:kern w:val="2"/>
      <w:sz w:val="32"/>
      <w:szCs w:val="32"/>
    </w:rPr>
  </w:style>
  <w:style w:type="character" w:customStyle="1" w:styleId="181">
    <w:name w:val="正文文本首行缩进 2 字符"/>
    <w:basedOn w:val="155"/>
    <w:link w:val="44"/>
    <w:qFormat/>
    <w:uiPriority w:val="0"/>
    <w:rPr>
      <w:kern w:val="2"/>
      <w:sz w:val="21"/>
      <w:szCs w:val="22"/>
    </w:rPr>
  </w:style>
  <w:style w:type="character" w:customStyle="1" w:styleId="182">
    <w:name w:val="批注文字 Char4"/>
    <w:qFormat/>
    <w:uiPriority w:val="0"/>
    <w:rPr>
      <w:kern w:val="2"/>
      <w:sz w:val="21"/>
      <w:szCs w:val="22"/>
    </w:rPr>
  </w:style>
  <w:style w:type="character" w:customStyle="1" w:styleId="183">
    <w:name w:val="纯文本 Char4"/>
    <w:qFormat/>
    <w:locked/>
    <w:uiPriority w:val="0"/>
    <w:rPr>
      <w:rFonts w:ascii="宋体" w:hAnsi="Courier New" w:cs="宋体"/>
      <w:sz w:val="21"/>
      <w:szCs w:val="21"/>
    </w:rPr>
  </w:style>
  <w:style w:type="character" w:customStyle="1" w:styleId="184">
    <w:name w:val="纯文本 Char3"/>
    <w:qFormat/>
    <w:uiPriority w:val="0"/>
    <w:rPr>
      <w:rFonts w:ascii="宋体" w:hAnsi="Courier New" w:eastAsia="宋体" w:cs="Courier New"/>
      <w:szCs w:val="21"/>
    </w:rPr>
  </w:style>
  <w:style w:type="character" w:customStyle="1" w:styleId="185">
    <w:name w:val="批注主题 字符"/>
    <w:link w:val="42"/>
    <w:qFormat/>
    <w:uiPriority w:val="0"/>
    <w:rPr>
      <w:b/>
      <w:bCs/>
      <w:szCs w:val="21"/>
    </w:rPr>
  </w:style>
  <w:style w:type="character" w:customStyle="1" w:styleId="186">
    <w:name w:val="批注主题 Char"/>
    <w:qFormat/>
    <w:uiPriority w:val="0"/>
    <w:rPr>
      <w:b/>
      <w:bCs/>
      <w:kern w:val="2"/>
      <w:sz w:val="21"/>
      <w:szCs w:val="22"/>
    </w:rPr>
  </w:style>
  <w:style w:type="character" w:customStyle="1" w:styleId="187">
    <w:name w:val="标题 Char5"/>
    <w:qFormat/>
    <w:uiPriority w:val="0"/>
    <w:rPr>
      <w:rFonts w:ascii="Cambria" w:hAnsi="Cambria" w:eastAsia="方正小标宋简体"/>
      <w:b/>
      <w:bCs/>
      <w:kern w:val="2"/>
      <w:sz w:val="32"/>
      <w:szCs w:val="32"/>
    </w:rPr>
  </w:style>
  <w:style w:type="character" w:customStyle="1" w:styleId="188">
    <w:name w:val="文档结构图 Char"/>
    <w:qFormat/>
    <w:uiPriority w:val="0"/>
    <w:rPr>
      <w:rFonts w:ascii="宋体"/>
      <w:kern w:val="2"/>
      <w:sz w:val="18"/>
      <w:szCs w:val="18"/>
    </w:rPr>
  </w:style>
  <w:style w:type="character" w:customStyle="1" w:styleId="189">
    <w:name w:val="普通(网站) 字符"/>
    <w:link w:val="40"/>
    <w:qFormat/>
    <w:uiPriority w:val="0"/>
    <w:rPr>
      <w:rFonts w:ascii="宋体" w:hAnsi="宋体" w:cs="宋体"/>
      <w:sz w:val="24"/>
      <w:szCs w:val="24"/>
    </w:rPr>
  </w:style>
  <w:style w:type="character" w:customStyle="1" w:styleId="190">
    <w:name w:val="collect-text"/>
    <w:qFormat/>
    <w:uiPriority w:val="0"/>
  </w:style>
  <w:style w:type="character" w:customStyle="1" w:styleId="191">
    <w:name w:val="纯文本 Char14"/>
    <w:qFormat/>
    <w:uiPriority w:val="0"/>
    <w:rPr>
      <w:rFonts w:ascii="宋体" w:hAnsi="Courier New" w:cs="Courier New"/>
      <w:kern w:val="2"/>
      <w:sz w:val="21"/>
      <w:szCs w:val="21"/>
    </w:rPr>
  </w:style>
  <w:style w:type="character" w:customStyle="1" w:styleId="192">
    <w:name w:val="日期 字符"/>
    <w:qFormat/>
    <w:uiPriority w:val="0"/>
    <w:rPr>
      <w:rFonts w:ascii="Times New Roman" w:hAnsi="Times New Roman" w:eastAsia="宋体" w:cs="Times New Roman"/>
      <w:sz w:val="24"/>
      <w:szCs w:val="20"/>
    </w:rPr>
  </w:style>
  <w:style w:type="character" w:customStyle="1" w:styleId="193">
    <w:name w:val="文档结构图 Char1"/>
    <w:qFormat/>
    <w:uiPriority w:val="0"/>
    <w:rPr>
      <w:rFonts w:ascii="宋体"/>
      <w:kern w:val="2"/>
      <w:sz w:val="18"/>
      <w:szCs w:val="18"/>
    </w:rPr>
  </w:style>
  <w:style w:type="character" w:customStyle="1" w:styleId="194">
    <w:name w:val="Body Text Indent 2 Char"/>
    <w:qFormat/>
    <w:locked/>
    <w:uiPriority w:val="0"/>
    <w:rPr>
      <w:rFonts w:ascii="Times New Roman" w:hAnsi="Times New Roman" w:cs="Times New Roman"/>
      <w:sz w:val="24"/>
      <w:szCs w:val="24"/>
    </w:rPr>
  </w:style>
  <w:style w:type="character" w:customStyle="1" w:styleId="195">
    <w:name w:val="font11"/>
    <w:qFormat/>
    <w:uiPriority w:val="0"/>
    <w:rPr>
      <w:rFonts w:hint="default" w:ascii="仿宋_GB2312" w:eastAsia="仿宋_GB2312" w:cs="仿宋_GB2312"/>
      <w:color w:val="000000"/>
      <w:sz w:val="20"/>
      <w:szCs w:val="20"/>
      <w:u w:val="none"/>
    </w:rPr>
  </w:style>
  <w:style w:type="character" w:customStyle="1" w:styleId="196">
    <w:name w:val="正文文本缩进 2 Char11"/>
    <w:qFormat/>
    <w:uiPriority w:val="0"/>
    <w:rPr>
      <w:kern w:val="2"/>
      <w:sz w:val="21"/>
      <w:szCs w:val="22"/>
    </w:rPr>
  </w:style>
  <w:style w:type="character" w:customStyle="1" w:styleId="197">
    <w:name w:val="标题 1 字符1"/>
    <w:link w:val="4"/>
    <w:qFormat/>
    <w:uiPriority w:val="0"/>
    <w:rPr>
      <w:rFonts w:eastAsia="方正小标宋_GBK"/>
      <w:bCs/>
      <w:kern w:val="44"/>
      <w:sz w:val="36"/>
      <w:szCs w:val="44"/>
    </w:rPr>
  </w:style>
  <w:style w:type="character" w:customStyle="1" w:styleId="198">
    <w:name w:val="批注文字 字符"/>
    <w:link w:val="18"/>
    <w:qFormat/>
    <w:uiPriority w:val="0"/>
    <w:rPr>
      <w:kern w:val="2"/>
      <w:sz w:val="21"/>
      <w:szCs w:val="24"/>
    </w:rPr>
  </w:style>
  <w:style w:type="character" w:customStyle="1" w:styleId="199">
    <w:name w:val="标题 4 Char1"/>
    <w:qFormat/>
    <w:uiPriority w:val="0"/>
    <w:rPr>
      <w:rFonts w:ascii="Arial" w:hAnsi="Arial" w:eastAsia="黑体" w:cs="Times New Roman"/>
      <w:kern w:val="0"/>
      <w:sz w:val="28"/>
      <w:szCs w:val="20"/>
    </w:rPr>
  </w:style>
  <w:style w:type="paragraph" w:customStyle="1" w:styleId="200">
    <w:name w:val="Bullet"/>
    <w:basedOn w:val="1"/>
    <w:qFormat/>
    <w:uiPriority w:val="0"/>
    <w:pPr>
      <w:widowControl/>
      <w:adjustRightInd w:val="0"/>
      <w:spacing w:before="60" w:after="60" w:line="500" w:lineRule="exact"/>
      <w:ind w:firstLine="551" w:firstLineChars="196"/>
    </w:pPr>
    <w:rPr>
      <w:rFonts w:ascii="宋体" w:hAnsi="宋体" w:cs="宋体"/>
      <w:b/>
      <w:bCs/>
      <w:color w:val="333333"/>
      <w:kern w:val="0"/>
      <w:sz w:val="28"/>
      <w:szCs w:val="28"/>
    </w:rPr>
  </w:style>
  <w:style w:type="paragraph" w:customStyle="1" w:styleId="201">
    <w:name w:val="xl69"/>
    <w:basedOn w:val="1"/>
    <w:qFormat/>
    <w:uiPriority w:val="0"/>
    <w:pPr>
      <w:widowControl/>
      <w:pBdr>
        <w:right w:val="single" w:color="000000" w:sz="8" w:space="0"/>
      </w:pBdr>
      <w:spacing w:before="100" w:beforeAutospacing="1" w:after="100" w:afterAutospacing="1"/>
      <w:jc w:val="left"/>
      <w:textAlignment w:val="center"/>
    </w:pPr>
    <w:rPr>
      <w:rFonts w:ascii="宋体" w:hAnsi="宋体" w:cs="宋体"/>
      <w:kern w:val="0"/>
      <w:szCs w:val="21"/>
    </w:rPr>
  </w:style>
  <w:style w:type="paragraph" w:customStyle="1" w:styleId="202">
    <w:name w:val="无间隔1"/>
    <w:qFormat/>
    <w:uiPriority w:val="0"/>
    <w:rPr>
      <w:rFonts w:ascii="Calibri" w:hAnsi="Calibri" w:eastAsia="宋体" w:cs="Calibri"/>
      <w:kern w:val="2"/>
      <w:sz w:val="22"/>
      <w:szCs w:val="22"/>
      <w:lang w:val="en-US" w:eastAsia="zh-CN" w:bidi="ar-SA"/>
    </w:rPr>
  </w:style>
  <w:style w:type="paragraph" w:customStyle="1" w:styleId="20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04">
    <w:name w:val="InfoBlue"/>
    <w:basedOn w:val="21"/>
    <w:qFormat/>
    <w:uiPriority w:val="0"/>
    <w:pPr>
      <w:widowControl/>
      <w:spacing w:after="0"/>
      <w:ind w:left="720" w:leftChars="0"/>
    </w:pPr>
    <w:rPr>
      <w:i/>
      <w:iCs/>
      <w:color w:val="0000FF"/>
      <w:kern w:val="0"/>
      <w:sz w:val="20"/>
      <w:szCs w:val="24"/>
    </w:rPr>
  </w:style>
  <w:style w:type="paragraph" w:customStyle="1" w:styleId="205">
    <w:name w:val="_Style 1"/>
    <w:basedOn w:val="1"/>
    <w:qFormat/>
    <w:uiPriority w:val="34"/>
    <w:pPr>
      <w:widowControl/>
      <w:ind w:left="720"/>
      <w:jc w:val="left"/>
    </w:pPr>
    <w:rPr>
      <w:rFonts w:cs="Calibri"/>
      <w:kern w:val="0"/>
      <w:sz w:val="22"/>
    </w:rPr>
  </w:style>
  <w:style w:type="paragraph" w:customStyle="1" w:styleId="206">
    <w:name w:val="列项——"/>
    <w:qFormat/>
    <w:uiPriority w:val="0"/>
    <w:pPr>
      <w:widowControl w:val="0"/>
      <w:tabs>
        <w:tab w:val="left" w:pos="854"/>
      </w:tabs>
      <w:ind w:left="840" w:leftChars="200" w:hanging="420" w:hangingChars="200"/>
      <w:jc w:val="both"/>
    </w:pPr>
    <w:rPr>
      <w:rFonts w:ascii="宋体" w:hAnsi="Calibri" w:eastAsia="宋体" w:cs="Times New Roman"/>
      <w:sz w:val="21"/>
      <w:lang w:val="en-US" w:eastAsia="zh-CN" w:bidi="ar-SA"/>
    </w:rPr>
  </w:style>
  <w:style w:type="paragraph" w:customStyle="1" w:styleId="207">
    <w:name w:val="默认段落字体 Para Char Char Char Char"/>
    <w:basedOn w:val="1"/>
    <w:qFormat/>
    <w:uiPriority w:val="0"/>
    <w:rPr>
      <w:szCs w:val="21"/>
    </w:rPr>
  </w:style>
  <w:style w:type="paragraph" w:customStyle="1" w:styleId="208">
    <w:name w:val="无样式"/>
    <w:qFormat/>
    <w:uiPriority w:val="1"/>
    <w:rPr>
      <w:rFonts w:ascii="Calibri" w:hAnsi="Calibri" w:eastAsia="仿宋_GB2312" w:cs="Times New Roman"/>
      <w:kern w:val="2"/>
      <w:sz w:val="28"/>
      <w:szCs w:val="21"/>
      <w:lang w:val="en-US" w:eastAsia="zh-CN" w:bidi="ar-SA"/>
    </w:rPr>
  </w:style>
  <w:style w:type="paragraph" w:customStyle="1" w:styleId="20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10">
    <w:name w:val="xl66"/>
    <w:basedOn w:val="1"/>
    <w:qFormat/>
    <w:uiPriority w:val="0"/>
    <w:pPr>
      <w:widowControl/>
      <w:pBdr>
        <w:left w:val="single" w:color="auto" w:sz="8" w:space="0"/>
      </w:pBdr>
      <w:spacing w:before="100" w:beforeAutospacing="1" w:after="100" w:afterAutospacing="1"/>
      <w:jc w:val="left"/>
      <w:textAlignment w:val="center"/>
    </w:pPr>
    <w:rPr>
      <w:rFonts w:ascii="宋体" w:hAnsi="宋体" w:cs="宋体"/>
      <w:b/>
      <w:bCs/>
      <w:kern w:val="0"/>
      <w:szCs w:val="21"/>
    </w:rPr>
  </w:style>
  <w:style w:type="paragraph" w:customStyle="1" w:styleId="211">
    <w:name w:val="xl94"/>
    <w:basedOn w:val="1"/>
    <w:qFormat/>
    <w:uiPriority w:val="0"/>
    <w:pPr>
      <w:widowControl/>
      <w:pBdr>
        <w:top w:val="single" w:color="auto" w:sz="4" w:space="0"/>
        <w:left w:val="single" w:color="auto" w:sz="4" w:space="0"/>
        <w:bottom w:val="single" w:color="auto" w:sz="4" w:space="0"/>
        <w:right w:val="single" w:color="auto" w:sz="8" w:space="0"/>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12">
    <w:name w:val="正文1"/>
    <w:qFormat/>
    <w:uiPriority w:val="0"/>
    <w:pPr>
      <w:jc w:val="both"/>
    </w:pPr>
    <w:rPr>
      <w:rFonts w:ascii="等线" w:hAnsi="等线" w:eastAsia="宋体" w:cs="宋体"/>
      <w:kern w:val="2"/>
      <w:sz w:val="21"/>
      <w:szCs w:val="21"/>
      <w:lang w:val="en-US" w:eastAsia="zh-CN" w:bidi="ar-SA"/>
    </w:rPr>
  </w:style>
  <w:style w:type="paragraph" w:styleId="213">
    <w:name w:val="List Paragraph"/>
    <w:basedOn w:val="1"/>
    <w:qFormat/>
    <w:uiPriority w:val="34"/>
    <w:pPr>
      <w:widowControl/>
      <w:ind w:left="720"/>
      <w:jc w:val="left"/>
    </w:pPr>
    <w:rPr>
      <w:rFonts w:cs="Calibri"/>
      <w:kern w:val="0"/>
      <w:sz w:val="22"/>
    </w:rPr>
  </w:style>
  <w:style w:type="paragraph" w:customStyle="1" w:styleId="214">
    <w:name w:val="font8"/>
    <w:basedOn w:val="1"/>
    <w:qFormat/>
    <w:uiPriority w:val="0"/>
    <w:pPr>
      <w:widowControl/>
      <w:spacing w:before="100" w:beforeAutospacing="1" w:after="100" w:afterAutospacing="1"/>
      <w:jc w:val="left"/>
    </w:pPr>
    <w:rPr>
      <w:rFonts w:ascii="黑体" w:hAnsi="Arial Unicode MS" w:eastAsia="黑体" w:cs="黑体"/>
      <w:kern w:val="0"/>
      <w:sz w:val="22"/>
    </w:rPr>
  </w:style>
  <w:style w:type="paragraph" w:customStyle="1" w:styleId="215">
    <w:name w:val="二级条标题"/>
    <w:basedOn w:val="216"/>
    <w:next w:val="217"/>
    <w:qFormat/>
    <w:uiPriority w:val="0"/>
    <w:pPr>
      <w:numPr>
        <w:ilvl w:val="2"/>
      </w:numPr>
      <w:outlineLvl w:val="3"/>
    </w:pPr>
  </w:style>
  <w:style w:type="paragraph" w:customStyle="1" w:styleId="216">
    <w:name w:val="一级条标题"/>
    <w:next w:val="217"/>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21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18">
    <w:name w:val="xl9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19">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2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21">
    <w:name w:val="样式1"/>
    <w:basedOn w:val="1"/>
    <w:qFormat/>
    <w:uiPriority w:val="0"/>
    <w:pPr>
      <w:tabs>
        <w:tab w:val="left" w:pos="1674"/>
      </w:tabs>
      <w:adjustRightInd w:val="0"/>
      <w:ind w:left="1674" w:hanging="1125"/>
      <w:textAlignment w:val="baseline"/>
    </w:pPr>
    <w:rPr>
      <w:rFonts w:ascii="宋体" w:hAnsi="宋体" w:cs="宋体"/>
      <w:kern w:val="0"/>
      <w:szCs w:val="21"/>
    </w:rPr>
  </w:style>
  <w:style w:type="paragraph" w:customStyle="1" w:styleId="222">
    <w:name w:val="xl27"/>
    <w:basedOn w:val="1"/>
    <w:qFormat/>
    <w:uiPriority w:val="0"/>
    <w:pPr>
      <w:widowControl/>
      <w:spacing w:before="100" w:beforeAutospacing="1" w:after="100" w:afterAutospacing="1"/>
      <w:jc w:val="center"/>
      <w:textAlignment w:val="center"/>
    </w:pPr>
    <w:rPr>
      <w:rFonts w:ascii="华文细黑" w:hAnsi="华文细黑" w:eastAsia="华文细黑" w:cs="华文细黑"/>
      <w:b/>
      <w:bCs/>
      <w:kern w:val="0"/>
      <w:sz w:val="22"/>
    </w:rPr>
  </w:style>
  <w:style w:type="paragraph" w:customStyle="1" w:styleId="223">
    <w:name w:val="xl70"/>
    <w:basedOn w:val="1"/>
    <w:qFormat/>
    <w:uiPriority w:val="0"/>
    <w:pPr>
      <w:widowControl/>
      <w:pBdr>
        <w:left w:val="single" w:color="auto" w:sz="8" w:space="0"/>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2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26">
    <w:name w:val="Char1 Char Char Char"/>
    <w:basedOn w:val="1"/>
    <w:qFormat/>
    <w:uiPriority w:val="0"/>
    <w:rPr>
      <w:rFonts w:eastAsia="仿宋_GB2312"/>
      <w:sz w:val="28"/>
      <w:szCs w:val="28"/>
    </w:rPr>
  </w:style>
  <w:style w:type="paragraph" w:customStyle="1" w:styleId="2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228">
    <w:name w:val="Char"/>
    <w:basedOn w:val="1"/>
    <w:qFormat/>
    <w:uiPriority w:val="0"/>
    <w:rPr>
      <w:szCs w:val="21"/>
    </w:rPr>
  </w:style>
  <w:style w:type="paragraph" w:customStyle="1" w:styleId="229">
    <w:name w:val="方案正文"/>
    <w:basedOn w:val="1"/>
    <w:qFormat/>
    <w:uiPriority w:val="99"/>
    <w:pPr>
      <w:spacing w:before="156" w:line="360" w:lineRule="auto"/>
      <w:ind w:firstLine="359" w:firstLineChars="171"/>
      <w:jc w:val="left"/>
    </w:pPr>
    <w:rPr>
      <w:rFonts w:cs="Calibri"/>
      <w:sz w:val="24"/>
      <w:szCs w:val="24"/>
    </w:rPr>
  </w:style>
  <w:style w:type="paragraph" w:customStyle="1" w:styleId="230">
    <w:name w:val="_正文段落"/>
    <w:basedOn w:val="1"/>
    <w:qFormat/>
    <w:uiPriority w:val="0"/>
    <w:pPr>
      <w:widowControl/>
      <w:overflowPunct w:val="0"/>
      <w:autoSpaceDE w:val="0"/>
      <w:autoSpaceDN w:val="0"/>
      <w:adjustRightInd w:val="0"/>
      <w:spacing w:beforeLines="15" w:afterLines="15" w:line="360" w:lineRule="auto"/>
      <w:ind w:firstLine="200" w:firstLineChars="200"/>
      <w:textAlignment w:val="baseline"/>
    </w:pPr>
    <w:rPr>
      <w:kern w:val="0"/>
      <w:sz w:val="24"/>
      <w:szCs w:val="20"/>
    </w:rPr>
  </w:style>
  <w:style w:type="paragraph" w:customStyle="1" w:styleId="231">
    <w:name w:val="xl74"/>
    <w:basedOn w:val="1"/>
    <w:qFormat/>
    <w:uiPriority w:val="0"/>
    <w:pPr>
      <w:widowControl/>
      <w:pBdr>
        <w:right w:val="single" w:color="000000" w:sz="8" w:space="0"/>
      </w:pBdr>
      <w:spacing w:before="100" w:beforeAutospacing="1" w:after="100" w:afterAutospacing="1"/>
      <w:jc w:val="left"/>
      <w:textAlignment w:val="center"/>
    </w:pPr>
    <w:rPr>
      <w:rFonts w:ascii="宋体" w:hAnsi="宋体" w:cs="宋体"/>
      <w:b/>
      <w:bCs/>
      <w:kern w:val="0"/>
      <w:szCs w:val="21"/>
    </w:rPr>
  </w:style>
  <w:style w:type="paragraph" w:customStyle="1" w:styleId="232">
    <w:name w:val="列出段落2"/>
    <w:basedOn w:val="1"/>
    <w:qFormat/>
    <w:uiPriority w:val="0"/>
    <w:pPr>
      <w:ind w:firstLine="420" w:firstLineChars="200"/>
    </w:pPr>
    <w:rPr>
      <w:szCs w:val="24"/>
    </w:rPr>
  </w:style>
  <w:style w:type="paragraph" w:customStyle="1" w:styleId="233">
    <w:name w:val="xl86"/>
    <w:basedOn w:val="1"/>
    <w:qFormat/>
    <w:uiPriority w:val="0"/>
    <w:pPr>
      <w:widowControl/>
      <w:shd w:val="clear" w:color="000000" w:fill="F2F2F2"/>
      <w:spacing w:before="100" w:beforeAutospacing="1" w:after="100" w:afterAutospacing="1"/>
      <w:jc w:val="left"/>
    </w:pPr>
    <w:rPr>
      <w:rFonts w:ascii="宋体" w:hAnsi="宋体" w:cs="宋体"/>
      <w:kern w:val="0"/>
      <w:sz w:val="24"/>
    </w:rPr>
  </w:style>
  <w:style w:type="paragraph" w:customStyle="1" w:styleId="234">
    <w:name w:val="xl71"/>
    <w:basedOn w:val="1"/>
    <w:qFormat/>
    <w:uiPriority w:val="0"/>
    <w:pPr>
      <w:widowControl/>
      <w:pBdr>
        <w:bottom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35">
    <w:name w:val="xl99"/>
    <w:basedOn w:val="1"/>
    <w:qFormat/>
    <w:uiPriority w:val="0"/>
    <w:pPr>
      <w:widowControl/>
      <w:pBdr>
        <w:top w:val="single" w:color="auto" w:sz="4" w:space="0"/>
        <w:left w:val="single" w:color="auto" w:sz="4" w:space="0"/>
        <w:bottom w:val="single" w:color="auto" w:sz="8" w:space="0"/>
        <w:right w:val="single" w:color="auto" w:sz="4" w:space="0"/>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236">
    <w:name w:val="法规缩进"/>
    <w:basedOn w:val="1"/>
    <w:qFormat/>
    <w:uiPriority w:val="0"/>
    <w:pPr>
      <w:ind w:firstLine="420"/>
    </w:pPr>
    <w:rPr>
      <w:rFonts w:ascii="Times New Roman" w:hAnsi="Times New Roman"/>
      <w:szCs w:val="20"/>
    </w:rPr>
  </w:style>
  <w:style w:type="paragraph" w:customStyle="1" w:styleId="237">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38">
    <w:name w:val="修订1"/>
    <w:qFormat/>
    <w:uiPriority w:val="0"/>
    <w:rPr>
      <w:rFonts w:ascii="Calibri" w:hAnsi="Calibri" w:eastAsia="宋体" w:cs="Times New Roman"/>
      <w:kern w:val="2"/>
      <w:sz w:val="21"/>
      <w:szCs w:val="21"/>
      <w:lang w:val="en-US" w:eastAsia="zh-CN" w:bidi="ar-SA"/>
    </w:rPr>
  </w:style>
  <w:style w:type="paragraph" w:customStyle="1" w:styleId="239">
    <w:name w:val="列出段落4"/>
    <w:basedOn w:val="1"/>
    <w:qFormat/>
    <w:uiPriority w:val="34"/>
    <w:pPr>
      <w:spacing w:line="360" w:lineRule="auto"/>
      <w:ind w:firstLine="420" w:firstLineChars="200"/>
    </w:pPr>
    <w:rPr>
      <w:rFonts w:cs="黑体"/>
      <w:sz w:val="24"/>
    </w:rPr>
  </w:style>
  <w:style w:type="paragraph" w:customStyle="1" w:styleId="240">
    <w:name w:val="Table Paragraph"/>
    <w:basedOn w:val="1"/>
    <w:qFormat/>
    <w:uiPriority w:val="1"/>
    <w:rPr>
      <w:rFonts w:ascii="黑体" w:hAnsi="黑体" w:eastAsia="黑体" w:cs="黑体"/>
      <w:szCs w:val="24"/>
      <w:lang w:val="zh-CN" w:bidi="zh-CN"/>
    </w:rPr>
  </w:style>
  <w:style w:type="paragraph" w:customStyle="1" w:styleId="24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2">
    <w:name w:val="TOC 标题1"/>
    <w:basedOn w:val="4"/>
    <w:next w:val="1"/>
    <w:qFormat/>
    <w:uiPriority w:val="0"/>
    <w:pPr>
      <w:widowControl/>
      <w:spacing w:before="480" w:after="0" w:line="276" w:lineRule="auto"/>
      <w:jc w:val="left"/>
      <w:outlineLvl w:val="9"/>
    </w:pPr>
    <w:rPr>
      <w:rFonts w:ascii="Cambria" w:hAnsi="Cambria" w:eastAsia="宋体"/>
      <w:b/>
      <w:color w:val="365F91"/>
      <w:kern w:val="0"/>
      <w:sz w:val="28"/>
      <w:szCs w:val="28"/>
    </w:rPr>
  </w:style>
  <w:style w:type="paragraph" w:customStyle="1" w:styleId="243">
    <w:name w:val="xl91"/>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44">
    <w:name w:val="xl72"/>
    <w:basedOn w:val="1"/>
    <w:qFormat/>
    <w:uiPriority w:val="0"/>
    <w:pPr>
      <w:widowControl/>
      <w:pBdr>
        <w:bottom w:val="single" w:color="auto" w:sz="8" w:space="0"/>
        <w:right w:val="single" w:color="000000" w:sz="8" w:space="0"/>
      </w:pBdr>
      <w:spacing w:before="100" w:beforeAutospacing="1" w:after="100" w:afterAutospacing="1"/>
      <w:jc w:val="left"/>
      <w:textAlignment w:val="center"/>
    </w:pPr>
    <w:rPr>
      <w:rFonts w:ascii="宋体" w:hAnsi="宋体" w:cs="宋体"/>
      <w:kern w:val="0"/>
      <w:szCs w:val="21"/>
    </w:rPr>
  </w:style>
  <w:style w:type="paragraph" w:customStyle="1" w:styleId="245">
    <w:name w:val="三级条标题"/>
    <w:basedOn w:val="215"/>
    <w:next w:val="217"/>
    <w:qFormat/>
    <w:uiPriority w:val="0"/>
    <w:pPr>
      <w:numPr>
        <w:ilvl w:val="3"/>
      </w:numPr>
      <w:ind w:left="0"/>
      <w:outlineLvl w:val="4"/>
    </w:pPr>
    <w:rPr>
      <w:bCs/>
      <w:szCs w:val="32"/>
    </w:rPr>
  </w:style>
  <w:style w:type="paragraph" w:customStyle="1" w:styleId="246">
    <w:name w:val="A-04-2级标题"/>
    <w:basedOn w:val="1"/>
    <w:qFormat/>
    <w:uiPriority w:val="0"/>
    <w:pPr>
      <w:numPr>
        <w:ilvl w:val="1"/>
        <w:numId w:val="2"/>
      </w:numPr>
      <w:spacing w:beforeLines="100" w:afterLines="100"/>
      <w:outlineLvl w:val="1"/>
    </w:pPr>
    <w:rPr>
      <w:rFonts w:eastAsia="黑体"/>
      <w:sz w:val="32"/>
    </w:rPr>
  </w:style>
  <w:style w:type="paragraph" w:customStyle="1" w:styleId="24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2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49">
    <w:name w:val="xl33"/>
    <w:basedOn w:val="1"/>
    <w:qFormat/>
    <w:uiPriority w:val="0"/>
    <w:pPr>
      <w:widowControl/>
      <w:spacing w:before="100" w:beforeAutospacing="1" w:after="100" w:afterAutospacing="1"/>
      <w:jc w:val="center"/>
      <w:textAlignment w:val="center"/>
    </w:pPr>
    <w:rPr>
      <w:rFonts w:ascii="黑体" w:hAnsi="Arial Unicode MS" w:eastAsia="黑体" w:cs="黑体"/>
      <w:kern w:val="0"/>
      <w:sz w:val="22"/>
    </w:rPr>
  </w:style>
  <w:style w:type="paragraph" w:customStyle="1" w:styleId="250">
    <w:name w:val="样式 标题 3h3Level 3 HeadH3Heading 3 - oldlevel_3PIM 3BOD 0s..."/>
    <w:basedOn w:val="6"/>
    <w:qFormat/>
    <w:uiPriority w:val="0"/>
    <w:pPr>
      <w:tabs>
        <w:tab w:val="left" w:pos="0"/>
        <w:tab w:val="left" w:pos="1080"/>
      </w:tabs>
      <w:adjustRightInd w:val="0"/>
      <w:spacing w:before="0" w:after="0" w:line="500" w:lineRule="exact"/>
      <w:ind w:left="1080" w:hanging="720"/>
      <w:textAlignment w:val="baseline"/>
    </w:pPr>
    <w:rPr>
      <w:b w:val="0"/>
      <w:kern w:val="0"/>
      <w:sz w:val="28"/>
      <w:szCs w:val="28"/>
    </w:rPr>
  </w:style>
  <w:style w:type="paragraph" w:customStyle="1" w:styleId="251">
    <w:name w:val="需求正文"/>
    <w:basedOn w:val="1"/>
    <w:qFormat/>
    <w:uiPriority w:val="0"/>
    <w:pPr>
      <w:ind w:firstLine="420"/>
    </w:pPr>
    <w:rPr>
      <w:rFonts w:ascii="Arial" w:hAnsi="Arial" w:cs="Arial"/>
      <w:kern w:val="0"/>
      <w:sz w:val="20"/>
      <w:szCs w:val="20"/>
    </w:rPr>
  </w:style>
  <w:style w:type="paragraph" w:customStyle="1" w:styleId="2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53">
    <w:name w:val="xl90"/>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254">
    <w:name w:val="style399"/>
    <w:basedOn w:val="1"/>
    <w:qFormat/>
    <w:uiPriority w:val="39"/>
    <w:pPr>
      <w:widowControl/>
      <w:spacing w:before="100" w:beforeAutospacing="1" w:after="100" w:afterAutospacing="1"/>
      <w:jc w:val="left"/>
    </w:pPr>
    <w:rPr>
      <w:rFonts w:ascii="宋体" w:hAnsi="宋体" w:cs="宋体"/>
      <w:kern w:val="0"/>
      <w:sz w:val="24"/>
      <w:szCs w:val="24"/>
    </w:rPr>
  </w:style>
  <w:style w:type="paragraph" w:customStyle="1" w:styleId="255">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6">
    <w:name w:val="xl73"/>
    <w:basedOn w:val="1"/>
    <w:qFormat/>
    <w:uiPriority w:val="0"/>
    <w:pPr>
      <w:widowControl/>
      <w:spacing w:before="100" w:beforeAutospacing="1" w:after="100" w:afterAutospacing="1"/>
      <w:jc w:val="left"/>
      <w:textAlignment w:val="center"/>
    </w:pPr>
    <w:rPr>
      <w:rFonts w:ascii="宋体" w:hAnsi="宋体" w:cs="宋体"/>
      <w:b/>
      <w:bCs/>
      <w:kern w:val="0"/>
      <w:szCs w:val="21"/>
    </w:rPr>
  </w:style>
  <w:style w:type="paragraph" w:customStyle="1" w:styleId="2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258">
    <w:name w:val="style205"/>
    <w:basedOn w:val="1"/>
    <w:qFormat/>
    <w:uiPriority w:val="39"/>
    <w:pPr>
      <w:widowControl/>
      <w:spacing w:before="100" w:beforeAutospacing="1" w:after="100" w:afterAutospacing="1"/>
      <w:jc w:val="left"/>
    </w:pPr>
    <w:rPr>
      <w:rFonts w:ascii="宋体" w:hAnsi="宋体" w:cs="宋体"/>
      <w:kern w:val="0"/>
      <w:sz w:val="24"/>
      <w:szCs w:val="24"/>
    </w:rPr>
  </w:style>
  <w:style w:type="paragraph" w:customStyle="1" w:styleId="25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0">
    <w:name w:val="font6"/>
    <w:basedOn w:val="1"/>
    <w:qFormat/>
    <w:uiPriority w:val="0"/>
    <w:pPr>
      <w:widowControl/>
      <w:spacing w:before="100" w:beforeAutospacing="1" w:after="100" w:afterAutospacing="1"/>
      <w:jc w:val="left"/>
    </w:pPr>
    <w:rPr>
      <w:kern w:val="0"/>
      <w:szCs w:val="21"/>
    </w:rPr>
  </w:style>
  <w:style w:type="paragraph" w:customStyle="1" w:styleId="261">
    <w:name w:val="xl93"/>
    <w:basedOn w:val="1"/>
    <w:qFormat/>
    <w:uiPriority w:val="0"/>
    <w:pPr>
      <w:widowControl/>
      <w:pBdr>
        <w:top w:val="single" w:color="auto" w:sz="4" w:space="0"/>
        <w:left w:val="single" w:color="auto" w:sz="8" w:space="0"/>
        <w:bottom w:val="single" w:color="auto" w:sz="4" w:space="0"/>
        <w:right w:val="single" w:color="auto" w:sz="4" w:space="0"/>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262">
    <w:name w:val="xl9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63">
    <w:name w:val="正文内容"/>
    <w:qFormat/>
    <w:uiPriority w:val="0"/>
    <w:pPr>
      <w:spacing w:line="360" w:lineRule="auto"/>
      <w:ind w:firstLine="200" w:firstLineChars="200"/>
    </w:pPr>
    <w:rPr>
      <w:rFonts w:ascii="Calibri" w:hAnsi="Calibri" w:eastAsia="宋体" w:cs="宋体"/>
      <w:kern w:val="2"/>
      <w:sz w:val="24"/>
      <w:lang w:val="en-US" w:eastAsia="zh-CN" w:bidi="ar-SA"/>
    </w:rPr>
  </w:style>
  <w:style w:type="paragraph" w:customStyle="1" w:styleId="264">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列出段落12"/>
    <w:basedOn w:val="1"/>
    <w:qFormat/>
    <w:uiPriority w:val="0"/>
    <w:pPr>
      <w:widowControl/>
      <w:overflowPunct w:val="0"/>
      <w:autoSpaceDE w:val="0"/>
      <w:autoSpaceDN w:val="0"/>
      <w:adjustRightInd w:val="0"/>
      <w:spacing w:line="300" w:lineRule="auto"/>
      <w:ind w:firstLine="420" w:firstLineChars="200"/>
      <w:textAlignment w:val="baseline"/>
    </w:pPr>
    <w:rPr>
      <w:rFonts w:ascii="Arial" w:hAnsi="Arial"/>
      <w:kern w:val="0"/>
      <w:sz w:val="18"/>
      <w:szCs w:val="20"/>
    </w:rPr>
  </w:style>
  <w:style w:type="paragraph" w:customStyle="1" w:styleId="266">
    <w:name w:val="xl84"/>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267">
    <w:name w:val="xl87"/>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268">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69">
    <w:name w:val="修订2"/>
    <w:qFormat/>
    <w:uiPriority w:val="0"/>
    <w:rPr>
      <w:rFonts w:ascii="Calibri" w:hAnsi="Calibri" w:eastAsia="宋体" w:cs="Times New Roman"/>
      <w:kern w:val="2"/>
      <w:sz w:val="21"/>
      <w:szCs w:val="21"/>
      <w:lang w:val="en-US" w:eastAsia="zh-CN" w:bidi="ar-SA"/>
    </w:rPr>
  </w:style>
  <w:style w:type="paragraph" w:customStyle="1" w:styleId="270">
    <w:name w:val="正文360首行缩进"/>
    <w:basedOn w:val="1"/>
    <w:qFormat/>
    <w:uiPriority w:val="0"/>
    <w:pPr>
      <w:widowControl/>
      <w:overflowPunct w:val="0"/>
      <w:autoSpaceDE w:val="0"/>
      <w:autoSpaceDN w:val="0"/>
      <w:adjustRightInd w:val="0"/>
      <w:spacing w:after="50" w:line="300" w:lineRule="auto"/>
      <w:ind w:firstLine="200" w:firstLineChars="200"/>
      <w:jc w:val="left"/>
      <w:textAlignment w:val="baseline"/>
    </w:pPr>
    <w:rPr>
      <w:rFonts w:ascii="Arial" w:hAnsi="Arial"/>
      <w:kern w:val="0"/>
      <w:szCs w:val="21"/>
    </w:rPr>
  </w:style>
  <w:style w:type="paragraph" w:customStyle="1" w:styleId="271">
    <w:name w:val="xl101"/>
    <w:basedOn w:val="1"/>
    <w:qFormat/>
    <w:uiPriority w:val="0"/>
    <w:pPr>
      <w:widowControl/>
      <w:pBdr>
        <w:top w:val="single" w:color="auto" w:sz="4" w:space="0"/>
        <w:left w:val="single" w:color="auto" w:sz="4" w:space="0"/>
        <w:bottom w:val="single" w:color="auto" w:sz="8" w:space="0"/>
        <w:right w:val="single" w:color="auto" w:sz="4" w:space="0"/>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272">
    <w:name w:val="xl100"/>
    <w:basedOn w:val="1"/>
    <w:qFormat/>
    <w:uiPriority w:val="0"/>
    <w:pPr>
      <w:widowControl/>
      <w:pBdr>
        <w:top w:val="single" w:color="auto" w:sz="4" w:space="0"/>
        <w:left w:val="single" w:color="auto" w:sz="4" w:space="0"/>
        <w:bottom w:val="single" w:color="auto" w:sz="8" w:space="0"/>
        <w:right w:val="single" w:color="auto" w:sz="4" w:space="0"/>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73">
    <w:name w:val="默认段落字体 Para Char Char Char Char Char Char Char Char Char Char"/>
    <w:basedOn w:val="1"/>
    <w:qFormat/>
    <w:uiPriority w:val="0"/>
    <w:rPr>
      <w:rFonts w:ascii="Tahoma" w:hAnsi="Tahoma" w:cs="Tahoma"/>
      <w:sz w:val="24"/>
    </w:rPr>
  </w:style>
  <w:style w:type="paragraph" w:customStyle="1" w:styleId="274">
    <w:name w:val="法规标题"/>
    <w:basedOn w:val="25"/>
    <w:qFormat/>
    <w:uiPriority w:val="0"/>
    <w:pPr>
      <w:ind w:left="851" w:right="851"/>
      <w:jc w:val="center"/>
    </w:pPr>
    <w:rPr>
      <w:rFonts w:ascii="Times New Roman" w:hAnsi="Times New Roman" w:eastAsia="黑体"/>
      <w:szCs w:val="20"/>
    </w:rPr>
  </w:style>
  <w:style w:type="paragraph" w:customStyle="1" w:styleId="275">
    <w:name w:val="Char Char1 Char Char Char Char Char 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76">
    <w:name w:val="xl68"/>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277">
    <w:name w:val="Default"/>
    <w:qFormat/>
    <w:uiPriority w:val="0"/>
    <w:pPr>
      <w:widowControl w:val="0"/>
      <w:autoSpaceDE w:val="0"/>
      <w:autoSpaceDN w:val="0"/>
      <w:adjustRightInd w:val="0"/>
    </w:pPr>
    <w:rPr>
      <w:rFonts w:ascii="宋体" w:hAnsi="Calibri" w:eastAsia="宋体" w:cs="宋体"/>
      <w:color w:val="000000"/>
      <w:position w:val="6"/>
      <w:sz w:val="24"/>
      <w:szCs w:val="24"/>
      <w:lang w:val="en-US" w:eastAsia="zh-CN" w:bidi="ar-SA"/>
    </w:rPr>
  </w:style>
  <w:style w:type="paragraph" w:customStyle="1" w:styleId="278">
    <w:name w:val="xl98"/>
    <w:basedOn w:val="1"/>
    <w:qFormat/>
    <w:uiPriority w:val="0"/>
    <w:pPr>
      <w:widowControl/>
      <w:pBdr>
        <w:top w:val="single" w:color="auto" w:sz="4" w:space="0"/>
        <w:left w:val="single" w:color="auto" w:sz="8" w:space="0"/>
        <w:bottom w:val="single" w:color="auto" w:sz="8" w:space="0"/>
        <w:right w:val="single" w:color="auto" w:sz="4" w:space="0"/>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27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80">
    <w:name w:val="纯文本1"/>
    <w:basedOn w:val="1"/>
    <w:qFormat/>
    <w:uiPriority w:val="0"/>
    <w:rPr>
      <w:rFonts w:ascii="宋体" w:hAnsi="Courier New" w:cs="Courier New"/>
      <w:szCs w:val="21"/>
    </w:rPr>
  </w:style>
  <w:style w:type="paragraph" w:customStyle="1" w:styleId="281">
    <w:name w:val="List Paragraph1"/>
    <w:basedOn w:val="1"/>
    <w:qFormat/>
    <w:uiPriority w:val="0"/>
    <w:pPr>
      <w:ind w:firstLine="420" w:firstLineChars="200"/>
    </w:pPr>
  </w:style>
  <w:style w:type="paragraph" w:customStyle="1" w:styleId="282">
    <w:name w:val="xl102"/>
    <w:basedOn w:val="1"/>
    <w:qFormat/>
    <w:uiPriority w:val="0"/>
    <w:pPr>
      <w:widowControl/>
      <w:pBdr>
        <w:top w:val="single" w:color="auto" w:sz="4" w:space="0"/>
        <w:left w:val="single" w:color="auto" w:sz="4" w:space="0"/>
        <w:bottom w:val="single" w:color="auto" w:sz="8" w:space="0"/>
        <w:right w:val="single" w:color="auto" w:sz="8" w:space="0"/>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83">
    <w:name w:val="列出段落3"/>
    <w:basedOn w:val="1"/>
    <w:qFormat/>
    <w:uiPriority w:val="0"/>
    <w:pPr>
      <w:ind w:firstLine="420" w:firstLineChars="200"/>
    </w:pPr>
  </w:style>
  <w:style w:type="paragraph" w:customStyle="1" w:styleId="284">
    <w:name w:val="TOC 标题11"/>
    <w:basedOn w:val="4"/>
    <w:next w:val="1"/>
    <w:qFormat/>
    <w:uiPriority w:val="0"/>
    <w:pPr>
      <w:widowControl/>
      <w:spacing w:before="480" w:after="0" w:line="276" w:lineRule="auto"/>
      <w:jc w:val="left"/>
      <w:outlineLvl w:val="9"/>
    </w:pPr>
    <w:rPr>
      <w:rFonts w:ascii="Cambria" w:hAnsi="Cambria" w:eastAsia="宋体" w:cs="Cambria"/>
      <w:b/>
      <w:color w:val="365F91"/>
      <w:kern w:val="0"/>
      <w:sz w:val="28"/>
      <w:szCs w:val="28"/>
    </w:rPr>
  </w:style>
  <w:style w:type="paragraph" w:customStyle="1" w:styleId="285">
    <w:name w:val="公告正文"/>
    <w:basedOn w:val="1"/>
    <w:qFormat/>
    <w:uiPriority w:val="0"/>
    <w:pPr>
      <w:widowControl/>
      <w:overflowPunct w:val="0"/>
      <w:autoSpaceDE w:val="0"/>
      <w:autoSpaceDN w:val="0"/>
      <w:adjustRightInd w:val="0"/>
      <w:spacing w:line="300" w:lineRule="exact"/>
      <w:textAlignment w:val="baseline"/>
    </w:pPr>
    <w:rPr>
      <w:rFonts w:ascii="宋体" w:hAnsi="Times New Roman"/>
      <w:kern w:val="0"/>
      <w:szCs w:val="20"/>
    </w:rPr>
  </w:style>
  <w:style w:type="paragraph" w:customStyle="1" w:styleId="286">
    <w:name w:val="xl67"/>
    <w:basedOn w:val="1"/>
    <w:qFormat/>
    <w:uiPriority w:val="0"/>
    <w:pPr>
      <w:widowControl/>
      <w:pBdr>
        <w:lef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8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Cs w:val="21"/>
    </w:rPr>
  </w:style>
  <w:style w:type="paragraph" w:customStyle="1" w:styleId="288">
    <w:name w:val="xl81"/>
    <w:basedOn w:val="1"/>
    <w:qFormat/>
    <w:uiPriority w:val="0"/>
    <w:pPr>
      <w:widowControl/>
      <w:spacing w:before="100" w:beforeAutospacing="1" w:after="100" w:afterAutospacing="1"/>
      <w:jc w:val="left"/>
    </w:pPr>
    <w:rPr>
      <w:rFonts w:ascii="宋体" w:hAnsi="宋体" w:cs="宋体"/>
      <w:kern w:val="0"/>
      <w:szCs w:val="21"/>
    </w:rPr>
  </w:style>
  <w:style w:type="character" w:customStyle="1" w:styleId="289">
    <w:name w:val="标题 7 字符"/>
    <w:basedOn w:val="47"/>
    <w:link w:val="10"/>
    <w:qFormat/>
    <w:uiPriority w:val="0"/>
    <w:rPr>
      <w:rFonts w:ascii="Calibri" w:hAnsi="Calibri"/>
      <w:b/>
      <w:kern w:val="2"/>
      <w:sz w:val="24"/>
      <w:szCs w:val="24"/>
    </w:rPr>
  </w:style>
  <w:style w:type="character" w:customStyle="1" w:styleId="290">
    <w:name w:val="标题 8 字符"/>
    <w:basedOn w:val="47"/>
    <w:link w:val="11"/>
    <w:qFormat/>
    <w:uiPriority w:val="0"/>
    <w:rPr>
      <w:rFonts w:ascii="Arial" w:hAnsi="Arial" w:eastAsia="黑体"/>
      <w:kern w:val="2"/>
      <w:sz w:val="24"/>
      <w:szCs w:val="24"/>
    </w:rPr>
  </w:style>
  <w:style w:type="character" w:customStyle="1" w:styleId="291">
    <w:name w:val="正文加粗首行缩进2字符 Char"/>
    <w:qFormat/>
    <w:uiPriority w:val="0"/>
    <w:rPr>
      <w:b/>
      <w:kern w:val="2"/>
      <w:sz w:val="24"/>
      <w:szCs w:val="22"/>
    </w:rPr>
  </w:style>
  <w:style w:type="character" w:customStyle="1" w:styleId="292">
    <w:name w:val="页眉 字符"/>
    <w:qFormat/>
    <w:uiPriority w:val="99"/>
    <w:rPr>
      <w:kern w:val="2"/>
      <w:sz w:val="18"/>
      <w:szCs w:val="18"/>
    </w:rPr>
  </w:style>
  <w:style w:type="character" w:customStyle="1" w:styleId="293">
    <w:name w:val="标题 5 字符"/>
    <w:link w:val="8"/>
    <w:qFormat/>
    <w:uiPriority w:val="0"/>
    <w:rPr>
      <w:rFonts w:ascii="Calibri" w:hAnsi="Calibri"/>
      <w:b/>
      <w:bCs/>
      <w:kern w:val="2"/>
      <w:sz w:val="24"/>
      <w:szCs w:val="28"/>
    </w:rPr>
  </w:style>
  <w:style w:type="paragraph" w:customStyle="1" w:styleId="294">
    <w:name w:val="_Style 289"/>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95">
    <w:name w:val="批注框文本 字符"/>
    <w:qFormat/>
    <w:uiPriority w:val="99"/>
    <w:rPr>
      <w:kern w:val="2"/>
      <w:sz w:val="18"/>
      <w:szCs w:val="18"/>
    </w:rPr>
  </w:style>
  <w:style w:type="character" w:customStyle="1" w:styleId="296">
    <w:name w:val="标题 9 字符"/>
    <w:link w:val="12"/>
    <w:qFormat/>
    <w:uiPriority w:val="0"/>
    <w:rPr>
      <w:rFonts w:ascii="Arial" w:hAnsi="Arial" w:eastAsia="黑体"/>
      <w:kern w:val="2"/>
      <w:sz w:val="21"/>
      <w:szCs w:val="22"/>
    </w:rPr>
  </w:style>
  <w:style w:type="character" w:customStyle="1" w:styleId="297">
    <w:name w:val="HTML 预设格式 Char"/>
    <w:qFormat/>
    <w:uiPriority w:val="0"/>
    <w:rPr>
      <w:rFonts w:ascii="Courier New" w:hAnsi="Courier New"/>
      <w:kern w:val="2"/>
      <w:szCs w:val="24"/>
    </w:rPr>
  </w:style>
  <w:style w:type="character" w:customStyle="1" w:styleId="298">
    <w:name w:val="纯文本 字符1"/>
    <w:qFormat/>
    <w:uiPriority w:val="0"/>
    <w:rPr>
      <w:rFonts w:ascii="宋体" w:hAnsi="Courier New" w:cs="Courier New"/>
      <w:kern w:val="2"/>
      <w:sz w:val="21"/>
      <w:szCs w:val="21"/>
    </w:rPr>
  </w:style>
  <w:style w:type="character" w:customStyle="1" w:styleId="299">
    <w:name w:val="列出段落 Char"/>
    <w:qFormat/>
    <w:uiPriority w:val="0"/>
    <w:rPr>
      <w:rFonts w:hint="default" w:ascii="Calibri" w:hAnsi="Calibri" w:cs="Calibri"/>
      <w:kern w:val="2"/>
      <w:sz w:val="21"/>
      <w:szCs w:val="22"/>
    </w:rPr>
  </w:style>
  <w:style w:type="character" w:customStyle="1" w:styleId="300">
    <w:name w:val="标题 4 字符"/>
    <w:qFormat/>
    <w:uiPriority w:val="9"/>
    <w:rPr>
      <w:rFonts w:ascii="等线 Light" w:hAnsi="等线 Light" w:eastAsia="等线 Light" w:cs="Times New Roman"/>
      <w:b/>
      <w:bCs/>
      <w:kern w:val="2"/>
      <w:sz w:val="28"/>
      <w:szCs w:val="28"/>
    </w:rPr>
  </w:style>
  <w:style w:type="character" w:customStyle="1" w:styleId="301">
    <w:name w:val="正文加粗无缩进 Char"/>
    <w:qFormat/>
    <w:uiPriority w:val="0"/>
    <w:rPr>
      <w:b/>
      <w:kern w:val="2"/>
      <w:sz w:val="24"/>
      <w:szCs w:val="22"/>
    </w:rPr>
  </w:style>
  <w:style w:type="character" w:customStyle="1" w:styleId="302">
    <w:name w:val="标题 3 字符"/>
    <w:qFormat/>
    <w:uiPriority w:val="9"/>
    <w:rPr>
      <w:b/>
      <w:bCs/>
      <w:kern w:val="2"/>
      <w:sz w:val="32"/>
      <w:szCs w:val="32"/>
    </w:rPr>
  </w:style>
  <w:style w:type="character" w:customStyle="1" w:styleId="303">
    <w:name w:val="正文文本缩进 Char1"/>
    <w:qFormat/>
    <w:uiPriority w:val="0"/>
    <w:rPr>
      <w:kern w:val="2"/>
      <w:sz w:val="21"/>
      <w:szCs w:val="24"/>
    </w:rPr>
  </w:style>
  <w:style w:type="character" w:customStyle="1" w:styleId="304">
    <w:name w:val="HTML 预设格式 Char1"/>
    <w:qFormat/>
    <w:uiPriority w:val="0"/>
    <w:rPr>
      <w:rFonts w:hint="default" w:ascii="Courier New" w:hAnsi="Courier New" w:cs="Courier New"/>
      <w:kern w:val="2"/>
    </w:rPr>
  </w:style>
  <w:style w:type="character" w:customStyle="1" w:styleId="305">
    <w:name w:val="标题 2 字符"/>
    <w:qFormat/>
    <w:uiPriority w:val="9"/>
    <w:rPr>
      <w:rFonts w:ascii="等线 Light" w:hAnsi="等线 Light" w:eastAsia="等线 Light" w:cs="Times New Roman"/>
      <w:b/>
      <w:bCs/>
      <w:kern w:val="2"/>
      <w:sz w:val="32"/>
      <w:szCs w:val="32"/>
    </w:rPr>
  </w:style>
  <w:style w:type="character" w:customStyle="1" w:styleId="306">
    <w:name w:val="Char4"/>
    <w:qFormat/>
    <w:uiPriority w:val="0"/>
    <w:rPr>
      <w:rFonts w:hint="eastAsia" w:ascii="宋体" w:hAnsi="宋体" w:eastAsia="宋体" w:cs="宋体"/>
    </w:rPr>
  </w:style>
  <w:style w:type="character" w:customStyle="1" w:styleId="307">
    <w:name w:val="msobooktitle"/>
    <w:qFormat/>
    <w:uiPriority w:val="0"/>
    <w:rPr>
      <w:b/>
      <w:i/>
      <w:spacing w:val="5"/>
    </w:rPr>
  </w:style>
  <w:style w:type="character" w:customStyle="1" w:styleId="308">
    <w:name w:val="HTML 预设格式 字符"/>
    <w:basedOn w:val="47"/>
    <w:link w:val="39"/>
    <w:semiHidden/>
    <w:qFormat/>
    <w:uiPriority w:val="0"/>
    <w:rPr>
      <w:rFonts w:ascii="Courier New" w:hAnsi="Courier New" w:cs="Courier New"/>
      <w:kern w:val="2"/>
    </w:rPr>
  </w:style>
  <w:style w:type="paragraph" w:customStyle="1" w:styleId="309">
    <w:name w:val="msolistparagraph"/>
    <w:basedOn w:val="1"/>
    <w:qFormat/>
    <w:uiPriority w:val="0"/>
    <w:pPr>
      <w:ind w:firstLine="420" w:firstLineChars="200"/>
    </w:pPr>
  </w:style>
  <w:style w:type="paragraph" w:customStyle="1" w:styleId="310">
    <w:name w:val="标题 31"/>
    <w:basedOn w:val="1"/>
    <w:qFormat/>
    <w:uiPriority w:val="0"/>
    <w:pPr>
      <w:tabs>
        <w:tab w:val="left" w:pos="425"/>
        <w:tab w:val="left" w:pos="1756"/>
      </w:tabs>
      <w:ind w:left="425" w:hanging="425"/>
    </w:pPr>
    <w:rPr>
      <w:szCs w:val="24"/>
    </w:rPr>
  </w:style>
  <w:style w:type="paragraph" w:customStyle="1" w:styleId="311">
    <w:name w:val="TOC 标题2"/>
    <w:basedOn w:val="4"/>
    <w:next w:val="1"/>
    <w:qFormat/>
    <w:uiPriority w:val="39"/>
    <w:pPr>
      <w:widowControl/>
      <w:spacing w:before="480" w:after="0" w:line="276" w:lineRule="auto"/>
      <w:jc w:val="left"/>
      <w:outlineLvl w:val="9"/>
    </w:pPr>
    <w:rPr>
      <w:rFonts w:ascii="Cambria" w:hAnsi="Cambria" w:eastAsia="宋体"/>
      <w:b/>
      <w:color w:val="365F91"/>
      <w:kern w:val="0"/>
      <w:sz w:val="28"/>
      <w:szCs w:val="28"/>
    </w:rPr>
  </w:style>
  <w:style w:type="paragraph" w:customStyle="1" w:styleId="312">
    <w:name w:val="TOC 标题3"/>
    <w:basedOn w:val="4"/>
    <w:next w:val="1"/>
    <w:qFormat/>
    <w:uiPriority w:val="39"/>
    <w:pPr>
      <w:widowControl/>
      <w:spacing w:before="480" w:after="0" w:line="276" w:lineRule="auto"/>
      <w:jc w:val="left"/>
      <w:outlineLvl w:val="9"/>
    </w:pPr>
    <w:rPr>
      <w:rFonts w:ascii="Cambria" w:hAnsi="Cambria" w:eastAsia="宋体"/>
      <w:b/>
      <w:color w:val="365F91"/>
      <w:kern w:val="0"/>
      <w:sz w:val="28"/>
      <w:szCs w:val="28"/>
    </w:rPr>
  </w:style>
  <w:style w:type="paragraph" w:customStyle="1" w:styleId="313">
    <w:name w:val="_Style 310"/>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4">
    <w:name w:val="列出段落11"/>
    <w:basedOn w:val="1"/>
    <w:qFormat/>
    <w:uiPriority w:val="0"/>
    <w:pPr>
      <w:ind w:firstLine="420" w:firstLineChars="200"/>
    </w:pPr>
    <w:rPr>
      <w:rFonts w:ascii="Times New Roman" w:hAnsi="Times New Roman"/>
      <w:szCs w:val="21"/>
    </w:rPr>
  </w:style>
  <w:style w:type="paragraph" w:customStyle="1" w:styleId="315">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316">
    <w:name w:val="宏文本 字符"/>
    <w:basedOn w:val="47"/>
    <w:link w:val="3"/>
    <w:semiHidden/>
    <w:qFormat/>
    <w:uiPriority w:val="0"/>
    <w:rPr>
      <w:rFonts w:ascii="Times New Roman" w:hAnsi="Times New Roman" w:eastAsia="宋体" w:cs="Times New Roman"/>
    </w:rPr>
  </w:style>
  <w:style w:type="character" w:customStyle="1" w:styleId="317">
    <w:name w:val="正文文本 3 字符"/>
    <w:basedOn w:val="47"/>
    <w:link w:val="19"/>
    <w:uiPriority w:val="0"/>
    <w:rPr>
      <w:rFonts w:ascii="宋体" w:hAnsi="Calibri" w:eastAsia="宋体" w:cs="Times New Roman"/>
      <w:color w:val="000000"/>
      <w:sz w:val="24"/>
    </w:rPr>
  </w:style>
  <w:style w:type="paragraph" w:customStyle="1" w:styleId="318">
    <w:name w:val="样式 样式 (符号) 宋体 小四 首行缩进:  0.85 厘米 段后: 6 磅 行距: 固定值 20 磅 + 首行缩进:  2 ..."/>
    <w:basedOn w:val="1"/>
    <w:qFormat/>
    <w:uiPriority w:val="99"/>
    <w:pPr>
      <w:widowControl/>
      <w:overflowPunct w:val="0"/>
      <w:autoSpaceDE w:val="0"/>
      <w:autoSpaceDN w:val="0"/>
      <w:adjustRightInd w:val="0"/>
      <w:snapToGrid w:val="0"/>
      <w:ind w:firstLine="480"/>
      <w:jc w:val="left"/>
      <w:textAlignment w:val="baseline"/>
    </w:pPr>
    <w:rPr>
      <w:rFonts w:ascii="宋体" w:hAnsi="宋体" w:cs="宋体"/>
      <w:kern w:val="0"/>
      <w:szCs w:val="20"/>
    </w:rPr>
  </w:style>
  <w:style w:type="character" w:customStyle="1" w:styleId="319">
    <w:name w:val="正文（安华金和） Char"/>
    <w:link w:val="320"/>
    <w:qFormat/>
    <w:uiPriority w:val="0"/>
    <w:rPr>
      <w:rFonts w:ascii="Arial" w:hAnsi="Arial"/>
      <w:szCs w:val="21"/>
    </w:rPr>
  </w:style>
  <w:style w:type="paragraph" w:customStyle="1" w:styleId="320">
    <w:name w:val="正文（安华金和）"/>
    <w:link w:val="319"/>
    <w:qFormat/>
    <w:uiPriority w:val="0"/>
    <w:pPr>
      <w:spacing w:line="300" w:lineRule="auto"/>
    </w:pPr>
    <w:rPr>
      <w:rFonts w:ascii="Arial" w:hAnsi="Arial" w:eastAsiaTheme="minorEastAsia" w:cstheme="minorBidi"/>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3A06-B83E-47AA-90CC-AB425AB4E59A}">
  <ds:schemaRefs/>
</ds:datastoreItem>
</file>

<file path=docProps/app.xml><?xml version="1.0" encoding="utf-8"?>
<Properties xmlns="http://schemas.openxmlformats.org/officeDocument/2006/extended-properties" xmlns:vt="http://schemas.openxmlformats.org/officeDocument/2006/docPropsVTypes">
  <Template>Normal</Template>
  <Company>www.winsoso.com</Company>
  <Pages>98</Pages>
  <Words>62926</Words>
  <Characters>69092</Characters>
  <Lines>523</Lines>
  <Paragraphs>147</Paragraphs>
  <TotalTime>6</TotalTime>
  <ScaleCrop>false</ScaleCrop>
  <LinksUpToDate>false</LinksUpToDate>
  <CharactersWithSpaces>70120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2022-04-25T03:19:00Z</dcterms:created>
  <dc:creator>Administrator</dc:creator>
  <cp:lastModifiedBy>Emily~</cp:lastModifiedBy>
  <cp:lastPrinted>2022-05-20T08:34:00Z</cp:lastPrinted>
  <dcterms:modified xsi:type="dcterms:W3CDTF">2022-07-26T01:33:52Z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7015666AE9B64E288E7483668AD205FC</vt:lpwstr>
  </property>
</Properties>
</file>