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单一来源采购文件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440605-2022-09632</w:t>
      </w:r>
    </w:p>
    <w:p>
      <w:pPr>
        <w:jc w:val="center"/>
      </w:pPr>
      <w:r>
        <w:rPr>
          <w:b/>
          <w:sz w:val="24"/>
        </w:rPr>
        <w:t>采购项目编号：</w:t>
      </w:r>
      <w:r>
        <w:rPr>
          <w:b/>
          <w:sz w:val="24"/>
        </w:rPr>
        <w:t>M4400000707015263001</w:t>
      </w:r>
    </w:p>
    <w:p>
      <w:pPr>
        <w:jc w:val="center"/>
      </w:pPr>
      <w:r>
        <w:rPr>
          <w:b/>
          <w:sz w:val="24"/>
        </w:rPr>
        <w:t>项目名称：</w:t>
      </w:r>
      <w:r>
        <w:rPr>
          <w:b/>
          <w:sz w:val="24"/>
        </w:rPr>
        <w:t>增补安保服务</w:t>
      </w:r>
    </w:p>
    <w:p>
      <w:pPr>
        <w:jc w:val="center"/>
      </w:pPr>
      <w:r>
        <w:rPr>
          <w:b/>
          <w:sz w:val="24"/>
        </w:rPr>
        <w:t>采购人：</w:t>
      </w:r>
      <w:r>
        <w:rPr>
          <w:b/>
          <w:sz w:val="24"/>
        </w:rPr>
        <w:t>佛山市南海区人民医院</w:t>
      </w:r>
    </w:p>
    <w:p>
      <w:pPr>
        <w:jc w:val="center"/>
      </w:pPr>
      <w:r>
        <w:rPr>
          <w:b/>
          <w:sz w:val="24"/>
        </w:rPr>
        <w:t>采购代理机构：</w:t>
      </w:r>
      <w:r>
        <w:rPr>
          <w:b/>
          <w:sz w:val="24"/>
        </w:rPr>
        <w:t>广东省机电设备招标有限公司佛山分公司</w:t>
      </w:r>
    </w:p>
    <w:p>
      <w:pPr>
        <w:ind w:firstLine="480"/>
      </w:pPr>
    </w:p>
    <w:p>
      <w:r>
        <w:rPr/>
        <w:t xml:space="preserve"> </w:t>
      </w:r>
    </w:p>
    <w:p/>
    <w:p>
      <w:pPr>
        <w:jc w:val="center"/>
      </w:pPr>
      <w:r>
        <w:rPr>
          <w:b/>
          <w:sz w:val="36"/>
        </w:rPr>
        <w:t>第一章 单一来源协商邀请</w:t>
      </w:r>
    </w:p>
    <w:p>
      <w:pPr>
        <w:ind w:firstLine="480"/>
      </w:pPr>
      <w:r>
        <w:rPr/>
        <w:t>广东省机电设备招标有限公司佛山分公司</w:t>
      </w:r>
      <w:r>
        <w:rPr/>
        <w:t>受</w:t>
      </w:r>
      <w:r>
        <w:rPr/>
        <w:t>佛山市南海区人民医院</w:t>
      </w:r>
      <w:r>
        <w:rPr/>
        <w:t>的委托，采用</w:t>
      </w:r>
      <w:r>
        <w:rPr/>
        <w:t>单一来源</w:t>
      </w:r>
      <w:r>
        <w:rPr/>
        <w:t>方式组织采购</w:t>
      </w:r>
      <w:r>
        <w:rPr/>
        <w:t>增补安保服务</w:t>
      </w:r>
      <w:r>
        <w:rPr/>
        <w:t>。请该项目的潜在供应商参加本项目特定采购包的协商。</w:t>
      </w:r>
    </w:p>
    <w:p>
      <w:r>
        <w:rPr>
          <w:b/>
          <w:sz w:val="28"/>
        </w:rPr>
        <w:t>一.项目概述</w:t>
      </w:r>
    </w:p>
    <w:p>
      <w:r>
        <w:rPr>
          <w:b/>
          <w:sz w:val="24"/>
        </w:rPr>
        <w:t>1.名称与编号</w:t>
      </w:r>
    </w:p>
    <w:p>
      <w:pPr>
        <w:ind w:firstLine="480"/>
      </w:pPr>
      <w:r>
        <w:rPr/>
        <w:t>采购项目名称：</w:t>
      </w:r>
      <w:r>
        <w:rPr/>
        <w:t>增补安保服务</w:t>
      </w:r>
    </w:p>
    <w:p>
      <w:pPr>
        <w:ind w:firstLine="480"/>
      </w:pPr>
      <w:r>
        <w:rPr/>
        <w:t>采购计划编号：</w:t>
      </w:r>
      <w:r>
        <w:rPr/>
        <w:t>440605-2022-09632</w:t>
      </w:r>
    </w:p>
    <w:p>
      <w:pPr>
        <w:ind w:firstLine="480"/>
      </w:pPr>
      <w:r>
        <w:rPr/>
        <w:t>采购项目编号：</w:t>
      </w:r>
      <w:r>
        <w:rPr/>
        <w:t>M4400000707015263001</w:t>
      </w:r>
    </w:p>
    <w:p>
      <w:pPr>
        <w:ind w:firstLine="480"/>
      </w:pPr>
      <w:r>
        <w:rPr/>
        <w:t>采购方式：</w:t>
      </w:r>
      <w:r>
        <w:rPr/>
        <w:t>单一来源</w:t>
      </w:r>
    </w:p>
    <w:p>
      <w:pPr>
        <w:ind w:firstLine="480"/>
      </w:pPr>
      <w:r>
        <w:rPr/>
        <w:t>预算金额：</w:t>
      </w:r>
      <w:r>
        <w:rPr/>
        <w:t>3,980,000.00</w:t>
      </w:r>
      <w:r>
        <w:rPr/>
        <w:t>元</w:t>
      </w:r>
    </w:p>
    <w:p>
      <w:r>
        <w:rPr>
          <w:b/>
          <w:sz w:val="24"/>
        </w:rPr>
        <w:t>2.项目内容及需求情况（采购项目技术规格、参数及要求）</w:t>
      </w:r>
    </w:p>
    <w:p>
      <w:pPr>
        <w:ind w:firstLine="480"/>
      </w:pPr>
    </w:p>
    <w:p/>
    <w:p>
      <w:r>
        <w:rPr/>
        <w:t>采购包1(增补安保服务):</w:t>
      </w:r>
    </w:p>
    <w:p>
      <w:r>
        <w:rPr/>
        <w:t>采购包预算金额：3,980,000.00元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安全服务</w:t>
            </w:r>
          </w:p>
        </w:tc>
        <w:tc>
          <w:tcPr>
            <w:tcW w:type="dxa" w:w="2052"/>
          </w:tcPr>
          <w:p>
            <w:r>
              <w:rPr/>
              <w:t>增补安保服务</w:t>
            </w:r>
          </w:p>
        </w:tc>
        <w:tc>
          <w:tcPr>
            <w:tcW w:type="dxa" w:w="977"/>
          </w:tcPr>
          <w:p>
            <w:r>
              <w:rPr/>
              <w:t>1.0000(项)</w:t>
            </w:r>
          </w:p>
        </w:tc>
        <w:tc>
          <w:tcPr>
            <w:tcW w:type="dxa" w:w="977"/>
          </w:tcPr>
          <w:p>
            <w:r>
              <w:rPr/>
              <w:t>详见第二章</w:t>
            </w:r>
          </w:p>
        </w:tc>
        <w:tc>
          <w:tcPr>
            <w:tcW w:type="dxa" w:w="977"/>
          </w:tcPr>
          <w:p>
            <w:r>
              <w:rPr/>
              <w:t>3,980,000.00</w:t>
            </w:r>
          </w:p>
        </w:tc>
        <w:tc>
          <w:tcPr>
            <w:tcW w:type="dxa" w:w="977"/>
          </w:tcPr>
          <w:p>
            <w:r>
              <w:rPr/>
              <w:t>否</w:t>
            </w:r>
          </w:p>
        </w:tc>
      </w:tr>
    </w:tbl>
    <w:p/>
    <w:p>
      <w:r>
        <w:rPr/>
        <w:t>本采购包不接受联合体响应</w:t>
      </w:r>
    </w:p>
    <w:p/>
    <w:p>
      <w:r>
        <w:rPr/>
        <w:t>合同履行期限：以合同实际签订履行期限为准</w:t>
      </w:r>
    </w:p>
    <w:p/>
    <w:p>
      <w:r>
        <w:rPr>
          <w:b/>
          <w:sz w:val="24"/>
        </w:rPr>
        <w:t>3.邀请参加本项目协商的供应商名单如下：</w:t>
      </w:r>
    </w:p>
    <w:p>
      <w:pPr>
        <w:ind w:firstLine="480"/>
      </w:pP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采购包</w:t>
            </w:r>
          </w:p>
        </w:tc>
        <w:tc>
          <w:tcPr>
            <w:tcW w:type="dxa" w:w="2076"/>
          </w:tcPr>
          <w:p>
            <w:r>
              <w:rPr/>
              <w:t>采购包名称</w:t>
            </w:r>
          </w:p>
        </w:tc>
        <w:tc>
          <w:tcPr>
            <w:tcW w:type="dxa" w:w="2076"/>
          </w:tcPr>
          <w:p>
            <w:r>
              <w:rPr/>
              <w:t>供应商名称</w:t>
            </w:r>
          </w:p>
        </w:tc>
      </w:tr>
      <w:tr>
        <w:tc>
          <w:tcPr>
            <w:tcW w:type="dxa" w:w="2076"/>
          </w:tcPr>
          <w:p>
            <w:r>
              <w:rPr/>
              <w:t>1</w:t>
            </w:r>
          </w:p>
        </w:tc>
        <w:tc>
          <w:tcPr>
            <w:tcW w:type="dxa" w:w="2076"/>
          </w:tcPr>
          <w:p>
            <w:r>
              <w:rPr/>
              <w:t>包1</w:t>
            </w:r>
          </w:p>
        </w:tc>
        <w:tc>
          <w:tcPr>
            <w:tcW w:type="dxa" w:w="2076"/>
          </w:tcPr>
          <w:p>
            <w:r>
              <w:rPr/>
              <w:t>增补安保服务</w:t>
            </w:r>
          </w:p>
        </w:tc>
        <w:tc>
          <w:tcPr>
            <w:tcW w:type="dxa" w:w="2076"/>
          </w:tcPr>
          <w:p>
            <w:r>
              <w:rPr/>
              <w:t>广东华车南剑保安服务有限公司</w:t>
            </w:r>
          </w:p>
        </w:tc>
      </w:tr>
    </w:tbl>
    <w:p>
      <w:r>
        <w:rPr/>
        <w:t>邀请供应商列表</w:t>
      </w:r>
    </w:p>
    <w:p/>
    <w:p>
      <w:r>
        <w:rPr>
          <w:b/>
          <w:sz w:val="28"/>
        </w:rPr>
        <w:t>二.申请人的资格要求</w:t>
      </w:r>
    </w:p>
    <w:p>
      <w:r>
        <w:rPr>
          <w:b/>
          <w:sz w:val="24"/>
        </w:rPr>
        <w:t>1.满足《中华人民共和国政府采购法》第二十二条规定，提供下列材料：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3）具有良好的商业信誉和健全的财务会计制度：供应商必须具有良好的商业信誉和健全的财务会计制度（提供2020或2021年度财务状况报告或基本开户行出具的资信证明）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采购包1（增补安保服务）：</w:t>
      </w:r>
      <w:r>
        <w:rPr/>
        <w:t>采购包整体专门面向中小企业，投标人须符合本项目采购标的所属行业的政策划分标准的中小企业。监狱企业、残疾人福利性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p/>
    <w:p>
      <w:r>
        <w:rPr>
          <w:b/>
          <w:sz w:val="24"/>
        </w:rPr>
        <w:t>3.本项目的特定资格要求：</w:t>
      </w:r>
    </w:p>
    <w:p>
      <w:pPr>
        <w:ind w:firstLine="480"/>
      </w:pPr>
    </w:p>
    <w:p/>
    <w:p>
      <w:r>
        <w:rPr/>
        <w:t>采购包1（增补安保服务）：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2)为本项目提供整体设计、规范编制或者项目管理、 监理、检测等服务的供应商， 不得再参与本项目投标（响应）。</w:t>
      </w:r>
    </w:p>
    <w:p/>
    <w:p>
      <w:r>
        <w:rPr>
          <w:b/>
          <w:sz w:val="28"/>
        </w:rPr>
        <w:t>三.获取采购文件</w:t>
      </w:r>
    </w:p>
    <w:p>
      <w:pPr>
        <w:ind w:firstLine="480"/>
      </w:pPr>
      <w:r>
        <w:rPr/>
        <w:t>时间：详见协商公告及其变更公告（如有）</w:t>
      </w:r>
    </w:p>
    <w:p>
      <w:pPr>
        <w:ind w:firstLine="480"/>
      </w:pPr>
      <w:r>
        <w:rPr/>
        <w:t>地点：详见协商公告及其变更公告（如有）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提交响应文件截止时间和开启时间：详情请登录广东省政府采购智慧云平台查看</w:t>
      </w:r>
    </w:p>
    <w:p>
      <w:pPr>
        <w:ind w:firstLine="480"/>
      </w:pPr>
      <w:r>
        <w:rPr/>
        <w:t>地点：详情请登录广东省政府采购智慧云平台查看</w:t>
      </w:r>
    </w:p>
    <w:p>
      <w:r>
        <w:rPr>
          <w:b/>
          <w:sz w:val="28"/>
        </w:rPr>
        <w:t>五.发布公告的媒介：</w:t>
      </w:r>
    </w:p>
    <w:p>
      <w:pPr>
        <w:ind w:firstLine="480"/>
      </w:pPr>
    </w:p>
    <w:p>
      <w:r>
        <w:rPr>
          <w:b/>
          <w:sz w:val="28"/>
        </w:rPr>
        <w:t>六.本项目联系方式：</w:t>
      </w:r>
    </w:p>
    <w:p>
      <w:r>
        <w:rPr>
          <w:b/>
          <w:sz w:val="24"/>
        </w:rPr>
        <w:t>1.采购人信息</w:t>
      </w:r>
    </w:p>
    <w:p>
      <w:pPr>
        <w:ind w:firstLine="480"/>
      </w:pPr>
      <w:r>
        <w:rPr/>
        <w:t>名称：</w:t>
      </w:r>
      <w:r>
        <w:rPr/>
        <w:t>佛山市南海区人民医院</w:t>
      </w:r>
    </w:p>
    <w:p>
      <w:pPr>
        <w:ind w:firstLine="480"/>
      </w:pPr>
      <w:r>
        <w:rPr/>
        <w:t>地址：</w:t>
      </w:r>
      <w:r>
        <w:rPr/>
        <w:t>佛山市南海区狮山镇桂丹路120号南海区人民医院</w:t>
      </w:r>
    </w:p>
    <w:p>
      <w:pPr>
        <w:ind w:firstLine="480"/>
      </w:pPr>
      <w:r>
        <w:rPr/>
        <w:t>联系方式：</w:t>
      </w:r>
      <w:r>
        <w:rPr/>
        <w:t>0757-66822086</w:t>
      </w:r>
    </w:p>
    <w:p>
      <w:r>
        <w:rPr>
          <w:b/>
          <w:sz w:val="24"/>
        </w:rPr>
        <w:t>2.采购代理机构信息</w:t>
      </w:r>
    </w:p>
    <w:p>
      <w:pPr>
        <w:ind w:firstLine="480"/>
      </w:pPr>
      <w:r>
        <w:rPr/>
        <w:t>名称：</w:t>
      </w:r>
      <w:r>
        <w:rPr/>
        <w:t>广东省机电设备招标有限公司佛山分公司</w:t>
      </w:r>
    </w:p>
    <w:p>
      <w:pPr>
        <w:ind w:firstLine="480"/>
      </w:pPr>
      <w:r>
        <w:rPr/>
        <w:t>地址：</w:t>
      </w:r>
      <w:r>
        <w:rPr/>
        <w:t>佛山市禅城区汾江中路148号华美大厦10楼</w:t>
      </w:r>
    </w:p>
    <w:p>
      <w:pPr>
        <w:ind w:firstLine="480"/>
      </w:pPr>
      <w:r>
        <w:rPr/>
        <w:t>联系方式：</w:t>
      </w:r>
      <w:r>
        <w:rPr/>
        <w:t>0757-83126103</w:t>
      </w:r>
    </w:p>
    <w:p>
      <w:r>
        <w:rPr>
          <w:b/>
          <w:sz w:val="24"/>
        </w:rPr>
        <w:t>3.项目联系方式</w:t>
      </w:r>
    </w:p>
    <w:p>
      <w:pPr>
        <w:ind w:firstLine="480"/>
      </w:pPr>
      <w:r>
        <w:rPr/>
        <w:t>项目联系人：</w:t>
      </w:r>
      <w:r>
        <w:rPr/>
        <w:t>李锐昌</w:t>
      </w:r>
    </w:p>
    <w:p>
      <w:pPr>
        <w:ind w:firstLine="480"/>
      </w:pPr>
      <w:r>
        <w:rPr/>
        <w:t>电话：</w:t>
      </w:r>
      <w:r>
        <w:rPr/>
        <w:t>0757-83126103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广东省机电设备招标有限公司佛山分公司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、佛山市南海区人民医院位于南海区狮山镇桂丹路</w:t>
      </w:r>
      <w:r>
        <w:rPr>
          <w:sz w:val="21"/>
        </w:rPr>
        <w:t>120</w:t>
      </w:r>
      <w:r>
        <w:rPr>
          <w:sz w:val="21"/>
        </w:rPr>
        <w:t>号，占地</w:t>
      </w:r>
      <w:r>
        <w:rPr>
          <w:sz w:val="21"/>
        </w:rPr>
        <w:t>220</w:t>
      </w:r>
      <w:r>
        <w:rPr>
          <w:sz w:val="21"/>
        </w:rPr>
        <w:t>亩，建筑面积</w:t>
      </w:r>
      <w:r>
        <w:rPr>
          <w:sz w:val="21"/>
        </w:rPr>
        <w:t>36.5</w:t>
      </w:r>
      <w:r>
        <w:rPr>
          <w:sz w:val="21"/>
        </w:rPr>
        <w:t>万平方米，总投资</w:t>
      </w:r>
      <w:r>
        <w:rPr>
          <w:sz w:val="21"/>
        </w:rPr>
        <w:t>22.5</w:t>
      </w:r>
      <w:r>
        <w:rPr>
          <w:sz w:val="21"/>
        </w:rPr>
        <w:t>亿元。一期建设</w:t>
      </w:r>
      <w:r>
        <w:rPr>
          <w:sz w:val="21"/>
        </w:rPr>
        <w:t>1500</w:t>
      </w:r>
      <w:r>
        <w:rPr>
          <w:sz w:val="21"/>
        </w:rPr>
        <w:t>张床位，长期发展为</w:t>
      </w:r>
      <w:r>
        <w:rPr>
          <w:sz w:val="21"/>
        </w:rPr>
        <w:t>2000</w:t>
      </w:r>
      <w:r>
        <w:rPr>
          <w:sz w:val="21"/>
        </w:rPr>
        <w:t>张床位。其中配置有住院楼</w:t>
      </w:r>
      <w:r>
        <w:rPr>
          <w:sz w:val="21"/>
        </w:rPr>
        <w:t>A</w:t>
      </w:r>
      <w:r>
        <w:rPr>
          <w:sz w:val="21"/>
        </w:rPr>
        <w:t>、住院楼</w:t>
      </w:r>
      <w:r>
        <w:rPr>
          <w:sz w:val="21"/>
        </w:rPr>
        <w:t>B</w:t>
      </w:r>
      <w:r>
        <w:rPr>
          <w:sz w:val="21"/>
        </w:rPr>
        <w:t>、住院楼</w:t>
      </w:r>
      <w:r>
        <w:rPr>
          <w:sz w:val="21"/>
        </w:rPr>
        <w:t>C</w:t>
      </w:r>
      <w:r>
        <w:rPr>
          <w:sz w:val="21"/>
        </w:rPr>
        <w:t>、门诊楼、医技楼、科研教学体检楼、感染楼、食堂等。全院共设置外科、内科、急诊等</w:t>
      </w:r>
      <w:r>
        <w:rPr>
          <w:sz w:val="21"/>
        </w:rPr>
        <w:t>30</w:t>
      </w:r>
      <w:r>
        <w:rPr>
          <w:sz w:val="21"/>
        </w:rPr>
        <w:t>多个个专科；大型中心手术部及日间手术室共</w:t>
      </w:r>
      <w:r>
        <w:rPr>
          <w:sz w:val="21"/>
        </w:rPr>
        <w:t>30</w:t>
      </w:r>
      <w:r>
        <w:rPr>
          <w:sz w:val="21"/>
        </w:rPr>
        <w:t>多间，</w:t>
      </w:r>
      <w:r>
        <w:rPr>
          <w:sz w:val="21"/>
        </w:rPr>
        <w:t>DSA</w:t>
      </w:r>
      <w:r>
        <w:rPr>
          <w:sz w:val="21"/>
        </w:rPr>
        <w:t>高级介入手术室</w:t>
      </w:r>
      <w:r>
        <w:rPr>
          <w:sz w:val="21"/>
        </w:rPr>
        <w:t>4</w:t>
      </w:r>
      <w:r>
        <w:rPr>
          <w:sz w:val="21"/>
        </w:rPr>
        <w:t>间；放射科、检验科、病理科、内镜中心等医技科室</w:t>
      </w:r>
      <w:r>
        <w:rPr>
          <w:sz w:val="21"/>
        </w:rPr>
        <w:t>10</w:t>
      </w:r>
      <w:r>
        <w:rPr>
          <w:sz w:val="21"/>
        </w:rPr>
        <w:t>多个。项目远期规划是打造成一所立足南海、辐射佛山、面向全省、放眼全球、具有区域优势和专科特色，在省内外有一定影响的大型现代化综合性医院。</w:t>
      </w:r>
    </w:p>
    <w:p>
      <w:pPr>
        <w:jc w:val="both"/>
      </w:pPr>
      <w:r>
        <w:rPr>
          <w:sz w:val="21"/>
        </w:rPr>
        <w:t>停车位约</w:t>
      </w:r>
      <w:r>
        <w:rPr>
          <w:sz w:val="21"/>
        </w:rPr>
        <w:t>2465</w:t>
      </w:r>
      <w:r>
        <w:rPr>
          <w:sz w:val="21"/>
        </w:rPr>
        <w:t>余个，地库车位约</w:t>
      </w:r>
      <w:r>
        <w:rPr>
          <w:sz w:val="21"/>
        </w:rPr>
        <w:t>2100</w:t>
      </w:r>
      <w:r>
        <w:rPr>
          <w:sz w:val="21"/>
        </w:rPr>
        <w:t>个，地面车位约</w:t>
      </w:r>
      <w:r>
        <w:rPr>
          <w:sz w:val="21"/>
        </w:rPr>
        <w:t>365</w:t>
      </w:r>
      <w:r>
        <w:rPr>
          <w:sz w:val="21"/>
        </w:rPr>
        <w:t>个（根据规划总平面图的数据），停车场出入口</w:t>
      </w:r>
      <w:r>
        <w:rPr>
          <w:sz w:val="21"/>
        </w:rPr>
        <w:t>9</w:t>
      </w:r>
      <w:r>
        <w:rPr>
          <w:sz w:val="21"/>
        </w:rPr>
        <w:t>进</w:t>
      </w:r>
      <w:r>
        <w:rPr>
          <w:sz w:val="21"/>
        </w:rPr>
        <w:t>9</w:t>
      </w:r>
      <w:r>
        <w:rPr>
          <w:sz w:val="21"/>
        </w:rPr>
        <w:t>出（出入口数量后期有可能调整）。</w:t>
      </w:r>
    </w:p>
    <w:p>
      <w:pPr>
        <w:jc w:val="both"/>
      </w:pPr>
      <w:r>
        <w:rPr>
          <w:b/>
          <w:sz w:val="17"/>
        </w:rPr>
        <w:t>2.</w:t>
      </w:r>
      <w:r>
        <w:rPr>
          <w:b/>
          <w:sz w:val="17"/>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vAlign w:val="top"/>
          </w:tcPr>
          <w:p>
            <w:pPr>
              <w:jc w:val="left"/>
            </w:pPr>
            <w:r>
              <w:rPr>
                <w:sz w:val="17"/>
              </w:rPr>
              <w:t>标的名称</w:t>
            </w:r>
          </w:p>
        </w:tc>
        <w:tc>
          <w:tcPr>
            <w:tcW w:type="dxa" w:w="2076"/>
            <w:tcBorders>
              <w:top w:val="single" w:color="000000" w:sz="4"/>
              <w:left w:val="none" w:color="000000" w:sz="4"/>
              <w:bottom w:val="single" w:color="000000" w:sz="4"/>
              <w:right w:val="single" w:color="000000" w:sz="4"/>
            </w:tcBorders>
            <w:vAlign w:val="top"/>
          </w:tcPr>
          <w:p>
            <w:pPr>
              <w:jc w:val="both"/>
            </w:pPr>
            <w:r>
              <w:rPr>
                <w:sz w:val="21"/>
              </w:rPr>
              <w:t>数量</w:t>
            </w:r>
          </w:p>
        </w:tc>
        <w:tc>
          <w:tcPr>
            <w:tcW w:type="dxa" w:w="2076"/>
            <w:tcBorders>
              <w:top w:val="single" w:color="000000" w:sz="4"/>
              <w:left w:val="none" w:color="000000" w:sz="4"/>
              <w:bottom w:val="single" w:color="000000" w:sz="4"/>
              <w:right w:val="single" w:color="000000" w:sz="4"/>
            </w:tcBorders>
            <w:vAlign w:val="top"/>
          </w:tcPr>
          <w:p>
            <w:pPr>
              <w:jc w:val="both"/>
            </w:pPr>
            <w:r>
              <w:rPr>
                <w:sz w:val="21"/>
              </w:rPr>
              <w:t>项目预算</w:t>
            </w:r>
          </w:p>
        </w:tc>
        <w:tc>
          <w:tcPr>
            <w:tcW w:type="dxa" w:w="2076"/>
            <w:tcBorders>
              <w:top w:val="single" w:color="000000" w:sz="4"/>
              <w:left w:val="none" w:color="000000" w:sz="4"/>
              <w:bottom w:val="single" w:color="000000" w:sz="4"/>
              <w:right w:val="single" w:color="000000" w:sz="4"/>
            </w:tcBorders>
            <w:vAlign w:val="top"/>
          </w:tcPr>
          <w:p>
            <w:pPr>
              <w:jc w:val="both"/>
            </w:pPr>
            <w:r>
              <w:rPr>
                <w:sz w:val="21"/>
              </w:rPr>
              <w:t>人均单价最高限价</w:t>
            </w:r>
          </w:p>
        </w:tc>
      </w:tr>
      <w:tr>
        <w:tc>
          <w:tcPr>
            <w:tcW w:type="dxa" w:w="2076"/>
            <w:tcBorders>
              <w:top w:val="none" w:color="000000" w:sz="4"/>
              <w:left w:val="single" w:color="000000" w:sz="4"/>
              <w:bottom w:val="single" w:color="000000" w:sz="4"/>
              <w:right w:val="single" w:color="000000" w:sz="4"/>
            </w:tcBorders>
            <w:vAlign w:val="top"/>
          </w:tcPr>
          <w:p>
            <w:pPr>
              <w:jc w:val="left"/>
            </w:pPr>
            <w:r>
              <w:rPr>
                <w:sz w:val="21"/>
              </w:rPr>
              <w:t>增补安保服务</w:t>
            </w:r>
          </w:p>
        </w:tc>
        <w:tc>
          <w:tcPr>
            <w:tcW w:type="dxa" w:w="2076"/>
            <w:tcBorders>
              <w:top w:val="none" w:color="000000" w:sz="4"/>
              <w:left w:val="none" w:color="000000" w:sz="4"/>
              <w:bottom w:val="single" w:color="000000" w:sz="4"/>
              <w:right w:val="single" w:color="000000" w:sz="4"/>
            </w:tcBorders>
            <w:vAlign w:val="top"/>
          </w:tcPr>
          <w:p>
            <w:pPr>
              <w:jc w:val="both"/>
            </w:pPr>
            <w:r>
              <w:rPr>
                <w:sz w:val="21"/>
              </w:rPr>
              <w:t>1</w:t>
            </w:r>
            <w:r>
              <w:rPr>
                <w:sz w:val="21"/>
              </w:rPr>
              <w:t>项</w:t>
            </w:r>
          </w:p>
        </w:tc>
        <w:tc>
          <w:tcPr>
            <w:tcW w:type="dxa" w:w="2076"/>
            <w:tcBorders>
              <w:top w:val="none" w:color="000000" w:sz="4"/>
              <w:left w:val="none" w:color="000000" w:sz="4"/>
              <w:bottom w:val="single" w:color="000000" w:sz="4"/>
              <w:right w:val="single" w:color="000000" w:sz="4"/>
            </w:tcBorders>
            <w:vAlign w:val="top"/>
          </w:tcPr>
          <w:p>
            <w:pPr>
              <w:jc w:val="both"/>
            </w:pPr>
            <w:r>
              <w:rPr>
                <w:sz w:val="21"/>
              </w:rPr>
              <w:t>￥</w:t>
            </w:r>
            <w:r>
              <w:rPr>
                <w:sz w:val="21"/>
              </w:rPr>
              <w:t>3980000.00</w:t>
            </w:r>
            <w:r>
              <w:rPr>
                <w:sz w:val="21"/>
              </w:rPr>
              <w:t>元</w:t>
            </w:r>
          </w:p>
        </w:tc>
        <w:tc>
          <w:tcPr>
            <w:tcW w:type="dxa" w:w="2076"/>
            <w:tcBorders>
              <w:top w:val="none" w:color="000000" w:sz="4"/>
              <w:left w:val="none" w:color="000000" w:sz="4"/>
              <w:bottom w:val="single" w:color="000000" w:sz="4"/>
              <w:right w:val="single" w:color="000000" w:sz="4"/>
            </w:tcBorders>
            <w:vAlign w:val="top"/>
          </w:tcPr>
          <w:p>
            <w:pPr>
              <w:jc w:val="center"/>
            </w:pPr>
            <w:r>
              <w:rPr>
                <w:sz w:val="21"/>
              </w:rPr>
              <w:t>￥</w:t>
            </w:r>
            <w:r>
              <w:rPr>
                <w:sz w:val="21"/>
              </w:rPr>
              <w:t>5680</w:t>
            </w:r>
            <w:r>
              <w:rPr>
                <w:sz w:val="21"/>
              </w:rPr>
              <w:t>元</w:t>
            </w:r>
            <w:r>
              <w:rPr>
                <w:sz w:val="21"/>
              </w:rPr>
              <w:t>/</w:t>
            </w:r>
            <w:r>
              <w:rPr>
                <w:sz w:val="21"/>
              </w:rPr>
              <w:t>月</w:t>
            </w:r>
          </w:p>
        </w:tc>
      </w:tr>
    </w:tbl>
    <w:p/>
    <w:p>
      <w:pPr>
        <w:ind w:firstLine="480"/>
      </w:pPr>
    </w:p>
    <w:p/>
    <w:p>
      <w:r>
        <w:rPr/>
        <w:t>采购包1（增补安保服务）：</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1.合同生效后提供24个月服务期。 2.因本项目有根据工作需要存在不可预知岗位，增补人员将根据采购方服务需求再确定具体到岗时间、到岗人数。 3.如采购人在服务期限内因特殊原因需要提前终止服务，则提前20天以书面形式通知中标人终止服务的具体日期。</w:t>
            </w:r>
          </w:p>
        </w:tc>
      </w:tr>
      <w:tr>
        <w:tc>
          <w:tcPr>
            <w:tcW w:type="dxa" w:w="4153"/>
          </w:tcPr>
          <w:p>
            <w:r>
              <w:rPr/>
              <w:t>标的提供的地点</w:t>
            </w:r>
          </w:p>
        </w:tc>
        <w:tc>
          <w:tcPr>
            <w:tcW w:type="dxa" w:w="4153"/>
          </w:tcPr>
          <w:p>
            <w:pPr>
              <w:jc w:val="left"/>
            </w:pPr>
          </w:p>
          <w:p>
            <w:r>
              <w:rPr/>
              <w:t>采购人所在地，地址为佛山市南海区人民医院（院方指定地点）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1期：支付比例100%，保安服务费按照实际出勤天数、实际出勤岗位人数计算。支付方式为按月支付。以员工每周休息1日计，当月出勤天数足26天为一个月，实际出勤天数不足一个月的，按天数计算。</w:t>
            </w:r>
          </w:p>
        </w:tc>
      </w:tr>
      <w:tr>
        <w:tc>
          <w:tcPr>
            <w:tcW w:type="dxa" w:w="4153"/>
          </w:tcPr>
          <w:p>
            <w:r>
              <w:rPr/>
              <w:t>验收要求</w:t>
            </w:r>
          </w:p>
        </w:tc>
        <w:tc>
          <w:tcPr>
            <w:tcW w:type="dxa" w:w="4153"/>
          </w:tcPr>
          <w:p>
            <w:pPr>
              <w:jc w:val="left"/>
            </w:pPr>
          </w:p>
          <w:p/>
          <w:p/>
          <w:p>
            <w:r>
              <w:rPr/>
              <w:t>1期：（1）验收的主要依据包括本采购需求书、采购文件、合同文件，以及用户需求说明书和实施方案。 （2）成交供应商应负责在项目验收前将各种相关的资料，各阶段实施文档、资料等汇集成册交付采购人。</w:t>
            </w:r>
          </w:p>
        </w:tc>
      </w:tr>
      <w:tr>
        <w:tc>
          <w:tcPr>
            <w:tcW w:type="dxa" w:w="4153"/>
          </w:tcPr>
          <w:p>
            <w:r>
              <w:rPr/>
              <w:t>履约保证金</w:t>
            </w:r>
          </w:p>
        </w:tc>
        <w:tc>
          <w:tcPr>
            <w:tcW w:type="dxa" w:w="4153"/>
          </w:tcPr>
          <w:p>
            <w:pPr>
              <w:jc w:val="left"/>
            </w:pPr>
          </w:p>
          <w:p/>
          <w:p/>
          <w:p/>
          <w:p>
            <w:r>
              <w:rPr/>
              <w:t>收取比例：5%,说明：中标人须向采购人交付中标金额的5%的合同履约保证金后方可签订合同。合同期满，如中标人没有发生违约行为，采购人于30个工作日内一次性无息全额退回保证金。如中标人发生违约行为，视情节轻重酌情予以扣罚。</w:t>
            </w:r>
          </w:p>
        </w:tc>
      </w:tr>
      <w:tr>
        <w:tc>
          <w:tcPr>
            <w:tcW w:type="dxa" w:w="4153"/>
          </w:tcPr>
          <w:p>
            <w:r>
              <w:rPr/>
              <w:t>其他</w:t>
            </w:r>
          </w:p>
        </w:tc>
        <w:tc>
          <w:tcPr>
            <w:tcW w:type="dxa" w:w="4153"/>
          </w:tcPr>
          <w:p>
            <w:pPr>
              <w:jc w:val="left"/>
            </w:pPr>
          </w:p>
          <w:p/>
          <w:p>
            <w:r>
              <w:rPr/>
              <w:t>★1.报价方式:（1）采购项目服务费包含人员工资、社保费、服装费、保安培训费、员工节日加班费、员工福利费、办公业务费、高温补贴费、伙食费、住宿费及对讲机、安全头盔、警棍、防爆盾牌、防爆钢叉、照明手电、增值税税金、企业合理利润等所有费用。 （2）以实际到岗人数、在岗天数结算服务费，本项目采用“人均单价”的方式报价,供应商的人均单价须填写在“报价一览表”中，“人均单价”不得大于5680元/月（大写：伍仟陆佰捌拾元/月），否则视为无效报价。 （3）利润由投标人自定。</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安全服务</w:t>
            </w:r>
          </w:p>
        </w:tc>
        <w:tc>
          <w:tcPr>
            <w:tcW w:type="dxa" w:w="1923"/>
          </w:tcPr>
          <w:p>
            <w:r>
              <w:rPr/>
              <w:t>增补安保服务</w:t>
            </w:r>
          </w:p>
        </w:tc>
        <w:tc>
          <w:tcPr>
            <w:tcW w:type="dxa" w:w="385"/>
          </w:tcPr>
          <w:p>
            <w:r>
              <w:rPr/>
              <w:t>项</w:t>
            </w:r>
          </w:p>
        </w:tc>
        <w:tc>
          <w:tcPr>
            <w:tcW w:type="dxa" w:w="769"/>
          </w:tcPr>
          <w:p>
            <w:pPr>
              <w:jc w:val="right"/>
            </w:pPr>
            <w:r>
              <w:rPr/>
              <w:t>1.0000</w:t>
            </w:r>
          </w:p>
        </w:tc>
        <w:tc>
          <w:tcPr>
            <w:tcW w:type="dxa" w:w="769"/>
          </w:tcPr>
          <w:p>
            <w:pPr>
              <w:jc w:val="right"/>
            </w:pPr>
            <w:r>
              <w:rPr/>
              <w:t>3,980,000.00</w:t>
            </w:r>
          </w:p>
        </w:tc>
        <w:tc>
          <w:tcPr>
            <w:tcW w:type="dxa" w:w="769"/>
          </w:tcPr>
          <w:p>
            <w:pPr>
              <w:jc w:val="right"/>
            </w:pPr>
            <w:r>
              <w:rPr/>
              <w:t>3,980,000.00</w:t>
            </w:r>
          </w:p>
        </w:tc>
        <w:tc>
          <w:tcPr>
            <w:tcW w:type="dxa" w:w="769"/>
          </w:tcPr>
          <w:p>
            <w:r>
              <w:rPr/>
              <w:t>其他未列明行业</w:t>
            </w:r>
          </w:p>
        </w:tc>
        <w:tc>
          <w:tcPr>
            <w:tcW w:type="dxa" w:w="385"/>
          </w:tcPr>
          <w:p>
            <w:r>
              <w:rPr/>
              <w:t>详见附表一</w:t>
            </w:r>
          </w:p>
        </w:tc>
      </w:tr>
    </w:tbl>
    <w:p/>
    <w:p/>
    <w:p>
      <w:r>
        <w:rPr>
          <w:b/>
          <w:sz w:val="24"/>
        </w:rPr>
        <w:t>附表</w:t>
      </w:r>
      <w:r>
        <w:rPr>
          <w:b/>
          <w:sz w:val="24"/>
        </w:rPr>
        <w:t>一</w:t>
      </w:r>
      <w:r>
        <w:rPr>
          <w:b/>
          <w:sz w:val="24"/>
        </w:rPr>
        <w:t>：</w:t>
      </w:r>
      <w:r>
        <w:rPr>
          <w:b/>
          <w:sz w:val="24"/>
        </w:rPr>
        <w:t>增补安保服务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 xml:space="preserve"> 一、服务范围</w:t>
            </w:r>
          </w:p>
        </w:tc>
      </w:tr>
      <w:tr>
        <w:tc>
          <w:tcPr>
            <w:tcW w:type="dxa" w:w="2076"/>
          </w:tcPr>
          <w:p/>
        </w:tc>
        <w:tc>
          <w:tcPr>
            <w:tcW w:type="dxa" w:w="415"/>
          </w:tcPr>
          <w:p>
            <w:r>
              <w:rPr/>
              <w:t>2</w:t>
            </w:r>
          </w:p>
        </w:tc>
        <w:tc>
          <w:tcPr>
            <w:tcW w:type="dxa" w:w="5814"/>
          </w:tcPr>
          <w:p>
            <w:r>
              <w:rPr/>
              <w:t>（一）安保服务</w:t>
            </w:r>
          </w:p>
        </w:tc>
      </w:tr>
      <w:tr>
        <w:tc>
          <w:tcPr>
            <w:tcW w:type="dxa" w:w="2076"/>
          </w:tcPr>
          <w:p/>
        </w:tc>
        <w:tc>
          <w:tcPr>
            <w:tcW w:type="dxa" w:w="415"/>
          </w:tcPr>
          <w:p>
            <w:r>
              <w:rPr/>
              <w:t>3</w:t>
            </w:r>
          </w:p>
        </w:tc>
        <w:tc>
          <w:tcPr>
            <w:tcW w:type="dxa" w:w="5814"/>
          </w:tcPr>
          <w:p>
            <w:r>
              <w:rPr/>
              <w:t>（二）消防、视频监控服务</w:t>
            </w:r>
          </w:p>
        </w:tc>
      </w:tr>
      <w:tr>
        <w:tc>
          <w:tcPr>
            <w:tcW w:type="dxa" w:w="2076"/>
          </w:tcPr>
          <w:p/>
        </w:tc>
        <w:tc>
          <w:tcPr>
            <w:tcW w:type="dxa" w:w="415"/>
          </w:tcPr>
          <w:p>
            <w:r>
              <w:rPr/>
              <w:t>4</w:t>
            </w:r>
          </w:p>
        </w:tc>
        <w:tc>
          <w:tcPr>
            <w:tcW w:type="dxa" w:w="5814"/>
          </w:tcPr>
          <w:p>
            <w:r>
              <w:rPr/>
              <w:t>（三）停车场管理服务</w:t>
            </w:r>
          </w:p>
        </w:tc>
      </w:tr>
      <w:tr>
        <w:tc>
          <w:tcPr>
            <w:tcW w:type="dxa" w:w="2076"/>
          </w:tcPr>
          <w:p/>
        </w:tc>
        <w:tc>
          <w:tcPr>
            <w:tcW w:type="dxa" w:w="415"/>
          </w:tcPr>
          <w:p>
            <w:r>
              <w:rPr/>
              <w:t>5</w:t>
            </w:r>
          </w:p>
        </w:tc>
        <w:tc>
          <w:tcPr>
            <w:tcW w:type="dxa" w:w="5814"/>
          </w:tcPr>
          <w:p>
            <w:r>
              <w:rPr/>
              <w:t>（四）疫情防控服务</w:t>
            </w:r>
          </w:p>
        </w:tc>
      </w:tr>
      <w:tr>
        <w:tc>
          <w:tcPr>
            <w:tcW w:type="dxa" w:w="2076"/>
          </w:tcPr>
          <w:p/>
        </w:tc>
        <w:tc>
          <w:tcPr>
            <w:tcW w:type="dxa" w:w="415"/>
          </w:tcPr>
          <w:p>
            <w:r>
              <w:rPr/>
              <w:t>6</w:t>
            </w:r>
          </w:p>
        </w:tc>
        <w:tc>
          <w:tcPr>
            <w:tcW w:type="dxa" w:w="5814"/>
          </w:tcPr>
          <w:p>
            <w:r>
              <w:rPr/>
              <w:t>二、主要服务内容、范围及具体要求:</w:t>
            </w:r>
          </w:p>
        </w:tc>
      </w:tr>
      <w:tr>
        <w:tc>
          <w:tcPr>
            <w:tcW w:type="dxa" w:w="2076"/>
          </w:tcPr>
          <w:p/>
        </w:tc>
        <w:tc>
          <w:tcPr>
            <w:tcW w:type="dxa" w:w="415"/>
          </w:tcPr>
          <w:p>
            <w:r>
              <w:rPr/>
              <w:t>7</w:t>
            </w:r>
          </w:p>
        </w:tc>
        <w:tc>
          <w:tcPr>
            <w:tcW w:type="dxa" w:w="5814"/>
          </w:tcPr>
          <w:p>
            <w:r>
              <w:rPr/>
              <w:t>安保服务内容范围涵盖采购方建筑物外围、室内（含门诊部、住院部、医技部、教学科研区、办公区、后勤生活区）、医院各出入口、监控室、停车场等佛山市南海区人民医院范围内所有安保服务（停车收费除外）。</w:t>
            </w:r>
          </w:p>
        </w:tc>
      </w:tr>
      <w:tr>
        <w:tc>
          <w:tcPr>
            <w:tcW w:type="dxa" w:w="2076"/>
          </w:tcPr>
          <w:p/>
        </w:tc>
        <w:tc>
          <w:tcPr>
            <w:tcW w:type="dxa" w:w="415"/>
          </w:tcPr>
          <w:p>
            <w:r>
              <w:rPr/>
              <w:t>8</w:t>
            </w:r>
          </w:p>
        </w:tc>
        <w:tc>
          <w:tcPr>
            <w:tcW w:type="dxa" w:w="5814"/>
          </w:tcPr>
          <w:p>
            <w:r>
              <w:rPr/>
              <w:t>1.中标方对采购方院区出入口、院内道路及车场、车库的人流、车流方向提出科学、规范的交通规划、设计，并合理布岗、维持院内交通秩序及加强安全防范工作。</w:t>
            </w:r>
            <w:r>
              <w:br/>
            </w:r>
            <w:r>
              <w:rPr/>
              <w:t xml:space="preserve"> </w:t>
            </w:r>
          </w:p>
        </w:tc>
      </w:tr>
      <w:tr>
        <w:tc>
          <w:tcPr>
            <w:tcW w:type="dxa" w:w="2076"/>
          </w:tcPr>
          <w:p/>
        </w:tc>
        <w:tc>
          <w:tcPr>
            <w:tcW w:type="dxa" w:w="415"/>
          </w:tcPr>
          <w:p>
            <w:r>
              <w:rPr/>
              <w:t>9</w:t>
            </w:r>
          </w:p>
        </w:tc>
        <w:tc>
          <w:tcPr>
            <w:tcW w:type="dxa" w:w="5814"/>
          </w:tcPr>
          <w:p>
            <w:r>
              <w:rPr/>
              <w:t>2. 中标方有充足的保安储备，根据采购方需求，中标方需无条件按需增派保安。保安岗位、人员配置由中标方评估后制定方案实施，并制定出目标明确、严谨的岗位职责。</w:t>
            </w:r>
          </w:p>
        </w:tc>
      </w:tr>
      <w:tr>
        <w:tc>
          <w:tcPr>
            <w:tcW w:type="dxa" w:w="2076"/>
          </w:tcPr>
          <w:p>
            <w:r>
              <w:rPr/>
              <w:t>★</w:t>
            </w:r>
          </w:p>
        </w:tc>
        <w:tc>
          <w:tcPr>
            <w:tcW w:type="dxa" w:w="415"/>
          </w:tcPr>
          <w:p>
            <w:r>
              <w:rPr/>
              <w:t>10</w:t>
            </w:r>
          </w:p>
        </w:tc>
        <w:tc>
          <w:tcPr>
            <w:tcW w:type="dxa" w:w="5814"/>
          </w:tcPr>
          <w:p>
            <w:r>
              <w:rPr/>
              <w:t>★3.视频安防（消防）监控中心值班室落实每天24小时、双人双岗值班，值班人员必须持有达到国家消防部门要求的自动消防系统操作员证，兼负消防、视频安防监控双重职责。值班人员发现异常情况要及时通知巡逻保安处理，重大情况需及时向采购方报告处理。值班人员遵守视频保存、查阅、复制及审批制度，不得泄露个人隐私。</w:t>
            </w:r>
          </w:p>
        </w:tc>
      </w:tr>
      <w:tr>
        <w:tc>
          <w:tcPr>
            <w:tcW w:type="dxa" w:w="2076"/>
          </w:tcPr>
          <w:p/>
        </w:tc>
        <w:tc>
          <w:tcPr>
            <w:tcW w:type="dxa" w:w="415"/>
          </w:tcPr>
          <w:p>
            <w:r>
              <w:rPr/>
              <w:t>11</w:t>
            </w:r>
          </w:p>
        </w:tc>
        <w:tc>
          <w:tcPr>
            <w:tcW w:type="dxa" w:w="5814"/>
          </w:tcPr>
          <w:p>
            <w:r>
              <w:rPr/>
              <w:t>4.中标方需制定科学、严密的人员、车辆及物品出入采购方院区管理方案；制定科学、严密的安防、消防监控方案；制定科学、严密的交通疏导方案；制定科学、严密的停车场及车辆管理方案；制定科学、严密的在建工地管理方案；制定电梯困人事件、处理被盗失窃事件及治安突发事件预案，防患于未然。</w:t>
            </w:r>
          </w:p>
        </w:tc>
      </w:tr>
      <w:tr>
        <w:tc>
          <w:tcPr>
            <w:tcW w:type="dxa" w:w="2076"/>
          </w:tcPr>
          <w:p/>
        </w:tc>
        <w:tc>
          <w:tcPr>
            <w:tcW w:type="dxa" w:w="415"/>
          </w:tcPr>
          <w:p>
            <w:r>
              <w:rPr/>
              <w:t>12</w:t>
            </w:r>
          </w:p>
        </w:tc>
        <w:tc>
          <w:tcPr>
            <w:tcW w:type="dxa" w:w="5814"/>
          </w:tcPr>
          <w:p>
            <w:r>
              <w:rPr/>
              <w:t>5.中标方需主动作为，加强对进出新院区的人员、车辆及物品管理。对携带可疑物品进、出医院的人员进行盘查、拍照、取证，必要时将可疑人员控制在指定区域，并报警处理。对运输可疑物品进、出医院的车辆进行检查、拍照、取证，必要时将可疑人员及车辆控制在指定区域，并报警处理。</w:t>
            </w:r>
          </w:p>
        </w:tc>
      </w:tr>
      <w:tr>
        <w:tc>
          <w:tcPr>
            <w:tcW w:type="dxa" w:w="2076"/>
          </w:tcPr>
          <w:p/>
        </w:tc>
        <w:tc>
          <w:tcPr>
            <w:tcW w:type="dxa" w:w="415"/>
          </w:tcPr>
          <w:p>
            <w:r>
              <w:rPr/>
              <w:t>13</w:t>
            </w:r>
          </w:p>
        </w:tc>
        <w:tc>
          <w:tcPr>
            <w:tcW w:type="dxa" w:w="5814"/>
          </w:tcPr>
          <w:p>
            <w:r>
              <w:rPr/>
              <w:t>6.结合采购方新院区实时的物防、技防条件，科学、合理布置门岗、交通疏导岗、指引停车岗、停车场看守岗、巡逻岗及重点部位守卫岗等岗位，构建人防、物防、技防“三位一体”的安保防控体系。加强建（构）筑物及运送到院区待安装（或已完成安装）的设备、电器、家具及其他物品的安全防范。必要时，中标方采取固定岗、巡逻岗及弹性排班相结合等多种形式，加强对MRI、CT、直线加速器、供应室、手术室等大型医疗设备及信息中心机房等重要设备、设施的安全防范，确保采购方人、财、物的全面安全。</w:t>
            </w:r>
          </w:p>
        </w:tc>
      </w:tr>
      <w:tr>
        <w:tc>
          <w:tcPr>
            <w:tcW w:type="dxa" w:w="2076"/>
          </w:tcPr>
          <w:p/>
        </w:tc>
        <w:tc>
          <w:tcPr>
            <w:tcW w:type="dxa" w:w="415"/>
          </w:tcPr>
          <w:p>
            <w:r>
              <w:rPr/>
              <w:t>14</w:t>
            </w:r>
          </w:p>
        </w:tc>
        <w:tc>
          <w:tcPr>
            <w:tcW w:type="dxa" w:w="5814"/>
          </w:tcPr>
          <w:p>
            <w:r>
              <w:rPr/>
              <w:t>7.晚上巡逻岗，不能少于2名保安同行，以确保自身安全。</w:t>
            </w:r>
          </w:p>
        </w:tc>
      </w:tr>
      <w:tr>
        <w:tc>
          <w:tcPr>
            <w:tcW w:type="dxa" w:w="2076"/>
          </w:tcPr>
          <w:p/>
        </w:tc>
        <w:tc>
          <w:tcPr>
            <w:tcW w:type="dxa" w:w="415"/>
          </w:tcPr>
          <w:p>
            <w:r>
              <w:rPr/>
              <w:t>15</w:t>
            </w:r>
          </w:p>
        </w:tc>
        <w:tc>
          <w:tcPr>
            <w:tcW w:type="dxa" w:w="5814"/>
          </w:tcPr>
          <w:p>
            <w:r>
              <w:rPr/>
              <w:t>8.举办各种消防演练和培训（包括对医院职工），免费协助医院举办大型反恐和消防演练活动。</w:t>
            </w:r>
          </w:p>
        </w:tc>
      </w:tr>
      <w:tr>
        <w:tc>
          <w:tcPr>
            <w:tcW w:type="dxa" w:w="2076"/>
          </w:tcPr>
          <w:p/>
        </w:tc>
        <w:tc>
          <w:tcPr>
            <w:tcW w:type="dxa" w:w="415"/>
          </w:tcPr>
          <w:p>
            <w:r>
              <w:rPr/>
              <w:t>16</w:t>
            </w:r>
          </w:p>
        </w:tc>
        <w:tc>
          <w:tcPr>
            <w:tcW w:type="dxa" w:w="5814"/>
          </w:tcPr>
          <w:p>
            <w:r>
              <w:rPr/>
              <w:t>9.负责全院的安保工作，包括医院举办大型庆典活动，免费增派保安员做好相关保障任务。</w:t>
            </w:r>
          </w:p>
        </w:tc>
      </w:tr>
      <w:tr>
        <w:tc>
          <w:tcPr>
            <w:tcW w:type="dxa" w:w="2076"/>
          </w:tcPr>
          <w:p/>
        </w:tc>
        <w:tc>
          <w:tcPr>
            <w:tcW w:type="dxa" w:w="415"/>
          </w:tcPr>
          <w:p>
            <w:r>
              <w:rPr/>
              <w:t>17</w:t>
            </w:r>
          </w:p>
        </w:tc>
        <w:tc>
          <w:tcPr>
            <w:tcW w:type="dxa" w:w="5814"/>
          </w:tcPr>
          <w:p>
            <w:r>
              <w:rPr/>
              <w:t>10.维持应急突发事件的现场秩序（医闹、医疗纠纷等），购买电动自行车投入保安员日常巡逻工作中，提升巡逻和应急处理突发事件的能力。</w:t>
            </w:r>
          </w:p>
        </w:tc>
      </w:tr>
      <w:tr>
        <w:tc>
          <w:tcPr>
            <w:tcW w:type="dxa" w:w="2076"/>
          </w:tcPr>
          <w:p/>
        </w:tc>
        <w:tc>
          <w:tcPr>
            <w:tcW w:type="dxa" w:w="415"/>
          </w:tcPr>
          <w:p>
            <w:r>
              <w:rPr/>
              <w:t>18</w:t>
            </w:r>
          </w:p>
        </w:tc>
        <w:tc>
          <w:tcPr>
            <w:tcW w:type="dxa" w:w="5814"/>
          </w:tcPr>
          <w:p>
            <w:r>
              <w:rPr/>
              <w:t>11.交通指引（包括医院外排队车辆）。</w:t>
            </w:r>
          </w:p>
        </w:tc>
      </w:tr>
      <w:tr>
        <w:tc>
          <w:tcPr>
            <w:tcW w:type="dxa" w:w="2076"/>
          </w:tcPr>
          <w:p/>
        </w:tc>
        <w:tc>
          <w:tcPr>
            <w:tcW w:type="dxa" w:w="415"/>
          </w:tcPr>
          <w:p>
            <w:r>
              <w:rPr/>
              <w:t>19</w:t>
            </w:r>
          </w:p>
        </w:tc>
        <w:tc>
          <w:tcPr>
            <w:tcW w:type="dxa" w:w="5814"/>
          </w:tcPr>
          <w:p>
            <w:r>
              <w:rPr/>
              <w:t>12.院区门口测量体温、粤康码检查等防疫工作。</w:t>
            </w:r>
          </w:p>
        </w:tc>
      </w:tr>
      <w:tr>
        <w:tc>
          <w:tcPr>
            <w:tcW w:type="dxa" w:w="2076"/>
          </w:tcPr>
          <w:p/>
        </w:tc>
        <w:tc>
          <w:tcPr>
            <w:tcW w:type="dxa" w:w="415"/>
          </w:tcPr>
          <w:p>
            <w:r>
              <w:rPr/>
              <w:t>20</w:t>
            </w:r>
          </w:p>
        </w:tc>
        <w:tc>
          <w:tcPr>
            <w:tcW w:type="dxa" w:w="5814"/>
          </w:tcPr>
          <w:p>
            <w:r>
              <w:rPr/>
              <w:t>13.临时核酸采样点测量体温、粤康码检查等防疫工作。</w:t>
            </w:r>
          </w:p>
        </w:tc>
      </w:tr>
      <w:tr>
        <w:tc>
          <w:tcPr>
            <w:tcW w:type="dxa" w:w="2076"/>
          </w:tcPr>
          <w:p/>
        </w:tc>
        <w:tc>
          <w:tcPr>
            <w:tcW w:type="dxa" w:w="415"/>
          </w:tcPr>
          <w:p>
            <w:r>
              <w:rPr/>
              <w:t>21</w:t>
            </w:r>
          </w:p>
        </w:tc>
        <w:tc>
          <w:tcPr>
            <w:tcW w:type="dxa" w:w="5814"/>
          </w:tcPr>
          <w:p>
            <w:r>
              <w:rPr/>
              <w:t>14.门诊部、急诊科、发热门诊等预检分诊点配合护士量体温、粤康码检查等防疫工作。</w:t>
            </w:r>
          </w:p>
        </w:tc>
      </w:tr>
      <w:tr>
        <w:tc>
          <w:tcPr>
            <w:tcW w:type="dxa" w:w="2076"/>
          </w:tcPr>
          <w:p/>
        </w:tc>
        <w:tc>
          <w:tcPr>
            <w:tcW w:type="dxa" w:w="415"/>
          </w:tcPr>
          <w:p>
            <w:r>
              <w:rPr/>
              <w:t>22</w:t>
            </w:r>
          </w:p>
        </w:tc>
        <w:tc>
          <w:tcPr>
            <w:tcW w:type="dxa" w:w="5814"/>
          </w:tcPr>
          <w:p>
            <w:r>
              <w:rPr/>
              <w:t>15.发热门诊等特殊岗位维持秩序工作。</w:t>
            </w:r>
          </w:p>
        </w:tc>
      </w:tr>
      <w:tr>
        <w:tc>
          <w:tcPr>
            <w:tcW w:type="dxa" w:w="2076"/>
          </w:tcPr>
          <w:p/>
        </w:tc>
        <w:tc>
          <w:tcPr>
            <w:tcW w:type="dxa" w:w="415"/>
          </w:tcPr>
          <w:p>
            <w:r>
              <w:rPr/>
              <w:t>23</w:t>
            </w:r>
          </w:p>
        </w:tc>
        <w:tc>
          <w:tcPr>
            <w:tcW w:type="dxa" w:w="5814"/>
          </w:tcPr>
          <w:p>
            <w:r>
              <w:rPr/>
              <w:t>16.甄别陪护、探视家属工作。</w:t>
            </w:r>
          </w:p>
        </w:tc>
      </w:tr>
      <w:tr>
        <w:tc>
          <w:tcPr>
            <w:tcW w:type="dxa" w:w="2076"/>
          </w:tcPr>
          <w:p/>
        </w:tc>
        <w:tc>
          <w:tcPr>
            <w:tcW w:type="dxa" w:w="415"/>
          </w:tcPr>
          <w:p>
            <w:r>
              <w:rPr/>
              <w:t>24</w:t>
            </w:r>
          </w:p>
        </w:tc>
        <w:tc>
          <w:tcPr>
            <w:tcW w:type="dxa" w:w="5814"/>
          </w:tcPr>
          <w:p>
            <w:r>
              <w:rPr/>
              <w:t>17.管控“只出不进”门口工作。</w:t>
            </w:r>
          </w:p>
        </w:tc>
      </w:tr>
      <w:tr>
        <w:tc>
          <w:tcPr>
            <w:tcW w:type="dxa" w:w="2076"/>
          </w:tcPr>
          <w:p/>
        </w:tc>
        <w:tc>
          <w:tcPr>
            <w:tcW w:type="dxa" w:w="415"/>
          </w:tcPr>
          <w:p>
            <w:r>
              <w:rPr/>
              <w:t>25</w:t>
            </w:r>
          </w:p>
        </w:tc>
        <w:tc>
          <w:tcPr>
            <w:tcW w:type="dxa" w:w="5814"/>
          </w:tcPr>
          <w:p>
            <w:r>
              <w:rPr/>
              <w:t>18.管控进院人员工作。</w:t>
            </w:r>
          </w:p>
        </w:tc>
      </w:tr>
      <w:tr>
        <w:tc>
          <w:tcPr>
            <w:tcW w:type="dxa" w:w="2076"/>
          </w:tcPr>
          <w:p/>
        </w:tc>
        <w:tc>
          <w:tcPr>
            <w:tcW w:type="dxa" w:w="415"/>
          </w:tcPr>
          <w:p>
            <w:r>
              <w:rPr/>
              <w:t>26</w:t>
            </w:r>
          </w:p>
        </w:tc>
        <w:tc>
          <w:tcPr>
            <w:tcW w:type="dxa" w:w="5814"/>
          </w:tcPr>
          <w:p>
            <w:r>
              <w:rPr/>
              <w:t>19.驾驶接驳电瓶车工作。</w:t>
            </w:r>
          </w:p>
        </w:tc>
      </w:tr>
      <w:tr>
        <w:tc>
          <w:tcPr>
            <w:tcW w:type="dxa" w:w="2076"/>
          </w:tcPr>
          <w:p/>
        </w:tc>
        <w:tc>
          <w:tcPr>
            <w:tcW w:type="dxa" w:w="415"/>
          </w:tcPr>
          <w:p>
            <w:r>
              <w:rPr/>
              <w:t>27</w:t>
            </w:r>
          </w:p>
        </w:tc>
        <w:tc>
          <w:tcPr>
            <w:tcW w:type="dxa" w:w="5814"/>
          </w:tcPr>
          <w:p>
            <w:r>
              <w:rPr/>
              <w:t>20.公交枢钮站进入医院路口管控工作。</w:t>
            </w:r>
          </w:p>
        </w:tc>
      </w:tr>
      <w:tr>
        <w:tc>
          <w:tcPr>
            <w:tcW w:type="dxa" w:w="2076"/>
          </w:tcPr>
          <w:p/>
        </w:tc>
        <w:tc>
          <w:tcPr>
            <w:tcW w:type="dxa" w:w="415"/>
          </w:tcPr>
          <w:p>
            <w:r>
              <w:rPr/>
              <w:t>28</w:t>
            </w:r>
          </w:p>
        </w:tc>
        <w:tc>
          <w:tcPr>
            <w:tcW w:type="dxa" w:w="5814"/>
          </w:tcPr>
          <w:p>
            <w:r>
              <w:rPr/>
              <w:t>21.配合辖区派出所开展工作。</w:t>
            </w:r>
            <w:r>
              <w:br/>
            </w:r>
            <w:r>
              <w:rPr/>
              <w:t xml:space="preserve"> </w:t>
            </w:r>
          </w:p>
        </w:tc>
      </w:tr>
      <w:tr>
        <w:tc>
          <w:tcPr>
            <w:tcW w:type="dxa" w:w="2076"/>
          </w:tcPr>
          <w:p/>
        </w:tc>
        <w:tc>
          <w:tcPr>
            <w:tcW w:type="dxa" w:w="415"/>
          </w:tcPr>
          <w:p>
            <w:r>
              <w:rPr/>
              <w:t>29</w:t>
            </w:r>
          </w:p>
        </w:tc>
        <w:tc>
          <w:tcPr>
            <w:tcW w:type="dxa" w:w="5814"/>
          </w:tcPr>
          <w:p>
            <w:r>
              <w:rPr/>
              <w:t>22.负责接听、传达电话任务，以及与行政总值的电话联络、沟通等。</w:t>
            </w:r>
          </w:p>
        </w:tc>
      </w:tr>
      <w:tr>
        <w:tc>
          <w:tcPr>
            <w:tcW w:type="dxa" w:w="2076"/>
          </w:tcPr>
          <w:p/>
        </w:tc>
        <w:tc>
          <w:tcPr>
            <w:tcW w:type="dxa" w:w="415"/>
          </w:tcPr>
          <w:p>
            <w:r>
              <w:rPr/>
              <w:t>30</w:t>
            </w:r>
          </w:p>
        </w:tc>
        <w:tc>
          <w:tcPr>
            <w:tcW w:type="dxa" w:w="5814"/>
          </w:tcPr>
          <w:p>
            <w:r>
              <w:rPr/>
              <w:t>23.急诊跟车服。</w:t>
            </w:r>
          </w:p>
        </w:tc>
      </w:tr>
      <w:tr>
        <w:tc>
          <w:tcPr>
            <w:tcW w:type="dxa" w:w="2076"/>
          </w:tcPr>
          <w:p/>
        </w:tc>
        <w:tc>
          <w:tcPr>
            <w:tcW w:type="dxa" w:w="415"/>
          </w:tcPr>
          <w:p>
            <w:r>
              <w:rPr/>
              <w:t>31</w:t>
            </w:r>
          </w:p>
        </w:tc>
        <w:tc>
          <w:tcPr>
            <w:tcW w:type="dxa" w:w="5814"/>
          </w:tcPr>
          <w:p>
            <w:r>
              <w:rPr/>
              <w:t>24.提供急诊、门诊门口区域雨天下车接驳服务。</w:t>
            </w:r>
          </w:p>
        </w:tc>
      </w:tr>
      <w:tr>
        <w:tc>
          <w:tcPr>
            <w:tcW w:type="dxa" w:w="2076"/>
          </w:tcPr>
          <w:p/>
        </w:tc>
        <w:tc>
          <w:tcPr>
            <w:tcW w:type="dxa" w:w="415"/>
          </w:tcPr>
          <w:p>
            <w:r>
              <w:rPr/>
              <w:t>32</w:t>
            </w:r>
          </w:p>
        </w:tc>
        <w:tc>
          <w:tcPr>
            <w:tcW w:type="dxa" w:w="5814"/>
          </w:tcPr>
          <w:p>
            <w:r>
              <w:rPr/>
              <w:t>25.为行动不便的病人协助、指引、引导。</w:t>
            </w:r>
          </w:p>
        </w:tc>
      </w:tr>
      <w:tr>
        <w:tc>
          <w:tcPr>
            <w:tcW w:type="dxa" w:w="2076"/>
          </w:tcPr>
          <w:p/>
        </w:tc>
        <w:tc>
          <w:tcPr>
            <w:tcW w:type="dxa" w:w="415"/>
          </w:tcPr>
          <w:p>
            <w:r>
              <w:rPr/>
              <w:t>33</w:t>
            </w:r>
          </w:p>
        </w:tc>
        <w:tc>
          <w:tcPr>
            <w:tcW w:type="dxa" w:w="5814"/>
          </w:tcPr>
          <w:p>
            <w:r>
              <w:rPr/>
              <w:t>26.为特殊人员、重要嘉宾预留停车位工作。</w:t>
            </w:r>
          </w:p>
        </w:tc>
      </w:tr>
      <w:tr>
        <w:tc>
          <w:tcPr>
            <w:tcW w:type="dxa" w:w="2076"/>
          </w:tcPr>
          <w:p/>
        </w:tc>
        <w:tc>
          <w:tcPr>
            <w:tcW w:type="dxa" w:w="415"/>
          </w:tcPr>
          <w:p>
            <w:r>
              <w:rPr/>
              <w:t>34</w:t>
            </w:r>
          </w:p>
        </w:tc>
        <w:tc>
          <w:tcPr>
            <w:tcW w:type="dxa" w:w="5814"/>
          </w:tcPr>
          <w:p>
            <w:r>
              <w:rPr/>
              <w:t>27.根据采购方需要，增派教官为采购方员工子女免费组织夏令营军事科目培训。</w:t>
            </w:r>
          </w:p>
        </w:tc>
      </w:tr>
      <w:tr>
        <w:tc>
          <w:tcPr>
            <w:tcW w:type="dxa" w:w="2076"/>
          </w:tcPr>
          <w:p/>
        </w:tc>
        <w:tc>
          <w:tcPr>
            <w:tcW w:type="dxa" w:w="415"/>
          </w:tcPr>
          <w:p>
            <w:r>
              <w:rPr/>
              <w:t>35</w:t>
            </w:r>
          </w:p>
        </w:tc>
        <w:tc>
          <w:tcPr>
            <w:tcW w:type="dxa" w:w="5814"/>
          </w:tcPr>
          <w:p>
            <w:r>
              <w:rPr/>
              <w:t>28.根据采购方需求，在场地允许情况下，提供洗汽车服务，职工车按比例（双方协商议定）提供洗车优惠券。</w:t>
            </w:r>
          </w:p>
        </w:tc>
      </w:tr>
      <w:tr>
        <w:tc>
          <w:tcPr>
            <w:tcW w:type="dxa" w:w="2076"/>
          </w:tcPr>
          <w:p/>
        </w:tc>
        <w:tc>
          <w:tcPr>
            <w:tcW w:type="dxa" w:w="415"/>
          </w:tcPr>
          <w:p>
            <w:r>
              <w:rPr/>
              <w:t>36</w:t>
            </w:r>
          </w:p>
        </w:tc>
        <w:tc>
          <w:tcPr>
            <w:tcW w:type="dxa" w:w="5814"/>
          </w:tcPr>
          <w:p>
            <w:r>
              <w:rPr/>
              <w:t>29.根据采购方需求，为采购方员工免费提供反恐、安防培训。</w:t>
            </w:r>
          </w:p>
        </w:tc>
      </w:tr>
      <w:tr>
        <w:tc>
          <w:tcPr>
            <w:tcW w:type="dxa" w:w="2076"/>
          </w:tcPr>
          <w:p/>
        </w:tc>
        <w:tc>
          <w:tcPr>
            <w:tcW w:type="dxa" w:w="415"/>
          </w:tcPr>
          <w:p>
            <w:r>
              <w:rPr/>
              <w:t>37</w:t>
            </w:r>
          </w:p>
        </w:tc>
        <w:tc>
          <w:tcPr>
            <w:tcW w:type="dxa" w:w="5814"/>
          </w:tcPr>
          <w:p>
            <w:r>
              <w:rPr/>
              <w:t>30.接到采购方增加人员通知后，在24小时内落实人员到岗、到位。</w:t>
            </w:r>
          </w:p>
        </w:tc>
      </w:tr>
      <w:tr>
        <w:tc>
          <w:tcPr>
            <w:tcW w:type="dxa" w:w="2076"/>
          </w:tcPr>
          <w:p/>
        </w:tc>
        <w:tc>
          <w:tcPr>
            <w:tcW w:type="dxa" w:w="415"/>
          </w:tcPr>
          <w:p>
            <w:r>
              <w:rPr/>
              <w:t>38</w:t>
            </w:r>
          </w:p>
        </w:tc>
        <w:tc>
          <w:tcPr>
            <w:tcW w:type="dxa" w:w="5814"/>
          </w:tcPr>
          <w:p>
            <w:r>
              <w:rPr/>
              <w:t>31.强化劳动纪律管理和层级管理，员工在工作期间不得随意离开工作岗位，管理人员不在岗或休假须交由其他管理人员代管，以监督工作质量及应对突发事件。</w:t>
            </w:r>
          </w:p>
        </w:tc>
      </w:tr>
      <w:tr>
        <w:tc>
          <w:tcPr>
            <w:tcW w:type="dxa" w:w="2076"/>
          </w:tcPr>
          <w:p/>
        </w:tc>
        <w:tc>
          <w:tcPr>
            <w:tcW w:type="dxa" w:w="415"/>
          </w:tcPr>
          <w:p>
            <w:r>
              <w:rPr/>
              <w:t>39</w:t>
            </w:r>
          </w:p>
        </w:tc>
        <w:tc>
          <w:tcPr>
            <w:tcW w:type="dxa" w:w="5814"/>
          </w:tcPr>
          <w:p>
            <w:r>
              <w:rPr/>
              <w:t>32.不限于上述列出的服务内容、范围及具体要求，中标方还需完成采购方临时交办的工作任务。</w:t>
            </w:r>
          </w:p>
        </w:tc>
      </w:tr>
      <w:tr>
        <w:tc>
          <w:tcPr>
            <w:tcW w:type="dxa" w:w="2076"/>
          </w:tcPr>
          <w:p/>
        </w:tc>
        <w:tc>
          <w:tcPr>
            <w:tcW w:type="dxa" w:w="415"/>
          </w:tcPr>
          <w:p>
            <w:r>
              <w:rPr/>
              <w:t>40</w:t>
            </w:r>
          </w:p>
        </w:tc>
        <w:tc>
          <w:tcPr>
            <w:tcW w:type="dxa" w:w="5814"/>
          </w:tcPr>
          <w:p>
            <w:r>
              <w:rPr/>
              <w:t>三、人员配置与素质要求</w:t>
            </w:r>
          </w:p>
        </w:tc>
      </w:tr>
      <w:tr>
        <w:tc>
          <w:tcPr>
            <w:tcW w:type="dxa" w:w="2076"/>
          </w:tcPr>
          <w:p/>
        </w:tc>
        <w:tc>
          <w:tcPr>
            <w:tcW w:type="dxa" w:w="415"/>
          </w:tcPr>
          <w:p>
            <w:r>
              <w:rPr/>
              <w:t>41</w:t>
            </w:r>
          </w:p>
        </w:tc>
        <w:tc>
          <w:tcPr>
            <w:tcW w:type="dxa" w:w="5814"/>
          </w:tcPr>
          <w:p>
            <w:r>
              <w:rPr/>
              <w:t>（一）人员配置</w:t>
            </w:r>
          </w:p>
        </w:tc>
      </w:tr>
      <w:tr>
        <w:tc>
          <w:tcPr>
            <w:tcW w:type="dxa" w:w="2076"/>
          </w:tcPr>
          <w:p/>
        </w:tc>
        <w:tc>
          <w:tcPr>
            <w:tcW w:type="dxa" w:w="415"/>
          </w:tcPr>
          <w:p>
            <w:r>
              <w:rPr/>
              <w:t>42</w:t>
            </w:r>
          </w:p>
        </w:tc>
        <w:tc>
          <w:tcPr>
            <w:tcW w:type="dxa" w:w="5814"/>
          </w:tcPr>
          <w:p>
            <w:r>
              <w:rPr/>
              <w:t>根据采购方需求，中标方按需增派保安。中标方有提出增派保安建议权，经中标方、采购方双方协调后，科学配置保安岗位、人员。主要负责安全保卫、治安管理、反恐安全管理、停车场管理、消防安全管理、消防及视频监控，以及疫情防控等采购方所有安全管理。</w:t>
            </w:r>
          </w:p>
        </w:tc>
      </w:tr>
      <w:tr>
        <w:tc>
          <w:tcPr>
            <w:tcW w:type="dxa" w:w="2076"/>
          </w:tcPr>
          <w:p/>
        </w:tc>
        <w:tc>
          <w:tcPr>
            <w:tcW w:type="dxa" w:w="415"/>
          </w:tcPr>
          <w:p>
            <w:r>
              <w:rPr/>
              <w:t>43</w:t>
            </w:r>
          </w:p>
        </w:tc>
        <w:tc>
          <w:tcPr>
            <w:tcW w:type="dxa" w:w="5814"/>
          </w:tcPr>
          <w:p>
            <w:r>
              <w:rPr/>
              <w:t>（二）人员素质要求</w:t>
            </w:r>
          </w:p>
        </w:tc>
      </w:tr>
      <w:tr>
        <w:tc>
          <w:tcPr>
            <w:tcW w:type="dxa" w:w="2076"/>
          </w:tcPr>
          <w:p/>
        </w:tc>
        <w:tc>
          <w:tcPr>
            <w:tcW w:type="dxa" w:w="415"/>
          </w:tcPr>
          <w:p>
            <w:r>
              <w:rPr/>
              <w:t>44</w:t>
            </w:r>
          </w:p>
        </w:tc>
        <w:tc>
          <w:tcPr>
            <w:tcW w:type="dxa" w:w="5814"/>
          </w:tcPr>
          <w:p>
            <w:r>
              <w:rPr/>
              <w:t>1.项目经理：男，年龄 45岁以下，退伍军人，高中以上文化，有3年以上保安管理工作经验，政治素质过硬，身体健康，仪表大方，身高在 1.70 米以上，组织能力强，具有良好的语言表达能力和较强的沟通、协调能力，能对保安队伍独立开展培训、指导工作。</w:t>
            </w:r>
          </w:p>
        </w:tc>
      </w:tr>
      <w:tr>
        <w:tc>
          <w:tcPr>
            <w:tcW w:type="dxa" w:w="2076"/>
          </w:tcPr>
          <w:p/>
        </w:tc>
        <w:tc>
          <w:tcPr>
            <w:tcW w:type="dxa" w:w="415"/>
          </w:tcPr>
          <w:p>
            <w:r>
              <w:rPr/>
              <w:t>45</w:t>
            </w:r>
          </w:p>
        </w:tc>
        <w:tc>
          <w:tcPr>
            <w:tcW w:type="dxa" w:w="5814"/>
          </w:tcPr>
          <w:p>
            <w:r>
              <w:rPr/>
              <w:t>2.副经理/领班：年龄 45 岁以下，退伍军人，高中以上文化，有1年以上保安管理工作经验，政治素质过硬，身体健康，仪表大方， 身高在 1.70 米以上，组织能力强，具有良好的语言表达能力和较强的沟通、协调能力，能对保安队伍独立开展培训、指导工作。</w:t>
            </w:r>
          </w:p>
        </w:tc>
      </w:tr>
      <w:tr>
        <w:tc>
          <w:tcPr>
            <w:tcW w:type="dxa" w:w="2076"/>
          </w:tcPr>
          <w:p/>
        </w:tc>
        <w:tc>
          <w:tcPr>
            <w:tcW w:type="dxa" w:w="415"/>
          </w:tcPr>
          <w:p>
            <w:r>
              <w:rPr/>
              <w:t>46</w:t>
            </w:r>
          </w:p>
        </w:tc>
        <w:tc>
          <w:tcPr>
            <w:tcW w:type="dxa" w:w="5814"/>
          </w:tcPr>
          <w:p>
            <w:r>
              <w:rPr/>
              <w:t>3.文员：男性年龄 18-45 岁，身高 1.70 米以上；女性年龄 18-45岁，身高 1.55 米以上；高中以上学历，有良好的文字表达能力；有良好的电脑操作能力，能够精通使用Windows  Office 下的各种办公软件；粤语、普通话流利。</w:t>
            </w:r>
          </w:p>
        </w:tc>
      </w:tr>
      <w:tr>
        <w:tc>
          <w:tcPr>
            <w:tcW w:type="dxa" w:w="2076"/>
          </w:tcPr>
          <w:p/>
        </w:tc>
        <w:tc>
          <w:tcPr>
            <w:tcW w:type="dxa" w:w="415"/>
          </w:tcPr>
          <w:p>
            <w:r>
              <w:rPr/>
              <w:t>47</w:t>
            </w:r>
          </w:p>
        </w:tc>
        <w:tc>
          <w:tcPr>
            <w:tcW w:type="dxa" w:w="5814"/>
          </w:tcPr>
          <w:p>
            <w:r>
              <w:rPr/>
              <w:t>4.保安员：男性年龄 18-45岁，身高 1.70 米以上，女性年龄 18-45岁，身高 1.55 米以上，初中以上文化水平，有一定的语言表达能力，具有一年以上相关工作经验。身体健康，仪表大方，无传染病，无残疾，无明显疤痕或标记。遵纪守法、品行良好，无违法、犯罪记录。</w:t>
            </w:r>
          </w:p>
        </w:tc>
      </w:tr>
      <w:tr>
        <w:tc>
          <w:tcPr>
            <w:tcW w:type="dxa" w:w="2076"/>
          </w:tcPr>
          <w:p>
            <w:r>
              <w:rPr/>
              <w:t>★</w:t>
            </w:r>
          </w:p>
        </w:tc>
        <w:tc>
          <w:tcPr>
            <w:tcW w:type="dxa" w:w="415"/>
          </w:tcPr>
          <w:p>
            <w:r>
              <w:rPr/>
              <w:t>48</w:t>
            </w:r>
          </w:p>
        </w:tc>
        <w:tc>
          <w:tcPr>
            <w:tcW w:type="dxa" w:w="5814"/>
          </w:tcPr>
          <w:p>
            <w:r>
              <w:rPr/>
              <w:t>★5.接驳电屏车驾驶员：男性年龄 18-45岁，身高 1.70 米以上，女性年龄 18-45岁，身高 1.55 米以上，初中以上文化水平，具有准驾车型C1E或以上的驾驶证。</w:t>
            </w:r>
          </w:p>
        </w:tc>
      </w:tr>
      <w:tr>
        <w:tc>
          <w:tcPr>
            <w:tcW w:type="dxa" w:w="2076"/>
          </w:tcPr>
          <w:p>
            <w:r>
              <w:rPr/>
              <w:t>★</w:t>
            </w:r>
          </w:p>
        </w:tc>
        <w:tc>
          <w:tcPr>
            <w:tcW w:type="dxa" w:w="415"/>
          </w:tcPr>
          <w:p>
            <w:r>
              <w:rPr/>
              <w:t>49</w:t>
            </w:r>
          </w:p>
        </w:tc>
        <w:tc>
          <w:tcPr>
            <w:tcW w:type="dxa" w:w="5814"/>
          </w:tcPr>
          <w:p>
            <w:r>
              <w:rPr/>
              <w:t>★6.在保安队伍中，退役军人比例不低于15﹪，其中，要求特种部队退役军人不低于3人，以随时应对医院突发治安事件或反恐特勤需要。</w:t>
            </w:r>
          </w:p>
        </w:tc>
      </w:tr>
      <w:tr>
        <w:tc>
          <w:tcPr>
            <w:tcW w:type="dxa" w:w="2076"/>
          </w:tcPr>
          <w:p/>
        </w:tc>
        <w:tc>
          <w:tcPr>
            <w:tcW w:type="dxa" w:w="415"/>
          </w:tcPr>
          <w:p>
            <w:r>
              <w:rPr/>
              <w:t>50</w:t>
            </w:r>
          </w:p>
        </w:tc>
        <w:tc>
          <w:tcPr>
            <w:tcW w:type="dxa" w:w="5814"/>
          </w:tcPr>
          <w:p>
            <w:r>
              <w:rPr/>
              <w:t>四、安全责任</w:t>
            </w:r>
          </w:p>
        </w:tc>
      </w:tr>
      <w:tr>
        <w:tc>
          <w:tcPr>
            <w:tcW w:type="dxa" w:w="2076"/>
          </w:tcPr>
          <w:p/>
        </w:tc>
        <w:tc>
          <w:tcPr>
            <w:tcW w:type="dxa" w:w="415"/>
          </w:tcPr>
          <w:p>
            <w:r>
              <w:rPr/>
              <w:t>51</w:t>
            </w:r>
          </w:p>
        </w:tc>
        <w:tc>
          <w:tcPr>
            <w:tcW w:type="dxa" w:w="5814"/>
          </w:tcPr>
          <w:p>
            <w:r>
              <w:rPr/>
              <w:t>1.中标方保安不得在采购方室内、室外、工地、设备房等场所吸烟、明火取暖或明火煮食。</w:t>
            </w:r>
          </w:p>
        </w:tc>
      </w:tr>
      <w:tr>
        <w:tc>
          <w:tcPr>
            <w:tcW w:type="dxa" w:w="2076"/>
          </w:tcPr>
          <w:p/>
        </w:tc>
        <w:tc>
          <w:tcPr>
            <w:tcW w:type="dxa" w:w="415"/>
          </w:tcPr>
          <w:p>
            <w:r>
              <w:rPr/>
              <w:t>52</w:t>
            </w:r>
          </w:p>
        </w:tc>
        <w:tc>
          <w:tcPr>
            <w:tcW w:type="dxa" w:w="5814"/>
          </w:tcPr>
          <w:p>
            <w:r>
              <w:rPr/>
              <w:t>2.中标方保安不得在采购方工地搭建窝棚、随地大小便。</w:t>
            </w:r>
          </w:p>
        </w:tc>
      </w:tr>
      <w:tr>
        <w:tc>
          <w:tcPr>
            <w:tcW w:type="dxa" w:w="2076"/>
          </w:tcPr>
          <w:p/>
        </w:tc>
        <w:tc>
          <w:tcPr>
            <w:tcW w:type="dxa" w:w="415"/>
          </w:tcPr>
          <w:p>
            <w:r>
              <w:rPr/>
              <w:t>53</w:t>
            </w:r>
          </w:p>
        </w:tc>
        <w:tc>
          <w:tcPr>
            <w:tcW w:type="dxa" w:w="5814"/>
          </w:tcPr>
          <w:p>
            <w:r>
              <w:rPr/>
              <w:t>3.监控值班室保安必须落实“双人双岗”值班。</w:t>
            </w:r>
          </w:p>
        </w:tc>
      </w:tr>
      <w:tr>
        <w:tc>
          <w:tcPr>
            <w:tcW w:type="dxa" w:w="2076"/>
          </w:tcPr>
          <w:p/>
        </w:tc>
        <w:tc>
          <w:tcPr>
            <w:tcW w:type="dxa" w:w="415"/>
          </w:tcPr>
          <w:p>
            <w:r>
              <w:rPr/>
              <w:t>54</w:t>
            </w:r>
          </w:p>
        </w:tc>
        <w:tc>
          <w:tcPr>
            <w:tcW w:type="dxa" w:w="5814"/>
          </w:tcPr>
          <w:p>
            <w:r>
              <w:rPr/>
              <w:t>4.巡逻保安晚上必须落实双人值班。</w:t>
            </w:r>
          </w:p>
        </w:tc>
      </w:tr>
      <w:tr>
        <w:tc>
          <w:tcPr>
            <w:tcW w:type="dxa" w:w="2076"/>
          </w:tcPr>
          <w:p/>
        </w:tc>
        <w:tc>
          <w:tcPr>
            <w:tcW w:type="dxa" w:w="415"/>
          </w:tcPr>
          <w:p>
            <w:r>
              <w:rPr/>
              <w:t>55</w:t>
            </w:r>
          </w:p>
        </w:tc>
        <w:tc>
          <w:tcPr>
            <w:tcW w:type="dxa" w:w="5814"/>
          </w:tcPr>
          <w:p>
            <w:r>
              <w:rPr/>
              <w:t>5.中标方需为保安佩备手电筒、警棍等安全防护设备。</w:t>
            </w:r>
          </w:p>
        </w:tc>
      </w:tr>
      <w:tr>
        <w:tc>
          <w:tcPr>
            <w:tcW w:type="dxa" w:w="2076"/>
          </w:tcPr>
          <w:p/>
        </w:tc>
        <w:tc>
          <w:tcPr>
            <w:tcW w:type="dxa" w:w="415"/>
          </w:tcPr>
          <w:p>
            <w:r>
              <w:rPr/>
              <w:t>56</w:t>
            </w:r>
          </w:p>
        </w:tc>
        <w:tc>
          <w:tcPr>
            <w:tcW w:type="dxa" w:w="5814"/>
          </w:tcPr>
          <w:p>
            <w:r>
              <w:rPr/>
              <w:t>6.中标方不得招有前科的人员进入保安队伍。保安在进入采购方工作后，有违法行为的，须无条件辞退。</w:t>
            </w:r>
          </w:p>
        </w:tc>
      </w:tr>
      <w:tr>
        <w:tc>
          <w:tcPr>
            <w:tcW w:type="dxa" w:w="2076"/>
          </w:tcPr>
          <w:p/>
        </w:tc>
        <w:tc>
          <w:tcPr>
            <w:tcW w:type="dxa" w:w="415"/>
          </w:tcPr>
          <w:p>
            <w:r>
              <w:rPr/>
              <w:t>57</w:t>
            </w:r>
          </w:p>
        </w:tc>
        <w:tc>
          <w:tcPr>
            <w:tcW w:type="dxa" w:w="5814"/>
          </w:tcPr>
          <w:p>
            <w:r>
              <w:rPr/>
              <w:t>7.无因管理疏忽造成的治安案件。如因中标方管理不善而造成采购方设备、财物、车辆等被盗失窃现象，由中标方承担相应法律责任及经济责任；如因中标方工作人员盗窃行为而致采购方设备、财物受到损失的，中标方负全部责任；如因中标方工作人员伙同他人共同作案而致采购方设备、财物受到损失的，按主犯、从犯性质，确定中标方责任程度。</w:t>
            </w:r>
          </w:p>
        </w:tc>
      </w:tr>
      <w:tr>
        <w:tc>
          <w:tcPr>
            <w:tcW w:type="dxa" w:w="2076"/>
          </w:tcPr>
          <w:p/>
        </w:tc>
        <w:tc>
          <w:tcPr>
            <w:tcW w:type="dxa" w:w="415"/>
          </w:tcPr>
          <w:p>
            <w:r>
              <w:rPr/>
              <w:t>58</w:t>
            </w:r>
          </w:p>
        </w:tc>
        <w:tc>
          <w:tcPr>
            <w:tcW w:type="dxa" w:w="5814"/>
          </w:tcPr>
          <w:p>
            <w:r>
              <w:rPr/>
              <w:t>8.无因管理疏忽造成的恶意破坏事件。如因中标方工作人员恶意破坏行为而致采购方设备、财物受到损失的，中标方负全部责任；如因中标方工作人员伙同他人共同破坏而致采购方设备、财物受到损失的，按主犯、从犯性质，确定中标方责任程度。</w:t>
            </w:r>
          </w:p>
        </w:tc>
      </w:tr>
      <w:tr>
        <w:tc>
          <w:tcPr>
            <w:tcW w:type="dxa" w:w="2076"/>
          </w:tcPr>
          <w:p/>
        </w:tc>
        <w:tc>
          <w:tcPr>
            <w:tcW w:type="dxa" w:w="415"/>
          </w:tcPr>
          <w:p>
            <w:r>
              <w:rPr/>
              <w:t>59</w:t>
            </w:r>
          </w:p>
        </w:tc>
        <w:tc>
          <w:tcPr>
            <w:tcW w:type="dxa" w:w="5814"/>
          </w:tcPr>
          <w:p>
            <w:r>
              <w:rPr/>
              <w:t>五、服务质量指标与质量要求</w:t>
            </w:r>
          </w:p>
        </w:tc>
      </w:tr>
      <w:tr>
        <w:tc>
          <w:tcPr>
            <w:tcW w:type="dxa" w:w="2076"/>
          </w:tcPr>
          <w:p>
            <w:r>
              <w:rPr/>
              <w:t>★</w:t>
            </w:r>
          </w:p>
        </w:tc>
        <w:tc>
          <w:tcPr>
            <w:tcW w:type="dxa" w:w="415"/>
          </w:tcPr>
          <w:p>
            <w:r>
              <w:rPr/>
              <w:t>60</w:t>
            </w:r>
          </w:p>
        </w:tc>
        <w:tc>
          <w:tcPr>
            <w:tcW w:type="dxa" w:w="5814"/>
          </w:tcPr>
          <w:p>
            <w:r>
              <w:rPr/>
              <w:t>★1.满意度与扣罚：</w:t>
            </w:r>
          </w:p>
        </w:tc>
      </w:tr>
      <w:tr>
        <w:tc>
          <w:tcPr>
            <w:tcW w:type="dxa" w:w="2076"/>
          </w:tcPr>
          <w:p/>
        </w:tc>
        <w:tc>
          <w:tcPr>
            <w:tcW w:type="dxa" w:w="415"/>
          </w:tcPr>
          <w:p>
            <w:r>
              <w:rPr/>
              <w:t>61</w:t>
            </w:r>
          </w:p>
        </w:tc>
        <w:tc>
          <w:tcPr>
            <w:tcW w:type="dxa" w:w="5814"/>
          </w:tcPr>
          <w:p>
            <w:r>
              <w:rPr/>
              <w:t>职工、第三方测评公司对中标方管理综合满意率90﹪以上。</w:t>
            </w:r>
          </w:p>
        </w:tc>
      </w:tr>
      <w:tr>
        <w:tc>
          <w:tcPr>
            <w:tcW w:type="dxa" w:w="2076"/>
          </w:tcPr>
          <w:p/>
        </w:tc>
        <w:tc>
          <w:tcPr>
            <w:tcW w:type="dxa" w:w="415"/>
          </w:tcPr>
          <w:p>
            <w:r>
              <w:rPr/>
              <w:t>62</w:t>
            </w:r>
          </w:p>
        </w:tc>
        <w:tc>
          <w:tcPr>
            <w:tcW w:type="dxa" w:w="5814"/>
          </w:tcPr>
          <w:p>
            <w:r>
              <w:rPr/>
              <w:t>①如职工满意度≤80﹪，采购方则按照每降低1个百分比对中标方予以人民币500元进行扣罚。</w:t>
            </w:r>
          </w:p>
        </w:tc>
      </w:tr>
      <w:tr>
        <w:tc>
          <w:tcPr>
            <w:tcW w:type="dxa" w:w="2076"/>
          </w:tcPr>
          <w:p/>
        </w:tc>
        <w:tc>
          <w:tcPr>
            <w:tcW w:type="dxa" w:w="415"/>
          </w:tcPr>
          <w:p>
            <w:r>
              <w:rPr/>
              <w:t>63</w:t>
            </w:r>
          </w:p>
        </w:tc>
        <w:tc>
          <w:tcPr>
            <w:tcW w:type="dxa" w:w="5814"/>
          </w:tcPr>
          <w:p>
            <w:r>
              <w:rPr/>
              <w:t>②第三方测评≤80﹪，采购方则按照每降低1个百分比对中标方予以人民币500元进行扣罚。</w:t>
            </w:r>
          </w:p>
        </w:tc>
      </w:tr>
      <w:tr>
        <w:tc>
          <w:tcPr>
            <w:tcW w:type="dxa" w:w="2076"/>
          </w:tcPr>
          <w:p/>
        </w:tc>
        <w:tc>
          <w:tcPr>
            <w:tcW w:type="dxa" w:w="415"/>
          </w:tcPr>
          <w:p>
            <w:r>
              <w:rPr/>
              <w:t>64</w:t>
            </w:r>
          </w:p>
        </w:tc>
        <w:tc>
          <w:tcPr>
            <w:tcW w:type="dxa" w:w="5814"/>
          </w:tcPr>
          <w:p>
            <w:r>
              <w:rPr/>
              <w:t>③收到职工的有效投诉，经核实后视情节轻重采购方对中标方予以人民币100-500元/次进行扣罚。</w:t>
            </w:r>
          </w:p>
        </w:tc>
      </w:tr>
      <w:tr>
        <w:tc>
          <w:tcPr>
            <w:tcW w:type="dxa" w:w="2076"/>
          </w:tcPr>
          <w:p/>
        </w:tc>
        <w:tc>
          <w:tcPr>
            <w:tcW w:type="dxa" w:w="415"/>
          </w:tcPr>
          <w:p>
            <w:r>
              <w:rPr/>
              <w:t>65</w:t>
            </w:r>
          </w:p>
        </w:tc>
        <w:tc>
          <w:tcPr>
            <w:tcW w:type="dxa" w:w="5814"/>
          </w:tcPr>
          <w:p>
            <w:r>
              <w:rPr/>
              <w:t>2.职工有效投诉率控制在2﹪内，处理率达100﹪。</w:t>
            </w:r>
          </w:p>
        </w:tc>
      </w:tr>
      <w:tr>
        <w:tc>
          <w:tcPr>
            <w:tcW w:type="dxa" w:w="2076"/>
          </w:tcPr>
          <w:p/>
        </w:tc>
        <w:tc>
          <w:tcPr>
            <w:tcW w:type="dxa" w:w="415"/>
          </w:tcPr>
          <w:p>
            <w:r>
              <w:rPr/>
              <w:t>66</w:t>
            </w:r>
          </w:p>
        </w:tc>
        <w:tc>
          <w:tcPr>
            <w:tcW w:type="dxa" w:w="5814"/>
          </w:tcPr>
          <w:p>
            <w:r>
              <w:rPr/>
              <w:t>3.有岗前培训、技能培训及针对特殊工种的职业技术培训计划；有完善的培训大纲及培训手册；有内部培训机构，有专门培训人员，且必须有1名以上有保安工作经历的人员担任培训教练；新入职保安必须经过岗前培训，经考核合格后方能上岗。管理人员及保安员专业培训合格率100﹪。</w:t>
            </w:r>
          </w:p>
        </w:tc>
      </w:tr>
      <w:tr>
        <w:tc>
          <w:tcPr>
            <w:tcW w:type="dxa" w:w="2076"/>
          </w:tcPr>
          <w:p/>
        </w:tc>
        <w:tc>
          <w:tcPr>
            <w:tcW w:type="dxa" w:w="415"/>
          </w:tcPr>
          <w:p>
            <w:r>
              <w:rPr/>
              <w:t>67</w:t>
            </w:r>
          </w:p>
        </w:tc>
        <w:tc>
          <w:tcPr>
            <w:tcW w:type="dxa" w:w="5814"/>
          </w:tcPr>
          <w:p>
            <w:r>
              <w:rPr/>
              <w:t>4.档案资料完整率达100﹪。</w:t>
            </w:r>
          </w:p>
        </w:tc>
      </w:tr>
      <w:tr>
        <w:tc>
          <w:tcPr>
            <w:tcW w:type="dxa" w:w="2076"/>
          </w:tcPr>
          <w:p/>
        </w:tc>
        <w:tc>
          <w:tcPr>
            <w:tcW w:type="dxa" w:w="415"/>
          </w:tcPr>
          <w:p>
            <w:r>
              <w:rPr/>
              <w:t>68</w:t>
            </w:r>
          </w:p>
        </w:tc>
        <w:tc>
          <w:tcPr>
            <w:tcW w:type="dxa" w:w="5814"/>
          </w:tcPr>
          <w:p>
            <w:r>
              <w:rPr/>
              <w:t>5.无因管理疏忽造成火灾事故，火灾发生率0；消防设施完好率100﹪。</w:t>
            </w:r>
          </w:p>
        </w:tc>
      </w:tr>
      <w:tr>
        <w:tc>
          <w:tcPr>
            <w:tcW w:type="dxa" w:w="2076"/>
          </w:tcPr>
          <w:p/>
        </w:tc>
        <w:tc>
          <w:tcPr>
            <w:tcW w:type="dxa" w:w="415"/>
          </w:tcPr>
          <w:p>
            <w:r>
              <w:rPr/>
              <w:t>69</w:t>
            </w:r>
          </w:p>
        </w:tc>
        <w:tc>
          <w:tcPr>
            <w:tcW w:type="dxa" w:w="5814"/>
          </w:tcPr>
          <w:p>
            <w:r>
              <w:rPr/>
              <w:t>6.接到消防中心报警，保安员应在3分钟内到达报警点核实情况，消防隐患处理及时率100﹪；如属火警迅速组织灭火和应急疏散，处理及时率100﹪。</w:t>
            </w:r>
          </w:p>
        </w:tc>
      </w:tr>
      <w:tr>
        <w:tc>
          <w:tcPr>
            <w:tcW w:type="dxa" w:w="2076"/>
          </w:tcPr>
          <w:p/>
        </w:tc>
        <w:tc>
          <w:tcPr>
            <w:tcW w:type="dxa" w:w="415"/>
          </w:tcPr>
          <w:p>
            <w:r>
              <w:rPr/>
              <w:t>70</w:t>
            </w:r>
          </w:p>
        </w:tc>
        <w:tc>
          <w:tcPr>
            <w:tcW w:type="dxa" w:w="5814"/>
          </w:tcPr>
          <w:p>
            <w:r>
              <w:rPr/>
              <w:t>7.治安案件报告、处理及时率100﹪。</w:t>
            </w:r>
          </w:p>
        </w:tc>
      </w:tr>
      <w:tr>
        <w:tc>
          <w:tcPr>
            <w:tcW w:type="dxa" w:w="2076"/>
          </w:tcPr>
          <w:p/>
        </w:tc>
        <w:tc>
          <w:tcPr>
            <w:tcW w:type="dxa" w:w="415"/>
          </w:tcPr>
          <w:p>
            <w:r>
              <w:rPr/>
              <w:t>71</w:t>
            </w:r>
          </w:p>
        </w:tc>
        <w:tc>
          <w:tcPr>
            <w:tcW w:type="dxa" w:w="5814"/>
          </w:tcPr>
          <w:p>
            <w:r>
              <w:rPr/>
              <w:t>8.视频查阅、复制审批制度，执行率100﹪。</w:t>
            </w:r>
          </w:p>
        </w:tc>
      </w:tr>
      <w:tr>
        <w:tc>
          <w:tcPr>
            <w:tcW w:type="dxa" w:w="2076"/>
          </w:tcPr>
          <w:p/>
        </w:tc>
        <w:tc>
          <w:tcPr>
            <w:tcW w:type="dxa" w:w="415"/>
          </w:tcPr>
          <w:p>
            <w:r>
              <w:rPr/>
              <w:t>72</w:t>
            </w:r>
          </w:p>
        </w:tc>
        <w:tc>
          <w:tcPr>
            <w:tcW w:type="dxa" w:w="5814"/>
          </w:tcPr>
          <w:p>
            <w:r>
              <w:rPr/>
              <w:t>9.完成院方临时交办的工作任务，响应及时率100﹪。</w:t>
            </w:r>
          </w:p>
        </w:tc>
      </w:tr>
      <w:tr>
        <w:tc>
          <w:tcPr>
            <w:tcW w:type="dxa" w:w="2076"/>
          </w:tcPr>
          <w:p/>
        </w:tc>
        <w:tc>
          <w:tcPr>
            <w:tcW w:type="dxa" w:w="415"/>
          </w:tcPr>
          <w:p>
            <w:r>
              <w:rPr/>
              <w:t>73</w:t>
            </w:r>
          </w:p>
        </w:tc>
        <w:tc>
          <w:tcPr>
            <w:tcW w:type="dxa" w:w="5814"/>
          </w:tcPr>
          <w:p>
            <w:r>
              <w:rPr/>
              <w:t>10.对医院的各种应急预案、应急处理，中标方响应率100﹪。</w:t>
            </w:r>
          </w:p>
        </w:tc>
      </w:tr>
      <w:tr>
        <w:tc>
          <w:tcPr>
            <w:tcW w:type="dxa" w:w="2076"/>
          </w:tcPr>
          <w:p/>
        </w:tc>
        <w:tc>
          <w:tcPr>
            <w:tcW w:type="dxa" w:w="415"/>
          </w:tcPr>
          <w:p>
            <w:r>
              <w:rPr/>
              <w:t>74</w:t>
            </w:r>
          </w:p>
        </w:tc>
        <w:tc>
          <w:tcPr>
            <w:tcW w:type="dxa" w:w="5814"/>
          </w:tcPr>
          <w:p>
            <w:r>
              <w:rPr/>
              <w:t>11.确保道路交通、停车秩序良好，无因管理不当造成停车混乱。</w:t>
            </w:r>
          </w:p>
        </w:tc>
      </w:tr>
      <w:tr>
        <w:tc>
          <w:tcPr>
            <w:tcW w:type="dxa" w:w="2076"/>
          </w:tcPr>
          <w:p/>
        </w:tc>
        <w:tc>
          <w:tcPr>
            <w:tcW w:type="dxa" w:w="415"/>
          </w:tcPr>
          <w:p>
            <w:r>
              <w:rPr/>
              <w:t>75</w:t>
            </w:r>
          </w:p>
        </w:tc>
        <w:tc>
          <w:tcPr>
            <w:tcW w:type="dxa" w:w="5814"/>
          </w:tcPr>
          <w:p>
            <w:r>
              <w:rPr/>
              <w:t>12.消防中心控制室值班员等特种作业人员，持证上岗率100﹪。</w:t>
            </w:r>
          </w:p>
        </w:tc>
      </w:tr>
      <w:tr>
        <w:tc>
          <w:tcPr>
            <w:tcW w:type="dxa" w:w="2076"/>
          </w:tcPr>
          <w:p/>
        </w:tc>
        <w:tc>
          <w:tcPr>
            <w:tcW w:type="dxa" w:w="415"/>
          </w:tcPr>
          <w:p>
            <w:r>
              <w:rPr/>
              <w:t>76</w:t>
            </w:r>
          </w:p>
        </w:tc>
        <w:tc>
          <w:tcPr>
            <w:tcW w:type="dxa" w:w="5814"/>
          </w:tcPr>
          <w:p>
            <w:r>
              <w:rPr/>
              <w:t>13.中标方所有员工服务热情、礼貌，做到耐心、细心、用心服务，不与采购方工作人员争吵，不对面顶撞采购方工作人员。</w:t>
            </w:r>
          </w:p>
        </w:tc>
      </w:tr>
      <w:tr>
        <w:tc>
          <w:tcPr>
            <w:tcW w:type="dxa" w:w="2076"/>
          </w:tcPr>
          <w:p>
            <w:r>
              <w:rPr/>
              <w:t>★</w:t>
            </w:r>
          </w:p>
        </w:tc>
        <w:tc>
          <w:tcPr>
            <w:tcW w:type="dxa" w:w="415"/>
          </w:tcPr>
          <w:p>
            <w:r>
              <w:rPr/>
              <w:t>77</w:t>
            </w:r>
          </w:p>
        </w:tc>
        <w:tc>
          <w:tcPr>
            <w:tcW w:type="dxa" w:w="5814"/>
          </w:tcPr>
          <w:p>
            <w:r>
              <w:rPr/>
              <w:t>★14.每月从工资中提取绩效考核奖励金。管理干部，从工资中提取400元/月作为绩效考核奖励金，由采购方保卫科每季度考核一次，视考核得分发放考核奖励金，被扣分未能全额领取绩效考核奖励金的，被扣罚部分由中标方奖励给相应岗位的优秀员工；普通员工，从工资中提取200元/月作为绩效考核奖励金，由采购方保卫科每季度考核一次，视考核得分发放考核奖励金，被扣分未能全额领取绩效考核奖励金的，被扣罚部分由中标方奖励给相应岗位的优秀员工。考核评分细则详见附件1、附件2。</w:t>
            </w:r>
          </w:p>
        </w:tc>
      </w:tr>
      <w:tr>
        <w:tc>
          <w:tcPr>
            <w:tcW w:type="dxa" w:w="2076"/>
          </w:tcPr>
          <w:p>
            <w:r>
              <w:rPr/>
              <w:t>★</w:t>
            </w:r>
          </w:p>
        </w:tc>
        <w:tc>
          <w:tcPr>
            <w:tcW w:type="dxa" w:w="415"/>
          </w:tcPr>
          <w:p>
            <w:r>
              <w:rPr/>
              <w:t>78</w:t>
            </w:r>
          </w:p>
        </w:tc>
        <w:tc>
          <w:tcPr>
            <w:tcW w:type="dxa" w:w="5814"/>
          </w:tcPr>
          <w:p>
            <w:r>
              <w:rPr/>
              <w:t>★15.保证员工作质量及员工的正常休息。中标方不得以减少岗位编制支付员工“并岗工资”、安排员工不休息顶班支付加班费等方式，来解决人员缺编问题。采购方支付中标方服务管理费用一律按每月实际在编人数支付（新入职人员以采购方保卫科确认到位日为准；员工辞职新招工间隔期，岗位缺编人员时间最长不超过3天，超过3天视为缺编），缺编人员扣除项目人头费（人均费用）。</w:t>
            </w:r>
          </w:p>
        </w:tc>
      </w:tr>
      <w:tr>
        <w:tc>
          <w:tcPr>
            <w:tcW w:type="dxa" w:w="2076"/>
          </w:tcPr>
          <w:p>
            <w:r>
              <w:rPr/>
              <w:t>★</w:t>
            </w:r>
          </w:p>
        </w:tc>
        <w:tc>
          <w:tcPr>
            <w:tcW w:type="dxa" w:w="415"/>
          </w:tcPr>
          <w:p>
            <w:r>
              <w:rPr/>
              <w:t>79</w:t>
            </w:r>
          </w:p>
        </w:tc>
        <w:tc>
          <w:tcPr>
            <w:tcW w:type="dxa" w:w="5814"/>
          </w:tcPr>
          <w:p>
            <w:r>
              <w:rPr/>
              <w:t>★16.中标方不得将服务范围分解、转让、分包。</w:t>
            </w:r>
          </w:p>
        </w:tc>
      </w:tr>
      <w:tr>
        <w:tc>
          <w:tcPr>
            <w:tcW w:type="dxa" w:w="2076"/>
          </w:tcPr>
          <w:p/>
        </w:tc>
        <w:tc>
          <w:tcPr>
            <w:tcW w:type="dxa" w:w="415"/>
          </w:tcPr>
          <w:p>
            <w:r>
              <w:rPr/>
              <w:t>80</w:t>
            </w:r>
          </w:p>
        </w:tc>
        <w:tc>
          <w:tcPr>
            <w:tcW w:type="dxa" w:w="5814"/>
          </w:tcPr>
          <w:p>
            <w:r>
              <w:rPr/>
              <w:t>17.中标方合同期满，必须无条件配合采购方与下一期中标方做好交接工作。工作人员除管理干部外，其他工作人员不能带离采购方，如出现中标方大面积人员流失，经查证属中标方唆使带离，造成严重后果的，采购方扣除中标方最后一个月全部服务费。</w:t>
            </w:r>
          </w:p>
        </w:tc>
      </w:tr>
      <w:tr>
        <w:tc>
          <w:tcPr>
            <w:tcW w:type="dxa" w:w="2076"/>
          </w:tcPr>
          <w:p/>
        </w:tc>
        <w:tc>
          <w:tcPr>
            <w:tcW w:type="dxa" w:w="415"/>
          </w:tcPr>
          <w:p>
            <w:r>
              <w:rPr/>
              <w:t>81</w:t>
            </w:r>
          </w:p>
        </w:tc>
        <w:tc>
          <w:tcPr>
            <w:tcW w:type="dxa" w:w="5814"/>
          </w:tcPr>
          <w:p>
            <w:r>
              <w:rPr/>
              <w:t>六、员工薪酬</w:t>
            </w:r>
          </w:p>
        </w:tc>
      </w:tr>
      <w:tr>
        <w:tc>
          <w:tcPr>
            <w:tcW w:type="dxa" w:w="2076"/>
          </w:tcPr>
          <w:p>
            <w:r>
              <w:rPr/>
              <w:t>★</w:t>
            </w:r>
          </w:p>
        </w:tc>
        <w:tc>
          <w:tcPr>
            <w:tcW w:type="dxa" w:w="415"/>
          </w:tcPr>
          <w:p>
            <w:r>
              <w:rPr/>
              <w:t>82</w:t>
            </w:r>
          </w:p>
        </w:tc>
        <w:tc>
          <w:tcPr>
            <w:tcW w:type="dxa" w:w="5814"/>
          </w:tcPr>
          <w:p>
            <w:r>
              <w:rPr/>
              <w:t>★1.中标方为保安员购买社保达到100﹪。</w:t>
            </w:r>
          </w:p>
        </w:tc>
      </w:tr>
      <w:tr>
        <w:tc>
          <w:tcPr>
            <w:tcW w:type="dxa" w:w="2076"/>
          </w:tcPr>
          <w:p>
            <w:r>
              <w:rPr/>
              <w:t>★</w:t>
            </w:r>
          </w:p>
        </w:tc>
        <w:tc>
          <w:tcPr>
            <w:tcW w:type="dxa" w:w="415"/>
          </w:tcPr>
          <w:p>
            <w:r>
              <w:rPr/>
              <w:t>83</w:t>
            </w:r>
          </w:p>
        </w:tc>
        <w:tc>
          <w:tcPr>
            <w:tcW w:type="dxa" w:w="5814"/>
          </w:tcPr>
          <w:p>
            <w:r>
              <w:rPr/>
              <w:t>★2.保安员的每月工资不得低于佛山市企业职工最低工资标准。中标方必须按国家规定为保安员支付社会保险费用及其他应付费用。若发生劳动争议的由中标方自行解决，采购人无需承担任何连带关系和责任。在合同期内，遇政府政策要求最低工资标准上调时，如最低工资标准高于我院支付的人员岗位工资（工资＋绩效奖金）时，采购方支付超出部分；如最低工资标准低于我院支付的人员岗位工资（工资＋绩效奖金）时，采购方不再做任何调整。</w:t>
            </w:r>
          </w:p>
        </w:tc>
      </w:tr>
      <w:tr>
        <w:tc>
          <w:tcPr>
            <w:tcW w:type="dxa" w:w="2076"/>
          </w:tcPr>
          <w:p/>
        </w:tc>
        <w:tc>
          <w:tcPr>
            <w:tcW w:type="dxa" w:w="415"/>
          </w:tcPr>
          <w:p>
            <w:r>
              <w:rPr/>
              <w:t>84</w:t>
            </w:r>
          </w:p>
        </w:tc>
        <w:tc>
          <w:tcPr>
            <w:tcW w:type="dxa" w:w="5814"/>
          </w:tcPr>
          <w:p>
            <w:r>
              <w:rPr/>
              <w:t>七、违约责任</w:t>
            </w:r>
          </w:p>
        </w:tc>
      </w:tr>
      <w:tr>
        <w:tc>
          <w:tcPr>
            <w:tcW w:type="dxa" w:w="2076"/>
          </w:tcPr>
          <w:p/>
        </w:tc>
        <w:tc>
          <w:tcPr>
            <w:tcW w:type="dxa" w:w="415"/>
          </w:tcPr>
          <w:p>
            <w:r>
              <w:rPr/>
              <w:t>85</w:t>
            </w:r>
          </w:p>
        </w:tc>
        <w:tc>
          <w:tcPr>
            <w:tcW w:type="dxa" w:w="5814"/>
          </w:tcPr>
          <w:p>
            <w:r>
              <w:rPr/>
              <w:t>1.中标方招聘的保安队员，退役军人比例不低于15﹪。如退役军人比例达不到15﹪的，每降低1个百分点，在当月安保服务费中一次性扣罚人民币500元。如特种部队退役军人少于3人的，每缺1人在当月安保服务费中一次性扣罚人民币500元。</w:t>
            </w:r>
          </w:p>
        </w:tc>
      </w:tr>
      <w:tr>
        <w:tc>
          <w:tcPr>
            <w:tcW w:type="dxa" w:w="2076"/>
          </w:tcPr>
          <w:p/>
        </w:tc>
        <w:tc>
          <w:tcPr>
            <w:tcW w:type="dxa" w:w="415"/>
          </w:tcPr>
          <w:p>
            <w:r>
              <w:rPr/>
              <w:t>86</w:t>
            </w:r>
          </w:p>
        </w:tc>
        <w:tc>
          <w:tcPr>
            <w:tcW w:type="dxa" w:w="5814"/>
          </w:tcPr>
          <w:p>
            <w:r>
              <w:rPr/>
              <w:t>2.视频安防（消防）监控中心值班室落实每天24小时、双人双岗值班，值班人员必须持有达到国家消防部门要求的自动消防系统操作员证，兼负消防、视频安防监控双重职责。如未持有达到国家消防部门要求的自动消防系统操作员证值上岗，每缺1名，一次性在当月服务费中扣罚人民币500元；缺员多名的，在当月服务费中，按缺员人数扣罚。如在采购方保卫科发出书面整改通知书限期整改期限日，仍未能达到持证上岗的，每缺1名，一次性在当月服务费中扣罚人民币1000元；缺员多名的，在当月服务费中，按缺员人数扣罚。</w:t>
            </w:r>
          </w:p>
        </w:tc>
      </w:tr>
      <w:tr>
        <w:tc>
          <w:tcPr>
            <w:tcW w:type="dxa" w:w="2076"/>
          </w:tcPr>
          <w:p/>
        </w:tc>
        <w:tc>
          <w:tcPr>
            <w:tcW w:type="dxa" w:w="415"/>
          </w:tcPr>
          <w:p>
            <w:r>
              <w:rPr/>
              <w:t>87</w:t>
            </w:r>
          </w:p>
        </w:tc>
        <w:tc>
          <w:tcPr>
            <w:tcW w:type="dxa" w:w="5814"/>
          </w:tcPr>
          <w:p>
            <w:r>
              <w:rPr/>
              <w:t>3.中标方不遵守劳动纪律管理、不落实层级管理，员工在工作期间擅离工作岗位，或管理人员不在岗（休假）未交由其他管理人员代管，因此而造成工作过错或酿成事故的，采购方可一次性在服务费中扣罚中标方人民币5000至10000元；触犯法律的，移交司法机关处理。</w:t>
            </w:r>
          </w:p>
        </w:tc>
      </w:tr>
      <w:tr>
        <w:tc>
          <w:tcPr>
            <w:tcW w:type="dxa" w:w="2076"/>
          </w:tcPr>
          <w:p>
            <w:r>
              <w:rPr/>
              <w:t>★</w:t>
            </w:r>
          </w:p>
        </w:tc>
        <w:tc>
          <w:tcPr>
            <w:tcW w:type="dxa" w:w="415"/>
          </w:tcPr>
          <w:p>
            <w:r>
              <w:rPr/>
              <w:t>88</w:t>
            </w:r>
          </w:p>
        </w:tc>
        <w:tc>
          <w:tcPr>
            <w:tcW w:type="dxa" w:w="5814"/>
          </w:tcPr>
          <w:p>
            <w:r>
              <w:rPr/>
              <w:t>★4.中标方不严把保安“入口”关，招聘的保安查实有违法、犯罪记录的，或保安在工作过程中出现违法、犯罪行为的，采购方可一次性在服务费中扣罚中标方人民币2000至10000元，并视情节轻重，对当事保安作出调离工作岗位或辞退处理。违法、犯罪行为，移交司法机关处理。</w:t>
            </w:r>
          </w:p>
        </w:tc>
      </w:tr>
      <w:tr>
        <w:tc>
          <w:tcPr>
            <w:tcW w:type="dxa" w:w="2076"/>
          </w:tcPr>
          <w:p/>
        </w:tc>
        <w:tc>
          <w:tcPr>
            <w:tcW w:type="dxa" w:w="415"/>
          </w:tcPr>
          <w:p>
            <w:r>
              <w:rPr/>
              <w:t>89</w:t>
            </w:r>
          </w:p>
        </w:tc>
        <w:tc>
          <w:tcPr>
            <w:tcW w:type="dxa" w:w="5814"/>
          </w:tcPr>
          <w:p>
            <w:r>
              <w:rPr/>
              <w:t>5.如因中标方没有充足的保安储备，采购方需要增派保安进场，中标方在接到采购方保卫科书面通知后超过1个日历天还不能增派保安的，每缺编一名保安员在保证金中一次性扣罚人民币2000元，以作为弥补采购方的损失，缺编多名保安的依次类推。</w:t>
            </w:r>
          </w:p>
        </w:tc>
      </w:tr>
      <w:tr>
        <w:tc>
          <w:tcPr>
            <w:tcW w:type="dxa" w:w="2076"/>
          </w:tcPr>
          <w:p/>
        </w:tc>
        <w:tc>
          <w:tcPr>
            <w:tcW w:type="dxa" w:w="415"/>
          </w:tcPr>
          <w:p>
            <w:r>
              <w:rPr/>
              <w:t>90</w:t>
            </w:r>
          </w:p>
        </w:tc>
        <w:tc>
          <w:tcPr>
            <w:tcW w:type="dxa" w:w="5814"/>
          </w:tcPr>
          <w:p>
            <w:r>
              <w:rPr/>
              <w:t>6.中标方不能达到上述“七、安全责任”要求的其中一项，如在采购方保卫科发出书面整改通知书限期整改期限日，仍未能落实整改的，一次性在当月服务费中扣罚人民币1000元；有二项及以上达不到要求的，可以连续计罚；如因此酿成事故的，责任由中标方自负；如因此触犯法律的，移交司法机关处理。</w:t>
            </w:r>
          </w:p>
        </w:tc>
      </w:tr>
      <w:tr>
        <w:tc>
          <w:tcPr>
            <w:tcW w:type="dxa" w:w="2076"/>
          </w:tcPr>
          <w:p>
            <w:r>
              <w:rPr/>
              <w:t>★</w:t>
            </w:r>
          </w:p>
        </w:tc>
        <w:tc>
          <w:tcPr>
            <w:tcW w:type="dxa" w:w="415"/>
          </w:tcPr>
          <w:p>
            <w:r>
              <w:rPr/>
              <w:t>91</w:t>
            </w:r>
          </w:p>
        </w:tc>
        <w:tc>
          <w:tcPr>
            <w:tcW w:type="dxa" w:w="5814"/>
          </w:tcPr>
          <w:p>
            <w:r>
              <w:rPr/>
              <w:t>★7.中标方如因不按时（根据中标方与员工合同约定的期限）发放员工工资、支付社会保险费用及其他应付费用，导致员工罢工、怠工，对采购方工作造成影响的，采购方有权一次性扣减当月5﹪的服务费。如因此而酿成事故的，责任由中标方自负。如因此损坏采购方声誉，或者造成恶劣社会影响的，采购方有权单方终止合同，项目履约保证金全部不作退还，以作为弥补采购方的损失。</w:t>
            </w:r>
          </w:p>
        </w:tc>
      </w:tr>
      <w:tr>
        <w:tc>
          <w:tcPr>
            <w:tcW w:type="dxa" w:w="2076"/>
          </w:tcPr>
          <w:p/>
        </w:tc>
        <w:tc>
          <w:tcPr>
            <w:tcW w:type="dxa" w:w="415"/>
          </w:tcPr>
          <w:p>
            <w:r>
              <w:rPr/>
              <w:t>92</w:t>
            </w:r>
          </w:p>
        </w:tc>
        <w:tc>
          <w:tcPr>
            <w:tcW w:type="dxa" w:w="5814"/>
          </w:tcPr>
          <w:p>
            <w:r>
              <w:rPr/>
              <w:t>8.如中标方在合同期限内管理不善，导致影响医院正常运营，采购方有权单方终止合同，项目履约保证金全部不作退还，以作为弥补采购方的损失。</w:t>
            </w:r>
          </w:p>
        </w:tc>
      </w:tr>
      <w:tr>
        <w:tc>
          <w:tcPr>
            <w:tcW w:type="dxa" w:w="2076"/>
          </w:tcPr>
          <w:p/>
        </w:tc>
        <w:tc>
          <w:tcPr>
            <w:tcW w:type="dxa" w:w="415"/>
          </w:tcPr>
          <w:p>
            <w:r>
              <w:rPr/>
              <w:t>93</w:t>
            </w:r>
          </w:p>
        </w:tc>
        <w:tc>
          <w:tcPr>
            <w:tcW w:type="dxa" w:w="5814"/>
          </w:tcPr>
          <w:p>
            <w:r>
              <w:rPr/>
              <w:t>八、免责条件：</w:t>
            </w:r>
          </w:p>
        </w:tc>
      </w:tr>
      <w:tr>
        <w:tc>
          <w:tcPr>
            <w:tcW w:type="dxa" w:w="2076"/>
          </w:tcPr>
          <w:p/>
        </w:tc>
        <w:tc>
          <w:tcPr>
            <w:tcW w:type="dxa" w:w="415"/>
          </w:tcPr>
          <w:p>
            <w:r>
              <w:rPr/>
              <w:t>94</w:t>
            </w:r>
          </w:p>
        </w:tc>
        <w:tc>
          <w:tcPr>
            <w:tcW w:type="dxa" w:w="5814"/>
          </w:tcPr>
          <w:p>
            <w:r>
              <w:rPr/>
              <w:t>1.因不可抗力因素而致中标方及采购方财物受到损失的，双方免责。</w:t>
            </w:r>
          </w:p>
        </w:tc>
      </w:tr>
      <w:tr>
        <w:tc>
          <w:tcPr>
            <w:tcW w:type="dxa" w:w="2076"/>
          </w:tcPr>
          <w:p/>
        </w:tc>
        <w:tc>
          <w:tcPr>
            <w:tcW w:type="dxa" w:w="415"/>
          </w:tcPr>
          <w:p>
            <w:r>
              <w:rPr/>
              <w:t>95</w:t>
            </w:r>
          </w:p>
        </w:tc>
        <w:tc>
          <w:tcPr>
            <w:tcW w:type="dxa" w:w="5814"/>
          </w:tcPr>
          <w:p>
            <w:r>
              <w:rPr/>
              <w:t>2.因国家政策变动，不允许采购方发包安保服务项目时，采购方提前一个月书面通知中标方，因此而导致中标方及采购方造成损失的，双方免责。</w:t>
            </w:r>
          </w:p>
        </w:tc>
      </w:tr>
      <w:tr>
        <w:tc>
          <w:tcPr>
            <w:tcW w:type="dxa" w:w="2076"/>
          </w:tcPr>
          <w:p/>
        </w:tc>
        <w:tc>
          <w:tcPr>
            <w:tcW w:type="dxa" w:w="415"/>
          </w:tcPr>
          <w:p>
            <w:r>
              <w:rPr/>
              <w:t>96</w:t>
            </w:r>
          </w:p>
        </w:tc>
        <w:tc>
          <w:tcPr>
            <w:tcW w:type="dxa" w:w="5814"/>
          </w:tcPr>
          <w:p>
            <w:r>
              <w:rPr/>
              <w:t>3.因上述原因而终止合同的，服务管理费按照实际服务时间计算，不足整月的按天数计算，多退少补。</w:t>
            </w:r>
          </w:p>
        </w:tc>
      </w:tr>
      <w:tr>
        <w:tc>
          <w:tcPr>
            <w:tcW w:type="dxa" w:w="2076"/>
          </w:tcPr>
          <w:p/>
        </w:tc>
        <w:tc>
          <w:tcPr>
            <w:tcW w:type="dxa" w:w="415"/>
          </w:tcPr>
          <w:p>
            <w:r>
              <w:rPr/>
              <w:t>97</w:t>
            </w:r>
          </w:p>
        </w:tc>
        <w:tc>
          <w:tcPr>
            <w:tcW w:type="dxa" w:w="5814"/>
          </w:tcPr>
          <w:p>
            <w:r>
              <w:rPr/>
              <w:t>4.不可抗力系指“不能预见、不能避免且不能克服的客观情况”。</w:t>
            </w:r>
          </w:p>
        </w:tc>
      </w:tr>
      <w:tr>
        <w:tc>
          <w:tcPr>
            <w:tcW w:type="dxa" w:w="2076"/>
          </w:tcPr>
          <w:p/>
        </w:tc>
        <w:tc>
          <w:tcPr>
            <w:tcW w:type="dxa" w:w="415"/>
          </w:tcPr>
          <w:p>
            <w:r>
              <w:rPr/>
              <w:t>98</w:t>
            </w:r>
          </w:p>
        </w:tc>
        <w:tc>
          <w:tcPr>
            <w:tcW w:type="dxa" w:w="5814"/>
          </w:tcPr>
          <w:p>
            <w:r>
              <w:rPr/>
              <w:t>九、合同订立、履约保证金</w:t>
            </w:r>
          </w:p>
        </w:tc>
      </w:tr>
      <w:tr>
        <w:tc>
          <w:tcPr>
            <w:tcW w:type="dxa" w:w="2076"/>
          </w:tcPr>
          <w:p/>
        </w:tc>
        <w:tc>
          <w:tcPr>
            <w:tcW w:type="dxa" w:w="415"/>
          </w:tcPr>
          <w:p>
            <w:r>
              <w:rPr/>
              <w:t>99</w:t>
            </w:r>
          </w:p>
        </w:tc>
        <w:tc>
          <w:tcPr>
            <w:tcW w:type="dxa" w:w="5814"/>
          </w:tcPr>
          <w:p>
            <w:r>
              <w:rPr/>
              <w:t>1．合同订立</w:t>
            </w:r>
          </w:p>
        </w:tc>
      </w:tr>
      <w:tr>
        <w:tc>
          <w:tcPr>
            <w:tcW w:type="dxa" w:w="2076"/>
          </w:tcPr>
          <w:p/>
        </w:tc>
        <w:tc>
          <w:tcPr>
            <w:tcW w:type="dxa" w:w="415"/>
          </w:tcPr>
          <w:p>
            <w:r>
              <w:rPr/>
              <w:t>100</w:t>
            </w:r>
          </w:p>
        </w:tc>
        <w:tc>
          <w:tcPr>
            <w:tcW w:type="dxa" w:w="5814"/>
          </w:tcPr>
          <w:p>
            <w:r>
              <w:rPr/>
              <w:t>采购方与中标方自中标通知书发出之日起3个日历天内，按招标文件要求和中标人投标文件承诺签订采购合同，但不得超出招标文件和中标人投标文件的范围，也不得再行订立背离合同实质性内容的其他协议。</w:t>
            </w:r>
          </w:p>
        </w:tc>
      </w:tr>
      <w:tr>
        <w:tc>
          <w:tcPr>
            <w:tcW w:type="dxa" w:w="2076"/>
          </w:tcPr>
          <w:p/>
        </w:tc>
        <w:tc>
          <w:tcPr>
            <w:tcW w:type="dxa" w:w="415"/>
          </w:tcPr>
          <w:p>
            <w:r>
              <w:rPr/>
              <w:t>101</w:t>
            </w:r>
          </w:p>
        </w:tc>
        <w:tc>
          <w:tcPr>
            <w:tcW w:type="dxa" w:w="5814"/>
          </w:tcPr>
          <w:p>
            <w:r>
              <w:rPr/>
              <w:t>2．履约保证金</w:t>
            </w:r>
          </w:p>
        </w:tc>
      </w:tr>
      <w:tr>
        <w:tc>
          <w:tcPr>
            <w:tcW w:type="dxa" w:w="2076"/>
          </w:tcPr>
          <w:p/>
        </w:tc>
        <w:tc>
          <w:tcPr>
            <w:tcW w:type="dxa" w:w="415"/>
          </w:tcPr>
          <w:p>
            <w:r>
              <w:rPr/>
              <w:t>102</w:t>
            </w:r>
          </w:p>
        </w:tc>
        <w:tc>
          <w:tcPr>
            <w:tcW w:type="dxa" w:w="5814"/>
          </w:tcPr>
          <w:p>
            <w:r>
              <w:rPr/>
              <w:t>中标方向采购方交纳履约保证金人民币5万元后，方可签订合同。如中标方没有违约，合同期满后30个工作日内无息退还全部履约保证金；若因中标方原因未能履行其服务造成合约中止的，该履约保证金全部不予以退还；如中标方发生违约行为，对采购方正常运作造成影响的，视情节轻重酌情予以扣罚履约保证金。</w:t>
            </w:r>
          </w:p>
        </w:tc>
      </w:tr>
      <w:tr>
        <w:tc>
          <w:tcPr>
            <w:tcW w:type="dxa" w:w="2076"/>
          </w:tcPr>
          <w:p/>
        </w:tc>
        <w:tc>
          <w:tcPr>
            <w:tcW w:type="dxa" w:w="415"/>
          </w:tcPr>
          <w:p>
            <w:r>
              <w:rPr/>
              <w:t>103</w:t>
            </w:r>
          </w:p>
        </w:tc>
        <w:tc>
          <w:tcPr>
            <w:tcW w:type="dxa" w:w="5814"/>
          </w:tcPr>
          <w:p>
            <w:r>
              <w:rPr/>
              <w:t>十、项目说明</w:t>
            </w:r>
          </w:p>
        </w:tc>
      </w:tr>
      <w:tr>
        <w:tc>
          <w:tcPr>
            <w:tcW w:type="dxa" w:w="2076"/>
          </w:tcPr>
          <w:p/>
        </w:tc>
        <w:tc>
          <w:tcPr>
            <w:tcW w:type="dxa" w:w="415"/>
          </w:tcPr>
          <w:p>
            <w:r>
              <w:rPr/>
              <w:t>104</w:t>
            </w:r>
          </w:p>
        </w:tc>
        <w:tc>
          <w:tcPr>
            <w:tcW w:type="dxa" w:w="5814"/>
          </w:tcPr>
          <w:p>
            <w:r>
              <w:rPr/>
              <w:t>1．中标方自行提供电脑、考勤设备、打印机及耗材等办公设备；自行提供桌、椅、柜等办公家具；自行为员工提供住宿、吃饭场所。</w:t>
            </w:r>
          </w:p>
        </w:tc>
      </w:tr>
      <w:tr>
        <w:tc>
          <w:tcPr>
            <w:tcW w:type="dxa" w:w="2076"/>
          </w:tcPr>
          <w:p/>
        </w:tc>
        <w:tc>
          <w:tcPr>
            <w:tcW w:type="dxa" w:w="415"/>
          </w:tcPr>
          <w:p>
            <w:r>
              <w:rPr/>
              <w:t>105</w:t>
            </w:r>
          </w:p>
        </w:tc>
        <w:tc>
          <w:tcPr>
            <w:tcW w:type="dxa" w:w="5814"/>
          </w:tcPr>
          <w:p>
            <w:r>
              <w:rPr/>
              <w:t>2．中标方各岗位员工要统一服装，并由中标方负责其员工服装配备。</w:t>
            </w:r>
          </w:p>
        </w:tc>
      </w:tr>
      <w:tr>
        <w:tc>
          <w:tcPr>
            <w:tcW w:type="dxa" w:w="2076"/>
          </w:tcPr>
          <w:p/>
        </w:tc>
        <w:tc>
          <w:tcPr>
            <w:tcW w:type="dxa" w:w="415"/>
          </w:tcPr>
          <w:p>
            <w:r>
              <w:rPr/>
              <w:t>106</w:t>
            </w:r>
          </w:p>
        </w:tc>
        <w:tc>
          <w:tcPr>
            <w:tcW w:type="dxa" w:w="5814"/>
          </w:tcPr>
          <w:p>
            <w:r>
              <w:rPr/>
              <w:t>3.中标方自行为保安配备对讲机、警棍及照明电筒等装备。</w:t>
            </w:r>
          </w:p>
        </w:tc>
      </w:tr>
      <w:tr>
        <w:tc>
          <w:tcPr>
            <w:tcW w:type="dxa" w:w="2076"/>
          </w:tcPr>
          <w:p/>
        </w:tc>
        <w:tc>
          <w:tcPr>
            <w:tcW w:type="dxa" w:w="415"/>
          </w:tcPr>
          <w:p>
            <w:r>
              <w:rPr/>
              <w:t>107</w:t>
            </w:r>
          </w:p>
        </w:tc>
        <w:tc>
          <w:tcPr>
            <w:tcW w:type="dxa" w:w="5814"/>
          </w:tcPr>
          <w:p>
            <w:r>
              <w:rPr/>
              <w:t>4．中标方有专门培训人员，保安员100﹪经过岗前培训合格才上岗。在岗培训每月不少于一次。</w:t>
            </w:r>
          </w:p>
        </w:tc>
      </w:tr>
      <w:tr>
        <w:tc>
          <w:tcPr>
            <w:tcW w:type="dxa" w:w="2076"/>
          </w:tcPr>
          <w:p/>
        </w:tc>
        <w:tc>
          <w:tcPr>
            <w:tcW w:type="dxa" w:w="415"/>
          </w:tcPr>
          <w:p>
            <w:r>
              <w:rPr/>
              <w:t>108</w:t>
            </w:r>
          </w:p>
        </w:tc>
        <w:tc>
          <w:tcPr>
            <w:tcW w:type="dxa" w:w="5814"/>
          </w:tcPr>
          <w:p>
            <w:r>
              <w:rPr/>
              <w:t>5．未经采购方同意，中标方不得在合同期限内将本项目的管理权转让。</w:t>
            </w:r>
          </w:p>
        </w:tc>
      </w:tr>
      <w:tr>
        <w:tc>
          <w:tcPr>
            <w:tcW w:type="dxa" w:w="2076"/>
          </w:tcPr>
          <w:p/>
        </w:tc>
        <w:tc>
          <w:tcPr>
            <w:tcW w:type="dxa" w:w="415"/>
          </w:tcPr>
          <w:p>
            <w:r>
              <w:rPr/>
              <w:t>109</w:t>
            </w:r>
          </w:p>
        </w:tc>
        <w:tc>
          <w:tcPr>
            <w:tcW w:type="dxa" w:w="5814"/>
          </w:tcPr>
          <w:p>
            <w:r>
              <w:rPr/>
              <w:t>6．中标方有责任配合采购方接受上级领导部门的监督、检查，提供必须的资料。</w:t>
            </w:r>
          </w:p>
        </w:tc>
      </w:tr>
      <w:tr>
        <w:tc>
          <w:tcPr>
            <w:tcW w:type="dxa" w:w="2076"/>
          </w:tcPr>
          <w:p/>
        </w:tc>
        <w:tc>
          <w:tcPr>
            <w:tcW w:type="dxa" w:w="415"/>
          </w:tcPr>
          <w:p>
            <w:r>
              <w:rPr/>
              <w:t>110</w:t>
            </w:r>
          </w:p>
        </w:tc>
        <w:tc>
          <w:tcPr>
            <w:tcW w:type="dxa" w:w="5814"/>
          </w:tcPr>
          <w:p>
            <w:r>
              <w:rPr/>
              <w:t>7．中标方自行负责其招聘员工的一切工资、福利；如发生工伤、疾病乃至死亡的一切责任及费用由中标人全部负责；中标人应严格遵守国家有关的法律、法规及行业标准。</w:t>
            </w:r>
          </w:p>
        </w:tc>
      </w:tr>
      <w:tr>
        <w:tc>
          <w:tcPr>
            <w:tcW w:type="dxa" w:w="2076"/>
          </w:tcPr>
          <w:p/>
        </w:tc>
        <w:tc>
          <w:tcPr>
            <w:tcW w:type="dxa" w:w="415"/>
          </w:tcPr>
          <w:p>
            <w:r>
              <w:rPr/>
              <w:t>111</w:t>
            </w:r>
          </w:p>
        </w:tc>
        <w:tc>
          <w:tcPr>
            <w:tcW w:type="dxa" w:w="5814"/>
          </w:tcPr>
          <w:p>
            <w:r>
              <w:rPr/>
              <w:t>8.中标方合理安排员工的工作时间和休息时间，维护员工的休息权利，遵守《2016年国家对职工工作时间和休息时间的规定》的规定，确保员工每日工作不超过8小时，并保证员工每周至少休息1日。</w:t>
            </w:r>
          </w:p>
        </w:tc>
      </w:tr>
      <w:tr>
        <w:tc>
          <w:tcPr>
            <w:tcW w:type="dxa" w:w="2076"/>
          </w:tcPr>
          <w:p/>
        </w:tc>
        <w:tc>
          <w:tcPr>
            <w:tcW w:type="dxa" w:w="415"/>
          </w:tcPr>
          <w:p>
            <w:r>
              <w:rPr/>
              <w:t>112</w:t>
            </w:r>
          </w:p>
        </w:tc>
        <w:tc>
          <w:tcPr>
            <w:tcW w:type="dxa" w:w="5814"/>
          </w:tcPr>
          <w:p>
            <w:r>
              <w:rPr/>
              <w:t>9.中标方所有员工进入采购方院区服务前必须体检，经体检合格才能上岗。</w:t>
            </w:r>
          </w:p>
        </w:tc>
      </w:tr>
      <w:tr>
        <w:tc>
          <w:tcPr>
            <w:tcW w:type="dxa" w:w="2076"/>
          </w:tcPr>
          <w:p/>
        </w:tc>
        <w:tc>
          <w:tcPr>
            <w:tcW w:type="dxa" w:w="415"/>
          </w:tcPr>
          <w:p>
            <w:r>
              <w:rPr/>
              <w:t>113</w:t>
            </w:r>
          </w:p>
        </w:tc>
        <w:tc>
          <w:tcPr>
            <w:tcW w:type="dxa" w:w="5814"/>
          </w:tcPr>
          <w:p>
            <w:pPr>
              <w:jc w:val="both"/>
            </w:pPr>
            <w:r>
              <w:rPr>
                <w:sz w:val="18"/>
              </w:rPr>
              <w:t>附件:1</w:t>
            </w:r>
          </w:p>
          <w:p>
            <w:pPr>
              <w:jc w:val="center"/>
            </w:pPr>
            <w:r>
              <w:rPr>
                <w:b/>
                <w:sz w:val="18"/>
              </w:rPr>
              <w:t>管理干部绩效考核评分细则</w:t>
            </w:r>
          </w:p>
          <w:p>
            <w:pPr>
              <w:jc w:val="both"/>
            </w:pPr>
          </w:p>
          <w:p>
            <w:pPr>
              <w:jc w:val="both"/>
            </w:pPr>
            <w:r>
              <w:rPr>
                <w:sz w:val="18"/>
              </w:rPr>
              <w:t>被考核人员：                      考核总分：100分     扣分：        实得分：</w:t>
            </w:r>
          </w:p>
          <w:tbl>
            <w:tblPr>
              <w:tblBorders>
                <w:top w:val="none" w:color="000000" w:sz="4"/>
                <w:left w:val="none" w:color="000000" w:sz="4"/>
                <w:bottom w:val="none" w:color="000000" w:sz="4"/>
                <w:right w:val="none" w:color="000000" w:sz="4"/>
                <w:insideH w:val="none"/>
                <w:insideV w:val="none"/>
              </w:tblBorders>
            </w:tblPr>
            <w:tblGrid>
              <w:gridCol w:w="452"/>
              <w:gridCol w:w="4187"/>
              <w:gridCol w:w="532"/>
              <w:gridCol w:w="425"/>
            </w:tblGrid>
            <w:tr>
              <w:tc>
                <w:tcPr>
                  <w:tcW w:type="dxa" w:w="452"/>
                  <w:tcBorders>
                    <w:top w:val="single" w:color="000000" w:sz="4"/>
                    <w:left w:val="single" w:color="000000" w:sz="4"/>
                    <w:bottom w:val="single" w:color="000000" w:sz="4"/>
                    <w:right w:val="single" w:color="000000" w:sz="4"/>
                  </w:tcBorders>
                  <w:vAlign w:val="top"/>
                </w:tcPr>
                <w:p>
                  <w:pPr>
                    <w:jc w:val="center"/>
                  </w:pPr>
                  <w:r>
                    <w:rPr>
                      <w:b/>
                      <w:sz w:val="18"/>
                    </w:rPr>
                    <w:t>项目</w:t>
                  </w:r>
                </w:p>
              </w:tc>
              <w:tc>
                <w:tcPr>
                  <w:tcW w:type="dxa" w:w="4187"/>
                  <w:tcBorders>
                    <w:top w:val="single" w:color="000000" w:sz="4"/>
                    <w:left w:val="none" w:color="000000" w:sz="4"/>
                    <w:bottom w:val="single" w:color="000000" w:sz="4"/>
                    <w:right w:val="single" w:color="000000" w:sz="4"/>
                  </w:tcBorders>
                  <w:vAlign w:val="top"/>
                </w:tcPr>
                <w:p>
                  <w:pPr>
                    <w:jc w:val="center"/>
                  </w:pPr>
                  <w:r>
                    <w:rPr>
                      <w:b/>
                      <w:sz w:val="18"/>
                    </w:rPr>
                    <w:t>具体内容</w:t>
                  </w:r>
                </w:p>
              </w:tc>
              <w:tc>
                <w:tcPr>
                  <w:tcW w:type="dxa" w:w="532"/>
                  <w:tcBorders>
                    <w:top w:val="single" w:color="000000" w:sz="4"/>
                    <w:left w:val="none" w:color="000000" w:sz="4"/>
                    <w:bottom w:val="single" w:color="000000" w:sz="4"/>
                    <w:right w:val="single" w:color="000000" w:sz="4"/>
                  </w:tcBorders>
                  <w:vAlign w:val="top"/>
                </w:tcPr>
                <w:p>
                  <w:pPr>
                    <w:jc w:val="center"/>
                  </w:pPr>
                  <w:r>
                    <w:rPr>
                      <w:b/>
                      <w:sz w:val="18"/>
                    </w:rPr>
                    <w:t>分值</w:t>
                  </w:r>
                </w:p>
              </w:tc>
              <w:tc>
                <w:tcPr>
                  <w:tcW w:type="dxa" w:w="425"/>
                  <w:tcBorders>
                    <w:top w:val="single" w:color="000000" w:sz="4"/>
                    <w:left w:val="none" w:color="000000" w:sz="4"/>
                    <w:bottom w:val="single" w:color="000000" w:sz="4"/>
                    <w:right w:val="single" w:color="000000" w:sz="4"/>
                  </w:tcBorders>
                  <w:vAlign w:val="top"/>
                </w:tcPr>
                <w:p>
                  <w:pPr>
                    <w:jc w:val="center"/>
                  </w:pPr>
                  <w:r>
                    <w:rPr>
                      <w:b/>
                      <w:sz w:val="18"/>
                    </w:rPr>
                    <w:t>扣分</w:t>
                  </w:r>
                </w:p>
              </w:tc>
            </w:tr>
            <w:tr>
              <w:tc>
                <w:tcPr>
                  <w:tcW w:type="dxa" w:w="452"/>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sz w:val="18"/>
                    </w:rPr>
                    <w:t>工作</w:t>
                  </w:r>
                </w:p>
                <w:p>
                  <w:pPr>
                    <w:jc w:val="center"/>
                  </w:pPr>
                  <w:r>
                    <w:rPr>
                      <w:sz w:val="18"/>
                    </w:rPr>
                    <w:t>对接</w:t>
                  </w:r>
                </w:p>
              </w:tc>
              <w:tc>
                <w:tcPr>
                  <w:tcW w:type="dxa" w:w="4187"/>
                  <w:tcBorders>
                    <w:top w:val="none" w:color="000000" w:sz="4"/>
                    <w:left w:val="none" w:color="000000" w:sz="4"/>
                    <w:bottom w:val="single" w:color="000000" w:sz="4"/>
                    <w:right w:val="single" w:color="000000" w:sz="4"/>
                  </w:tcBorders>
                  <w:vAlign w:val="top"/>
                </w:tcPr>
                <w:p>
                  <w:pPr>
                    <w:jc w:val="both"/>
                  </w:pPr>
                  <w:r>
                    <w:rPr>
                      <w:sz w:val="18"/>
                    </w:rPr>
                    <w:t>1.</w:t>
                  </w:r>
                  <w:r>
                    <w:rPr>
                      <w:sz w:val="18"/>
                    </w:rPr>
                    <w:t>执行力强，落实工作坚决、彻底，与院方做到无缝对接工作；语言表达能力强，善于与院方沟通；有一定的文字表达能力，重要事项能用书面报告院方；会使用QQ、微信等即时通讯工具传输文件。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p>
                <w:p>
                  <w:pPr>
                    <w:jc w:val="center"/>
                  </w:pPr>
                  <w:r>
                    <w:rPr>
                      <w:sz w:val="18"/>
                    </w:rPr>
                    <w:t>6</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2.</w:t>
                  </w:r>
                  <w:r>
                    <w:rPr>
                      <w:color w:val="000000"/>
                      <w:sz w:val="18"/>
                    </w:rPr>
                    <w:t>有组织能力和亲和力，工作雷厉风行，作风正派，处事公正，在员工中有威信。达不到要求的，扣2分/项/次。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3.</w:t>
                  </w:r>
                  <w:r>
                    <w:rPr>
                      <w:color w:val="000000"/>
                      <w:sz w:val="18"/>
                    </w:rPr>
                    <w:t>休息、休假告知院方，交待专人负责，并保持通信畅通。达不到要求的，扣2分/项/次。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18"/>
                    </w:rPr>
                    <w:t>仪容</w:t>
                  </w:r>
                </w:p>
                <w:p>
                  <w:pPr>
                    <w:jc w:val="center"/>
                  </w:pPr>
                  <w:r>
                    <w:rPr>
                      <w:color w:val="000000"/>
                      <w:sz w:val="18"/>
                    </w:rPr>
                    <w:t>仪表</w:t>
                  </w: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4.</w:t>
                  </w:r>
                  <w:r>
                    <w:rPr>
                      <w:color w:val="000000"/>
                      <w:sz w:val="18"/>
                    </w:rPr>
                    <w:t>着统一工服，佩戴统一工牌；不留长指甲、不戴有色眼镜、不佩带私人饰物（如项链、耳环等）、男不留长发、女长发必须盘发不披发。达不到要求的，扣2分/项/次。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5.</w:t>
                  </w:r>
                  <w:r>
                    <w:rPr>
                      <w:color w:val="000000"/>
                      <w:sz w:val="18"/>
                    </w:rPr>
                    <w:t>仪态端庄，举止文明，礼貌待人；不当众整理衣物；不随地吐痰、乱丢杂物。达不到要求的，扣2分/项/次。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6.</w:t>
                  </w:r>
                  <w:r>
                    <w:rPr>
                      <w:color w:val="000000"/>
                      <w:sz w:val="18"/>
                    </w:rPr>
                    <w:t>尊重领导、医护人员、同事，见面主动打招呼。达不到要求的，扣1分/项/次。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2</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7.</w:t>
                  </w:r>
                  <w:r>
                    <w:rPr>
                      <w:color w:val="000000"/>
                      <w:sz w:val="18"/>
                    </w:rPr>
                    <w:t>状态好，工作期间，保持严肃、认真、合作、进取的态度和乐观、友好、自信、积极向上的精神面貌。达不到要求的，扣1分/项/次。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2</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18"/>
                    </w:rPr>
                    <w:t>岗位</w:t>
                  </w:r>
                </w:p>
                <w:p>
                  <w:pPr>
                    <w:jc w:val="center"/>
                  </w:pPr>
                  <w:r>
                    <w:rPr>
                      <w:color w:val="000000"/>
                      <w:sz w:val="18"/>
                    </w:rPr>
                    <w:t>职责</w:t>
                  </w: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8.</w:t>
                  </w:r>
                  <w:r>
                    <w:rPr>
                      <w:color w:val="000000"/>
                      <w:sz w:val="18"/>
                    </w:rPr>
                    <w:t>按时上、下班，不迟到、不早退、不旷工、不离岗办私事；积极加各种会议和各项培训。达不到要求的，扣2分/项/次。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6</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9.</w:t>
                  </w:r>
                  <w:r>
                    <w:rPr>
                      <w:color w:val="000000"/>
                      <w:sz w:val="18"/>
                    </w:rPr>
                    <w:t>电话24小时畅通，紧急事件响应率100﹪，上班时间3分钟到达现场，非正常上班时间15分钟以内到达现场。达不到要求的，扣2分/项/次。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6</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10.</w:t>
                  </w:r>
                  <w:r>
                    <w:rPr>
                      <w:color w:val="000000"/>
                      <w:sz w:val="18"/>
                    </w:rPr>
                    <w:t>传达上级指示及时，不打折扣贯彻落实上级交办的任务；传达不及时，或乱下达旨意的；每天巡查、督导工作次数有记录，达不到要求的，扣2分/项/次。</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6</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both"/>
                  </w:pPr>
                  <w:r>
                    <w:rPr>
                      <w:color w:val="000000"/>
                      <w:sz w:val="18"/>
                    </w:rPr>
                    <w:t>服务管理能 力</w:t>
                  </w: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11.</w:t>
                  </w:r>
                  <w:r>
                    <w:rPr>
                      <w:color w:val="000000"/>
                      <w:sz w:val="18"/>
                    </w:rPr>
                    <w:t>管辖范围内员工队伍稳定，保安无旷工、罢工及闹事行为，达不到要求的，一次扣4分，性质严重的，一次性扣完20分。</w:t>
                  </w:r>
                </w:p>
              </w:tc>
              <w:tc>
                <w:tcPr>
                  <w:tcW w:type="dxa" w:w="532"/>
                  <w:tcBorders>
                    <w:top w:val="none" w:color="000000" w:sz="4"/>
                    <w:left w:val="none" w:color="000000" w:sz="4"/>
                    <w:bottom w:val="single" w:color="000000" w:sz="4"/>
                    <w:right w:val="single" w:color="000000" w:sz="4"/>
                  </w:tcBorders>
                  <w:vAlign w:val="top"/>
                </w:tcPr>
                <w:p>
                  <w:pPr>
                    <w:jc w:val="center"/>
                  </w:pPr>
                </w:p>
                <w:p>
                  <w:pPr>
                    <w:jc w:val="center"/>
                  </w:pPr>
                  <w:r>
                    <w:rPr>
                      <w:color w:val="000000"/>
                      <w:sz w:val="18"/>
                    </w:rPr>
                    <w:t>20</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12.</w:t>
                  </w:r>
                  <w:r>
                    <w:rPr>
                      <w:color w:val="000000"/>
                      <w:sz w:val="18"/>
                    </w:rPr>
                    <w:t>服务管理项目（范围、内容）医护人员及病人满意度调查低于95﹪，每下降1﹪扣2分，扣完为止。</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13.</w:t>
                  </w:r>
                  <w:r>
                    <w:rPr>
                      <w:color w:val="000000"/>
                      <w:sz w:val="18"/>
                    </w:rPr>
                    <w:t>定期、不定期上交员工考勤表给院方；定期、不定期组织员工开展学习、培训、演练，资料及时归档，并交院方留存。因迟交考勤表、迟交归档资料级院方，导致延误发放工资、检查人员对工作资料不满意的。扣2分/项/次。</w:t>
                  </w:r>
                </w:p>
              </w:tc>
              <w:tc>
                <w:tcPr>
                  <w:tcW w:type="dxa" w:w="532"/>
                  <w:tcBorders>
                    <w:top w:val="none" w:color="000000" w:sz="4"/>
                    <w:left w:val="none" w:color="000000" w:sz="4"/>
                    <w:bottom w:val="single" w:color="000000" w:sz="4"/>
                    <w:right w:val="single" w:color="000000" w:sz="4"/>
                  </w:tcBorders>
                  <w:vAlign w:val="top"/>
                </w:tcPr>
                <w:p>
                  <w:pPr>
                    <w:jc w:val="center"/>
                  </w:pPr>
                </w:p>
                <w:p>
                  <w:pPr>
                    <w:jc w:val="center"/>
                  </w:pPr>
                  <w:r>
                    <w:rPr>
                      <w:color w:val="000000"/>
                      <w:sz w:val="18"/>
                    </w:rPr>
                    <w:t>6</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vMerge/>
                  <w:tcBorders>
                    <w:top w:val="none" w:color="000000" w:sz="4"/>
                    <w:left w:val="single" w:color="000000" w:sz="4"/>
                    <w:bottom w:val="single" w:color="000000" w:sz="4"/>
                    <w:right w:val="single" w:color="000000" w:sz="4"/>
                  </w:tcBorders>
                </w:tcP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14.</w:t>
                  </w:r>
                  <w:r>
                    <w:rPr>
                      <w:color w:val="000000"/>
                      <w:sz w:val="18"/>
                    </w:rPr>
                    <w:t>分管范围员工出现安全责任事故的，负安全管理连带责任，一次性扣完该项得分。</w:t>
                  </w:r>
                </w:p>
              </w:tc>
              <w:tc>
                <w:tcPr>
                  <w:tcW w:type="dxa" w:w="532"/>
                  <w:tcBorders>
                    <w:top w:val="none" w:color="000000" w:sz="4"/>
                    <w:left w:val="none" w:color="000000" w:sz="4"/>
                    <w:bottom w:val="single" w:color="000000" w:sz="4"/>
                    <w:right w:val="single" w:color="000000" w:sz="4"/>
                  </w:tcBorders>
                  <w:vAlign w:val="top"/>
                </w:tcPr>
                <w:p>
                  <w:pPr>
                    <w:jc w:val="center"/>
                  </w:pPr>
                  <w:r>
                    <w:rPr>
                      <w:color w:val="000000"/>
                      <w:sz w:val="18"/>
                    </w:rPr>
                    <w:t>10</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tcBorders>
                    <w:top w:val="none" w:color="000000" w:sz="4"/>
                    <w:left w:val="single" w:color="000000" w:sz="4"/>
                    <w:bottom w:val="single" w:color="000000" w:sz="4"/>
                    <w:right w:val="single" w:color="000000" w:sz="4"/>
                  </w:tcBorders>
                  <w:vAlign w:val="top"/>
                </w:tcPr>
                <w:p>
                  <w:pPr>
                    <w:jc w:val="center"/>
                  </w:pPr>
                  <w:r>
                    <w:rPr>
                      <w:color w:val="000000"/>
                      <w:sz w:val="18"/>
                    </w:rPr>
                    <w:t>行风</w:t>
                  </w:r>
                </w:p>
                <w:p>
                  <w:pPr>
                    <w:jc w:val="center"/>
                  </w:pPr>
                  <w:r>
                    <w:rPr>
                      <w:color w:val="000000"/>
                      <w:sz w:val="18"/>
                    </w:rPr>
                    <w:t>建设</w:t>
                  </w:r>
                </w:p>
              </w:tc>
              <w:tc>
                <w:tcPr>
                  <w:tcW w:type="dxa" w:w="4187"/>
                  <w:tcBorders>
                    <w:top w:val="none" w:color="000000" w:sz="4"/>
                    <w:left w:val="none" w:color="000000" w:sz="4"/>
                    <w:bottom w:val="single" w:color="000000" w:sz="4"/>
                    <w:right w:val="single" w:color="000000" w:sz="4"/>
                  </w:tcBorders>
                  <w:vAlign w:val="top"/>
                </w:tcPr>
                <w:p>
                  <w:pPr>
                    <w:jc w:val="both"/>
                  </w:pPr>
                  <w:r>
                    <w:rPr>
                      <w:color w:val="000000"/>
                      <w:sz w:val="18"/>
                    </w:rPr>
                    <w:t>15.</w:t>
                  </w:r>
                  <w:r>
                    <w:rPr>
                      <w:color w:val="000000"/>
                      <w:sz w:val="18"/>
                    </w:rPr>
                    <w:t>服务管理责任范围内出现有效投诉，口头投诉，扣1分/项/次；书面投诉，扣2分/项/次；向上级部门（卫计局等）书面投诉，或医院委托的第三方测评服务满意度低于80</w:t>
                  </w:r>
                  <w:r>
                    <w:rPr>
                      <w:color w:val="000000"/>
                      <w:sz w:val="18"/>
                    </w:rPr>
                    <w:t>﹪的</w:t>
                  </w:r>
                  <w:r>
                    <w:rPr>
                      <w:color w:val="000000"/>
                      <w:sz w:val="18"/>
                    </w:rPr>
                    <w:t>，扣4分/项/次。</w:t>
                  </w:r>
                </w:p>
              </w:tc>
              <w:tc>
                <w:tcPr>
                  <w:tcW w:type="dxa" w:w="532"/>
                  <w:tcBorders>
                    <w:top w:val="none" w:color="000000" w:sz="4"/>
                    <w:left w:val="none" w:color="000000" w:sz="4"/>
                    <w:bottom w:val="single" w:color="000000" w:sz="4"/>
                    <w:right w:val="single" w:color="000000" w:sz="4"/>
                  </w:tcBorders>
                  <w:vAlign w:val="top"/>
                </w:tcPr>
                <w:p>
                  <w:pPr>
                    <w:jc w:val="center"/>
                  </w:pPr>
                </w:p>
                <w:p>
                  <w:pPr>
                    <w:jc w:val="center"/>
                  </w:pPr>
                  <w:r>
                    <w:rPr>
                      <w:color w:val="000000"/>
                      <w:sz w:val="18"/>
                    </w:rPr>
                    <w:t>10</w:t>
                  </w:r>
                </w:p>
              </w:tc>
              <w:tc>
                <w:tcPr>
                  <w:tcW w:type="dxa" w:w="425"/>
                  <w:tcBorders>
                    <w:top w:val="none" w:color="000000" w:sz="4"/>
                    <w:left w:val="none" w:color="000000" w:sz="4"/>
                    <w:bottom w:val="single" w:color="000000" w:sz="4"/>
                    <w:right w:val="single" w:color="000000" w:sz="4"/>
                  </w:tcBorders>
                  <w:vAlign w:val="top"/>
                </w:tcPr>
                <w:p>
                  <w:pPr>
                    <w:jc w:val="center"/>
                  </w:pPr>
                </w:p>
              </w:tc>
            </w:tr>
            <w:tr>
              <w:tc>
                <w:tcPr>
                  <w:tcW w:type="dxa" w:w="452"/>
                  <w:tcBorders>
                    <w:top w:val="none" w:color="000000" w:sz="4"/>
                    <w:left w:val="single" w:color="000000" w:sz="4"/>
                    <w:bottom w:val="single" w:color="000000" w:sz="4"/>
                    <w:right w:val="single" w:color="000000" w:sz="4"/>
                  </w:tcBorders>
                  <w:vAlign w:val="top"/>
                </w:tcPr>
                <w:p>
                  <w:pPr>
                    <w:jc w:val="center"/>
                  </w:pPr>
                  <w:r>
                    <w:rPr>
                      <w:color w:val="000000"/>
                      <w:sz w:val="18"/>
                    </w:rPr>
                    <w:t>扣分</w:t>
                  </w:r>
                </w:p>
                <w:p>
                  <w:pPr>
                    <w:jc w:val="center"/>
                  </w:pPr>
                  <w:r>
                    <w:rPr>
                      <w:color w:val="000000"/>
                      <w:sz w:val="18"/>
                    </w:rPr>
                    <w:t>原因</w:t>
                  </w:r>
                </w:p>
              </w:tc>
              <w:tc>
                <w:tcPr>
                  <w:tcW w:type="dxa" w:w="5144"/>
                  <w:gridSpan w:val="3"/>
                  <w:tcBorders>
                    <w:top w:val="none" w:color="000000" w:sz="4"/>
                    <w:left w:val="none" w:color="000000" w:sz="4"/>
                    <w:bottom w:val="single" w:color="000000" w:sz="4"/>
                    <w:right w:val="single" w:color="000000" w:sz="4"/>
                  </w:tcBorders>
                  <w:vAlign w:val="top"/>
                </w:tcPr>
                <w:p>
                  <w:pPr>
                    <w:jc w:val="both"/>
                  </w:pPr>
                </w:p>
              </w:tc>
            </w:tr>
            <w:tr>
              <w:tc>
                <w:tcPr>
                  <w:tcW w:type="dxa" w:w="452"/>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18"/>
                    </w:rPr>
                    <w:t>说明</w:t>
                  </w:r>
                </w:p>
              </w:tc>
              <w:tc>
                <w:tcPr>
                  <w:tcW w:type="dxa" w:w="5144"/>
                  <w:gridSpan w:val="3"/>
                  <w:tcBorders>
                    <w:top w:val="none" w:color="000000" w:sz="4"/>
                    <w:left w:val="none" w:color="000000" w:sz="4"/>
                    <w:bottom w:val="single" w:color="000000" w:sz="4"/>
                    <w:right w:val="single" w:color="000000" w:sz="4"/>
                  </w:tcBorders>
                  <w:vAlign w:val="top"/>
                </w:tcPr>
                <w:p>
                  <w:pPr>
                    <w:jc w:val="both"/>
                  </w:pPr>
                  <w:r>
                    <w:rPr>
                      <w:color w:val="000000"/>
                      <w:sz w:val="18"/>
                    </w:rPr>
                    <w:t>1.</w:t>
                  </w:r>
                  <w:r>
                    <w:rPr>
                      <w:color w:val="000000"/>
                      <w:sz w:val="18"/>
                    </w:rPr>
                    <w:t>管理干部从工资中提取400元/人/月作为绩效考核奖励金，以季度为单位每季度考核一次。</w:t>
                  </w:r>
                </w:p>
                <w:p>
                  <w:pPr>
                    <w:jc w:val="both"/>
                  </w:pPr>
                  <w:r>
                    <w:rPr>
                      <w:color w:val="000000"/>
                      <w:sz w:val="18"/>
                    </w:rPr>
                    <w:t>2.</w:t>
                  </w:r>
                  <w:r>
                    <w:rPr>
                      <w:color w:val="000000"/>
                      <w:sz w:val="18"/>
                    </w:rPr>
                    <w:t>管理人员考核分两部分，一部分按中标方对个人所考核的分值占总值50﹪；另一部分按采购方对个人考核的分值占总值50﹪，两者相加为管理人员的考核分值。</w:t>
                  </w:r>
                </w:p>
                <w:p>
                  <w:pPr>
                    <w:jc w:val="both"/>
                  </w:pPr>
                  <w:r>
                    <w:rPr>
                      <w:color w:val="000000"/>
                      <w:sz w:val="18"/>
                    </w:rPr>
                    <w:t>3.</w:t>
                  </w:r>
                  <w:r>
                    <w:rPr>
                      <w:color w:val="000000"/>
                      <w:sz w:val="18"/>
                    </w:rPr>
                    <w:t>考核得分满分为100分，每1分等于人民币12元。管理干部被扣分未能全额领取绩效考核奖励金的，被扣罚部分由医院奖励给相应岗位的优秀员工。</w:t>
                  </w:r>
                </w:p>
                <w:p>
                  <w:pPr>
                    <w:jc w:val="both"/>
                  </w:pPr>
                  <w:r>
                    <w:rPr>
                      <w:color w:val="000000"/>
                      <w:sz w:val="18"/>
                    </w:rPr>
                    <w:t>4.</w:t>
                  </w:r>
                  <w:r>
                    <w:rPr>
                      <w:color w:val="000000"/>
                      <w:sz w:val="18"/>
                    </w:rPr>
                    <w:t>由采购方保卫科作为考核部门。</w:t>
                  </w:r>
                </w:p>
              </w:tc>
            </w:tr>
          </w:tbl>
          <w:p>
            <w:pPr>
              <w:jc w:val="both"/>
            </w:pPr>
            <w:r>
              <w:rPr>
                <w:color w:val="000000"/>
                <w:sz w:val="18"/>
              </w:rPr>
              <w:t>考核日期：        年     月     日                   考核人员签名：</w:t>
            </w:r>
          </w:p>
          <w:p>
            <w:pPr>
              <w:jc w:val="both"/>
            </w:pPr>
          </w:p>
          <w:p>
            <w:pPr>
              <w:jc w:val="both"/>
            </w:pPr>
            <w:r>
              <w:rPr>
                <w:color w:val="000000"/>
                <w:sz w:val="18"/>
              </w:rPr>
              <w:t>附2</w:t>
            </w:r>
          </w:p>
          <w:p>
            <w:pPr>
              <w:jc w:val="center"/>
            </w:pPr>
            <w:r>
              <w:rPr>
                <w:b/>
                <w:color w:val="000000"/>
                <w:sz w:val="18"/>
              </w:rPr>
              <w:t>保安员绩效考核评分细则</w:t>
            </w:r>
          </w:p>
          <w:p>
            <w:pPr>
              <w:jc w:val="center"/>
            </w:pPr>
          </w:p>
          <w:p>
            <w:pPr>
              <w:jc w:val="both"/>
            </w:pPr>
            <w:r>
              <w:rPr>
                <w:color w:val="000000"/>
                <w:sz w:val="18"/>
              </w:rPr>
              <w:t>被考核人员：                      考核总分：100分     扣分：        实得分：</w:t>
            </w:r>
          </w:p>
          <w:tbl>
            <w:tblPr>
              <w:tblBorders>
                <w:top w:val="none" w:color="000000" w:sz="4"/>
                <w:left w:val="none" w:color="000000" w:sz="4"/>
                <w:bottom w:val="none" w:color="000000" w:sz="4"/>
                <w:right w:val="none" w:color="000000" w:sz="4"/>
                <w:insideH w:val="none"/>
                <w:insideV w:val="none"/>
              </w:tblBorders>
            </w:tblPr>
            <w:tblGrid>
              <w:gridCol w:w="444"/>
              <w:gridCol w:w="4109"/>
              <w:gridCol w:w="522"/>
              <w:gridCol w:w="522"/>
            </w:tblGrid>
            <w:tr>
              <w:tc>
                <w:tcPr>
                  <w:tcW w:type="dxa" w:w="444"/>
                  <w:tcBorders>
                    <w:top w:val="single" w:color="000000" w:sz="4"/>
                    <w:left w:val="single" w:color="000000" w:sz="4"/>
                    <w:bottom w:val="single" w:color="000000" w:sz="4"/>
                    <w:right w:val="single" w:color="000000" w:sz="4"/>
                  </w:tcBorders>
                </w:tcPr>
                <w:p>
                  <w:pPr>
                    <w:jc w:val="center"/>
                  </w:pPr>
                  <w:r>
                    <w:rPr>
                      <w:b/>
                      <w:color w:val="000000"/>
                      <w:sz w:val="18"/>
                    </w:rPr>
                    <w:t>项目</w:t>
                  </w:r>
                </w:p>
              </w:tc>
              <w:tc>
                <w:tcPr>
                  <w:tcW w:type="dxa" w:w="4109"/>
                  <w:tcBorders>
                    <w:top w:val="single" w:color="000000" w:sz="4"/>
                    <w:left w:val="none" w:color="000000" w:sz="4"/>
                    <w:bottom w:val="single" w:color="000000" w:sz="4"/>
                    <w:right w:val="single" w:color="000000" w:sz="4"/>
                  </w:tcBorders>
                </w:tcPr>
                <w:p>
                  <w:pPr>
                    <w:jc w:val="center"/>
                  </w:pPr>
                  <w:r>
                    <w:rPr>
                      <w:b/>
                      <w:color w:val="000000"/>
                      <w:sz w:val="18"/>
                    </w:rPr>
                    <w:t>具体内容</w:t>
                  </w:r>
                </w:p>
              </w:tc>
              <w:tc>
                <w:tcPr>
                  <w:tcW w:type="dxa" w:w="522"/>
                  <w:tcBorders>
                    <w:top w:val="single" w:color="000000" w:sz="4"/>
                    <w:left w:val="none" w:color="000000" w:sz="4"/>
                    <w:bottom w:val="single" w:color="000000" w:sz="4"/>
                    <w:right w:val="single" w:color="000000" w:sz="4"/>
                  </w:tcBorders>
                </w:tcPr>
                <w:p>
                  <w:pPr>
                    <w:jc w:val="center"/>
                  </w:pPr>
                  <w:r>
                    <w:rPr>
                      <w:b/>
                      <w:color w:val="000000"/>
                      <w:sz w:val="18"/>
                    </w:rPr>
                    <w:t>分值</w:t>
                  </w:r>
                </w:p>
              </w:tc>
              <w:tc>
                <w:tcPr>
                  <w:tcW w:type="dxa" w:w="522"/>
                  <w:tcBorders>
                    <w:top w:val="single" w:color="000000" w:sz="4"/>
                    <w:left w:val="none" w:color="000000" w:sz="4"/>
                    <w:bottom w:val="single" w:color="000000" w:sz="4"/>
                    <w:right w:val="single" w:color="000000" w:sz="4"/>
                  </w:tcBorders>
                </w:tcPr>
                <w:p>
                  <w:pPr>
                    <w:jc w:val="center"/>
                  </w:pPr>
                  <w:r>
                    <w:rPr>
                      <w:b/>
                      <w:color w:val="000000"/>
                      <w:sz w:val="18"/>
                    </w:rPr>
                    <w:t>扣分</w:t>
                  </w:r>
                </w:p>
              </w:tc>
            </w:tr>
            <w:tr>
              <w:tc>
                <w:tcPr>
                  <w:tcW w:type="dxa" w:w="444"/>
                  <w:tcBorders>
                    <w:top w:val="none" w:color="000000" w:sz="4"/>
                    <w:left w:val="single" w:color="000000" w:sz="4"/>
                    <w:bottom w:val="single" w:color="000000" w:sz="4"/>
                    <w:right w:val="single" w:color="000000" w:sz="4"/>
                  </w:tcBorders>
                  <w:vAlign w:val="top"/>
                </w:tcPr>
                <w:p>
                  <w:pPr>
                    <w:jc w:val="center"/>
                  </w:pPr>
                  <w:r>
                    <w:rPr>
                      <w:color w:val="000000"/>
                      <w:sz w:val="18"/>
                    </w:rPr>
                    <w:t>思想</w:t>
                  </w:r>
                </w:p>
                <w:p>
                  <w:pPr>
                    <w:jc w:val="center"/>
                  </w:pPr>
                  <w:r>
                    <w:rPr>
                      <w:color w:val="000000"/>
                      <w:sz w:val="18"/>
                    </w:rPr>
                    <w:t>品德</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w:t>
                  </w:r>
                  <w:r>
                    <w:rPr>
                      <w:color w:val="000000"/>
                      <w:sz w:val="18"/>
                    </w:rPr>
                    <w:t>品德好，没有前科（经查实立即开除）；没有单独（或串谋）盗窃医院、职工或病人财物行为；没有参与或庇护医托、医闹、派传单者行为；拾金不昧，助人为乐。违犯扣2分/项/次。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p>
                <w:p>
                  <w:pPr>
                    <w:jc w:val="center"/>
                  </w:pPr>
                  <w:r>
                    <w:rPr>
                      <w:color w:val="000000"/>
                      <w:sz w:val="18"/>
                    </w:rPr>
                    <w:t>仪容</w:t>
                  </w:r>
                </w:p>
                <w:p>
                  <w:pPr>
                    <w:jc w:val="center"/>
                  </w:pPr>
                  <w:r>
                    <w:rPr>
                      <w:color w:val="000000"/>
                      <w:sz w:val="18"/>
                    </w:rPr>
                    <w:t>仪表</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2.</w:t>
                  </w:r>
                  <w:r>
                    <w:rPr>
                      <w:color w:val="000000"/>
                      <w:sz w:val="18"/>
                    </w:rPr>
                    <w:t>仪容整洁、仪态端庄；不留长发、不留大鬓角、不畜胡须；着装规范，夏、秋、冬装不混穿。违犯扣2分/项/次。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3.</w:t>
                  </w:r>
                  <w:r>
                    <w:rPr>
                      <w:color w:val="000000"/>
                      <w:sz w:val="18"/>
                    </w:rPr>
                    <w:t>举止文明，不边走路边吸烟；不边走路边吃零食；不边走路边扇扇子；不边走路边打（玩）手机；不勾肩搭背；队列动作规范。违犯扣2分/项/次。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r>
                    <w:rPr>
                      <w:color w:val="000000"/>
                      <w:sz w:val="18"/>
                    </w:rPr>
                    <w:t>劳动</w:t>
                  </w:r>
                </w:p>
                <w:p>
                  <w:pPr>
                    <w:jc w:val="center"/>
                  </w:pPr>
                  <w:r>
                    <w:rPr>
                      <w:color w:val="000000"/>
                      <w:sz w:val="18"/>
                    </w:rPr>
                    <w:t>纪律</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4.</w:t>
                  </w:r>
                  <w:r>
                    <w:rPr>
                      <w:color w:val="000000"/>
                      <w:sz w:val="18"/>
                    </w:rPr>
                    <w:t>按时上、下班，不迟到、不早退。违犯扣2分/项/次。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5.</w:t>
                  </w:r>
                  <w:r>
                    <w:rPr>
                      <w:color w:val="000000"/>
                      <w:sz w:val="18"/>
                    </w:rPr>
                    <w:t xml:space="preserve">不串岗、脱岗；不擅自换班、调岗；不聚众聊天、喧哗；不玩手机；不打瞌睡；不坐在花基、树荫下偷懒；不坐在候诊凳（椅），不躲在偏僻角落偷懒、睡觉；不在岗位吸烟、干私活。违犯扣3分/项/次。                                       </w:t>
                  </w:r>
                </w:p>
              </w:tc>
              <w:tc>
                <w:tcPr>
                  <w:tcW w:type="dxa" w:w="522"/>
                  <w:tcBorders>
                    <w:top w:val="none" w:color="000000" w:sz="4"/>
                    <w:left w:val="none" w:color="000000" w:sz="4"/>
                    <w:bottom w:val="single" w:color="000000" w:sz="4"/>
                    <w:right w:val="single" w:color="000000" w:sz="4"/>
                  </w:tcBorders>
                  <w:vAlign w:val="top"/>
                </w:tcPr>
                <w:p>
                  <w:pPr>
                    <w:jc w:val="center"/>
                  </w:pPr>
                </w:p>
                <w:p>
                  <w:pPr>
                    <w:jc w:val="center"/>
                  </w:pPr>
                  <w:r>
                    <w:rPr>
                      <w:color w:val="000000"/>
                      <w:sz w:val="18"/>
                    </w:rPr>
                    <w:t>18</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6.</w:t>
                  </w:r>
                  <w:r>
                    <w:rPr>
                      <w:color w:val="000000"/>
                      <w:sz w:val="18"/>
                    </w:rPr>
                    <w:t>依时参加各种会议、训练、培训、演练。违犯扣2分/项/次。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7.</w:t>
                  </w:r>
                  <w:r>
                    <w:rPr>
                      <w:color w:val="000000"/>
                      <w:sz w:val="18"/>
                    </w:rPr>
                    <w:t>服从工作安排，听从指挥、调遣；积极完成医院交办的临时工作任务。违犯扣2分/项/次。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p>
                <w:p>
                  <w:pPr>
                    <w:jc w:val="center"/>
                  </w:pPr>
                </w:p>
                <w:p>
                  <w:pPr>
                    <w:jc w:val="center"/>
                  </w:pPr>
                </w:p>
                <w:p>
                  <w:pPr>
                    <w:jc w:val="center"/>
                  </w:pPr>
                </w:p>
                <w:p>
                  <w:pPr>
                    <w:jc w:val="center"/>
                  </w:pPr>
                </w:p>
                <w:p>
                  <w:pPr>
                    <w:jc w:val="center"/>
                  </w:pPr>
                  <w:r>
                    <w:rPr>
                      <w:color w:val="000000"/>
                      <w:sz w:val="18"/>
                    </w:rPr>
                    <w:t>工作</w:t>
                  </w:r>
                </w:p>
                <w:p>
                  <w:pPr>
                    <w:jc w:val="center"/>
                  </w:pPr>
                  <w:r>
                    <w:rPr>
                      <w:color w:val="000000"/>
                      <w:sz w:val="18"/>
                    </w:rPr>
                    <w:t>质量</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8.</w:t>
                  </w:r>
                  <w:r>
                    <w:rPr>
                      <w:color w:val="000000"/>
                      <w:sz w:val="18"/>
                    </w:rPr>
                    <w:t>熟悉岗位职责、工作流程及操作标准。不熟悉扣2分/项/次。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9.</w:t>
                  </w:r>
                  <w:r>
                    <w:rPr>
                      <w:color w:val="000000"/>
                      <w:sz w:val="18"/>
                    </w:rPr>
                    <w:t xml:space="preserve">保卫门诊部、住院部、医技部、教学科研楼及行政后勤楼等全院范围设备、设施；敢于与不正之风及违法、犯罪行为作斗争。达不到要求的，扣2分/项/次。                                                                                                                                      </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8</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10.</w:t>
                  </w:r>
                  <w:r>
                    <w:rPr>
                      <w:color w:val="000000"/>
                      <w:sz w:val="18"/>
                    </w:rPr>
                    <w:t>维护室内、户外大型活动秩序，防止发生踩踏、被盗事件。达到不要求，一次性扣完4分。</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11.</w:t>
                  </w:r>
                  <w:r>
                    <w:rPr>
                      <w:color w:val="000000"/>
                      <w:sz w:val="18"/>
                    </w:rPr>
                    <w:t>发现火情处置及时、得当。知情不报、临阵退缩、处置不及时的，一次性扣完4分。</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12.</w:t>
                  </w:r>
                  <w:r>
                    <w:rPr>
                      <w:color w:val="000000"/>
                      <w:sz w:val="18"/>
                    </w:rPr>
                    <w:t>发现可疑人员及时实施监控、跟踪、报告等有效防范措施，严防发生被盗、被抢等治安案件。达到不要求的，扣2分/项/次。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6</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13.</w:t>
                  </w:r>
                  <w:r>
                    <w:rPr>
                      <w:color w:val="000000"/>
                      <w:sz w:val="18"/>
                    </w:rPr>
                    <w:t>按时开（关）各处大门、防盗门、防盗闸、电梯等，确保车辆、行人正常进出；按时巡查、签到；交接班有记录；发生事件、事故有记录。达到不要求的，扣2分/项/次。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r>
                    <w:rPr>
                      <w:color w:val="000000"/>
                      <w:sz w:val="18"/>
                    </w:rPr>
                    <w:t>技能</w:t>
                  </w:r>
                </w:p>
                <w:p>
                  <w:pPr>
                    <w:jc w:val="center"/>
                  </w:pPr>
                  <w:r>
                    <w:rPr>
                      <w:color w:val="000000"/>
                      <w:sz w:val="18"/>
                    </w:rPr>
                    <w:t>操作</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15.</w:t>
                  </w:r>
                  <w:r>
                    <w:rPr>
                      <w:color w:val="000000"/>
                      <w:sz w:val="18"/>
                    </w:rPr>
                    <w:t>熟练操作消防监控设备、视频安防监控设备、对讲机等设备；熟练操作警务室配备防暴器械；严格执行监控室准入制度；严格视频查阅、审批制度。达不到要求的，扣2分/项/次。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16.</w:t>
                  </w:r>
                  <w:r>
                    <w:rPr>
                      <w:color w:val="000000"/>
                      <w:sz w:val="18"/>
                    </w:rPr>
                    <w:t>熟练掌握消防设施、消防器材的检查及使用。达不到要求的，扣2分/项/次。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val="restart"/>
                  <w:tcBorders>
                    <w:top w:val="none" w:color="000000" w:sz="4"/>
                    <w:left w:val="single" w:color="000000" w:sz="4"/>
                    <w:bottom w:val="single" w:color="000000" w:sz="4"/>
                    <w:right w:val="single" w:color="000000" w:sz="4"/>
                  </w:tcBorders>
                  <w:vAlign w:val="top"/>
                </w:tcPr>
                <w:p>
                  <w:pPr>
                    <w:jc w:val="center"/>
                  </w:pPr>
                </w:p>
                <w:p>
                  <w:pPr>
                    <w:jc w:val="center"/>
                  </w:pPr>
                  <w:r>
                    <w:rPr>
                      <w:color w:val="000000"/>
                      <w:sz w:val="18"/>
                    </w:rPr>
                    <w:t>应急事件处理</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17.</w:t>
                  </w:r>
                  <w:r>
                    <w:rPr>
                      <w:color w:val="000000"/>
                      <w:sz w:val="18"/>
                    </w:rPr>
                    <w:t>车场停放车辆完好无损。如因看守汽车场失责而导致汽车被碰撞、被刮花、被砸、被盗的，扣2分/项/次；如处置不当，导致车主与医院发生纠纷的，再加扣2分/项/次。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18.</w:t>
                  </w:r>
                  <w:r>
                    <w:rPr>
                      <w:color w:val="000000"/>
                      <w:sz w:val="18"/>
                    </w:rPr>
                    <w:t>接科室报告紧急情况后，5分钟内到达现场，并及时将情况逐级上报。延误扣2分/项/次。</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vMerge/>
                  <w:tcBorders>
                    <w:top w:val="none" w:color="000000" w:sz="4"/>
                    <w:left w:val="single" w:color="000000" w:sz="4"/>
                    <w:bottom w:val="single" w:color="000000" w:sz="4"/>
                    <w:right w:val="single" w:color="000000" w:sz="4"/>
                  </w:tcBorders>
                </w:tcP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19.</w:t>
                  </w:r>
                  <w:r>
                    <w:rPr>
                      <w:color w:val="000000"/>
                      <w:sz w:val="18"/>
                    </w:rPr>
                    <w:t>突发事件保障有力，能控制突发事件现场秩序,严防事态扩大。保护医护人员、医院职工、病人免受不法侵害。达到不要求的，一次性扣完4分。</w:t>
                  </w:r>
                </w:p>
              </w:tc>
              <w:tc>
                <w:tcPr>
                  <w:tcW w:type="dxa" w:w="522"/>
                  <w:tcBorders>
                    <w:top w:val="none" w:color="000000" w:sz="4"/>
                    <w:left w:val="none" w:color="000000" w:sz="4"/>
                    <w:bottom w:val="single" w:color="000000" w:sz="4"/>
                    <w:right w:val="single" w:color="000000" w:sz="4"/>
                  </w:tcBorders>
                  <w:vAlign w:val="top"/>
                </w:tcPr>
                <w:p>
                  <w:pPr>
                    <w:jc w:val="center"/>
                  </w:pPr>
                  <w:r>
                    <w:rPr>
                      <w:color w:val="000000"/>
                      <w:sz w:val="18"/>
                    </w:rPr>
                    <w:t>4</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tcBorders>
                    <w:top w:val="none" w:color="000000" w:sz="4"/>
                    <w:left w:val="single" w:color="000000" w:sz="4"/>
                    <w:bottom w:val="single" w:color="000000" w:sz="4"/>
                    <w:right w:val="single" w:color="000000" w:sz="4"/>
                  </w:tcBorders>
                  <w:vAlign w:val="top"/>
                </w:tcPr>
                <w:p>
                  <w:pPr>
                    <w:jc w:val="center"/>
                  </w:pPr>
                  <w:r>
                    <w:rPr>
                      <w:color w:val="000000"/>
                      <w:sz w:val="18"/>
                    </w:rPr>
                    <w:t>行风</w:t>
                  </w:r>
                </w:p>
                <w:p>
                  <w:pPr>
                    <w:jc w:val="center"/>
                  </w:pPr>
                  <w:r>
                    <w:rPr>
                      <w:color w:val="000000"/>
                      <w:sz w:val="18"/>
                    </w:rPr>
                    <w:t>建设</w:t>
                  </w:r>
                </w:p>
              </w:tc>
              <w:tc>
                <w:tcPr>
                  <w:tcW w:type="dxa" w:w="4109"/>
                  <w:tcBorders>
                    <w:top w:val="none" w:color="000000" w:sz="4"/>
                    <w:left w:val="none" w:color="000000" w:sz="4"/>
                    <w:bottom w:val="single" w:color="000000" w:sz="4"/>
                    <w:right w:val="single" w:color="000000" w:sz="4"/>
                  </w:tcBorders>
                  <w:vAlign w:val="top"/>
                </w:tcPr>
                <w:p>
                  <w:pPr>
                    <w:jc w:val="both"/>
                  </w:pPr>
                  <w:r>
                    <w:rPr>
                      <w:color w:val="000000"/>
                      <w:sz w:val="18"/>
                    </w:rPr>
                    <w:t>20.</w:t>
                  </w:r>
                  <w:r>
                    <w:rPr>
                      <w:color w:val="000000"/>
                      <w:sz w:val="18"/>
                    </w:rPr>
                    <w:t>工作</w:t>
                  </w:r>
                  <w:r>
                    <w:rPr>
                      <w:color w:val="000000"/>
                      <w:sz w:val="18"/>
                    </w:rPr>
                    <w:t>范围内出现有效投诉，口头投诉，扣2分/项/次；书面投诉，扣4分/项/次；向上级部门（卫计局等）书面投诉，或医院委托的第三方测评服务满意度低于75</w:t>
                  </w:r>
                  <w:r>
                    <w:rPr>
                      <w:color w:val="000000"/>
                      <w:sz w:val="18"/>
                    </w:rPr>
                    <w:t>﹪的</w:t>
                  </w:r>
                  <w:r>
                    <w:rPr>
                      <w:color w:val="000000"/>
                      <w:sz w:val="18"/>
                    </w:rPr>
                    <w:t>，扣6分/项/次。</w:t>
                  </w:r>
                </w:p>
              </w:tc>
              <w:tc>
                <w:tcPr>
                  <w:tcW w:type="dxa" w:w="522"/>
                  <w:tcBorders>
                    <w:top w:val="none" w:color="000000" w:sz="4"/>
                    <w:left w:val="none" w:color="000000" w:sz="4"/>
                    <w:bottom w:val="single" w:color="000000" w:sz="4"/>
                    <w:right w:val="single" w:color="000000" w:sz="4"/>
                  </w:tcBorders>
                  <w:vAlign w:val="top"/>
                </w:tcPr>
                <w:p>
                  <w:pPr>
                    <w:jc w:val="center"/>
                  </w:pPr>
                </w:p>
                <w:p>
                  <w:pPr>
                    <w:jc w:val="center"/>
                  </w:pPr>
                  <w:r>
                    <w:rPr>
                      <w:color w:val="000000"/>
                      <w:sz w:val="18"/>
                    </w:rPr>
                    <w:t>8</w:t>
                  </w:r>
                </w:p>
              </w:tc>
              <w:tc>
                <w:tcPr>
                  <w:tcW w:type="dxa" w:w="522"/>
                  <w:tcBorders>
                    <w:top w:val="none" w:color="000000" w:sz="4"/>
                    <w:left w:val="none" w:color="000000" w:sz="4"/>
                    <w:bottom w:val="single" w:color="000000" w:sz="4"/>
                    <w:right w:val="single" w:color="000000" w:sz="4"/>
                  </w:tcBorders>
                  <w:vAlign w:val="top"/>
                </w:tcPr>
                <w:p>
                  <w:pPr>
                    <w:jc w:val="center"/>
                  </w:pPr>
                </w:p>
              </w:tc>
            </w:tr>
            <w:tr>
              <w:tc>
                <w:tcPr>
                  <w:tcW w:type="dxa" w:w="444"/>
                  <w:tcBorders>
                    <w:top w:val="none" w:color="000000" w:sz="4"/>
                    <w:left w:val="single" w:color="000000" w:sz="4"/>
                    <w:bottom w:val="single" w:color="000000" w:sz="4"/>
                    <w:right w:val="single" w:color="000000" w:sz="4"/>
                  </w:tcBorders>
                  <w:vAlign w:val="top"/>
                </w:tcPr>
                <w:p>
                  <w:pPr>
                    <w:jc w:val="center"/>
                  </w:pPr>
                  <w:r>
                    <w:rPr>
                      <w:color w:val="000000"/>
                      <w:sz w:val="18"/>
                    </w:rPr>
                    <w:t>扣分</w:t>
                  </w:r>
                </w:p>
                <w:p>
                  <w:pPr>
                    <w:jc w:val="center"/>
                  </w:pPr>
                  <w:r>
                    <w:rPr>
                      <w:color w:val="000000"/>
                      <w:sz w:val="18"/>
                    </w:rPr>
                    <w:t>原因</w:t>
                  </w:r>
                </w:p>
              </w:tc>
              <w:tc>
                <w:tcPr>
                  <w:tcW w:type="dxa" w:w="5153"/>
                  <w:gridSpan w:val="3"/>
                  <w:tcBorders>
                    <w:top w:val="none" w:color="000000" w:sz="4"/>
                    <w:left w:val="none" w:color="000000" w:sz="4"/>
                    <w:bottom w:val="single" w:color="000000" w:sz="4"/>
                    <w:right w:val="single" w:color="000000" w:sz="4"/>
                  </w:tcBorders>
                  <w:vAlign w:val="top"/>
                </w:tcPr>
                <w:p>
                  <w:pPr>
                    <w:jc w:val="center"/>
                  </w:pPr>
                </w:p>
              </w:tc>
            </w:tr>
            <w:tr>
              <w:tc>
                <w:tcPr>
                  <w:tcW w:type="dxa" w:w="444"/>
                  <w:tcBorders>
                    <w:top w:val="none" w:color="000000" w:sz="4"/>
                    <w:left w:val="single" w:color="000000" w:sz="4"/>
                    <w:bottom w:val="single" w:color="000000" w:sz="4"/>
                    <w:right w:val="single" w:color="000000" w:sz="4"/>
                  </w:tcBorders>
                  <w:vAlign w:val="top"/>
                </w:tcPr>
                <w:p>
                  <w:pPr>
                    <w:jc w:val="center"/>
                  </w:pPr>
                </w:p>
                <w:p>
                  <w:pPr>
                    <w:jc w:val="center"/>
                  </w:pPr>
                  <w:r>
                    <w:rPr>
                      <w:color w:val="000000"/>
                      <w:sz w:val="18"/>
                    </w:rPr>
                    <w:t>说明</w:t>
                  </w:r>
                </w:p>
              </w:tc>
              <w:tc>
                <w:tcPr>
                  <w:tcW w:type="dxa" w:w="5153"/>
                  <w:gridSpan w:val="3"/>
                  <w:tcBorders>
                    <w:top w:val="none" w:color="000000" w:sz="4"/>
                    <w:left w:val="none" w:color="000000" w:sz="4"/>
                    <w:bottom w:val="single" w:color="000000" w:sz="4"/>
                    <w:right w:val="single" w:color="000000" w:sz="4"/>
                  </w:tcBorders>
                  <w:vAlign w:val="top"/>
                </w:tcPr>
                <w:p>
                  <w:pPr>
                    <w:jc w:val="both"/>
                  </w:pPr>
                  <w:r>
                    <w:rPr>
                      <w:color w:val="000000"/>
                      <w:sz w:val="18"/>
                    </w:rPr>
                    <w:t>1.</w:t>
                  </w:r>
                  <w:r>
                    <w:rPr>
                      <w:color w:val="000000"/>
                      <w:sz w:val="18"/>
                    </w:rPr>
                    <w:t>保安从工资中提取200元/人/月作为绩效考核奖励金，以季度为单位每季度考核一次。</w:t>
                  </w:r>
                </w:p>
                <w:p>
                  <w:pPr>
                    <w:jc w:val="both"/>
                  </w:pPr>
                  <w:r>
                    <w:rPr>
                      <w:color w:val="000000"/>
                      <w:sz w:val="18"/>
                    </w:rPr>
                    <w:t>2.</w:t>
                  </w:r>
                  <w:r>
                    <w:rPr>
                      <w:color w:val="000000"/>
                      <w:sz w:val="18"/>
                    </w:rPr>
                    <w:t>考核得分满分为100分，每1分等于人民币6元。保安被扣分未能全额领取绩效考核奖励金的，被扣罚部分由医院奖励给相应岗位的优秀员工。</w:t>
                  </w:r>
                </w:p>
                <w:p>
                  <w:pPr>
                    <w:jc w:val="both"/>
                  </w:pPr>
                  <w:r>
                    <w:rPr>
                      <w:color w:val="000000"/>
                      <w:sz w:val="18"/>
                    </w:rPr>
                    <w:t>3.</w:t>
                  </w:r>
                  <w:r>
                    <w:rPr>
                      <w:color w:val="000000"/>
                      <w:sz w:val="18"/>
                    </w:rPr>
                    <w:t>由采购方保卫科作为考核部门。</w:t>
                  </w:r>
                </w:p>
              </w:tc>
            </w:tr>
          </w:tbl>
          <w:p>
            <w:pPr>
              <w:jc w:val="both"/>
            </w:pPr>
            <w:r>
              <w:rPr>
                <w:color w:val="000000"/>
                <w:sz w:val="18"/>
              </w:rPr>
              <w:t>考核日期：        年     月     日                   考核人员签名：</w:t>
            </w:r>
          </w:p>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响应供应商须知</w:t>
      </w:r>
    </w:p>
    <w:p>
      <w:pPr>
        <w:ind w:firstLine="480"/>
      </w:pPr>
      <w:r>
        <w:rPr/>
        <w:t>供应商必须认真阅读采购文件中所有的事项、格式、条款和采购需求等。供应商没有按照采购文件要求提交全部资料，或者响应文件没有对采购文件在各方面都做出实质性响应的可能导致其响应无效或被拒绝。</w:t>
      </w:r>
    </w:p>
    <w:p>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w:t>
      </w:r>
      <w:r>
        <w:rPr/>
        <w:t>广东省机电设备招标有限公司佛山分公司</w:t>
      </w:r>
      <w:r>
        <w:rPr/>
        <w:t>，负责整个采购活动的组织，依法负责编制和发布采购文件，对采购文件拥有最终的解释权，不以任何身份出任单一来源采购人员。</w:t>
      </w:r>
    </w:p>
    <w:p>
      <w:pPr>
        <w:ind w:firstLine="480"/>
      </w:pPr>
      <w:r>
        <w:rPr/>
        <w:t>2.采购人：本项目是指</w:t>
      </w:r>
      <w:r>
        <w:rPr/>
        <w:t>佛山市南海区人民医院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4.“单一来源采购人员”是指根据《中华人民共和国政府采购法》等法律法规规定，由采购人代表和有关专业人员组成以确定成交供应商或者推荐成交候选供应商的临时组织。</w:t>
      </w:r>
    </w:p>
    <w:p>
      <w:pPr>
        <w:ind w:firstLine="480"/>
      </w:pPr>
      <w:r>
        <w:rPr/>
        <w:t>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ind w:firstLine="480"/>
      </w:pPr>
      <w:r>
        <w:rPr/>
        <w:t>6.采购文件：是指包括采购文件及其补充、变更和澄清等一系列文件。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本表与采购文件对应章节的内容若不一致，以本表为准。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报价形式</w:t>
            </w:r>
          </w:p>
        </w:tc>
        <w:tc>
          <w:tcPr>
            <w:tcW w:type="dxa" w:w="5004"/>
          </w:tcPr>
          <w:p/>
          <w:p>
            <w:r>
              <w:rPr/>
              <w:t>采购包1：单价</w:t>
            </w:r>
          </w:p>
        </w:tc>
      </w:tr>
      <w:tr>
        <w:tc>
          <w:tcPr>
            <w:tcW w:type="dxa" w:w="1051"/>
          </w:tcPr>
          <w:p>
            <w:pPr>
              <w:jc w:val="center"/>
            </w:pPr>
            <w:r>
              <w:rPr/>
              <w:t>5</w:t>
            </w:r>
          </w:p>
        </w:tc>
        <w:tc>
          <w:tcPr>
            <w:tcW w:type="dxa" w:w="2252"/>
          </w:tcPr>
          <w:p>
            <w:r>
              <w:rPr/>
              <w:t>报价要求</w:t>
            </w:r>
          </w:p>
        </w:tc>
        <w:tc>
          <w:tcPr>
            <w:tcW w:type="dxa" w:w="5004"/>
          </w:tcPr>
          <w:p>
            <w:r>
              <w:rPr/>
              <w:t>各采购包报价不超过预算总价</w:t>
            </w:r>
          </w:p>
        </w:tc>
      </w:tr>
      <w:tr>
        <w:tc>
          <w:tcPr>
            <w:tcW w:type="dxa" w:w="1051"/>
          </w:tcPr>
          <w:p>
            <w:pPr>
              <w:jc w:val="center"/>
            </w:pPr>
            <w:r>
              <w:rPr/>
              <w:t>6</w:t>
            </w:r>
          </w:p>
        </w:tc>
        <w:tc>
          <w:tcPr>
            <w:tcW w:type="dxa" w:w="2252"/>
          </w:tcPr>
          <w:p>
            <w:r>
              <w:rPr/>
              <w:t>现场踏勘</w:t>
            </w:r>
          </w:p>
        </w:tc>
        <w:tc>
          <w:tcPr>
            <w:tcW w:type="dxa" w:w="5004"/>
          </w:tcPr>
          <w:p/>
          <w:p>
            <w:r>
              <w:rPr/>
              <w:t>否</w:t>
            </w:r>
          </w:p>
        </w:tc>
      </w:tr>
      <w:tr>
        <w:tc>
          <w:tcPr>
            <w:tcW w:type="dxa" w:w="1051"/>
          </w:tcPr>
          <w:p>
            <w:pPr>
              <w:jc w:val="center"/>
            </w:pPr>
            <w:r>
              <w:rPr/>
              <w:t>7</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8</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其他补充事宜：</w:t>
            </w:r>
          </w:p>
        </w:tc>
      </w:tr>
      <w:tr>
        <w:tc>
          <w:tcPr>
            <w:tcW w:type="dxa" w:w="1051"/>
          </w:tcPr>
          <w:p>
            <w:pPr>
              <w:jc w:val="center"/>
            </w:pPr>
            <w:r>
              <w:rPr/>
              <w:t>9</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10</w:t>
            </w:r>
          </w:p>
        </w:tc>
        <w:tc>
          <w:tcPr>
            <w:tcW w:type="dxa" w:w="2252"/>
          </w:tcPr>
          <w:p>
            <w:r>
              <w:rPr/>
              <w:t>项目兼投兼中规则</w:t>
            </w:r>
          </w:p>
        </w:tc>
        <w:tc>
          <w:tcPr>
            <w:tcW w:type="dxa" w:w="5004"/>
          </w:tcPr>
          <w:p>
            <w:r>
              <w:rPr/>
              <w:t>无：-</w:t>
            </w:r>
          </w:p>
        </w:tc>
      </w:tr>
      <w:tr>
        <w:tc>
          <w:tcPr>
            <w:tcW w:type="dxa" w:w="1051"/>
          </w:tcPr>
          <w:p>
            <w:pPr>
              <w:jc w:val="center"/>
            </w:pPr>
            <w:r>
              <w:rPr/>
              <w:t>11</w:t>
            </w:r>
          </w:p>
        </w:tc>
        <w:tc>
          <w:tcPr>
            <w:tcW w:type="dxa" w:w="2252"/>
          </w:tcPr>
          <w:p>
            <w:r>
              <w:rPr/>
              <w:t>代理服务费</w:t>
            </w:r>
          </w:p>
        </w:tc>
        <w:tc>
          <w:tcPr>
            <w:tcW w:type="dxa" w:w="5004"/>
          </w:tcPr>
          <w:p>
            <w:r>
              <w:rPr/>
              <w:t>收取。</w:t>
            </w:r>
          </w:p>
          <w:p>
            <w:r>
              <w:rPr/>
              <w:t>采购机构代理服务收费标准：差额定率累进法收费：以预算金额作为采购代理服务费的计算基数。参照原中华人民共和国国家发展计划委员会颁发的计价格〔2002〕1980号规定的计费标准计算。</w:t>
            </w:r>
          </w:p>
        </w:tc>
      </w:tr>
      <w:tr>
        <w:tc>
          <w:tcPr>
            <w:tcW w:type="dxa" w:w="1051"/>
          </w:tcPr>
          <w:p>
            <w:pPr>
              <w:jc w:val="center"/>
            </w:pPr>
            <w:r>
              <w:rPr/>
              <w:t>12</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13</w:t>
            </w:r>
          </w:p>
        </w:tc>
        <w:tc>
          <w:tcPr>
            <w:tcW w:type="dxa" w:w="2252"/>
          </w:tcPr>
          <w:p>
            <w:r>
              <w:rPr/>
              <w:t>响应文件要求</w:t>
            </w:r>
          </w:p>
        </w:tc>
        <w:tc>
          <w:tcPr>
            <w:tcW w:type="dxa" w:w="5004"/>
          </w:tcPr>
          <w:p>
            <w:r>
              <w:rPr/>
              <w:t>一、电子响应文件：</w:t>
            </w:r>
          </w:p>
          <w:p>
            <w:r>
              <w:rPr/>
              <w:t>（1）加密的电子响应文件 1 份（需在递交响应文件截止时间前成功上传至“云平台项目采购系统”），供应商应保证该优先步骤。</w:t>
            </w:r>
          </w:p>
          <w:p>
            <w:r>
              <w:rPr/>
              <w:t>（2）若现场无法使用系统进行电子开启/协商的，供应商须在开启现场递交非加密电子版响应文件U盘（或光盘）</w:t>
            </w:r>
            <w:r>
              <w:rPr/>
              <w:t>0</w:t>
            </w:r>
            <w:r>
              <w:rPr/>
              <w:t>份。供应商保证该后备步骤。</w:t>
            </w:r>
          </w:p>
          <w:p>
            <w:r>
              <w:rPr/>
              <w:t>二、纸质响应文件：</w:t>
            </w:r>
          </w:p>
          <w:p>
            <w:r>
              <w:rPr/>
              <w:t>（3）纸质响应文件正本</w:t>
            </w:r>
            <w:r>
              <w:rPr/>
              <w:t>0</w:t>
            </w:r>
            <w:r>
              <w:rPr/>
              <w:t>份，纸质响应文件副本</w:t>
            </w:r>
            <w:r>
              <w:rPr/>
              <w:t>0</w:t>
            </w:r>
            <w:r>
              <w:rPr/>
              <w:t>份。</w:t>
            </w:r>
          </w:p>
          <w:p>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jc w:val="center"/>
            </w:pPr>
            <w:r>
              <w:rPr/>
              <w:t>14</w:t>
            </w:r>
          </w:p>
        </w:tc>
        <w:tc>
          <w:tcPr>
            <w:tcW w:type="dxa" w:w="2252"/>
          </w:tcPr>
          <w:p>
            <w:r>
              <w:rPr/>
              <w:t>其他</w:t>
            </w:r>
          </w:p>
        </w:tc>
        <w:tc>
          <w:tcPr>
            <w:tcW w:type="dxa" w:w="5004"/>
          </w:tcPr>
          <w:p>
            <w:pPr>
              <w:jc w:val="left"/>
            </w:pPr>
            <w:r>
              <w:rPr/>
              <w:t>1、融资贷款，根据《佛山市政务服务数据管理局佛山市财政局关于进一步促进公平竞争优化政府采购营商环境的通知》（佛政数函[2021]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p>
            <w:pPr>
              <w:jc w:val="left"/>
            </w:pPr>
            <w:r>
              <w:rPr/>
              <w:t>2、供应商注册，供应商须于投标截止时间前在采购代理机构网站广咨电子招投标交易平台http://www.gzebid.cn/）上完成供应商注册登记，否则会影响公布成交公告、中标服务费（如有）的缴纳，由此产生的后果由供应商自行承担。具体操作方法请浏览“广咨电子招投标交易平台&gt;&gt;平台服务&gt;办事指南”，咨询电话：网站客服(QQ)：3151435402，热线电话：400-150-3001。</w:t>
            </w:r>
          </w:p>
          <w:p>
            <w:pPr>
              <w:jc w:val="left"/>
            </w:pPr>
            <w:r>
              <w:rPr/>
              <w:t>3、中标供应商的投标文件公示，公示信息内容包括：营业执照、资质证书、项目业绩、检验检测报告、履约验收报告及评价、社保证明、设备发票、职称、各种证件（身份证除外）、货物的规格型号及配置参数等。法定代表人证明书、投标文件签署授权委托书、项目实施方案、售后服务方案不属于应公示的投标文件信息。投标供应商在投标文件中承诺对上述应公示的内容是真实的，且确认不涉及任何个人隐私、商业秘密和其他不可公开的内容，如若中标，同意采购人或其委托的代理机构将上述应公示的内容予以公开。</w:t>
            </w:r>
          </w:p>
          <w:p>
            <w:pPr>
              <w:jc w:val="left"/>
            </w:pPr>
            <w:r>
              <w:rPr/>
              <w:t>4，若投标人在规定时间内对开启结果不进行签章、确认的，视同认可开启结果。</w:t>
            </w:r>
          </w:p>
        </w:tc>
      </w:tr>
      <w:tr>
        <w:tc>
          <w:tcPr>
            <w:tcW w:type="dxa" w:w="1051"/>
          </w:tcPr>
          <w:p>
            <w:pPr>
              <w:jc w:val="center"/>
            </w:pPr>
            <w:r>
              <w:rPr/>
              <w:t>15</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16</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ind w:firstLine="480"/>
      </w:pPr>
      <w:r>
        <w:rPr/>
        <w:t>本次单一来源项目，是以协商公告的方式邀请特定的供应商参加协商。</w:t>
      </w:r>
    </w:p>
    <w:p>
      <w:r>
        <w:rPr>
          <w:b/>
          <w:sz w:val="24"/>
        </w:rPr>
        <w:t>2.适用范围</w:t>
      </w:r>
    </w:p>
    <w:p>
      <w:pPr>
        <w:ind w:firstLine="480"/>
      </w:pPr>
      <w:r>
        <w:rPr/>
        <w:t>本采购文件仅适用于本次协商公告中所涉及的项目和内容。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4.响应的费用</w:t>
      </w:r>
    </w:p>
    <w:p>
      <w:pPr>
        <w:ind w:firstLine="480"/>
      </w:pPr>
      <w:r>
        <w:rPr/>
        <w:t xml:space="preserve">不论协商结果如何，供应商应承担所有与准备和参加协商有关的费用。采购代理机构和采购人均无义务和责任承担相关费用。  </w:t>
      </w:r>
    </w:p>
    <w:p>
      <w:r>
        <w:rPr>
          <w:b/>
          <w:sz w:val="24"/>
        </w:rPr>
        <w:t>5.以联合体形式参加协商的，应符合以下规定：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w:t>
        <w:tab/>
        <w:tab/>
        <w:t xml:space="preserve">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ind w:firstLine="480"/>
      </w:pPr>
      <w:r>
        <w:rPr/>
        <w:t>5.3</w:t>
        <w:tab/>
        <w:tab/>
        <w:t xml:space="preserve">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pPr>
        <w:ind w:firstLine="480"/>
      </w:pPr>
      <w:r>
        <w:rPr/>
        <w:t>5.7</w:t>
        <w:tab/>
        <w:tab/>
        <w:t xml:space="preserve">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r>
        <w:rPr>
          <w:b/>
          <w:sz w:val="24"/>
        </w:rPr>
        <w:t>6.关于中小微企业响应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7.纪律与保密事项</w:t>
      </w:r>
    </w:p>
    <w:p>
      <w:pPr>
        <w:ind w:firstLine="480"/>
      </w:pPr>
      <w:r>
        <w:rPr/>
        <w:t>7.1供应商不得以向采购人、单一来源采购人员行贿或者采取其他不正当手段谋取成交。</w:t>
      </w:r>
    </w:p>
    <w:p>
      <w:pPr>
        <w:ind w:firstLine="480"/>
      </w:pPr>
      <w:r>
        <w:rPr/>
        <w:t>7.2在确定结果之前，供应商试图在响应文件审查、澄清和评价时对单一来源采购人员、采购人和采购代理机构施加任何影响都可能导致其响应无效。</w:t>
      </w:r>
    </w:p>
    <w:p>
      <w:pPr>
        <w:ind w:firstLine="480"/>
      </w:pPr>
      <w:r>
        <w:rPr/>
        <w:t>7.3获得本采购文件者，须履行本项目下保密义务，不得将因本次协商获得的信息向第三人外传，不得将采购文件用作本次响应以外的任何用途。</w:t>
      </w:r>
    </w:p>
    <w:p>
      <w:pPr>
        <w:ind w:firstLine="480"/>
      </w:pPr>
      <w:r>
        <w:rPr/>
        <w:t>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ind w:firstLine="480"/>
      </w:pPr>
      <w:r>
        <w:rPr/>
        <w:t>7.5采购人或采购代理机构有权将供应商提供的所有资料向有关政府部门或单一来源采购人员披露。</w:t>
      </w:r>
    </w:p>
    <w:p>
      <w:pPr>
        <w:ind w:firstLine="480"/>
      </w:pPr>
      <w:r>
        <w:rPr/>
        <w:t>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8.语言文字以及度量衡单位</w:t>
      </w:r>
    </w:p>
    <w:p>
      <w:pPr>
        <w:ind w:firstLine="480"/>
      </w:pPr>
      <w:r>
        <w:rPr/>
        <w:t>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8.2除非采购文件的技术规格中另有规定，供应商在响应文件中及其与采购人和采购代理机构的所有往来文件中的计量单位均应采用中华人民共和国法定计量单位。</w:t>
      </w:r>
    </w:p>
    <w:p>
      <w:pPr>
        <w:ind w:firstLine="480"/>
      </w:pPr>
      <w:r>
        <w:rPr/>
        <w:t>8.3供应商所提供的货物和服务均应以人民币报价，货币单位：元。</w:t>
      </w:r>
    </w:p>
    <w:p>
      <w:r>
        <w:rPr>
          <w:b/>
          <w:sz w:val="28"/>
        </w:rPr>
        <w:t>四、采购文件的澄清和修改</w:t>
      </w:r>
    </w:p>
    <w:p>
      <w:pPr>
        <w:ind w:firstLine="480"/>
      </w:pPr>
      <w:r>
        <w:rPr/>
        <w:t>1.提交响应文件截止之日前，采购代理机构可对采购文件进行必要的澄清或者修改，为使供应商有合理的时间理解采购文件的修改，采购代理机构可酌情延长响应文件提交截止时间。</w:t>
      </w:r>
    </w:p>
    <w:p>
      <w:pPr>
        <w:ind w:firstLine="480"/>
      </w:pPr>
      <w:r>
        <w:rPr/>
        <w:t>如有重新发布电子采购文件的，供应商应登录云平台项目采购系统下载最新发布的电子采购文件制作响应文件。</w:t>
      </w:r>
    </w:p>
    <w:p>
      <w:r>
        <w:rPr>
          <w:b/>
          <w:sz w:val="28"/>
        </w:rPr>
        <w:t>五、响应要求</w:t>
      </w:r>
    </w:p>
    <w:p>
      <w:r>
        <w:rPr>
          <w:b/>
          <w:sz w:val="24"/>
        </w:rPr>
        <w:t>1.响应登记</w:t>
      </w:r>
    </w:p>
    <w:p>
      <w:pPr>
        <w:ind w:firstLine="480"/>
      </w:pPr>
      <w:r>
        <w:rPr/>
        <w:t>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2.2供应商应使用云平台提供的投标客户端编制、标记、加密响应文件，成功加密后将生成指定格式的电子响应文件和电子备用响应文件。所有响应文件不能进行压缩处理。关于电子响应报价说明如下：</w:t>
      </w:r>
    </w:p>
    <w:p>
      <w:pPr>
        <w:ind w:firstLine="480"/>
      </w:pPr>
      <w:r>
        <w:rPr/>
        <w:t>(1)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ind w:firstLine="480"/>
      </w:pPr>
      <w:r>
        <w:rPr/>
        <w:t>(2)响应报价包括本项目采购需求和投入使用的所有费用，包括但不限于主件、标准附件、备品备件、施工、服务、专用工具、安装、调试、检验、培训、运输、保险、税款等。</w:t>
      </w:r>
    </w:p>
    <w:p>
      <w:pPr>
        <w:ind w:firstLine="480"/>
      </w:pPr>
      <w:r>
        <w:rPr/>
        <w:t>(3)响应报价不得有选择性报价和附有条件的报价，否则将导致响应无效。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2.4供应商不得将同一个项目或同一个采购包的内容拆开响应，否则其响应将被视为非实质性响应。</w:t>
      </w:r>
    </w:p>
    <w:p>
      <w:pPr>
        <w:ind w:firstLine="480"/>
      </w:pPr>
      <w:r>
        <w:rPr/>
        <w:t>2.5供应商须对采购文件的对应要求给予唯一的实质性响应，否则将视为不响应。</w:t>
      </w:r>
    </w:p>
    <w:p>
      <w:pPr>
        <w:ind w:firstLine="480"/>
      </w:pPr>
      <w:r>
        <w:rPr/>
        <w:t>2.6采购文件中，凡标有“★”的地方均为实质性响应条款，供应商若有一项带“★”的条款未响应或不满足，将按无效响应处理。</w:t>
      </w:r>
    </w:p>
    <w:p>
      <w:pPr>
        <w:ind w:firstLine="480"/>
      </w:pPr>
      <w:r>
        <w:rPr/>
        <w:t>2.7供应商必须按采购文件指定的格式填写各种报价，各报价应计算正确。除在采购文件另有规定外（如：报折扣、报优惠率等），计量单位应使用中华人民共和国法定计量单位，以人民币填报所有报价。</w:t>
      </w:r>
    </w:p>
    <w:p>
      <w:pPr>
        <w:ind w:firstLine="480"/>
      </w:pPr>
      <w:r>
        <w:rPr/>
        <w:t>2.8响应文件以及供应商与采购人、采购代理机构就有关协商的往来函电均应使用中文。供应商提交的支持性文件和印制的文件可以用另一种语言，但相应内容应翻译成中文，在解释响应文件时以中文文本为准。</w:t>
      </w:r>
    </w:p>
    <w:p>
      <w:pPr>
        <w:ind w:firstLine="480"/>
      </w:pPr>
      <w:r>
        <w:rPr/>
        <w:t>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ind w:firstLine="480"/>
      </w:pPr>
      <w:r>
        <w:rPr/>
        <w:t>3.2采购代理机构对因不可抗力事件造成的响应文件的损坏、丢失的，不承担责任。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（1）至提交响应文件截止时，响应文件未成功完整上传并取得响应回执的。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广东省机电设备招标有限公司佛山分公司</w:t>
      </w:r>
      <w:r>
        <w:rPr/>
        <w:t>代收。具体操作要求详见</w:t>
      </w:r>
      <w:r>
        <w:rPr/>
        <w:t>广东省机电设备招标有限公司佛山分公司</w:t>
      </w:r>
      <w:r>
        <w:rPr/>
        <w:t>有关指引，递交事宜请自行咨询</w:t>
      </w:r>
      <w:r>
        <w:rPr/>
        <w:t>广东省机电设备招标有限公司佛山分公司</w:t>
      </w:r>
      <w:r>
        <w:rPr/>
        <w:t>；请各供应商在响应文件递交截止时间前按须知前附表规定的金额递交至</w:t>
      </w:r>
      <w:r>
        <w:rPr/>
        <w:t>广东省机电设备招标有限公司佛山分公司</w:t>
      </w:r>
      <w:r>
        <w:rPr/>
        <w:t>，到账情况以协商时</w:t>
      </w:r>
      <w:r>
        <w:rPr/>
        <w:t>广东省机电设备招标有限公司佛山分公司</w:t>
      </w:r>
      <w:r>
        <w:rPr/>
        <w:t>查询的信息为准。</w:t>
      </w:r>
    </w:p>
    <w:p>
      <w:pPr>
        <w:ind w:firstLine="480"/>
      </w:pPr>
      <w:r>
        <w:rPr/>
        <w:t>如采用金融机构、专业担保机构开具的响应担保函、响应保证保险函等形式提交响应保证金的，响应担保函或响应保证保险函须开具给采购人（保险受益人须为采购人），并与响应文件一同递交。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协商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（1）供应商在响应截止时间前放弃响应的，自所参与采购包结果公告发出后5个工作日内退还。</w:t>
      </w:r>
    </w:p>
    <w:p>
      <w:pPr>
        <w:ind w:firstLine="480"/>
      </w:pPr>
      <w:r>
        <w:rPr/>
        <w:t>（2）未成交的供应商保证金，在成交通知书发出后5个工作日内原额退还。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（2）供应商在采购文件规定的响应有效期内撤销其响应；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（5）法律法规和采购文件规定的其他情形。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8.除采购文件另有规定外，有下列情形之一的，响应无效：</w:t>
      </w:r>
    </w:p>
    <w:p>
      <w:pPr>
        <w:ind w:firstLine="480"/>
      </w:pPr>
      <w:r>
        <w:rPr/>
        <w:t>8.1响应文件未按照采购文件要求签署、盖章；</w:t>
      </w:r>
    </w:p>
    <w:p>
      <w:pPr>
        <w:ind w:firstLine="480"/>
      </w:pPr>
      <w:r>
        <w:rPr/>
        <w:t>8.2不符合采购文件中规定的资格要求；</w:t>
      </w:r>
    </w:p>
    <w:p>
      <w:pPr>
        <w:ind w:firstLine="480"/>
      </w:pPr>
      <w:r>
        <w:rPr/>
        <w:t>8.3响应报价超过采购文件中规定的预算金额或最高限价；</w:t>
      </w:r>
    </w:p>
    <w:p>
      <w:pPr>
        <w:ind w:firstLine="480"/>
      </w:pPr>
      <w:r>
        <w:rPr/>
        <w:t>8.4响应文件含有采购人不能接受的附加条件；</w:t>
      </w:r>
    </w:p>
    <w:p>
      <w:pPr>
        <w:ind w:firstLine="480"/>
      </w:pPr>
      <w:r>
        <w:rPr/>
        <w:t>8.5有关法律、法规和规章及采购文件规定的其他无效情形。</w:t>
      </w:r>
    </w:p>
    <w:p>
      <w:r>
        <w:rPr>
          <w:b/>
          <w:sz w:val="28"/>
        </w:rPr>
        <w:t>六、开启、协商和结果确认</w:t>
      </w:r>
    </w:p>
    <w:p>
      <w:r>
        <w:rPr>
          <w:b/>
          <w:sz w:val="24"/>
        </w:rPr>
        <w:t>1. 响应文件的开启</w:t>
      </w:r>
    </w:p>
    <w:p>
      <w:pPr>
        <w:ind w:firstLine="480"/>
      </w:pPr>
      <w:r>
        <w:rPr/>
        <w:t>1.1 开启程序</w:t>
      </w:r>
    </w:p>
    <w:p>
      <w:pPr>
        <w:ind w:firstLine="480"/>
      </w:pPr>
      <w:r>
        <w:rPr/>
        <w:t>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ind w:firstLine="480"/>
      </w:pPr>
      <w:r>
        <w:rPr/>
        <w:t>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w:t>
      </w:r>
    </w:p>
    <w:p>
      <w:pPr>
        <w:ind w:firstLine="480"/>
      </w:pPr>
      <w:r>
        <w:rPr/>
        <w:t>1.2异议</w:t>
      </w:r>
    </w:p>
    <w:p>
      <w:pPr>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ind w:firstLine="480"/>
      </w:pPr>
      <w:r>
        <w:rPr/>
        <w:t>1.3 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3.结果确认</w:t>
      </w:r>
    </w:p>
    <w:p>
      <w:pPr>
        <w:ind w:firstLine="480"/>
      </w:pPr>
      <w:r>
        <w:rPr/>
        <w:t>3.1结果公告：</w:t>
      </w:r>
    </w:p>
    <w:p>
      <w:pPr>
        <w:ind w:firstLine="480"/>
      </w:pPr>
      <w:r>
        <w:rPr/>
        <w:t>成交结果确定之日起2个工作日内，</w:t>
        <w:tab/>
        <w:tab/>
        <w:t xml:space="preserve"> 采购人或采购代理机构将在中国政府采购网(www.ccgp.gov.cn)、广东省政府采购网(https://gdgpo.czt.gd.gov.cn/)、</w:t>
      </w:r>
      <w:r>
        <w:rPr/>
        <w:t>广咨电子招投标交易平台（http://www.gzebid.cn/）</w:t>
      </w:r>
      <w:r>
        <w:rPr/>
        <w:t>上以公告的形式发布成交结果，结果公告的公告期限为 1</w:t>
        <w:tab/>
        <w:tab/>
        <w:t xml:space="preserve"> 个工作日。</w:t>
      </w:r>
    </w:p>
    <w:p>
      <w:pPr>
        <w:ind w:firstLine="480"/>
      </w:pPr>
      <w:r>
        <w:rPr/>
        <w:t>3.2成交通知书：</w:t>
      </w:r>
    </w:p>
    <w:p>
      <w:pPr>
        <w:ind w:firstLine="480"/>
      </w:pPr>
      <w:r>
        <w:rPr/>
        <w:t>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终止采购活动后，采购人或采购代理机构将在中国政府采购网(www.ccgp.gov.cn)、广东省政府采购网(https://gdgpo.czt.gd.gov.cn/)、</w:t>
      </w:r>
      <w:r>
        <w:rPr/>
        <w:t>广咨电子招投标交易平台（http://www.gzebid.cn/）</w:t>
      </w:r>
      <w:r>
        <w:rPr/>
        <w:t>上发布终止公告，终止公告的公告期限为 1</w:t>
        <w:tab/>
        <w:tab/>
        <w:t xml:space="preserve"> 个工作日。</w:t>
      </w:r>
    </w:p>
    <w:p>
      <w:r>
        <w:rPr>
          <w:b/>
          <w:sz w:val="28"/>
        </w:rPr>
        <w:t>七、询问、质疑与投诉</w:t>
      </w:r>
    </w:p>
    <w:p>
      <w:r>
        <w:rPr>
          <w:b/>
          <w:sz w:val="24"/>
        </w:rPr>
        <w:t>1.询问</w:t>
      </w:r>
    </w:p>
    <w:p>
      <w:pPr>
        <w:ind w:firstLine="480"/>
      </w:pPr>
      <w:r>
        <w:rPr/>
        <w:t>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r>
        <w:rPr>
          <w:b/>
          <w:sz w:val="24"/>
        </w:rPr>
        <w:t>2.质疑</w:t>
      </w:r>
    </w:p>
    <w:p>
      <w:pPr>
        <w:ind w:firstLine="480"/>
      </w:pPr>
      <w:r>
        <w:rPr/>
        <w:t>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(1)对采购文件提出质疑的，为获取采购文件之日或者采购文件公告期限届满之日；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李工</w:t>
      </w:r>
    </w:p>
    <w:p>
      <w:pPr>
        <w:ind w:firstLine="480"/>
      </w:pPr>
      <w:r>
        <w:rPr/>
        <w:t>电话：</w:t>
      </w:r>
      <w:r>
        <w:rPr/>
        <w:t>0757-83126108</w:t>
      </w:r>
    </w:p>
    <w:p>
      <w:pPr>
        <w:ind w:firstLine="480"/>
      </w:pPr>
      <w:r>
        <w:rPr/>
        <w:t>传真：</w:t>
      </w:r>
      <w:r>
        <w:rPr/>
        <w:t>/</w:t>
      </w:r>
    </w:p>
    <w:p>
      <w:pPr>
        <w:ind w:firstLine="480"/>
      </w:pPr>
      <w:r>
        <w:rPr/>
        <w:t>邮箱：</w:t>
      </w:r>
      <w:r>
        <w:rPr/>
        <w:t>/</w:t>
      </w:r>
    </w:p>
    <w:p>
      <w:pPr>
        <w:ind w:firstLine="480"/>
      </w:pPr>
      <w:r>
        <w:rPr/>
        <w:t>地址：</w:t>
      </w:r>
      <w:r>
        <w:rPr/>
        <w:t>佛山市禅城区汾江中路148号华美大厦10楼</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政府采购监督管理机构名称：佛山市南海区财政局政府采购管理股</w:t>
      </w:r>
    </w:p>
    <w:p>
      <w:r>
        <w:rPr/>
        <w:t>地  址：佛山市南海区桂城街道南新三路20号</w:t>
      </w:r>
    </w:p>
    <w:p>
      <w:r>
        <w:rPr/>
        <w:t>电  话：0757-86282779、86282776</w:t>
      </w:r>
    </w:p>
    <w:p>
      <w:r>
        <w:rPr/>
        <w:t>邮  编：528200</w:t>
      </w:r>
    </w:p>
    <w:p>
      <w:r>
        <w:rPr/>
        <w:t>传  真：-</w:t>
      </w:r>
    </w:p>
    <w:p/>
    <w:p>
      <w:r>
        <w:rPr>
          <w:b/>
          <w:sz w:val="28"/>
        </w:rPr>
        <w:t>八、合同签订和履行</w:t>
      </w:r>
    </w:p>
    <w:p>
      <w:r>
        <w:rPr>
          <w:b/>
          <w:sz w:val="24"/>
        </w:rPr>
        <w:t>1.合同的签订</w:t>
      </w:r>
    </w:p>
    <w:p>
      <w:pPr>
        <w:ind w:firstLine="480"/>
      </w:pPr>
      <w:r>
        <w:rPr/>
        <w:t>1.1采购人应当自《成交通知书》发出之日起三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协商要求及程序</w:t>
      </w:r>
    </w:p>
    <w:p>
      <w:r>
        <w:rPr>
          <w:b/>
          <w:sz w:val="28"/>
        </w:rPr>
        <w:t>一、协商要求</w:t>
      </w:r>
    </w:p>
    <w:p>
      <w:r>
        <w:rPr>
          <w:b/>
          <w:sz w:val="24"/>
        </w:rPr>
        <w:t>1.协商原则</w:t>
      </w:r>
    </w:p>
    <w:p>
      <w:pPr>
        <w:ind w:firstLine="480"/>
      </w:pPr>
      <w:r>
        <w:rPr/>
        <w:t>协商活动遵循公平、公正、科学和择优的原则，以采购文件和响应文件为协商的基本依据，并按照采购文件规定的方法和标准与供应商商定合理的成交价格并保证采购项目质量。</w:t>
      </w:r>
    </w:p>
    <w:p>
      <w:r>
        <w:rPr>
          <w:b/>
          <w:sz w:val="24"/>
        </w:rPr>
        <w:t>2.单一来源采购人员</w:t>
      </w:r>
    </w:p>
    <w:p>
      <w:pPr>
        <w:ind w:firstLine="480"/>
      </w:pPr>
      <w:r>
        <w:rPr/>
        <w:t>2.1单一来源采购人员由采购人代表和采购专业人员组成，成员人数为3人及以上单数。</w:t>
      </w:r>
    </w:p>
    <w:p>
      <w:pPr>
        <w:ind w:firstLine="480"/>
      </w:pPr>
      <w:r>
        <w:rPr/>
        <w:t>2.2单一来源采购人员有下列情形之一的，应当回避：</w:t>
      </w:r>
    </w:p>
    <w:p>
      <w:pPr>
        <w:ind w:firstLine="480"/>
      </w:pPr>
      <w:r>
        <w:rPr/>
        <w:t>（1）参加采购活动前3年内与供应商存在劳动关系；</w:t>
      </w:r>
    </w:p>
    <w:p>
      <w:pPr>
        <w:ind w:firstLine="480"/>
      </w:pPr>
      <w:r>
        <w:rPr/>
        <w:t>（2）参加采购活动前3年内担任供应商的董事、监事；</w:t>
      </w:r>
    </w:p>
    <w:p>
      <w:pPr>
        <w:ind w:firstLine="480"/>
      </w:pPr>
      <w:r>
        <w:rPr/>
        <w:t>（3）参加采购活动前3年内是供应商的控股股东或者实际控制人；</w:t>
      </w:r>
    </w:p>
    <w:p>
      <w:pPr>
        <w:ind w:firstLine="480"/>
      </w:pPr>
      <w:r>
        <w:rPr/>
        <w:t>（4）与供应商的法定代表人或者负责人有夫妻、直系血亲、三代以内旁系血亲或者近姻亲关系；</w:t>
      </w:r>
    </w:p>
    <w:p>
      <w:pPr>
        <w:ind w:firstLine="480"/>
      </w:pPr>
      <w:r>
        <w:rPr/>
        <w:t>（5）与供应商有其他可能影响政府采购活动公平、公正进行的关系。</w:t>
      </w:r>
    </w:p>
    <w:p>
      <w:pPr>
        <w:ind w:firstLine="480"/>
      </w:pPr>
      <w:r>
        <w:rPr/>
        <w:t>2.3单一来源采购人员应遵守下列评审纪律：</w:t>
      </w:r>
    </w:p>
    <w:p>
      <w:pPr>
        <w:ind w:firstLine="480"/>
      </w:pPr>
      <w:r>
        <w:rPr/>
        <w:t>（1）评审情况不得私自外泄，有关信息由</w:t>
      </w:r>
      <w:r>
        <w:rPr/>
        <w:t>广东省机电设备招标有限公司佛山分公司</w:t>
      </w:r>
      <w:r>
        <w:rPr/>
        <w:t>统一对外发布。</w:t>
      </w:r>
    </w:p>
    <w:p>
      <w:pPr>
        <w:ind w:firstLine="480"/>
      </w:pPr>
      <w:r>
        <w:rPr/>
        <w:t>（2）对</w:t>
      </w:r>
      <w:r>
        <w:rPr/>
        <w:t>广东省机电设备招标有限公司佛山分公司</w:t>
      </w:r>
      <w:r>
        <w:rPr/>
        <w:t>或供应商提供的要求保密的资料，不得摘记翻印和外传。</w:t>
      </w:r>
    </w:p>
    <w:p>
      <w:pPr>
        <w:ind w:firstLine="480"/>
      </w:pPr>
      <w:r>
        <w:rPr/>
        <w:t>（3）不得收受响应供应商或有关人员的任何礼物，不得串联鼓动其他人袒护供应商。若与供应商存在利害关系，则应主动声明并回避。</w:t>
      </w:r>
    </w:p>
    <w:p>
      <w:pPr>
        <w:ind w:firstLine="480"/>
      </w:pPr>
      <w:r>
        <w:rPr/>
        <w:t>（4）全体评委应按照采购文件规定进行评审，一切认定事项应查有实据且不得弄虚作假。</w:t>
      </w:r>
    </w:p>
    <w:p>
      <w:pPr>
        <w:ind w:firstLine="480"/>
      </w:pPr>
      <w:r>
        <w:rPr/>
        <w:t>※对违反评审纪律的评委，将取消其评委资格，对评审工作造成严重损失者将予以通报批评乃至追究法律责任。</w:t>
      </w:r>
    </w:p>
    <w:p>
      <w:r>
        <w:rPr>
          <w:b/>
          <w:sz w:val="24"/>
        </w:rPr>
        <w:t>3.价格修正</w:t>
      </w:r>
    </w:p>
    <w:p>
      <w:pPr>
        <w:ind w:firstLine="480"/>
      </w:pPr>
      <w:r>
        <w:rPr/>
        <w:t>对报价的计算错误按以下原则修正：</w:t>
      </w:r>
    </w:p>
    <w:p>
      <w:pPr>
        <w:ind w:firstLine="480"/>
      </w:pPr>
      <w:r>
        <w:rPr/>
        <w:t>（1）响应文件中报价一览表（报价表）内容与响应文件中相应内容不一致的，以报价一览表（报价表）为准；</w:t>
      </w:r>
    </w:p>
    <w:p>
      <w:pPr>
        <w:ind w:firstLine="480"/>
      </w:pPr>
      <w:r>
        <w:rPr/>
        <w:t>（2）大写金额和小写金额不一致的，以大写金额为准；</w:t>
      </w:r>
    </w:p>
    <w:p>
      <w:pPr>
        <w:ind w:firstLine="480"/>
      </w:pPr>
      <w:r>
        <w:rPr/>
        <w:t>（3）单价金额小数点或者百分比有明显错位的，以报价一览表的总价为准，并修改单价；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
        <w:rPr>
          <w:b/>
          <w:sz w:val="28"/>
        </w:rPr>
        <w:t>二、协商程序</w:t>
      </w:r>
    </w:p>
    <w:p>
      <w:r>
        <w:rPr>
          <w:b/>
          <w:sz w:val="24"/>
        </w:rPr>
        <w:t>1.确定供应商资格</w:t>
      </w:r>
      <w:r>
        <w:rPr/>
        <w:t>　　</w:t>
      </w:r>
    </w:p>
    <w:p>
      <w:pPr>
        <w:ind w:firstLine="480"/>
      </w:pPr>
      <w:r>
        <w:rPr/>
        <w:t>资格性审查。单一来源采购人员应当依法对供应商的资格进行审查，以确定供应商是否具备响应资格。（详见后附表一资格性审查表）</w:t>
      </w:r>
    </w:p>
    <w:p>
      <w:pPr>
        <w:ind w:firstLine="480"/>
      </w:pPr>
      <w:r>
        <w:rPr/>
        <w:t>符合性审查。单一来源采购人员依据采购文件的规定，从响应文件的有效性、完整性和对采购文件的响应程度进行审查，以确定供应商是否对采购文件的实质性要求作出响应。（详见后附表二符合性审查表）</w:t>
      </w:r>
    </w:p>
    <w:p>
      <w:pPr>
        <w:ind w:firstLine="480"/>
      </w:pPr>
      <w:r>
        <w:rPr/>
        <w:t>资格性审查和符合性审查中凡有其中任意一项未通过的，评审结果为未通过，未通过资格性审查、符合性审查的供应商按无效响应处理。</w:t>
      </w:r>
    </w:p>
    <w:p>
      <w:pPr>
        <w:ind w:firstLine="480"/>
      </w:pPr>
      <w:r>
        <w:rPr/>
        <w:t>对供应商进行资格审查和符合性审查过程中，对初步被认定为无效响应者，由单一来源采购人员组长或采购人代表将集体意见及时告知供应商，以让其核证、澄清事实。</w:t>
      </w:r>
    </w:p>
    <w:p>
      <w:pPr>
        <w:ind w:firstLine="480"/>
      </w:pPr>
      <w:r>
        <w:rPr/>
        <w:t>表一资格性审查表：</w:t>
      </w:r>
    </w:p>
    <w:p>
      <w:pPr>
        <w:ind w:firstLine="480"/>
      </w:pPr>
    </w:p>
    <w:p/>
    <w:p>
      <w:r>
        <w:rPr/>
        <w:t>采购包1（增补安保服务）：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供应商必须具有良好的商业信誉和健全的财务会计制度（提供2020或2021年度财务状况报告或基本开户行出具的资信证明）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为本项目提供整体设计、规范编制或者项目管理、 监理、检测等服务的供应商， 不得再参与本项目投标（响应）。</w:t>
            </w:r>
          </w:p>
        </w:tc>
      </w:tr>
      <w:tr>
        <w:tc>
          <w:tcPr>
            <w:tcW w:type="dxa" w:w="890"/>
          </w:tcPr>
          <w:p>
            <w:r>
              <w:rPr/>
              <w:t>8</w:t>
            </w:r>
          </w:p>
        </w:tc>
        <w:tc>
          <w:tcPr>
            <w:tcW w:type="dxa" w:w="3178"/>
          </w:tcPr>
          <w:p>
            <w:r>
              <w:rPr/>
              <w:t>促进中小企业发展</w:t>
            </w:r>
          </w:p>
        </w:tc>
        <w:tc>
          <w:tcPr>
            <w:tcW w:type="dxa" w:w="4238"/>
          </w:tcPr>
          <w:p>
            <w:r>
              <w:rPr/>
              <w:t>采购包整体专门面向中小企业，投标人须符合本项目采购标的所属行业的政策划分标准的中小企业。监狱企业、残疾人福利性单位视同小型、微型企业。注：中小企业应填写的《中小企业声明函》为判定标准，残疾人福利性单位填写的《残疾人福利性单位声明函》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采购包1（增补安保服务）：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投标保证金（如有）</w:t>
            </w:r>
          </w:p>
        </w:tc>
        <w:tc>
          <w:tcPr>
            <w:tcW w:type="dxa" w:w="4238"/>
          </w:tcPr>
          <w:p>
            <w:r>
              <w:rPr/>
              <w:t>已按招标文件要求缴纳本项目投标保证金（如有）。</w:t>
            </w:r>
          </w:p>
        </w:tc>
      </w:tr>
      <w:tr>
        <w:tc>
          <w:tcPr>
            <w:tcW w:type="dxa" w:w="890"/>
          </w:tcPr>
          <w:p>
            <w:r>
              <w:rPr/>
              <w:t>2</w:t>
            </w:r>
          </w:p>
        </w:tc>
        <w:tc>
          <w:tcPr>
            <w:tcW w:type="dxa" w:w="3178"/>
          </w:tcPr>
          <w:p>
            <w:r>
              <w:rPr/>
              <w:t>投标报价</w:t>
            </w:r>
          </w:p>
        </w:tc>
        <w:tc>
          <w:tcPr>
            <w:tcW w:type="dxa" w:w="4238"/>
          </w:tcPr>
          <w:p>
            <w:r>
              <w:rPr/>
              <w:t>投标报价没有超出本项目采购预算（或最高限价（如有）），报价方案是唯一确定。</w:t>
            </w:r>
          </w:p>
        </w:tc>
      </w:tr>
      <w:tr>
        <w:tc>
          <w:tcPr>
            <w:tcW w:type="dxa" w:w="890"/>
          </w:tcPr>
          <w:p>
            <w:r>
              <w:rPr/>
              <w:t>3</w:t>
            </w:r>
          </w:p>
        </w:tc>
        <w:tc>
          <w:tcPr>
            <w:tcW w:type="dxa" w:w="3178"/>
          </w:tcPr>
          <w:p>
            <w:r>
              <w:rPr/>
              <w:t>《投标函》或《响应承诺函》或《协商承诺书》</w:t>
            </w:r>
          </w:p>
        </w:tc>
        <w:tc>
          <w:tcPr>
            <w:tcW w:type="dxa" w:w="4238"/>
          </w:tcPr>
          <w:p>
            <w:r>
              <w:rPr/>
              <w:t>已按招标（采购）文件格式填写《投标函》或《响应承诺函》或《协商承诺书》，并按要求签名和/或盖章。</w:t>
            </w:r>
          </w:p>
        </w:tc>
      </w:tr>
      <w:tr>
        <w:tc>
          <w:tcPr>
            <w:tcW w:type="dxa" w:w="890"/>
          </w:tcPr>
          <w:p>
            <w:r>
              <w:rPr/>
              <w:t>4</w:t>
            </w:r>
          </w:p>
        </w:tc>
        <w:tc>
          <w:tcPr>
            <w:tcW w:type="dxa" w:w="3178"/>
          </w:tcPr>
          <w:p>
            <w:r>
              <w:rPr/>
              <w:t>投标（响应）文件有效盖章和/或签署</w:t>
            </w:r>
          </w:p>
        </w:tc>
        <w:tc>
          <w:tcPr>
            <w:tcW w:type="dxa" w:w="4238"/>
          </w:tcPr>
          <w:p>
            <w:r>
              <w:rPr/>
              <w:t>投标（响应）文件已按招标（采购）文件要求作出有效盖章和/或签署。</w:t>
            </w:r>
          </w:p>
        </w:tc>
      </w:tr>
      <w:tr>
        <w:tc>
          <w:tcPr>
            <w:tcW w:type="dxa" w:w="890"/>
          </w:tcPr>
          <w:p>
            <w:r>
              <w:rPr/>
              <w:t>5</w:t>
            </w:r>
          </w:p>
        </w:tc>
        <w:tc>
          <w:tcPr>
            <w:tcW w:type="dxa" w:w="3178"/>
          </w:tcPr>
          <w:p>
            <w:r>
              <w:rPr/>
              <w:t>投标（响应）文件有效授权</w:t>
            </w:r>
          </w:p>
        </w:tc>
        <w:tc>
          <w:tcPr>
            <w:tcW w:type="dxa" w:w="4238"/>
          </w:tcPr>
          <w:p>
            <w:r>
              <w:rPr/>
              <w:t>投标（响应）文件已有法定代表人(负责人)签字或签字人已有法定代表人(负责人)有效授权。</w:t>
            </w:r>
          </w:p>
        </w:tc>
      </w:tr>
      <w:tr>
        <w:tc>
          <w:tcPr>
            <w:tcW w:type="dxa" w:w="890"/>
          </w:tcPr>
          <w:p>
            <w:r>
              <w:rPr/>
              <w:t>6</w:t>
            </w:r>
          </w:p>
        </w:tc>
        <w:tc>
          <w:tcPr>
            <w:tcW w:type="dxa" w:w="3178"/>
          </w:tcPr>
          <w:p>
            <w:r>
              <w:rPr/>
              <w:t>投标报价有效期</w:t>
            </w:r>
          </w:p>
        </w:tc>
        <w:tc>
          <w:tcPr>
            <w:tcW w:type="dxa" w:w="4238"/>
          </w:tcPr>
          <w:p>
            <w:r>
              <w:rPr/>
              <w:t>投标报价有效期为90个日历日。</w:t>
            </w:r>
          </w:p>
        </w:tc>
      </w:tr>
      <w:tr>
        <w:tc>
          <w:tcPr>
            <w:tcW w:type="dxa" w:w="890"/>
          </w:tcPr>
          <w:p>
            <w:r>
              <w:rPr/>
              <w:t>7</w:t>
            </w:r>
          </w:p>
        </w:tc>
        <w:tc>
          <w:tcPr>
            <w:tcW w:type="dxa" w:w="3178"/>
          </w:tcPr>
          <w:p>
            <w:r>
              <w:rPr/>
              <w:t>实质性响应（如有）</w:t>
            </w:r>
          </w:p>
        </w:tc>
        <w:tc>
          <w:tcPr>
            <w:tcW w:type="dxa" w:w="4238"/>
          </w:tcPr>
          <w:p>
            <w:r>
              <w:rPr/>
              <w:t>完全响应（满足）招标文件采购需求实质性条款（带“★”号条款）。</w:t>
            </w:r>
          </w:p>
        </w:tc>
      </w:tr>
      <w:tr>
        <w:tc>
          <w:tcPr>
            <w:tcW w:type="dxa" w:w="890"/>
          </w:tcPr>
          <w:p>
            <w:r>
              <w:rPr/>
              <w:t>8</w:t>
            </w:r>
          </w:p>
        </w:tc>
        <w:tc>
          <w:tcPr>
            <w:tcW w:type="dxa" w:w="3178"/>
          </w:tcPr>
          <w:p>
            <w:r>
              <w:rPr/>
              <w:t>其他被评定为无效的情况</w:t>
            </w:r>
          </w:p>
        </w:tc>
        <w:tc>
          <w:tcPr>
            <w:tcW w:type="dxa" w:w="4238"/>
          </w:tcPr>
          <w:p>
            <w:r>
              <w:rPr/>
              <w:t>没有发现招标文件规定的其他被评定为无效的情况。</w:t>
            </w:r>
          </w:p>
        </w:tc>
      </w:tr>
    </w:tbl>
    <w:p/>
    <w:p>
      <w:r>
        <w:rPr>
          <w:b/>
          <w:sz w:val="24"/>
        </w:rPr>
        <w:t>2.响应文件澄清</w:t>
      </w:r>
    </w:p>
    <w:p>
      <w:pPr>
        <w:ind w:firstLine="480"/>
      </w:pPr>
      <w:r>
        <w:rPr/>
        <w:t>2.1对于响应文件中含义不明确、同类问题表述不一致或者有明显文字和计算错误的内容，单一来源采购人员可在评审过程中发起在线澄清，要求供应商针对价格或内容做出必要的澄清、说明或补正。代理机构可根据开启环节记录的授权代表人联系方式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2.2单一来源采购人员不接受供应商主动提出的澄清、说明或补正。</w:t>
      </w:r>
    </w:p>
    <w:p>
      <w:pPr>
        <w:ind w:firstLine="480"/>
      </w:pPr>
      <w:r>
        <w:rPr/>
        <w:t>2.3单一来源采购人员对供应商提交的澄清、说明或补正有疑问的，可以要求供应商进一步澄清、说明或补正。</w:t>
      </w:r>
    </w:p>
    <w:p>
      <w:r>
        <w:rPr>
          <w:b/>
          <w:sz w:val="24"/>
        </w:rPr>
        <w:t>3.协商</w:t>
      </w:r>
    </w:p>
    <w:p>
      <w:pPr>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ind w:firstLine="480"/>
      </w:pPr>
      <w:r>
        <w:rPr/>
        <w:t>已提交响应文件的供应商，在提交最后报价之前，可以根据协商情况退出协商。最终报价逾时不交的，可视同供应商自动放弃。</w:t>
      </w:r>
    </w:p>
    <w:p>
      <w:pPr>
        <w:ind w:firstLine="480"/>
      </w:pPr>
      <w:r>
        <w:rPr/>
        <w:t>在协商过程中，单一来源采购人员应当严格遵循保密原则，未经响应供应商同意不得向任何人透露当事人技术服务指标、价格和其他重要信息。</w:t>
      </w:r>
    </w:p>
    <w:p>
      <w:r>
        <w:rPr>
          <w:b/>
          <w:sz w:val="24"/>
        </w:rPr>
        <w:t>4.确定成交供应商</w:t>
      </w:r>
    </w:p>
    <w:p>
      <w:pPr>
        <w:ind w:firstLine="480"/>
      </w:pPr>
      <w:r>
        <w:rPr/>
        <w:t>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r>
        <w:rPr>
          <w:b/>
          <w:sz w:val="24"/>
        </w:rPr>
        <w:t>5.其他无效响应的情形</w:t>
      </w:r>
    </w:p>
    <w:p>
      <w:pPr>
        <w:ind w:firstLine="480"/>
      </w:pPr>
      <w:r>
        <w:rPr/>
        <w:t>(1)评审期间，供应商没有按单一来源采购人员的要求提交法定代表人或其委托代理人签字的澄清、说明、补正或改变了响应文件的实质性内容的。</w:t>
      </w:r>
    </w:p>
    <w:p>
      <w:pPr>
        <w:ind w:firstLine="480"/>
      </w:pPr>
      <w:r>
        <w:rPr/>
        <w:t>(2)响应文件提供虚假材料的。</w:t>
      </w:r>
    </w:p>
    <w:p>
      <w:pPr>
        <w:ind w:firstLine="480"/>
      </w:pPr>
      <w:r>
        <w:rPr/>
        <w:t>(3)供应商以行贿手段谋取成交或者以其他弄虚作假方式响应的。</w:t>
      </w:r>
    </w:p>
    <w:p>
      <w:pPr>
        <w:ind w:firstLine="480"/>
      </w:pPr>
      <w:r>
        <w:rPr/>
        <w:t>(4)供应商对采购人、采购代理机构、单一来源采购人员及其工作人员施加影响，有碍协商公平、公正的。</w:t>
      </w:r>
    </w:p>
    <w:p>
      <w:pPr>
        <w:ind w:firstLine="480"/>
      </w:pPr>
      <w:r>
        <w:rPr/>
        <w:t>(5)响应文件含有采购人不能接受的附加条件的。</w:t>
      </w:r>
    </w:p>
    <w:p>
      <w:pPr>
        <w:ind w:firstLine="480"/>
      </w:pPr>
      <w:r>
        <w:rPr/>
        <w:t>(6)法律、法规和采购文件规定的其他无效情形。</w:t>
      </w:r>
    </w:p>
    <w:p>
      <w:pPr>
        <w:ind w:firstLine="480"/>
      </w:pPr>
    </w:p>
    <w:p>
      <w:r>
        <w:rPr/>
        <w:t xml:space="preserve"> </w:t>
      </w:r>
    </w:p>
    <w:p/>
    <w:p>
      <w:pPr>
        <w:jc w:val="center"/>
      </w:pPr>
      <w:r>
        <w:rPr>
          <w:b/>
          <w:sz w:val="36"/>
        </w:rPr>
        <w:t>第五章 合同文本</w:t>
      </w:r>
    </w:p>
    <w:p>
      <w:pPr>
        <w:ind w:firstLine="480"/>
      </w:pPr>
    </w:p>
    <w:p/>
    <w:p/>
    <w:p>
      <w:pPr>
        <w:jc w:val="center"/>
      </w:pPr>
      <w:r>
        <w:rPr>
          <w:b/>
          <w:sz w:val="72"/>
        </w:rPr>
        <w:t>佛山市南海区政府采购</w:t>
      </w:r>
    </w:p>
    <w:p>
      <w:pPr>
        <w:jc w:val="both"/>
      </w:pPr>
    </w:p>
    <w:p>
      <w:pPr>
        <w:jc w:val="center"/>
      </w:pPr>
      <w:r>
        <w:rPr>
          <w:b/>
          <w:sz w:val="72"/>
        </w:rPr>
        <w:t>合同书</w:t>
      </w:r>
    </w:p>
    <w:p>
      <w:pPr>
        <w:jc w:val="center"/>
      </w:pPr>
      <w:r>
        <w:rPr>
          <w:b/>
          <w:sz w:val="48"/>
        </w:rPr>
        <w:t>（服务类）</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both"/>
            </w:pPr>
            <w:r>
              <w:rPr>
                <w:b/>
                <w:sz w:val="28"/>
              </w:rPr>
              <w:t>采购编号：</w:t>
            </w:r>
          </w:p>
        </w:tc>
      </w:tr>
      <w:tr>
        <w:tc>
          <w:tcPr>
            <w:tcW w:type="dxa" w:w="8306"/>
            <w:tcBorders>
              <w:top w:val="none" w:color="000000" w:sz="4"/>
              <w:left w:val="single" w:color="000000" w:sz="4"/>
              <w:bottom w:val="single" w:color="000000" w:sz="4"/>
              <w:right w:val="single" w:color="000000" w:sz="4"/>
            </w:tcBorders>
            <w:vAlign w:val="top"/>
          </w:tcPr>
          <w:p>
            <w:pPr>
              <w:jc w:val="both"/>
            </w:pPr>
          </w:p>
        </w:tc>
      </w:tr>
      <w:tr>
        <w:tc>
          <w:tcPr>
            <w:tcW w:type="dxa" w:w="8306"/>
            <w:tcBorders>
              <w:top w:val="none" w:color="000000" w:sz="4"/>
              <w:left w:val="single" w:color="000000" w:sz="4"/>
              <w:bottom w:val="single" w:color="000000" w:sz="4"/>
              <w:right w:val="single" w:color="000000" w:sz="4"/>
            </w:tcBorders>
            <w:vAlign w:val="top"/>
          </w:tcPr>
          <w:p>
            <w:pPr>
              <w:jc w:val="both"/>
            </w:pPr>
            <w:r>
              <w:rPr>
                <w:b/>
                <w:sz w:val="28"/>
              </w:rPr>
              <w:t>项目名称：</w:t>
            </w:r>
          </w:p>
        </w:tc>
      </w:tr>
      <w:tr>
        <w:tc>
          <w:tcPr>
            <w:tcW w:type="dxa" w:w="8306"/>
            <w:tcBorders>
              <w:top w:val="none" w:color="000000" w:sz="4"/>
              <w:left w:val="single" w:color="000000" w:sz="4"/>
              <w:bottom w:val="single" w:color="000000" w:sz="4"/>
              <w:right w:val="single" w:color="000000" w:sz="4"/>
            </w:tcBorders>
            <w:vAlign w:val="top"/>
          </w:tcPr>
          <w:p>
            <w:pPr>
              <w:jc w:val="both"/>
            </w:pPr>
          </w:p>
        </w:tc>
      </w:tr>
    </w:tbl>
    <w:p>
      <w:pPr>
        <w:jc w:val="both"/>
      </w:pPr>
    </w:p>
    <w:p>
      <w:pPr>
        <w:jc w:val="both"/>
      </w:pPr>
    </w:p>
    <w:p>
      <w:pPr>
        <w:jc w:val="both"/>
      </w:pPr>
      <w:r>
        <w:rPr>
          <w:sz w:val="21"/>
        </w:rPr>
        <w:t>注：</w:t>
      </w:r>
      <w:r>
        <w:rPr>
          <w:sz w:val="21"/>
        </w:rPr>
        <w:t>1</w:t>
      </w:r>
      <w:r>
        <w:rPr>
          <w:sz w:val="21"/>
        </w:rPr>
        <w:t>、本合同仅为合同的参考文本，合同签订双方可根据项目的具体要求进行修订。</w:t>
      </w:r>
    </w:p>
    <w:p>
      <w:pPr>
        <w:ind w:firstLine="420"/>
        <w:jc w:val="both"/>
      </w:pPr>
      <w:r>
        <w:rPr>
          <w:sz w:val="21"/>
        </w:rPr>
        <w:t>2</w:t>
      </w:r>
      <w:r>
        <w:rPr>
          <w:sz w:val="21"/>
        </w:rPr>
        <w:t>、若本项目为联合体投标的，乙方需为联合体各方。</w:t>
      </w:r>
    </w:p>
    <w:p>
      <w:pPr>
        <w:jc w:val="both"/>
      </w:pPr>
    </w:p>
    <w:p>
      <w:pPr>
        <w:jc w:val="both"/>
      </w:pPr>
    </w:p>
    <w:p>
      <w:pPr>
        <w:jc w:val="both"/>
      </w:pPr>
      <w:r>
        <w:rPr>
          <w:b/>
          <w:sz w:val="21"/>
        </w:rPr>
        <w:t>甲方：</w:t>
      </w:r>
    </w:p>
    <w:p>
      <w:pPr>
        <w:jc w:val="both"/>
      </w:pPr>
      <w:r>
        <w:rPr>
          <w:sz w:val="21"/>
        </w:rPr>
        <w:t>电话：　传真：地址：</w:t>
      </w:r>
    </w:p>
    <w:p>
      <w:pPr>
        <w:jc w:val="both"/>
      </w:pPr>
      <w:r>
        <w:rPr>
          <w:b/>
          <w:sz w:val="21"/>
        </w:rPr>
        <w:t>乙方：</w:t>
      </w:r>
      <w:r>
        <w:rPr>
          <w:b/>
          <w:sz w:val="21"/>
          <w:u w:val="single"/>
        </w:rPr>
        <w:t>（中标人）</w:t>
      </w:r>
    </w:p>
    <w:p>
      <w:pPr>
        <w:jc w:val="both"/>
      </w:pPr>
    </w:p>
    <w:p>
      <w:pPr>
        <w:jc w:val="both"/>
      </w:pPr>
      <w:r>
        <w:rPr>
          <w:sz w:val="21"/>
        </w:rPr>
        <w:t>电话：传真：地址：</w:t>
      </w:r>
    </w:p>
    <w:p>
      <w:pPr>
        <w:jc w:val="both"/>
      </w:pPr>
      <w:r>
        <w:rPr>
          <w:b/>
          <w:sz w:val="21"/>
        </w:rPr>
        <w:t>鉴证单位：</w:t>
      </w:r>
      <w:r>
        <w:rPr>
          <w:b/>
          <w:sz w:val="21"/>
          <w:u w:val="single"/>
        </w:rPr>
        <w:t>广东省机电设备招标有限公司</w:t>
      </w:r>
    </w:p>
    <w:p>
      <w:pPr>
        <w:jc w:val="both"/>
      </w:pPr>
      <w:r>
        <w:rPr>
          <w:sz w:val="21"/>
        </w:rPr>
        <w:t>项目名称：采购编号：</w:t>
      </w:r>
    </w:p>
    <w:p>
      <w:pPr>
        <w:jc w:val="both"/>
      </w:pPr>
    </w:p>
    <w:p>
      <w:pPr>
        <w:jc w:val="both"/>
      </w:pPr>
      <w:r>
        <w:rPr>
          <w:sz w:val="21"/>
        </w:rPr>
        <w:t>根据《中华人民共和国政府采购法》、本项目的采购结果，经双方协商，本着平等互利和诚实信用的原则，一致同意签订本合同如下。</w:t>
      </w:r>
    </w:p>
    <w:p>
      <w:pPr>
        <w:jc w:val="both"/>
      </w:pPr>
      <w:r>
        <w:rPr>
          <w:b/>
          <w:sz w:val="24"/>
        </w:rPr>
        <w:t>1.</w:t>
      </w:r>
      <w:r>
        <w:rPr>
          <w:b/>
          <w:sz w:val="24"/>
        </w:rPr>
        <w:t>项目的主要内容及要求</w:t>
      </w:r>
    </w:p>
    <w:p>
      <w:pPr>
        <w:jc w:val="both"/>
      </w:pPr>
      <w:r>
        <w:rPr>
          <w:i/>
          <w:sz w:val="24"/>
          <w:u w:val="single"/>
        </w:rPr>
        <w:t>（视项目具体情况填写，与招标文件第二部分要求相对应）</w:t>
      </w:r>
    </w:p>
    <w:p>
      <w:pPr>
        <w:jc w:val="both"/>
      </w:pPr>
      <w:r>
        <w:rPr>
          <w:b/>
          <w:sz w:val="24"/>
        </w:rPr>
        <w:t>2.</w:t>
      </w:r>
      <w:r>
        <w:rPr>
          <w:b/>
          <w:sz w:val="24"/>
        </w:rPr>
        <w:t>合同金额：</w:t>
      </w:r>
    </w:p>
    <w:p>
      <w:pPr>
        <w:jc w:val="both"/>
      </w:pPr>
      <w:r>
        <w:rPr>
          <w:sz w:val="24"/>
        </w:rPr>
        <w:t>2.1.</w:t>
      </w:r>
      <w:r>
        <w:rPr>
          <w:sz w:val="24"/>
        </w:rPr>
        <w:t>合同总额人民币小写：￥元，大写：元整；</w:t>
      </w:r>
    </w:p>
    <w:p>
      <w:pPr>
        <w:jc w:val="both"/>
      </w:pPr>
      <w:r>
        <w:rPr>
          <w:sz w:val="24"/>
        </w:rPr>
        <w:t>2.2.</w:t>
      </w:r>
      <w:r>
        <w:rPr>
          <w:sz w:val="24"/>
        </w:rPr>
        <w:t>合同总额包括人员工资、社保费、服装费、保安培训费、员工节日加班费、员工福利费、办公业务费、高温补贴费、伙食费、住宿费及对讲机、安全头盔、警棍、防爆盾牌、防爆钢叉、照明手电、增值税税金、企业合理利润等所有费用，均由中标方自行承担，甲方将不再另支付任何费用。</w:t>
      </w:r>
    </w:p>
    <w:p>
      <w:pPr>
        <w:jc w:val="both"/>
      </w:pPr>
      <w:r>
        <w:rPr>
          <w:sz w:val="24"/>
        </w:rPr>
        <w:t>2.3.</w:t>
      </w:r>
      <w:r>
        <w:rPr>
          <w:sz w:val="24"/>
        </w:rPr>
        <w:t>价格为固定不变价，天数为公历日。</w:t>
      </w:r>
    </w:p>
    <w:p>
      <w:pPr>
        <w:jc w:val="both"/>
      </w:pPr>
      <w:r>
        <w:rPr>
          <w:b/>
          <w:sz w:val="24"/>
        </w:rPr>
        <w:t>3.</w:t>
      </w:r>
      <w:r>
        <w:rPr>
          <w:b/>
          <w:sz w:val="24"/>
        </w:rPr>
        <w:t>付款方式：</w:t>
      </w:r>
    </w:p>
    <w:p>
      <w:pPr>
        <w:jc w:val="both"/>
      </w:pPr>
      <w:r>
        <w:rPr>
          <w:b/>
          <w:sz w:val="24"/>
        </w:rPr>
        <w:t>3.1.</w:t>
      </w:r>
    </w:p>
    <w:p>
      <w:pPr>
        <w:jc w:val="both"/>
      </w:pPr>
      <w:r>
        <w:rPr>
          <w:b/>
          <w:sz w:val="24"/>
        </w:rPr>
        <w:t>3.2.</w:t>
      </w:r>
    </w:p>
    <w:p>
      <w:pPr>
        <w:jc w:val="both"/>
      </w:pPr>
      <w:r>
        <w:rPr>
          <w:b/>
          <w:sz w:val="24"/>
        </w:rPr>
        <w:t>4.</w:t>
      </w:r>
      <w:r>
        <w:rPr>
          <w:b/>
          <w:sz w:val="24"/>
        </w:rPr>
        <w:t>服务地点和服务期限：</w:t>
      </w:r>
    </w:p>
    <w:p>
      <w:pPr>
        <w:jc w:val="both"/>
      </w:pPr>
      <w:r>
        <w:rPr>
          <w:sz w:val="24"/>
        </w:rPr>
        <w:t>4.1.</w:t>
      </w:r>
      <w:r>
        <w:rPr>
          <w:sz w:val="24"/>
        </w:rPr>
        <w:t>交付地点：佛山市南海区人民医院，地址为</w:t>
      </w:r>
      <w:r>
        <w:rPr>
          <w:sz w:val="24"/>
          <w:u w:val="single"/>
        </w:rPr>
        <w:t>　　　</w:t>
      </w:r>
      <w:r>
        <w:rPr>
          <w:sz w:val="24"/>
        </w:rPr>
        <w:t>。</w:t>
      </w:r>
    </w:p>
    <w:p>
      <w:pPr>
        <w:jc w:val="both"/>
      </w:pPr>
      <w:r>
        <w:rPr>
          <w:sz w:val="24"/>
        </w:rPr>
        <w:t>4.2.</w:t>
      </w:r>
      <w:r>
        <w:rPr>
          <w:b/>
          <w:sz w:val="24"/>
        </w:rPr>
        <w:t>服务期限</w:t>
      </w:r>
      <w:r>
        <w:rPr>
          <w:sz w:val="24"/>
        </w:rPr>
        <w:t>：。</w:t>
      </w:r>
    </w:p>
    <w:p>
      <w:pPr>
        <w:jc w:val="both"/>
      </w:pPr>
      <w:r>
        <w:rPr>
          <w:b/>
          <w:sz w:val="24"/>
        </w:rPr>
        <w:t>5.</w:t>
      </w:r>
      <w:r>
        <w:rPr>
          <w:b/>
          <w:sz w:val="24"/>
        </w:rPr>
        <w:t>服务质量要求：</w:t>
      </w:r>
    </w:p>
    <w:p>
      <w:pPr>
        <w:jc w:val="both"/>
      </w:pPr>
      <w:r>
        <w:rPr>
          <w:sz w:val="24"/>
        </w:rPr>
        <w:t>5.1.</w:t>
      </w:r>
      <w:r>
        <w:rPr>
          <w:sz w:val="21"/>
          <w:u w:val="single"/>
        </w:rPr>
        <w:t>　　　　　　　　　　　　　　　　　　　　　　</w:t>
      </w:r>
      <w:r>
        <w:rPr>
          <w:sz w:val="24"/>
        </w:rPr>
        <w:t>。</w:t>
      </w:r>
    </w:p>
    <w:p>
      <w:pPr>
        <w:jc w:val="both"/>
      </w:pPr>
      <w:r>
        <w:rPr>
          <w:sz w:val="24"/>
        </w:rPr>
        <w:t>5.2.</w:t>
      </w:r>
      <w:r>
        <w:rPr>
          <w:sz w:val="21"/>
          <w:u w:val="single"/>
        </w:rPr>
        <w:t>　　　　　　　　　　　　　　　　　　　　　　</w:t>
      </w:r>
      <w:r>
        <w:rPr>
          <w:sz w:val="24"/>
        </w:rPr>
        <w:t>。</w:t>
      </w:r>
    </w:p>
    <w:p>
      <w:pPr>
        <w:jc w:val="both"/>
      </w:pPr>
      <w:r>
        <w:rPr>
          <w:sz w:val="24"/>
        </w:rPr>
        <w:t>5.3.</w:t>
      </w:r>
      <w:r>
        <w:rPr>
          <w:sz w:val="21"/>
          <w:u w:val="single"/>
        </w:rPr>
        <w:t>　　　　　　　　　　　　　　　　　　　　　　</w:t>
      </w:r>
      <w:r>
        <w:rPr>
          <w:sz w:val="24"/>
        </w:rPr>
        <w:t>。</w:t>
      </w:r>
    </w:p>
    <w:p>
      <w:pPr>
        <w:jc w:val="both"/>
      </w:pPr>
      <w:r>
        <w:rPr>
          <w:sz w:val="24"/>
        </w:rPr>
        <w:t>乙方售后服务机构名称及地址：</w:t>
      </w:r>
    </w:p>
    <w:p>
      <w:pPr>
        <w:jc w:val="left"/>
      </w:pPr>
      <w:r>
        <w:rPr>
          <w:sz w:val="24"/>
        </w:rPr>
        <w:t>代理商售后服务机构名：</w:t>
      </w:r>
      <w:r>
        <w:rPr>
          <w:sz w:val="24"/>
          <w:u w:val="single"/>
        </w:rPr>
        <w:t>　　　　　</w:t>
      </w:r>
      <w:r>
        <w:rPr>
          <w:sz w:val="24"/>
        </w:rPr>
        <w:t>；联系人：</w:t>
      </w:r>
      <w:r>
        <w:rPr>
          <w:sz w:val="24"/>
          <w:u w:val="single"/>
        </w:rPr>
        <w:t>　　　</w:t>
      </w:r>
      <w:r>
        <w:rPr>
          <w:sz w:val="24"/>
        </w:rPr>
        <w:t>，联系电话和手机：</w:t>
      </w:r>
      <w:r>
        <w:rPr>
          <w:sz w:val="24"/>
          <w:u w:val="single"/>
        </w:rPr>
        <w:t>　　　　</w:t>
      </w:r>
      <w:r>
        <w:rPr>
          <w:sz w:val="24"/>
        </w:rPr>
        <w:t>，传真：</w:t>
      </w:r>
      <w:r>
        <w:rPr>
          <w:sz w:val="24"/>
          <w:u w:val="single"/>
        </w:rPr>
        <w:t>　　</w:t>
      </w:r>
    </w:p>
    <w:p>
      <w:pPr>
        <w:jc w:val="both"/>
      </w:pPr>
      <w:r>
        <w:rPr>
          <w:b/>
          <w:sz w:val="24"/>
        </w:rPr>
        <w:t>6.</w:t>
      </w:r>
      <w:r>
        <w:rPr>
          <w:b/>
          <w:sz w:val="24"/>
        </w:rPr>
        <w:t>违约责任与赔偿损失</w:t>
      </w:r>
    </w:p>
    <w:p>
      <w:pPr>
        <w:jc w:val="both"/>
      </w:pPr>
      <w:r>
        <w:rPr>
          <w:sz w:val="21"/>
        </w:rPr>
        <w:t>6.1.</w:t>
      </w:r>
      <w:r>
        <w:rPr>
          <w:sz w:val="21"/>
        </w:rPr>
        <w:t>乙方提供的服务不符合招标文件、投标文件或本合同规定的，甲方有权拒收，并且乙方须向甲方支付本合同总价</w:t>
      </w:r>
      <w:r>
        <w:rPr>
          <w:sz w:val="21"/>
        </w:rPr>
        <w:t>5%</w:t>
      </w:r>
      <w:r>
        <w:rPr>
          <w:sz w:val="21"/>
        </w:rPr>
        <w:t>的违约金。</w:t>
      </w:r>
    </w:p>
    <w:p>
      <w:pPr>
        <w:jc w:val="both"/>
      </w:pPr>
      <w:r>
        <w:rPr>
          <w:sz w:val="21"/>
        </w:rPr>
        <w:t>6.2.</w:t>
      </w:r>
      <w:r>
        <w:rPr>
          <w:sz w:val="21"/>
        </w:rPr>
        <w:t>乙方未能按本合同规定的交付时间提供服务，从逾期之日起每日按本合同总价</w:t>
      </w:r>
      <w:r>
        <w:rPr>
          <w:sz w:val="21"/>
        </w:rPr>
        <w:t>3‰</w:t>
      </w:r>
      <w:r>
        <w:rPr>
          <w:sz w:val="21"/>
        </w:rPr>
        <w:t>的数额向甲方支付违约金；逾期半个月以上的，甲方有权终止合同，由此造成的甲方经济损失由乙方承担。</w:t>
      </w:r>
    </w:p>
    <w:p>
      <w:pPr>
        <w:jc w:val="both"/>
      </w:pPr>
      <w:r>
        <w:rPr>
          <w:sz w:val="21"/>
        </w:rPr>
        <w:t>6.3.</w:t>
      </w:r>
      <w:r>
        <w:rPr>
          <w:sz w:val="21"/>
        </w:rPr>
        <w:t>甲方无正当理由拒接受服务，到期拒付服务款项的，甲方向乙方偿付本合同总的</w:t>
      </w:r>
      <w:r>
        <w:rPr>
          <w:sz w:val="21"/>
        </w:rPr>
        <w:t>5%</w:t>
      </w:r>
      <w:r>
        <w:rPr>
          <w:sz w:val="21"/>
        </w:rPr>
        <w:t>的违约金。甲方人逾期付款，则每日按本合同总价的</w:t>
      </w:r>
      <w:r>
        <w:rPr>
          <w:sz w:val="21"/>
        </w:rPr>
        <w:t>3‰</w:t>
      </w:r>
      <w:r>
        <w:rPr>
          <w:sz w:val="21"/>
        </w:rPr>
        <w:t>向乙方偿付违约金。</w:t>
      </w:r>
    </w:p>
    <w:p>
      <w:pPr>
        <w:jc w:val="both"/>
      </w:pPr>
      <w:r>
        <w:rPr>
          <w:sz w:val="21"/>
        </w:rPr>
        <w:t>6.4.</w:t>
      </w:r>
      <w:r>
        <w:rPr>
          <w:sz w:val="21"/>
        </w:rPr>
        <w:t>其它违约责任按《中华人民共和国民法典》处理。</w:t>
      </w:r>
    </w:p>
    <w:p>
      <w:pPr>
        <w:jc w:val="both"/>
      </w:pPr>
      <w:r>
        <w:rPr>
          <w:b/>
          <w:sz w:val="24"/>
        </w:rPr>
        <w:t>7.</w:t>
      </w:r>
      <w:r>
        <w:rPr>
          <w:b/>
          <w:sz w:val="24"/>
        </w:rPr>
        <w:t>争端的解决</w:t>
      </w:r>
    </w:p>
    <w:p>
      <w:pPr>
        <w:jc w:val="both"/>
      </w:pPr>
      <w:r>
        <w:rPr>
          <w:sz w:val="21"/>
        </w:rPr>
        <w:t>7.1.</w:t>
      </w:r>
      <w:r>
        <w:rPr>
          <w:sz w:val="21"/>
        </w:rPr>
        <w:t>合同执行过程中发生的任何争议，如双方不能通过友好协商解决，应向甲方所在地的人民法院提起诉讼。</w:t>
      </w:r>
    </w:p>
    <w:p>
      <w:pPr>
        <w:jc w:val="both"/>
      </w:pPr>
      <w:r>
        <w:rPr>
          <w:sz w:val="21"/>
        </w:rPr>
        <w:t>7.2.</w:t>
      </w:r>
      <w:r>
        <w:rPr>
          <w:sz w:val="21"/>
        </w:rPr>
        <w:t>在法院审理期间，除提交法院审理的事项外，合同其它事项和条款仍应继续履行。</w:t>
      </w:r>
    </w:p>
    <w:p>
      <w:pPr>
        <w:jc w:val="both"/>
      </w:pPr>
      <w:r>
        <w:rPr>
          <w:sz w:val="21"/>
        </w:rPr>
        <w:t>7.3.</w:t>
      </w:r>
      <w:r>
        <w:rPr>
          <w:sz w:val="21"/>
        </w:rPr>
        <w:t>本合同按照中华人民共和国的法律进行解释。</w:t>
      </w:r>
    </w:p>
    <w:p>
      <w:pPr>
        <w:jc w:val="both"/>
      </w:pPr>
      <w:r>
        <w:rPr>
          <w:b/>
          <w:sz w:val="24"/>
        </w:rPr>
        <w:t>8.</w:t>
      </w:r>
      <w:r>
        <w:rPr>
          <w:b/>
          <w:sz w:val="24"/>
        </w:rPr>
        <w:t>不可抗力：</w:t>
      </w:r>
      <w:r>
        <w:rPr>
          <w:sz w:val="21"/>
        </w:rPr>
        <w:t>任何一方由于不可抗力原因（指不能预见，不能避免并不能克服的客观情况，如地震、台风、洪水、战争、国家宏观政策发生重大变化等）不能履行合同时，应在不可抗力事件结束后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9.</w:t>
      </w:r>
      <w:r>
        <w:rPr>
          <w:b/>
          <w:sz w:val="24"/>
        </w:rPr>
        <w:t>税和关税：</w:t>
      </w:r>
      <w:r>
        <w:rPr>
          <w:sz w:val="21"/>
        </w:rPr>
        <w:t>在中国境内、外发生的与本合同执行有关的一切税费均由乙方负担。</w:t>
      </w:r>
    </w:p>
    <w:p>
      <w:pPr>
        <w:jc w:val="both"/>
      </w:pPr>
      <w:r>
        <w:rPr>
          <w:b/>
          <w:sz w:val="24"/>
        </w:rPr>
        <w:t>10</w:t>
      </w:r>
      <w:r>
        <w:rPr>
          <w:b/>
          <w:sz w:val="24"/>
        </w:rPr>
        <w:t>其它</w:t>
      </w:r>
    </w:p>
    <w:p>
      <w:pPr>
        <w:jc w:val="both"/>
      </w:pPr>
      <w:r>
        <w:rPr>
          <w:sz w:val="21"/>
        </w:rPr>
        <w:t>10.1.</w:t>
      </w:r>
      <w:r>
        <w:rPr>
          <w:sz w:val="21"/>
        </w:rPr>
        <w:t>本合同所有附件、招标文件、投标文件、中标通知书均为合同的有效组成部分，与本合同具有同等法律效力。</w:t>
      </w:r>
    </w:p>
    <w:p>
      <w:pPr>
        <w:jc w:val="both"/>
      </w:pPr>
      <w:r>
        <w:rPr>
          <w:sz w:val="21"/>
        </w:rPr>
        <w:t>10.2.</w:t>
      </w:r>
      <w:r>
        <w:rPr>
          <w:sz w:val="21"/>
        </w:rPr>
        <w:t>在执行本合同的过程中，所有经双方签署确认的文件（包括会议纪要、补充协议、往来信函）即成为本合同的有效组成部分。</w:t>
      </w:r>
    </w:p>
    <w:p>
      <w:pPr>
        <w:jc w:val="both"/>
      </w:pPr>
      <w:r>
        <w:rPr>
          <w:sz w:val="21"/>
        </w:rPr>
        <w:t>10.3.</w:t>
      </w:r>
      <w:r>
        <w:rPr>
          <w:sz w:val="21"/>
        </w:rPr>
        <w:t>如一方地址、电话、传真号码有变更，应在变更当日内书面通知对方，否则，应承担相应责任。</w:t>
      </w:r>
    </w:p>
    <w:p>
      <w:pPr>
        <w:jc w:val="both"/>
      </w:pPr>
      <w:r>
        <w:rPr>
          <w:sz w:val="21"/>
        </w:rPr>
        <w:t>10.4.</w:t>
      </w:r>
      <w:r>
        <w:rPr>
          <w:sz w:val="21"/>
        </w:rPr>
        <w:t>除甲方事先书面同意外，乙方不得部分或全部转让其应履行的合同项下的义务。</w:t>
      </w:r>
    </w:p>
    <w:p>
      <w:pPr>
        <w:jc w:val="both"/>
      </w:pPr>
      <w:r>
        <w:rPr>
          <w:b/>
          <w:sz w:val="24"/>
        </w:rPr>
        <w:t>11.</w:t>
      </w:r>
      <w:r>
        <w:rPr>
          <w:b/>
          <w:sz w:val="24"/>
        </w:rPr>
        <w:t>合同生效：</w:t>
      </w:r>
    </w:p>
    <w:p>
      <w:pPr>
        <w:jc w:val="both"/>
      </w:pPr>
      <w:r>
        <w:rPr>
          <w:sz w:val="21"/>
        </w:rPr>
        <w:t>11.1.</w:t>
      </w:r>
      <w:r>
        <w:rPr>
          <w:sz w:val="21"/>
        </w:rPr>
        <w:t>本合同在甲乙双方法人代表或其授权代表签字盖章后，自广东省机电设备招标有限公司鉴证之日起生效。</w:t>
      </w:r>
    </w:p>
    <w:p>
      <w:pPr>
        <w:jc w:val="left"/>
      </w:pPr>
      <w:r>
        <w:rPr>
          <w:sz w:val="21"/>
        </w:rPr>
        <w:t>11.2.</w:t>
      </w:r>
      <w:r>
        <w:rPr>
          <w:sz w:val="21"/>
        </w:rPr>
        <w:t>合同一式份，甲方、乙方、财政、会计结算中心各一份，广东省机电设备招标有限公司一份。</w:t>
      </w:r>
    </w:p>
    <w:p>
      <w:pPr>
        <w:jc w:val="both"/>
      </w:pPr>
    </w:p>
    <w:p>
      <w:pPr>
        <w:jc w:val="both"/>
      </w:pPr>
    </w:p>
    <w:p>
      <w:pPr>
        <w:jc w:val="both"/>
      </w:pPr>
      <w:r>
        <w:rPr>
          <w:b/>
          <w:sz w:val="21"/>
        </w:rPr>
        <w:t>甲方（盖章）：乙方（盖章）：</w:t>
      </w:r>
    </w:p>
    <w:p>
      <w:pPr>
        <w:jc w:val="both"/>
      </w:pPr>
      <w:r>
        <w:rPr>
          <w:b/>
          <w:sz w:val="21"/>
        </w:rPr>
        <w:t>代表：代表：</w:t>
      </w:r>
    </w:p>
    <w:p>
      <w:pPr>
        <w:jc w:val="both"/>
      </w:pPr>
      <w:r>
        <w:rPr>
          <w:sz w:val="21"/>
        </w:rPr>
        <w:t>日期：年月日日期：年月日</w:t>
      </w:r>
    </w:p>
    <w:p>
      <w:pPr>
        <w:ind w:firstLine="4830"/>
        <w:jc w:val="both"/>
      </w:pPr>
      <w:r>
        <w:rPr>
          <w:sz w:val="21"/>
        </w:rPr>
        <w:t>开户名称：</w:t>
      </w:r>
    </w:p>
    <w:p>
      <w:pPr>
        <w:ind w:firstLine="4830"/>
        <w:jc w:val="both"/>
      </w:pPr>
      <w:r>
        <w:rPr>
          <w:sz w:val="21"/>
        </w:rPr>
        <w:t>银行帐号：</w:t>
      </w:r>
    </w:p>
    <w:p>
      <w:pPr>
        <w:ind w:firstLine="4830"/>
        <w:jc w:val="both"/>
      </w:pPr>
      <w:r>
        <w:rPr>
          <w:sz w:val="21"/>
        </w:rPr>
        <w:t>开户行：</w:t>
      </w:r>
    </w:p>
    <w:p>
      <w:pPr>
        <w:ind w:firstLine="4830"/>
        <w:jc w:val="both"/>
      </w:pPr>
    </w:p>
    <w:p>
      <w:pPr>
        <w:jc w:val="both"/>
      </w:pPr>
      <w:r>
        <w:rPr>
          <w:b/>
          <w:sz w:val="21"/>
        </w:rPr>
        <w:t>鉴证单位：广东省机电设备招标有限公司</w:t>
      </w:r>
    </w:p>
    <w:p>
      <w:pPr>
        <w:jc w:val="both"/>
      </w:pPr>
      <w:r>
        <w:rPr>
          <w:sz w:val="21"/>
        </w:rPr>
        <w:t>经核对，与采购文件确定的事项相符</w:t>
      </w:r>
    </w:p>
    <w:p>
      <w:pPr>
        <w:jc w:val="both"/>
      </w:pPr>
      <w:r>
        <w:rPr>
          <w:b/>
          <w:sz w:val="21"/>
        </w:rPr>
        <w:t>代表：</w:t>
      </w:r>
    </w:p>
    <w:p>
      <w:pPr>
        <w:jc w:val="both"/>
      </w:pPr>
      <w:r>
        <w:rPr>
          <w:sz w:val="21"/>
        </w:rPr>
        <w:t>合同生效日期：年月日</w:t>
      </w:r>
    </w:p>
    <w:p/>
    <w:p>
      <w:pPr>
        <w:ind w:firstLine="480"/>
      </w:pPr>
    </w:p>
    <w:p>
      <w:r>
        <w:rPr/>
        <w:t xml:space="preserve"> </w:t>
      </w:r>
    </w:p>
    <w:p/>
    <w:p>
      <w:pPr>
        <w:jc w:val="center"/>
      </w:pPr>
      <w:r>
        <w:rPr>
          <w:b/>
          <w:sz w:val="36"/>
        </w:rPr>
        <w:t>第六章  响应文件格式与要求</w:t>
      </w:r>
    </w:p>
    <w:p>
      <w:pPr>
        <w:ind w:firstLine="480"/>
      </w:pPr>
      <w:r>
        <w:rPr/>
        <w:t>供应商应提交证明其有资格参加响应和成交后有能力履行合同的相关文件，并作为其响应文件的一部分，所有文件必须真实可靠、不得伪造，否则将按相关规定予以处罚。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（2）查询截止时点：响应提交响应文件截止日当天；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 xml:space="preserve"> 6. 按照采购文件要求，供应商应当提交的资格、资信证明文件。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w:t>
      </w:r>
    </w:p>
    <w:p>
      <w:pPr>
        <w:jc w:val="center"/>
      </w:pPr>
      <w:r>
        <w:rPr>
          <w:b/>
          <w:sz w:val="24"/>
        </w:rPr>
        <w:t>（正本/副本）</w:t>
      </w:r>
    </w:p>
    <w:p/>
    <w:p>
      <w:pPr>
        <w:jc w:val="center"/>
      </w:pPr>
      <w:r>
        <w:rPr>
          <w:b/>
          <w:sz w:val="24"/>
        </w:rPr>
        <w:t>采购计划编号：</w:t>
      </w:r>
      <w:r>
        <w:rPr>
          <w:b/>
          <w:sz w:val="24"/>
        </w:rPr>
        <w:t>440605-2022-09632</w:t>
      </w:r>
    </w:p>
    <w:p>
      <w:pPr>
        <w:jc w:val="center"/>
      </w:pPr>
      <w:r>
        <w:rPr>
          <w:b/>
          <w:sz w:val="24"/>
        </w:rPr>
        <w:t>采购项目编号：</w:t>
      </w:r>
      <w:r>
        <w:rPr>
          <w:b/>
          <w:sz w:val="24"/>
        </w:rPr>
        <w:t>M4400000707015263001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一、协商承诺书</w:t>
      </w:r>
    </w:p>
    <w:p>
      <w:pPr>
        <w:ind w:firstLine="480"/>
      </w:pPr>
      <w:r>
        <w:rPr/>
        <w:t>二、报价一览表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协商承诺书</w:t>
      </w:r>
    </w:p>
    <w:p>
      <w:pPr>
        <w:ind w:firstLine="480"/>
      </w:pPr>
      <w:r>
        <w:rPr/>
        <w:t>致：</w:t>
      </w:r>
      <w:r>
        <w:rPr>
          <w:u w:val="single"/>
        </w:rPr>
        <w:t>广东省机电设备招标有限公司佛山分公司</w:t>
      </w:r>
    </w:p>
    <w:p>
      <w:pPr>
        <w:ind w:firstLine="480"/>
      </w:pPr>
      <w:r>
        <w:rPr/>
        <w:t>我方确认收到你方提供</w:t>
      </w:r>
      <w:r>
        <w:rPr>
          <w:u w:val="single"/>
        </w:rPr>
        <w:t>增补安保服务</w:t>
      </w:r>
      <w:r>
        <w:rPr/>
        <w:t>[采购项目编号为：</w:t>
      </w:r>
      <w:r>
        <w:rPr>
          <w:u w:val="single"/>
        </w:rPr>
        <w:t>M4400000707015263001</w:t>
      </w:r>
      <w:r>
        <w:rPr/>
        <w:t>]的单一来源协商采购文件，已完全理解采购文件所有内容，决定参加该项目的响应报价。据此我方承诺如下：</w:t>
      </w:r>
    </w:p>
    <w:p>
      <w:pPr>
        <w:ind w:firstLine="480"/>
      </w:pPr>
      <w:r>
        <w:rPr/>
        <w:t>（一）</w:t>
        <w:tab/>
        <w:tab/>
        <w:t xml:space="preserve"> 我方在参与前已详细研究了采购文件的所有内容，包括澄清、修改文件（如果有）和所有已提供的参考资料以及有关附件，我方同意采购文件的相关条款，放弃对采购文件提出误解和质疑的一切权力。</w:t>
      </w:r>
      <w:r>
        <w:rPr>
          <w:u w:val="single"/>
        </w:rPr>
        <w:t>(供应商名称)</w:t>
      </w:r>
      <w:r>
        <w:rPr/>
        <w:t>作为响应供应商正式授权</w:t>
      </w:r>
      <w:r>
        <w:rPr>
          <w:u w:val="single"/>
        </w:rPr>
        <w:t>(授权代表全名,职务)</w:t>
      </w:r>
      <w:r>
        <w:rPr/>
        <w:t>代表我方全权处理有关本次协商的一切事宜。</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ind w:firstLine="480"/>
      </w:pPr>
      <w:r>
        <w:rPr/>
        <w:t>（四）按采购文件提供的全部货物（工程、服务）与相关服务的响应总价详见《报价一览表》。</w:t>
      </w:r>
    </w:p>
    <w:p>
      <w:pPr>
        <w:ind w:firstLine="480"/>
      </w:pPr>
      <w:r>
        <w:rPr/>
        <w:t>（五）我方明白并同意，在规定的开启日之后，响应有效期之内撤回响应或成交后不按规定与采购人签订合同或不提交履约保证金, 则贵方将不予退还响应保证金。</w:t>
      </w:r>
    </w:p>
    <w:p>
      <w:pPr>
        <w:ind w:firstLine="480"/>
      </w:pPr>
      <w:r>
        <w:rPr/>
        <w:t>（六）我方如果成交，将保证履行采购文件及其澄清、修改文件（如果有）中的全部责任和义务，按质、按量、按期完成《采购需求》及《合同书》中的全部任务。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（八）我方响应报价已包含应向知识产权所有权人支付的所有相关税费，并保证采购人在中国使用我方提供的货物时，如有第三方提出侵犯其知识产权主张的，责任由我方承担。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（十）我方具备《中华人民共和国政府采购法》第二十二条规定的条件，承诺如下：</w:t>
      </w:r>
    </w:p>
    <w:p>
      <w:pPr>
        <w:ind w:firstLine="480"/>
      </w:pPr>
      <w:r>
        <w:rPr/>
        <w:t>（1）我方参加本项目政府采购活动前3年内在经营活动中没有重大违法记录。</w:t>
      </w:r>
    </w:p>
    <w:p>
      <w:pPr>
        <w:ind w:firstLine="480"/>
      </w:pPr>
      <w:r>
        <w:rPr/>
        <w:t>（2）我方符合法律、行政法规规定的其他条件。</w:t>
      </w:r>
    </w:p>
    <w:p>
      <w:pPr>
        <w:ind w:firstLine="480"/>
      </w:pPr>
      <w:r>
        <w:rPr/>
        <w:t>以上内容如有虚假或与事实不符的，单一来源采购人员可将我方做无效响应处理，我方愿意承担相应的法律责任。</w:t>
      </w:r>
    </w:p>
    <w:p>
      <w:pPr>
        <w:ind w:firstLine="480"/>
      </w:pPr>
      <w:r>
        <w:rPr/>
        <w:t>（十一）我方对在本函及响应文件中所作的所有承诺承担法律责任。</w:t>
      </w:r>
    </w:p>
    <w:p>
      <w:pPr>
        <w:ind w:firstLine="480"/>
      </w:pPr>
      <w:r>
        <w:rPr/>
        <w:t>（十二）所有与本协商有关的函件请发往下列地址：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w:t>
      </w:r>
    </w:p>
    <w:p>
      <w:pPr>
        <w:ind w:firstLine="480"/>
      </w:pPr>
      <w:r>
        <w:rPr/>
        <w:t>职 务：__________________</w:t>
      </w:r>
    </w:p>
    <w:p>
      <w:pPr>
        <w:ind w:firstLine="480"/>
      </w:pPr>
    </w:p>
    <w:p>
      <w:pPr>
        <w:ind w:firstLine="480"/>
      </w:pPr>
    </w:p>
    <w:p>
      <w:pPr>
        <w:ind w:firstLine="480"/>
      </w:pPr>
    </w:p>
    <w:p>
      <w:pPr>
        <w:ind w:firstLine="480"/>
      </w:pPr>
    </w:p>
    <w:p>
      <w:pPr>
        <w:jc w:val="right"/>
      </w:pPr>
      <w:r>
        <w:rPr/>
        <w:t>供应商法定代表人（或法定代表人授权代表）签字或盖章：__________________</w:t>
      </w:r>
    </w:p>
    <w:p>
      <w:pPr>
        <w:jc w:val="right"/>
      </w:pPr>
      <w:r>
        <w:rPr/>
        <w:t>供应商名称（盖章）：__________________</w:t>
      </w:r>
    </w:p>
    <w:p>
      <w:pPr>
        <w:jc w:val="right"/>
      </w:pPr>
      <w:r>
        <w:rPr/>
        <w:t>日期： 年 月 日</w:t>
      </w:r>
    </w:p>
    <w:p>
      <w:pPr>
        <w:ind w:firstLine="480"/>
      </w:pPr>
    </w:p>
    <w:p>
      <w:r>
        <w:rPr/>
        <w:t xml:space="preserve"> </w:t>
      </w:r>
    </w:p>
    <w:p/>
    <w:p>
      <w:r>
        <w:rPr>
          <w:b/>
          <w:sz w:val="28"/>
        </w:rPr>
        <w:t>格式二：</w:t>
      </w:r>
    </w:p>
    <w:p>
      <w:pPr>
        <w:jc w:val="center"/>
      </w:pPr>
      <w:r>
        <w:rPr>
          <w:b/>
          <w:sz w:val="24"/>
        </w:rPr>
        <w:t>报价一览表</w:t>
      </w:r>
    </w:p>
    <w:p>
      <w:pPr>
        <w:ind w:firstLine="480"/>
      </w:pPr>
      <w:r>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ind w:firstLine="480"/>
      </w:pPr>
      <w:r>
        <w:rPr/>
        <w:t>采购项目编号：</w:t>
      </w:r>
    </w:p>
    <w:p>
      <w:pPr>
        <w:ind w:firstLine="480"/>
      </w:pPr>
      <w:r>
        <w:rPr/>
        <w:t>项目名称：</w:t>
      </w:r>
    </w:p>
    <w:p>
      <w:pPr>
        <w:ind w:firstLine="480"/>
      </w:pPr>
      <w:r>
        <w:rPr/>
        <w:t>响应供应商名称：</w:t>
      </w:r>
    </w:p>
    <w:p>
      <w:pPr>
        <w:ind w:firstLine="480"/>
      </w:pPr>
      <w:r>
        <w:rPr/>
        <w:t>采购包：</w:t>
      </w:r>
    </w:p>
    <w:p>
      <w:pPr>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p>
      <w:pPr>
        <w:jc w:val="right"/>
      </w:pPr>
      <w:r>
        <w:rPr/>
        <w:t>供应商签章：____________________</w:t>
      </w:r>
      <w:r>
        <w:br/>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供应商名称（盖章）：__________________</w:t>
      </w:r>
    </w:p>
    <w:p>
      <w:pPr>
        <w:jc w:val="right"/>
      </w:pPr>
      <w:r>
        <w:rPr/>
        <w:t>日期： 年 月 日</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w:t>
      </w:r>
    </w:p>
    <w:p>
      <w:pPr>
        <w:ind w:firstLine="480"/>
      </w:pPr>
    </w:p>
    <w:p>
      <w:pPr>
        <w:ind w:firstLine="480"/>
      </w:pPr>
    </w:p>
    <w:p>
      <w:pPr>
        <w:jc w:val="right"/>
      </w:pPr>
      <w:r>
        <w:rPr/>
        <w:t>供应商名称（盖章）：__________________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广东省机电设备招标有限公司佛山分公司</w:t>
      </w:r>
    </w:p>
    <w:p>
      <w:pPr>
        <w:ind w:firstLine="480"/>
      </w:pPr>
      <w:r>
        <w:rPr/>
        <w:t>本授权书声明：________是注册于</w:t>
      </w:r>
      <w:r>
        <w:rPr>
          <w:u w:val="single"/>
        </w:rPr>
        <w:t>（国家或地区）</w:t>
      </w:r>
      <w:r>
        <w:rPr/>
        <w:t>的</w:t>
      </w:r>
      <w:r>
        <w:rPr>
          <w:u w:val="single"/>
        </w:rPr>
        <w:t>（供应商名称）</w:t>
      </w:r>
      <w:r>
        <w:rPr/>
        <w:t>的法定代表人，现任__________职务，有效证件号码：________________。现授权</w:t>
      </w:r>
      <w:r>
        <w:rPr>
          <w:u w:val="single"/>
        </w:rPr>
        <w:t>（姓名、职务）</w:t>
      </w:r>
      <w:r>
        <w:rPr/>
        <w:t>作为我公司的全权代理人，就</w:t>
      </w:r>
      <w:r>
        <w:rPr/>
        <w:t>增补安保服务</w:t>
      </w:r>
      <w:r>
        <w:rPr/>
        <w:t>项目采购[采购项目编号为</w:t>
      </w:r>
      <w:r>
        <w:rPr/>
        <w:t>M4400000707015263001</w:t>
      </w:r>
      <w:r>
        <w:rPr/>
        <w:t>]的响应和合同执行，以我方的名义处理一切与之有关的事宜。</w:t>
      </w:r>
    </w:p>
    <w:p>
      <w:pPr>
        <w:ind w:firstLine="480"/>
      </w:pPr>
      <w:r>
        <w:rPr/>
        <w:t>本授权书于________年________月________日签字生效，特此声明。</w:t>
      </w:r>
    </w:p>
    <w:p>
      <w:pPr>
        <w:jc w:val="right"/>
      </w:pPr>
      <w:r>
        <w:rPr/>
        <w:t>供应商（盖章）：__________________</w:t>
      </w:r>
    </w:p>
    <w:p>
      <w:pPr>
        <w:jc w:val="right"/>
      </w:pPr>
      <w:r>
        <w:rPr/>
        <w:t>地址：__________________</w:t>
      </w:r>
    </w:p>
    <w:p>
      <w:pPr>
        <w:jc w:val="right"/>
      </w:pPr>
      <w:r>
        <w:rPr/>
        <w:t>法定代表人（签字或盖章）：__________________</w:t>
      </w:r>
    </w:p>
    <w:p>
      <w:pPr>
        <w:jc w:val="right"/>
      </w:pPr>
      <w:r>
        <w:rPr/>
        <w:t>职务：__________________</w:t>
      </w:r>
    </w:p>
    <w:p>
      <w:pPr>
        <w:jc w:val="right"/>
      </w:pPr>
      <w:r>
        <w:rPr/>
        <w:t>被授权人（签字或盖章）：__________________</w:t>
      </w:r>
    </w:p>
    <w:p>
      <w:pPr>
        <w:jc w:val="right"/>
      </w:pPr>
      <w:r>
        <w:rPr/>
        <w:t>职务：__________________</w:t>
      </w:r>
    </w:p>
    <w:p>
      <w:pPr>
        <w:jc w:val="right"/>
      </w:pPr>
      <w:r>
        <w:rPr/>
        <w:t>日期：____年____月____日</w:t>
      </w:r>
    </w:p>
    <w:p>
      <w:pPr>
        <w:ind w:firstLine="480"/>
      </w:pPr>
    </w:p>
    <w:p>
      <w:r>
        <w:rPr/>
        <w:t xml:space="preserve"> </w:t>
      </w:r>
    </w:p>
    <w:p/>
    <w:p>
      <w:r>
        <w:rPr>
          <w:b/>
          <w:sz w:val="28"/>
        </w:rPr>
        <w:t>格式七：</w:t>
      </w:r>
    </w:p>
    <w:p>
      <w:pPr>
        <w:jc w:val="center"/>
      </w:pPr>
      <w:r>
        <w:rPr>
          <w:b/>
          <w:sz w:val="24"/>
        </w:rPr>
        <w:t>响应保证金</w:t>
      </w:r>
    </w:p>
    <w:p>
      <w:pPr>
        <w:ind w:firstLine="480"/>
      </w:pPr>
      <w:r>
        <w:rPr/>
        <w:t>采购文件要求递交响应保证金的，供应商应在此提供保证金的凭证的复印件。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佛山市南海区人民医院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企业名称（盖章）：__________________</w:t>
      </w:r>
    </w:p>
    <w:p>
      <w:pPr>
        <w:jc w:val="right"/>
      </w:pPr>
      <w:r>
        <w:rPr/>
        <w:t>日期： 年 月 日</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作为联合体成员，若成交，联合体各方共同与签订政府采购合同。</w:t>
      </w:r>
    </w:p>
    <w:p>
      <w:pPr>
        <w:ind w:firstLine="480"/>
      </w:pPr>
      <w:r>
        <w:rPr/>
        <w:t>二、联合体内部有关事项约定如下：</w:t>
      </w:r>
    </w:p>
    <w:p>
      <w:pPr>
        <w:ind w:firstLine="480"/>
      </w:pPr>
      <w:r>
        <w:rPr/>
        <w:t>1.</w:t>
      </w:r>
      <w:r>
        <w:rPr>
          <w:u w:val="single"/>
        </w:rPr>
        <w:t>（甲公司全称）</w:t>
      </w:r>
      <w:r>
        <w:rPr/>
        <w:t>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w:t>
      </w:r>
      <w:r>
        <w:rPr>
          <w:u w:val="single"/>
        </w:rPr>
        <w:t>（甲公司全称）</w:t>
      </w:r>
      <w:r>
        <w:rPr/>
        <w:t>负责本项目___________部分，</w:t>
      </w:r>
      <w:r>
        <w:rPr>
          <w:u w:val="single"/>
        </w:rPr>
        <w:t>（乙公司全称）</w:t>
      </w:r>
      <w:r>
        <w:rPr/>
        <w:t>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5.联合体成员（公司全称）为（请填写：小型、微型）企业，将承担合同总金额的____%工作内容（联合体成员中有小型、微型企业时适用）。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根据上述业绩情况，按采购文件要求附销售或服务合同复印件。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1.“采购文件规定的技术和服务要求”项下填写的内容应与采购文件中采购需求的</w:t>
        <w:tab/>
        <w:tab/>
        <w:t xml:space="preserve">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1.“采购文件规定的商务条件”项下填写的内容应与采购文件中采购需求的“商务要求”的内容保持一致。</w:t>
      </w:r>
    </w:p>
    <w:p>
      <w:pPr>
        <w:ind w:firstLine="480"/>
      </w:pPr>
      <w:r>
        <w:rPr/>
        <w:t>2.</w:t>
        <w:tab/>
        <w:tab/>
        <w:t xml:space="preserve"> 供应商应当如实填写上表“采购文件响应的具体内容”处内容，对采购文件规定的商务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ind w:firstLine="480"/>
      </w:pPr>
      <w:r>
        <w:rPr/>
        <w:t>3.</w:t>
        <w:tab/>
        <w:tab/>
        <w:t xml:space="preserve">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1.采购文件要求提供的其他资料。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采购代理服务费支付承诺书</w:t>
      </w:r>
    </w:p>
    <w:p>
      <w:pPr>
        <w:ind w:firstLine="480"/>
      </w:pPr>
      <w:r>
        <w:rPr/>
        <w:t>致：</w:t>
      </w:r>
      <w:r>
        <w:rPr/>
        <w:t>广东省机电设备招标有限公司佛山分公司</w:t>
      </w:r>
    </w:p>
    <w:p>
      <w:pPr>
        <w:ind w:firstLine="480"/>
      </w:pPr>
      <w:r>
        <w:rPr/>
        <w:t>如果我方在贵采购代理机构组织的</w:t>
      </w:r>
      <w:r>
        <w:rPr/>
        <w:t>增补安保服务</w:t>
      </w:r>
      <w:r>
        <w:rPr/>
        <w:t>采购中获成交资格（采购项目编号：</w:t>
      </w:r>
      <w:r>
        <w:rPr/>
        <w:t>M4400000707015263001</w:t>
      </w:r>
      <w:r>
        <w:rPr/>
        <w:t>），我方保证在收取《成交通知书》前，按采购文件对代理服务费支付方式的约定，承担本项目代理服务费。</w:t>
      </w:r>
    </w:p>
    <w:p>
      <w:pPr>
        <w:ind w:firstLine="480"/>
      </w:pPr>
      <w:r>
        <w:rPr/>
        <w:t>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广东省机电设备招标有限公司佛山分公司</w:t>
      </w:r>
      <w:r>
        <w:rPr/>
        <w:t>的要求办理支付手续。</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广东省机电设备招标有限公司佛山分公司</w:t>
      </w:r>
      <w:r>
        <w:rPr/>
        <w:t>：</w:t>
      </w:r>
    </w:p>
    <w:p>
      <w:pPr>
        <w:ind w:firstLine="480"/>
      </w:pPr>
      <w:r>
        <w:rPr/>
        <w:t>我单位已登记并准备参与</w:t>
      </w:r>
      <w:r>
        <w:rPr/>
        <w:t>增补安保服务</w:t>
      </w:r>
      <w:r>
        <w:rPr/>
        <w:t>项目（采购项目编号：</w:t>
      </w:r>
      <w:r>
        <w:rPr/>
        <w:t>M4400000707015263001</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jc w:val="right"/>
      </w:pPr>
      <w:r>
        <w:rPr/>
        <w:t>询问人（公章）：_____________________</w:t>
      </w:r>
    </w:p>
    <w:p>
      <w:pPr>
        <w:jc w:val="right"/>
      </w:pPr>
      <w:r>
        <w:rPr/>
        <w:t>法定代表人或授权代表（签字或盖章）：_____________________</w:t>
      </w:r>
    </w:p>
    <w:p>
      <w:pPr>
        <w:jc w:val="right"/>
      </w:pPr>
      <w:r>
        <w:rPr/>
        <w:t>地址/邮编：_____________________</w:t>
      </w:r>
    </w:p>
    <w:p>
      <w:pPr>
        <w:jc w:val="right"/>
      </w:pPr>
      <w:r>
        <w:rPr/>
        <w:t>电话/传真：_____________________</w:t>
      </w:r>
    </w:p>
    <w:p>
      <w:pPr>
        <w:jc w:val="right"/>
      </w:pPr>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请求：____________________________________________________________</w:t>
      </w:r>
    </w:p>
    <w:p>
      <w:pPr>
        <w:jc w:val="right"/>
      </w:pPr>
      <w:r>
        <w:rPr/>
        <w:t>签字(签章)：__________________ 公章：_________________</w:t>
      </w:r>
    </w:p>
    <w:p>
      <w:pPr>
        <w:jc w:val="right"/>
      </w:pPr>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t>采购人/代理机构于____年____月____日,就质疑事项作出了答复/没有在法定期限内作出答复。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 ________公章________</w:t>
      </w:r>
    </w:p>
    <w:p>
      <w:pPr>
        <w:jc w:val="right"/>
      </w:pPr>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ind w:firstLine="480"/>
      </w:pPr>
    </w:p>
    <w:p>
      <w:pPr>
        <w:jc w:val="right"/>
      </w:pPr>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jc w:val="right"/>
      </w:pPr>
      <w:r>
        <w:rPr/>
        <w:t>保证人(公章)：____________________</w:t>
      </w:r>
    </w:p>
    <w:p>
      <w:pPr>
        <w:jc w:val="right"/>
      </w:pPr>
      <w:r>
        <w:rPr/>
        <w:t>联系人：____________________联系电话：____________________</w:t>
      </w:r>
    </w:p>
    <w:p>
      <w:pPr>
        <w:jc w:val="right"/>
      </w:pPr>
      <w:r>
        <w:rPr/>
        <w:t>年 月 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