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宋体" w:hAnsi="宋体" w:eastAsia="宋体" w:cs="宋体"/>
          <w:highlight w:val="none"/>
        </w:rPr>
      </w:pPr>
    </w:p>
    <w:p>
      <w:pPr>
        <w:pStyle w:val="8"/>
        <w:rPr>
          <w:rFonts w:hint="eastAsia" w:ascii="宋体" w:hAnsi="宋体" w:eastAsia="宋体" w:cs="宋体"/>
          <w:highlight w:val="none"/>
        </w:rPr>
      </w:pPr>
    </w:p>
    <w:p>
      <w:pPr>
        <w:adjustRightInd w:val="0"/>
        <w:snapToGrid w:val="0"/>
        <w:jc w:val="center"/>
        <w:rPr>
          <w:rFonts w:hint="eastAsia" w:ascii="宋体" w:hAnsi="宋体" w:eastAsia="宋体" w:cs="宋体"/>
          <w:b/>
          <w:sz w:val="40"/>
          <w:szCs w:val="40"/>
          <w:highlight w:val="none"/>
        </w:rPr>
      </w:pPr>
    </w:p>
    <w:p>
      <w:pPr>
        <w:adjustRightInd w:val="0"/>
        <w:snapToGrid w:val="0"/>
        <w:jc w:val="center"/>
        <w:rPr>
          <w:rFonts w:hint="eastAsia" w:ascii="宋体" w:hAnsi="宋体" w:eastAsia="宋体" w:cs="宋体"/>
          <w:b/>
          <w:sz w:val="44"/>
          <w:szCs w:val="44"/>
          <w:highlight w:val="none"/>
          <w:lang w:eastAsia="zh-CN"/>
        </w:rPr>
      </w:pPr>
      <w:r>
        <w:rPr>
          <w:rFonts w:hint="eastAsia" w:ascii="宋体" w:hAnsi="宋体" w:cs="宋体"/>
          <w:b/>
          <w:sz w:val="40"/>
          <w:szCs w:val="40"/>
          <w:highlight w:val="none"/>
          <w:lang w:eastAsia="zh-CN"/>
        </w:rPr>
        <w:t>内蒙古自治区公安厅特勤局2022年度执勤化装服采购项目（二次）</w:t>
      </w:r>
    </w:p>
    <w:p>
      <w:pPr>
        <w:adjustRightInd w:val="0"/>
        <w:snapToGrid w:val="0"/>
        <w:jc w:val="center"/>
        <w:rPr>
          <w:rFonts w:hint="eastAsia" w:ascii="宋体" w:hAnsi="宋体" w:eastAsia="宋体" w:cs="宋体"/>
          <w:b/>
          <w:sz w:val="44"/>
          <w:szCs w:val="44"/>
          <w:highlight w:val="none"/>
        </w:rPr>
      </w:pPr>
    </w:p>
    <w:p>
      <w:pPr>
        <w:snapToGrid w:val="0"/>
        <w:spacing w:line="288" w:lineRule="auto"/>
        <w:jc w:val="center"/>
        <w:rPr>
          <w:rFonts w:hint="eastAsia" w:ascii="宋体" w:hAnsi="宋体" w:eastAsia="宋体" w:cs="宋体"/>
          <w:b/>
          <w:sz w:val="52"/>
          <w:szCs w:val="52"/>
          <w:highlight w:val="none"/>
        </w:rPr>
      </w:pPr>
    </w:p>
    <w:p>
      <w:pPr>
        <w:pStyle w:val="8"/>
        <w:rPr>
          <w:rFonts w:hint="eastAsia" w:ascii="宋体" w:hAnsi="宋体" w:eastAsia="宋体" w:cs="宋体"/>
          <w:highlight w:val="none"/>
        </w:rPr>
      </w:pPr>
    </w:p>
    <w:p>
      <w:pPr>
        <w:pStyle w:val="8"/>
        <w:rPr>
          <w:rFonts w:hint="eastAsia" w:ascii="宋体" w:hAnsi="宋体" w:eastAsia="宋体" w:cs="宋体"/>
          <w:highlight w:val="none"/>
        </w:rPr>
      </w:pPr>
    </w:p>
    <w:p>
      <w:pPr>
        <w:snapToGrid w:val="0"/>
        <w:spacing w:line="288"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竞争性磋商文件</w:t>
      </w:r>
    </w:p>
    <w:p>
      <w:pPr>
        <w:snapToGrid w:val="0"/>
        <w:spacing w:line="360" w:lineRule="auto"/>
        <w:jc w:val="center"/>
        <w:rPr>
          <w:rFonts w:hint="eastAsia" w:ascii="宋体" w:hAnsi="宋体" w:eastAsia="宋体" w:cs="宋体"/>
          <w:sz w:val="28"/>
          <w:szCs w:val="28"/>
          <w:highlight w:val="none"/>
        </w:rPr>
      </w:pPr>
    </w:p>
    <w:p>
      <w:pPr>
        <w:snapToGrid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项目编号：</w:t>
      </w:r>
      <w:r>
        <w:rPr>
          <w:rFonts w:hint="eastAsia" w:ascii="宋体" w:hAnsi="宋体" w:eastAsia="宋体" w:cs="宋体"/>
          <w:bCs/>
          <w:sz w:val="32"/>
          <w:szCs w:val="32"/>
          <w:highlight w:val="none"/>
        </w:rPr>
        <w:t>WSDH-YWCG-220602</w:t>
      </w:r>
    </w:p>
    <w:p>
      <w:pPr>
        <w:snapToGrid w:val="0"/>
        <w:spacing w:line="360" w:lineRule="auto"/>
        <w:rPr>
          <w:rFonts w:hint="eastAsia" w:ascii="宋体" w:hAnsi="宋体" w:eastAsia="宋体" w:cs="宋体"/>
          <w:sz w:val="28"/>
          <w:szCs w:val="28"/>
          <w:highlight w:val="none"/>
        </w:rPr>
      </w:pPr>
    </w:p>
    <w:p>
      <w:pPr>
        <w:pStyle w:val="44"/>
        <w:ind w:firstLine="422"/>
        <w:rPr>
          <w:rFonts w:hint="eastAsia" w:ascii="宋体" w:hAnsi="宋体" w:eastAsia="宋体" w:cs="宋体"/>
          <w:highlight w:val="none"/>
        </w:rPr>
      </w:pPr>
    </w:p>
    <w:p>
      <w:pPr>
        <w:pStyle w:val="44"/>
        <w:ind w:firstLine="422"/>
        <w:rPr>
          <w:rFonts w:hint="eastAsia" w:ascii="宋体" w:hAnsi="宋体" w:eastAsia="宋体" w:cs="宋体"/>
          <w:highlight w:val="none"/>
        </w:rPr>
      </w:pPr>
    </w:p>
    <w:p>
      <w:pPr>
        <w:pStyle w:val="44"/>
        <w:ind w:firstLine="422"/>
        <w:rPr>
          <w:rFonts w:hint="eastAsia" w:ascii="宋体" w:hAnsi="宋体" w:eastAsia="宋体" w:cs="宋体"/>
          <w:highlight w:val="none"/>
        </w:rPr>
      </w:pPr>
    </w:p>
    <w:p>
      <w:pPr>
        <w:pStyle w:val="44"/>
        <w:ind w:firstLine="422"/>
        <w:rPr>
          <w:rFonts w:hint="eastAsia" w:ascii="宋体" w:hAnsi="宋体" w:eastAsia="宋体" w:cs="宋体"/>
          <w:highlight w:val="none"/>
        </w:rPr>
      </w:pPr>
    </w:p>
    <w:p>
      <w:pPr>
        <w:pStyle w:val="44"/>
        <w:ind w:firstLine="422"/>
        <w:rPr>
          <w:rFonts w:hint="eastAsia" w:ascii="宋体" w:hAnsi="宋体" w:eastAsia="宋体" w:cs="宋体"/>
          <w:highlight w:val="none"/>
        </w:rPr>
      </w:pPr>
    </w:p>
    <w:p>
      <w:pPr>
        <w:pStyle w:val="44"/>
        <w:ind w:firstLine="422"/>
        <w:rPr>
          <w:rFonts w:hint="eastAsia" w:ascii="宋体" w:hAnsi="宋体" w:eastAsia="宋体" w:cs="宋体"/>
          <w:highlight w:val="none"/>
        </w:rPr>
      </w:pPr>
    </w:p>
    <w:p>
      <w:pPr>
        <w:pStyle w:val="44"/>
        <w:ind w:firstLine="422"/>
        <w:rPr>
          <w:rFonts w:hint="eastAsia" w:ascii="宋体" w:hAnsi="宋体" w:eastAsia="宋体" w:cs="宋体"/>
          <w:highlight w:val="none"/>
        </w:rPr>
      </w:pPr>
    </w:p>
    <w:p>
      <w:pPr>
        <w:pStyle w:val="44"/>
        <w:ind w:firstLine="402"/>
        <w:rPr>
          <w:rFonts w:hint="eastAsia" w:ascii="宋体" w:hAnsi="宋体" w:eastAsia="宋体" w:cs="宋体"/>
          <w:sz w:val="20"/>
          <w:szCs w:val="18"/>
          <w:highlight w:val="none"/>
        </w:rPr>
      </w:pPr>
    </w:p>
    <w:p>
      <w:pPr>
        <w:snapToGrid w:val="0"/>
        <w:spacing w:line="480" w:lineRule="auto"/>
        <w:ind w:left="886" w:leftChars="422"/>
        <w:rPr>
          <w:rFonts w:hint="eastAsia" w:ascii="宋体" w:hAnsi="宋体" w:eastAsia="宋体" w:cs="宋体"/>
          <w:sz w:val="32"/>
          <w:szCs w:val="32"/>
          <w:highlight w:val="none"/>
        </w:rPr>
      </w:pPr>
      <w:r>
        <w:rPr>
          <w:rFonts w:hint="eastAsia" w:ascii="宋体" w:hAnsi="宋体" w:eastAsia="宋体" w:cs="宋体"/>
          <w:sz w:val="32"/>
          <w:szCs w:val="32"/>
          <w:highlight w:val="none"/>
        </w:rPr>
        <w:t>采 购 人：内蒙古自治区公安厅特勤局</w:t>
      </w:r>
    </w:p>
    <w:p>
      <w:pPr>
        <w:snapToGrid w:val="0"/>
        <w:spacing w:line="480" w:lineRule="auto"/>
        <w:ind w:left="886" w:leftChars="422"/>
        <w:rPr>
          <w:rFonts w:hint="eastAsia" w:ascii="宋体" w:hAnsi="宋体" w:eastAsia="宋体" w:cs="宋体"/>
          <w:bCs/>
          <w:sz w:val="32"/>
          <w:szCs w:val="32"/>
          <w:highlight w:val="none"/>
        </w:rPr>
      </w:pPr>
      <w:r>
        <w:rPr>
          <w:rFonts w:hint="eastAsia" w:ascii="宋体" w:hAnsi="宋体" w:eastAsia="宋体" w:cs="宋体"/>
          <w:bCs/>
          <w:sz w:val="32"/>
          <w:szCs w:val="32"/>
          <w:highlight w:val="none"/>
        </w:rPr>
        <w:t>代理机构：内蒙古文尚鼎合工程招标代理有限公司</w:t>
      </w:r>
    </w:p>
    <w:p>
      <w:pPr>
        <w:pStyle w:val="8"/>
        <w:spacing w:line="480" w:lineRule="auto"/>
        <w:ind w:left="886" w:leftChars="422" w:firstLine="0"/>
        <w:rPr>
          <w:rFonts w:hint="eastAsia" w:ascii="宋体" w:hAnsi="宋体" w:eastAsia="宋体" w:cs="宋体"/>
          <w:bCs/>
          <w:sz w:val="32"/>
          <w:szCs w:val="32"/>
          <w:highlight w:val="none"/>
        </w:rPr>
      </w:pPr>
      <w:r>
        <w:rPr>
          <w:rFonts w:hint="eastAsia" w:ascii="宋体" w:hAnsi="宋体" w:eastAsia="宋体" w:cs="宋体"/>
          <w:bCs/>
          <w:sz w:val="32"/>
          <w:szCs w:val="32"/>
          <w:highlight w:val="none"/>
        </w:rPr>
        <w:t>日    期：二0二二年</w:t>
      </w:r>
      <w:r>
        <w:rPr>
          <w:rFonts w:hint="eastAsia" w:ascii="宋体" w:hAnsi="宋体" w:cs="宋体"/>
          <w:bCs/>
          <w:sz w:val="32"/>
          <w:szCs w:val="32"/>
          <w:highlight w:val="none"/>
          <w:lang w:eastAsia="zh-CN"/>
        </w:rPr>
        <w:t>八</w:t>
      </w:r>
      <w:r>
        <w:rPr>
          <w:rFonts w:hint="eastAsia" w:ascii="宋体" w:hAnsi="宋体" w:eastAsia="宋体" w:cs="宋体"/>
          <w:bCs/>
          <w:sz w:val="32"/>
          <w:szCs w:val="32"/>
          <w:highlight w:val="none"/>
        </w:rPr>
        <w:t>月</w:t>
      </w:r>
    </w:p>
    <w:p>
      <w:pPr>
        <w:rPr>
          <w:rFonts w:hint="eastAsia" w:ascii="宋体" w:hAnsi="宋体" w:eastAsia="宋体" w:cs="宋体"/>
          <w:highlight w:val="none"/>
          <w:lang w:val="zh-CN"/>
        </w:rPr>
      </w:pPr>
      <w:r>
        <w:rPr>
          <w:rFonts w:hint="eastAsia" w:ascii="宋体" w:hAnsi="宋体" w:eastAsia="宋体" w:cs="宋体"/>
          <w:highlight w:val="none"/>
          <w:lang w:val="zh-CN"/>
        </w:rPr>
        <w:br w:type="page"/>
      </w:r>
    </w:p>
    <w:p>
      <w:pPr>
        <w:rPr>
          <w:rFonts w:hint="eastAsia" w:ascii="宋体" w:hAnsi="宋体" w:eastAsia="宋体" w:cs="宋体"/>
          <w:highlight w:val="none"/>
          <w:lang w:val="zh-CN"/>
        </w:rPr>
      </w:pPr>
    </w:p>
    <w:sdt>
      <w:sdtPr>
        <w:rPr>
          <w:rFonts w:hint="eastAsia" w:ascii="宋体" w:hAnsi="宋体" w:eastAsia="宋体" w:cs="宋体"/>
          <w:b w:val="0"/>
          <w:bCs w:val="0"/>
          <w:color w:val="auto"/>
          <w:kern w:val="2"/>
          <w:sz w:val="21"/>
          <w:szCs w:val="20"/>
          <w:highlight w:val="none"/>
          <w:lang w:val="zh-CN"/>
        </w:rPr>
        <w:id w:val="11339978"/>
        <w:docPartObj>
          <w:docPartGallery w:val="Table of Contents"/>
          <w:docPartUnique/>
        </w:docPartObj>
      </w:sdtPr>
      <w:sdtEndPr>
        <w:rPr>
          <w:rFonts w:hint="eastAsia" w:ascii="宋体" w:hAnsi="宋体" w:eastAsia="宋体" w:cs="宋体"/>
          <w:b w:val="0"/>
          <w:bCs w:val="0"/>
          <w:color w:val="auto"/>
          <w:kern w:val="2"/>
          <w:sz w:val="24"/>
          <w:szCs w:val="24"/>
          <w:highlight w:val="none"/>
          <w:lang w:val="en-US"/>
        </w:rPr>
      </w:sdtEndPr>
      <w:sdtContent>
        <w:p>
          <w:pPr>
            <w:pStyle w:val="52"/>
            <w:jc w:val="center"/>
            <w:rPr>
              <w:rFonts w:hint="eastAsia" w:ascii="宋体" w:hAnsi="宋体" w:eastAsia="宋体" w:cs="宋体"/>
              <w:color w:val="auto"/>
              <w:sz w:val="15"/>
              <w:szCs w:val="15"/>
              <w:highlight w:val="none"/>
            </w:rPr>
          </w:pPr>
          <w:r>
            <w:rPr>
              <w:rFonts w:hint="eastAsia" w:ascii="宋体" w:hAnsi="宋体" w:eastAsia="宋体" w:cs="宋体"/>
              <w:b w:val="0"/>
              <w:color w:val="auto"/>
              <w:highlight w:val="none"/>
              <w:lang w:val="zh-CN"/>
            </w:rPr>
            <w:t>目录</w:t>
          </w:r>
        </w:p>
        <w:p>
          <w:pPr>
            <w:pStyle w:val="29"/>
            <w:keepNext w:val="0"/>
            <w:keepLines w:val="0"/>
            <w:pageBreakBefore w:val="0"/>
            <w:widowControl w:val="0"/>
            <w:tabs>
              <w:tab w:val="right" w:leader="dot" w:pos="9241"/>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"1-3" \h \z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_Toc16333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第一章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竞争性磋商公告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_Toc16333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9"/>
            <w:keepNext w:val="0"/>
            <w:keepLines w:val="0"/>
            <w:pageBreakBefore w:val="0"/>
            <w:widowControl w:val="0"/>
            <w:tabs>
              <w:tab w:val="right" w:leader="dot" w:pos="9241"/>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_Toc13764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第二章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磋商须知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_Toc13764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_Toc536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磋商须知前附表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_Toc536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_Toc27944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一、说明</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_Toc27944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_Toc27590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二、磋商文件</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0</w:t>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_Toc24753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三、响应文件的编制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_Toc24753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_Toc24335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四、响应文件的递交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_Toc24335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_Toc32323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五、磋商与评审</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5</w:t>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_Toc31916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六、公告、质疑</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5</w:t>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_Toc11407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七、否决响应条款</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5</w:t>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_Toc7678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八、 授予合同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_Toc7678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_Toc32543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九、履约保证金</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7</w:t>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_Toc20838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十、评审纪律和注意事项</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7</w:t>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_Toc30659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十一、 适用法律</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7</w:t>
          </w:r>
        </w:p>
        <w:p>
          <w:pPr>
            <w:pStyle w:val="29"/>
            <w:keepNext w:val="0"/>
            <w:keepLines w:val="0"/>
            <w:pageBreakBefore w:val="0"/>
            <w:widowControl w:val="0"/>
            <w:tabs>
              <w:tab w:val="right" w:leader="dot" w:pos="9241"/>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_Toc29315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eastAsia="zh-CN"/>
            </w:rPr>
            <w:t>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_Toc29315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29"/>
            <w:keepNext w:val="0"/>
            <w:keepLines w:val="0"/>
            <w:pageBreakBefore w:val="0"/>
            <w:widowControl w:val="0"/>
            <w:tabs>
              <w:tab w:val="right" w:leader="dot" w:pos="9241"/>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_Toc10346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评审方法、步骤及标准</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5</w:t>
          </w:r>
        </w:p>
        <w:p>
          <w:pPr>
            <w:pStyle w:val="29"/>
            <w:keepNext w:val="0"/>
            <w:keepLines w:val="0"/>
            <w:pageBreakBefore w:val="0"/>
            <w:widowControl w:val="0"/>
            <w:tabs>
              <w:tab w:val="right" w:leader="dot" w:pos="9241"/>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_Toc1326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合同条款和格式</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9</w:t>
          </w:r>
        </w:p>
        <w:p>
          <w:pPr>
            <w:pStyle w:val="29"/>
            <w:keepNext w:val="0"/>
            <w:keepLines w:val="0"/>
            <w:pageBreakBefore w:val="0"/>
            <w:widowControl w:val="0"/>
            <w:tabs>
              <w:tab w:val="right" w:leader="dot" w:pos="9241"/>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_Toc24743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第六章</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响应文件的格式及内容</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8</w:t>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_Toc29026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一、磋商响应函</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0</w:t>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_Toc11374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二、首轮报价表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_Toc11374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_Toc28543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三、供应商资格资信证明</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7</w:t>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_Toc21980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四、技术规格响应表</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4</w:t>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_Toc12165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w:t>
          </w:r>
          <w:r>
            <w:rPr>
              <w:rFonts w:hint="eastAsia" w:ascii="宋体" w:hAnsi="宋体" w:eastAsia="宋体" w:cs="宋体"/>
              <w:sz w:val="24"/>
              <w:szCs w:val="24"/>
              <w:highlight w:val="none"/>
              <w:lang w:eastAsia="zh-CN"/>
            </w:rPr>
            <w:t>供货方案</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7</w:t>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_Toc27132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六、本项目拟投入的人员配置情况表</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8</w:t>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_Toc23349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七、类似项目业绩</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fldChar w:fldCharType="end"/>
          </w:r>
          <w:r>
            <w:rPr>
              <w:rFonts w:hint="eastAsia" w:ascii="宋体" w:hAnsi="宋体" w:cs="宋体"/>
              <w:sz w:val="24"/>
              <w:szCs w:val="24"/>
              <w:highlight w:val="none"/>
              <w:lang w:val="en-US" w:eastAsia="zh-CN"/>
            </w:rPr>
            <w:t>9</w:t>
          </w:r>
        </w:p>
        <w:p>
          <w:pPr>
            <w:pStyle w:val="35"/>
            <w:keepNext w:val="0"/>
            <w:keepLines w:val="0"/>
            <w:pageBreakBefore w:val="0"/>
            <w:widowControl w:val="0"/>
            <w:tabs>
              <w:tab w:val="right" w:leader="dot" w:pos="9241"/>
              <w:tab w:val="clear" w:pos="9231"/>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_Toc226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八、供应商认为需提供的其它相关资料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_Toc226 \h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sectPr>
              <w:headerReference r:id="rId3" w:type="default"/>
              <w:footerReference r:id="rId4" w:type="default"/>
              <w:pgSz w:w="11906" w:h="16838"/>
              <w:pgMar w:top="1440" w:right="1191" w:bottom="1134" w:left="1474" w:header="851" w:footer="709" w:gutter="0"/>
              <w:pgNumType w:start="1"/>
              <w:cols w:space="720" w:num="1"/>
              <w:docGrid w:linePitch="312" w:charSpace="0"/>
            </w:sectPr>
          </w:pPr>
          <w:r>
            <w:rPr>
              <w:rFonts w:hint="eastAsia" w:ascii="宋体" w:hAnsi="宋体" w:eastAsia="宋体" w:cs="宋体"/>
              <w:sz w:val="24"/>
              <w:szCs w:val="24"/>
              <w:highlight w:val="none"/>
            </w:rPr>
            <w:fldChar w:fldCharType="end"/>
          </w:r>
        </w:p>
      </w:sdtContent>
    </w:sdt>
    <w:p>
      <w:pPr>
        <w:pStyle w:val="3"/>
        <w:pageBreakBefore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sz w:val="32"/>
          <w:szCs w:val="32"/>
          <w:highlight w:val="none"/>
        </w:rPr>
      </w:pPr>
      <w:bookmarkStart w:id="0" w:name="_招__标__公__告"/>
      <w:bookmarkEnd w:id="0"/>
      <w:bookmarkStart w:id="1" w:name="_投标人须知前附表"/>
      <w:bookmarkEnd w:id="1"/>
      <w:bookmarkStart w:id="2" w:name="_Toc81475545"/>
      <w:bookmarkStart w:id="3" w:name="_Toc24607"/>
      <w:bookmarkStart w:id="4" w:name="_Toc16333"/>
      <w:bookmarkStart w:id="5" w:name="_Toc236589997"/>
      <w:r>
        <w:rPr>
          <w:rFonts w:hint="eastAsia" w:ascii="宋体" w:hAnsi="宋体" w:eastAsia="宋体" w:cs="宋体"/>
          <w:sz w:val="32"/>
          <w:szCs w:val="32"/>
          <w:highlight w:val="none"/>
        </w:rPr>
        <w:t>第一章</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竞争性磋商公告</w:t>
      </w:r>
      <w:bookmarkEnd w:id="2"/>
      <w:bookmarkEnd w:id="3"/>
      <w:bookmarkEnd w:id="4"/>
    </w:p>
    <w:p>
      <w:pPr>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8"/>
          <w:szCs w:val="28"/>
          <w:highlight w:val="none"/>
          <w:lang w:val="en-US" w:eastAsia="zh-CN"/>
        </w:rPr>
      </w:pPr>
      <w:bookmarkStart w:id="6" w:name="_Toc28359011"/>
      <w:bookmarkStart w:id="7" w:name="_Toc20394"/>
      <w:bookmarkStart w:id="8" w:name="_Toc35393797"/>
      <w:r>
        <w:rPr>
          <w:rFonts w:hint="eastAsia" w:ascii="宋体" w:hAnsi="宋体" w:eastAsia="宋体" w:cs="宋体"/>
          <w:b/>
          <w:sz w:val="28"/>
          <w:szCs w:val="28"/>
          <w:highlight w:val="none"/>
        </w:rPr>
        <w:t>内蒙古自治区公安厅特勤局2022年度执勤化装服采购项目</w:t>
      </w:r>
      <w:r>
        <w:rPr>
          <w:rFonts w:hint="eastAsia" w:ascii="宋体" w:hAnsi="宋体" w:cs="宋体"/>
          <w:b/>
          <w:sz w:val="28"/>
          <w:szCs w:val="28"/>
          <w:highlight w:val="none"/>
          <w:lang w:val="en-US" w:eastAsia="zh-CN"/>
        </w:rPr>
        <w:t>（二次）</w:t>
      </w:r>
    </w:p>
    <w:p>
      <w:pPr>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竞争性磋商公告</w:t>
      </w:r>
      <w:bookmarkEnd w:id="6"/>
      <w:bookmarkEnd w:id="7"/>
      <w:bookmarkEnd w:id="8"/>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一、项目概况</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内蒙古自治区公安厅特勤局2022年度执勤化装服采购项目</w:t>
      </w:r>
      <w:r>
        <w:rPr>
          <w:rFonts w:hint="eastAsia" w:ascii="宋体" w:hAnsi="宋体" w:eastAsia="宋体" w:cs="宋体"/>
          <w:sz w:val="24"/>
          <w:szCs w:val="24"/>
          <w:highlight w:val="none"/>
          <w:lang w:val="zh-CN" w:eastAsia="zh-CN"/>
        </w:rPr>
        <w:t>（二次）</w:t>
      </w:r>
      <w:r>
        <w:rPr>
          <w:rFonts w:hint="eastAsia" w:ascii="宋体" w:hAnsi="宋体" w:eastAsia="宋体" w:cs="宋体"/>
          <w:sz w:val="24"/>
          <w:szCs w:val="24"/>
          <w:highlight w:val="none"/>
          <w:lang w:val="zh-CN"/>
        </w:rPr>
        <w:t>的潜在供应商应在内蒙古文尚鼎合工程招标代理有限公司（内蒙古自治区呼和浩特市赛罕区金桥开发区嘉逸大厦北楼17楼）获取磋商文件，并于2022年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日</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zh-CN"/>
        </w:rPr>
        <w:t>点</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0分</w:t>
      </w:r>
      <w:bookmarkStart w:id="75" w:name="_GoBack"/>
      <w:bookmarkEnd w:id="75"/>
      <w:r>
        <w:rPr>
          <w:rFonts w:hint="eastAsia" w:ascii="宋体" w:hAnsi="宋体" w:eastAsia="宋体" w:cs="宋体"/>
          <w:sz w:val="24"/>
          <w:szCs w:val="24"/>
          <w:highlight w:val="none"/>
          <w:lang w:val="zh-CN"/>
        </w:rPr>
        <w:t>（北京时间）前提交响应文件。</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二、项目基本情况</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项目编号：WSDH-YWCG-220602</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项目名称：内蒙古自治区公安厅特勤局2022年度执勤化装服采购项目</w:t>
      </w:r>
      <w:r>
        <w:rPr>
          <w:rFonts w:hint="eastAsia" w:ascii="宋体" w:hAnsi="宋体" w:eastAsia="宋体" w:cs="宋体"/>
          <w:sz w:val="24"/>
          <w:szCs w:val="24"/>
          <w:highlight w:val="none"/>
          <w:lang w:val="zh-CN" w:eastAsia="zh-CN"/>
        </w:rPr>
        <w:t>（二次）</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采购方式：竞争性磋商</w:t>
      </w:r>
    </w:p>
    <w:p>
      <w:pPr>
        <w:pageBreakBefore w:val="0"/>
        <w:tabs>
          <w:tab w:val="left" w:pos="930"/>
        </w:tabs>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预算金额：</w:t>
      </w:r>
      <w:r>
        <w:rPr>
          <w:rFonts w:hint="eastAsia" w:ascii="宋体" w:hAnsi="宋体" w:eastAsia="宋体" w:cs="宋体"/>
          <w:sz w:val="24"/>
          <w:szCs w:val="24"/>
          <w:highlight w:val="none"/>
        </w:rPr>
        <w:t>732080元</w:t>
      </w:r>
      <w:r>
        <w:rPr>
          <w:rFonts w:hint="eastAsia" w:ascii="宋体" w:hAnsi="宋体" w:eastAsia="宋体" w:cs="宋体"/>
          <w:sz w:val="24"/>
          <w:szCs w:val="24"/>
          <w:highlight w:val="none"/>
          <w:lang w:val="zh-CN"/>
        </w:rPr>
        <w:t>（人民币）</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采购需求：具体详见磋商文件采购需求</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合同履行期限：自合同签订之日起一年</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本项目不接受联合体</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三、申请人的资格要求：</w:t>
      </w:r>
    </w:p>
    <w:p>
      <w:pPr>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1.满足《中华人民共和国政府采购法》第二十二条规定；</w:t>
      </w:r>
    </w:p>
    <w:p>
      <w:pPr>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2.落实政府采购政策需满足的资格要求：</w:t>
      </w:r>
    </w:p>
    <w:p>
      <w:pPr>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cs="宋体" w:asciiTheme="minorEastAsia" w:hAnsiTheme="minorEastAsia" w:eastAsiaTheme="minorEastAsia"/>
          <w:kern w:val="0"/>
          <w:sz w:val="24"/>
          <w:szCs w:val="24"/>
        </w:rPr>
      </w:pPr>
      <w:bookmarkStart w:id="9" w:name="OLE_LINK52"/>
      <w:bookmarkStart w:id="10" w:name="OLE_LINK53"/>
      <w:r>
        <w:rPr>
          <w:rFonts w:hint="eastAsia" w:cs="宋体" w:asciiTheme="minorEastAsia" w:hAnsiTheme="minorEastAsia" w:eastAsiaTheme="minorEastAsia"/>
          <w:kern w:val="0"/>
          <w:sz w:val="24"/>
          <w:szCs w:val="24"/>
        </w:rPr>
        <w:t>（1）《财政部关于在政府采购活动中查询及使用信用记录有关问题的通知》（财库[2016]125号）；</w:t>
      </w:r>
    </w:p>
    <w:p>
      <w:pPr>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（2）《政府采购促进中小企业发展管理办法》（财库〔2020〕46 号）；</w:t>
      </w:r>
    </w:p>
    <w:p>
      <w:pPr>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（3）《关于政府采购支持监狱企业发展有关问题的通知》（财库〔2014〕68 号）；</w:t>
      </w:r>
    </w:p>
    <w:p>
      <w:pPr>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（4）《关于促进残疾人就业政府采购政策的通知》（财库〔2017〕141 号）；</w:t>
      </w:r>
    </w:p>
    <w:p>
      <w:pPr>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（5）财政部、国家发展改革委《关于印发〈节能产品政府采购实施意见〉的通知》（财库〔2004〕185 号）；</w:t>
      </w:r>
    </w:p>
    <w:p>
      <w:pPr>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（6）财政部、国家环保总局联合印发《关于环境标志产品政府采购实施的意见》（财库〔2006〕90 号）；</w:t>
      </w:r>
    </w:p>
    <w:p>
      <w:pPr>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（7）国务院办公厅《关于建立政府强制采购节能产品制度的通知》（国办发〔2007〕51 号）；</w:t>
      </w:r>
    </w:p>
    <w:p>
      <w:pPr>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（8）财政部、国家发改委、生态环境部、市场监管总局联合印发《关于调整优化节能产品、环境标志产品政府采购执行机制的通知》（财库〔2019〕9 号）；</w:t>
      </w:r>
    </w:p>
    <w:p>
      <w:pPr>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0"/>
          <w:sz w:val="24"/>
          <w:szCs w:val="24"/>
        </w:rPr>
        <w:t>（9）其他需要落实的政府采购政策</w:t>
      </w:r>
      <w:r>
        <w:rPr>
          <w:rFonts w:hint="eastAsia" w:cs="宋体" w:asciiTheme="minorEastAsia" w:hAnsiTheme="minorEastAsia" w:eastAsiaTheme="minorEastAsia"/>
          <w:kern w:val="0"/>
          <w:sz w:val="24"/>
          <w:szCs w:val="24"/>
          <w:lang w:eastAsia="zh-CN"/>
        </w:rPr>
        <w:t>：</w:t>
      </w:r>
      <w:r>
        <w:rPr>
          <w:rFonts w:hint="eastAsia" w:ascii="宋体" w:hAnsi="宋体" w:eastAsia="宋体" w:cs="宋体"/>
          <w:sz w:val="24"/>
          <w:szCs w:val="24"/>
          <w:highlight w:val="none"/>
          <w:lang w:val="zh-CN"/>
        </w:rPr>
        <w:t>本次采购</w:t>
      </w:r>
      <w:r>
        <w:rPr>
          <w:rFonts w:hint="eastAsia" w:ascii="宋体" w:hAnsi="宋体" w:cs="宋体"/>
          <w:sz w:val="24"/>
          <w:szCs w:val="24"/>
          <w:highlight w:val="none"/>
          <w:lang w:val="zh-CN"/>
        </w:rPr>
        <w:t>项目</w:t>
      </w:r>
      <w:r>
        <w:rPr>
          <w:rFonts w:hint="eastAsia" w:ascii="宋体" w:hAnsi="宋体" w:eastAsia="宋体" w:cs="宋体"/>
          <w:sz w:val="24"/>
          <w:szCs w:val="24"/>
          <w:highlight w:val="none"/>
          <w:lang w:val="zh-CN"/>
        </w:rPr>
        <w:t>专门面向中小企业</w:t>
      </w:r>
      <w:r>
        <w:rPr>
          <w:rFonts w:hint="eastAsia" w:ascii="宋体" w:hAnsi="宋体" w:cs="宋体"/>
          <w:sz w:val="24"/>
          <w:szCs w:val="24"/>
          <w:highlight w:val="none"/>
          <w:lang w:val="zh-CN"/>
        </w:rPr>
        <w:t>。</w:t>
      </w:r>
    </w:p>
    <w:bookmarkEnd w:id="9"/>
    <w:bookmarkEnd w:id="10"/>
    <w:p>
      <w:pPr>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sz w:val="24"/>
          <w:szCs w:val="24"/>
          <w:highlight w:val="none"/>
          <w:lang w:val="zh-CN"/>
        </w:rPr>
      </w:pPr>
      <w:r>
        <w:rPr>
          <w:rFonts w:hint="eastAsia" w:cs="宋体" w:asciiTheme="minorEastAsia" w:hAnsiTheme="minorEastAsia" w:eastAsiaTheme="minorEastAsia"/>
          <w:kern w:val="0"/>
          <w:sz w:val="24"/>
          <w:szCs w:val="24"/>
        </w:rPr>
        <w:t>3.本项目的特定资格要求：</w:t>
      </w:r>
      <w:r>
        <w:rPr>
          <w:rFonts w:hint="eastAsia" w:ascii="宋体" w:hAnsi="宋体" w:cs="宋体"/>
          <w:sz w:val="24"/>
          <w:szCs w:val="24"/>
          <w:highlight w:val="none"/>
          <w:lang w:val="zh-CN"/>
        </w:rPr>
        <w:t>无。</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四、获取采购文件</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时间：202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zh-CN"/>
        </w:rPr>
        <w:t>月</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日至202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zh-CN"/>
        </w:rPr>
        <w:t>月</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zh-CN"/>
        </w:rPr>
        <w:t>日，每天上午9:00至12:00，下午14:30至17:00。（北京时间，法定节假日除外）</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地点：内蒙古文尚鼎合工程招标代理有限公司（内蒙古自治区呼和浩特市赛罕区金桥开发区嘉逸大厦北楼17楼）</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方式：现场获取</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售价：￥500元（人民币）</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五、响应文件提交</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截止时间：202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年</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日</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zh-CN"/>
        </w:rPr>
        <w:t>点</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0分（北京时间）</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地点：内蒙古文尚鼎合工程招标代理有限公司（内蒙古自治区呼和浩特市赛罕区金桥开发区嘉逸大厦北楼17楼）</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六、开启</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时间：20</w:t>
      </w:r>
      <w:r>
        <w:rPr>
          <w:rFonts w:hint="eastAsia" w:ascii="宋体" w:hAnsi="宋体" w:eastAsia="宋体" w:cs="宋体"/>
          <w:sz w:val="24"/>
          <w:szCs w:val="24"/>
          <w:highlight w:val="none"/>
        </w:rPr>
        <w:t>22</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zh-CN"/>
        </w:rPr>
        <w:t>日</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zh-CN"/>
        </w:rPr>
        <w:t>点</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zh-CN"/>
        </w:rPr>
        <w:t>0分（北京时间）</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地点：内蒙古文尚鼎合工程招标代理有限公司（内蒙古自治区呼和浩特市赛罕区金桥开发区嘉逸大厦北楼17楼）</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七、公告期限</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自本公告发布之日起3个工作日。</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八、其他补充事宜</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报名时，报名人需要提供以下材料：</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报名人出示身份证原件，提供复印件；</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报名人出具经法定代表人签字、公司盖章的“授权委托书”原件；</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提供经国家工商机关年检合格有效并加盖供应商公章的营业执照副本复印件；</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提供“具有良好的商业信誉和健全的财务会计制度”声明原件；</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zh-CN"/>
        </w:rPr>
        <w:t>提供“具有履行合同所必须的设备和专业技术能力”声明原件；</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zh-CN"/>
        </w:rPr>
        <w:t>提供“依法缴纳税收和社会保障资金”的声明原件；</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7、提供“</w:t>
      </w:r>
      <w:r>
        <w:rPr>
          <w:rFonts w:hint="eastAsia" w:ascii="宋体" w:hAnsi="宋体" w:eastAsia="宋体" w:cs="宋体"/>
          <w:sz w:val="24"/>
          <w:szCs w:val="24"/>
          <w:highlight w:val="none"/>
          <w:lang w:val="zh-CN"/>
        </w:rPr>
        <w:t>参加政府采购活动前三年内，在经营活动中没有重大违法记录的承诺书</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原件；</w:t>
      </w:r>
    </w:p>
    <w:p>
      <w:pPr>
        <w:keepNext w:val="0"/>
        <w:keepLines w:val="0"/>
        <w:pageBreakBefore w:val="0"/>
        <w:widowControl w:val="0"/>
        <w:tabs>
          <w:tab w:val="left" w:pos="930"/>
        </w:tabs>
        <w:kinsoku/>
        <w:wordWrap/>
        <w:overflowPunct/>
        <w:topLinePunct w:val="0"/>
        <w:autoSpaceDE/>
        <w:autoSpaceDN/>
        <w:bidi w:val="0"/>
        <w:adjustRightInd/>
        <w:snapToGrid/>
        <w:spacing w:line="440" w:lineRule="exact"/>
        <w:ind w:firstLine="482"/>
        <w:jc w:val="left"/>
        <w:textAlignment w:val="auto"/>
        <w:rPr>
          <w:rFonts w:hint="eastAsia" w:ascii="宋体" w:hAnsi="宋体" w:eastAsia="宋体"/>
          <w:sz w:val="24"/>
          <w:szCs w:val="24"/>
          <w:lang w:val="en-US" w:eastAsia="zh-CN"/>
        </w:rPr>
      </w:pPr>
      <w:r>
        <w:rPr>
          <w:rFonts w:hint="eastAsia" w:ascii="宋体" w:hAnsi="宋体"/>
          <w:sz w:val="24"/>
          <w:szCs w:val="24"/>
          <w:lang w:val="en-US" w:eastAsia="zh-CN"/>
        </w:rPr>
        <w:t>8、</w:t>
      </w:r>
      <w:r>
        <w:rPr>
          <w:rFonts w:hint="eastAsia" w:ascii="宋体" w:hAnsi="宋体"/>
          <w:sz w:val="24"/>
          <w:szCs w:val="24"/>
          <w:lang w:val="zh-CN" w:eastAsia="zh-CN"/>
        </w:rPr>
        <w:t>通过信用中国网站（www.creditchina.gov.cn）、中国政府采购网（www.ccgp.gov.cn）查询，对列入“失信惩戒对象查询”、“重大税收违法失信主体”、“政府采购严重违法失信行为记录名单”的截图</w:t>
      </w:r>
    </w:p>
    <w:p>
      <w:pPr>
        <w:keepNext w:val="0"/>
        <w:keepLines w:val="0"/>
        <w:pageBreakBefore w:val="0"/>
        <w:widowControl w:val="0"/>
        <w:tabs>
          <w:tab w:val="left" w:pos="930"/>
        </w:tabs>
        <w:kinsoku/>
        <w:wordWrap/>
        <w:overflowPunct/>
        <w:topLinePunct w:val="0"/>
        <w:autoSpaceDE/>
        <w:autoSpaceDN/>
        <w:bidi w:val="0"/>
        <w:adjustRightInd/>
        <w:snapToGrid/>
        <w:spacing w:line="440" w:lineRule="exact"/>
        <w:ind w:firstLine="482"/>
        <w:jc w:val="left"/>
        <w:textAlignment w:val="auto"/>
        <w:rPr>
          <w:rFonts w:hint="default" w:ascii="宋体" w:hAnsi="宋体"/>
          <w:sz w:val="24"/>
          <w:szCs w:val="24"/>
          <w:lang w:val="en-US" w:eastAsia="zh-CN"/>
        </w:rPr>
      </w:pPr>
      <w:r>
        <w:rPr>
          <w:rFonts w:hint="eastAsia" w:ascii="宋体" w:hAnsi="宋体"/>
          <w:sz w:val="24"/>
          <w:szCs w:val="24"/>
          <w:lang w:val="en-US" w:eastAsia="zh-CN"/>
        </w:rPr>
        <w:t>9、提供中小企业声明及查询截图。</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以上材料提供原件及复印件胶装成册</w:t>
      </w:r>
      <w:r>
        <w:rPr>
          <w:rFonts w:hint="eastAsia" w:ascii="宋体" w:hAnsi="宋体" w:eastAsia="宋体" w:cs="宋体"/>
          <w:b/>
          <w:bCs/>
          <w:sz w:val="24"/>
          <w:szCs w:val="24"/>
          <w:highlight w:val="none"/>
        </w:rPr>
        <w:t>3</w:t>
      </w:r>
      <w:r>
        <w:rPr>
          <w:rFonts w:hint="eastAsia" w:ascii="宋体" w:hAnsi="宋体" w:eastAsia="宋体" w:cs="宋体"/>
          <w:b/>
          <w:bCs/>
          <w:sz w:val="24"/>
          <w:szCs w:val="24"/>
          <w:highlight w:val="none"/>
          <w:lang w:val="zh-CN"/>
        </w:rPr>
        <w:t>份，复印件加盖供应商公章，报名资料不全或不符合要求的均不予接收；证件原件的复印件内容须与原件一致，否则不予接收。</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注：（1）营业执照、组织机构代码证与税务登记证实行“三证合一”的执行《国务院办公厅关于加快推进“三证合一”登记制度改革的意见》（国办发〔2015〕50号）。</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根据《财政部关于在政府采购活动中查询及使用信用记录有关问题的通知》（财库（2016）125号），通过信用中国网站（www.creditchina.gov.cn）、中国政府采购网（www.ccgp.gov.cn）查询，对列入“失信惩戒对象查询”、“重大税收违法失信主体”、“政府采购严重违法失信行为记录名单”及其他不符合《中华人民共和国政府采购法》第二十二条规定条件的供应商，拒绝参与政府采购活动。</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九、凡对本次采购提出询问，请按以下方式联系。</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1.采购人信息</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名称：内蒙古自治区公安厅特勤局</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地址：呼和浩特市新城区呼伦贝尔北路12号</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联系方式：李警官 0471-6550948</w:t>
      </w:r>
      <w:r>
        <w:rPr>
          <w:rFonts w:hint="eastAsia" w:ascii="宋体" w:hAnsi="宋体" w:eastAsia="宋体" w:cs="宋体"/>
          <w:sz w:val="24"/>
          <w:szCs w:val="24"/>
          <w:highlight w:val="none"/>
        </w:rPr>
        <w:t xml:space="preserve">  15661189399</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2.采购代理机构信息</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名称：内蒙古文尚鼎合工程招标代理有限公司</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地址：内蒙古自治区呼和浩特市赛罕区金桥开发区嘉逸大厦北楼17楼</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联系方式：李芳</w:t>
      </w:r>
      <w:r>
        <w:rPr>
          <w:rFonts w:hint="eastAsia" w:ascii="宋体" w:hAnsi="宋体" w:eastAsia="宋体" w:cs="宋体"/>
          <w:sz w:val="24"/>
          <w:szCs w:val="24"/>
          <w:highlight w:val="none"/>
        </w:rPr>
        <w:t xml:space="preserve"> 0471-5983421</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3.项目联系方式</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项目联系人：李芳</w:t>
      </w:r>
    </w:p>
    <w:p>
      <w:pPr>
        <w:pageBreakBefore w:val="0"/>
        <w:tabs>
          <w:tab w:val="left" w:pos="930"/>
        </w:tabs>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电话：0471-5983421</w:t>
      </w:r>
    </w:p>
    <w:p>
      <w:pPr>
        <w:pageBreakBefore w:val="0"/>
        <w:tabs>
          <w:tab w:val="left" w:pos="930"/>
        </w:tabs>
        <w:kinsoku/>
        <w:wordWrap/>
        <w:overflowPunct/>
        <w:topLinePunct w:val="0"/>
        <w:autoSpaceDE/>
        <w:autoSpaceDN/>
        <w:bidi w:val="0"/>
        <w:adjustRightInd/>
        <w:snapToGrid/>
        <w:spacing w:line="440" w:lineRule="exact"/>
        <w:ind w:firstLine="2347" w:firstLineChars="978"/>
        <w:jc w:val="center"/>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内蒙古文尚鼎合工程招标代理有限公司</w:t>
      </w:r>
    </w:p>
    <w:p>
      <w:pPr>
        <w:pageBreakBefore w:val="0"/>
        <w:tabs>
          <w:tab w:val="left" w:pos="930"/>
        </w:tabs>
        <w:kinsoku/>
        <w:wordWrap/>
        <w:overflowPunct/>
        <w:topLinePunct w:val="0"/>
        <w:autoSpaceDE/>
        <w:autoSpaceDN/>
        <w:bidi w:val="0"/>
        <w:adjustRightInd/>
        <w:snapToGrid/>
        <w:spacing w:line="440" w:lineRule="exact"/>
        <w:ind w:firstLine="2347" w:firstLineChars="978"/>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2022年</w:t>
      </w:r>
      <w:r>
        <w:rPr>
          <w:rFonts w:hint="eastAsia" w:ascii="宋体" w:hAnsi="宋体" w:cs="宋体"/>
          <w:kern w:val="0"/>
          <w:sz w:val="24"/>
          <w:szCs w:val="24"/>
          <w:highlight w:val="none"/>
          <w:lang w:val="en-US" w:eastAsia="zh-CN"/>
        </w:rPr>
        <w:t>8</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rPr>
        <w:t>日</w:t>
      </w:r>
    </w:p>
    <w:p/>
    <w:p>
      <w:pPr>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b/>
          <w:bCs/>
          <w:kern w:val="44"/>
          <w:sz w:val="44"/>
          <w:szCs w:val="44"/>
          <w:highlight w:val="none"/>
        </w:rPr>
      </w:pPr>
      <w:r>
        <w:rPr>
          <w:rFonts w:hint="eastAsia" w:ascii="宋体" w:hAnsi="宋体" w:eastAsia="宋体" w:cs="宋体"/>
          <w:highlight w:val="none"/>
        </w:rPr>
        <w:br w:type="page"/>
      </w:r>
    </w:p>
    <w:p>
      <w:pPr>
        <w:pStyle w:val="3"/>
        <w:spacing w:line="240" w:lineRule="auto"/>
        <w:jc w:val="center"/>
        <w:rPr>
          <w:rFonts w:hint="eastAsia" w:ascii="宋体" w:hAnsi="宋体" w:eastAsia="宋体" w:cs="宋体"/>
          <w:sz w:val="32"/>
          <w:szCs w:val="32"/>
          <w:highlight w:val="none"/>
        </w:rPr>
      </w:pPr>
      <w:bookmarkStart w:id="11" w:name="_Toc13764"/>
      <w:bookmarkStart w:id="12" w:name="_Toc81475546"/>
      <w:r>
        <w:rPr>
          <w:rFonts w:hint="eastAsia" w:ascii="宋体" w:hAnsi="宋体" w:eastAsia="宋体" w:cs="宋体"/>
          <w:sz w:val="32"/>
          <w:szCs w:val="32"/>
          <w:highlight w:val="none"/>
        </w:rPr>
        <w:t>第二章</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磋商须知</w:t>
      </w:r>
      <w:bookmarkEnd w:id="11"/>
      <w:bookmarkEnd w:id="12"/>
    </w:p>
    <w:p>
      <w:pPr>
        <w:pStyle w:val="4"/>
        <w:pageBreakBefore w:val="0"/>
        <w:widowControl w:val="0"/>
        <w:kinsoku/>
        <w:overflowPunct/>
        <w:topLinePunct w:val="0"/>
        <w:autoSpaceDE/>
        <w:autoSpaceDN/>
        <w:bidi w:val="0"/>
        <w:adjustRightInd/>
        <w:spacing w:line="440" w:lineRule="exact"/>
        <w:textAlignment w:val="auto"/>
        <w:rPr>
          <w:rFonts w:hint="eastAsia" w:ascii="宋体" w:hAnsi="宋体" w:eastAsia="宋体" w:cs="宋体"/>
          <w:highlight w:val="none"/>
        </w:rPr>
      </w:pPr>
      <w:bookmarkStart w:id="13" w:name="_Toc81475547"/>
      <w:bookmarkStart w:id="14" w:name="_Toc536"/>
      <w:r>
        <w:rPr>
          <w:rFonts w:hint="eastAsia" w:ascii="宋体" w:hAnsi="宋体" w:eastAsia="宋体" w:cs="宋体"/>
          <w:highlight w:val="none"/>
        </w:rPr>
        <w:t>磋商须知前附表</w:t>
      </w:r>
      <w:bookmarkEnd w:id="5"/>
      <w:bookmarkEnd w:id="13"/>
      <w:bookmarkEnd w:id="14"/>
    </w:p>
    <w:tbl>
      <w:tblPr>
        <w:tblStyle w:val="45"/>
        <w:tblW w:w="88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81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6"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810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29"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102" w:type="dxa"/>
            <w:vAlign w:val="center"/>
          </w:tcPr>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 购 人：内蒙古自治区公安厅特勤局</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址：呼和浩特市新城区呼伦贝尔北路12号</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人：李警官</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联系电话：0471-6550948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102" w:type="dxa"/>
            <w:vAlign w:val="center"/>
          </w:tcPr>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采购代理机构名称：内蒙古文尚鼎合工程招标代理有限公司</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采购代理机构地址：内蒙古自治区呼和浩特市赛罕区金桥开发区嘉逸大厦北楼17楼</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人：李芳</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话：0471-5983421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102" w:type="dxa"/>
            <w:vAlign w:val="center"/>
          </w:tcPr>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采购人验收合格并经审计后，按成交单价、实际发生数量，以结算审核金额为准一次性付款100%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验收合格后履约保证金转为质量保证金，质保期满后，由采购人无息退还。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102" w:type="dxa"/>
            <w:vAlign w:val="center"/>
          </w:tcPr>
          <w:p>
            <w:pPr>
              <w:pageBreakBefore w:val="0"/>
              <w:widowControl w:val="0"/>
              <w:tabs>
                <w:tab w:val="left" w:pos="930"/>
              </w:tabs>
              <w:kinsoku/>
              <w:wordWrap w:val="0"/>
              <w:overflowPunct/>
              <w:topLinePunct w:val="0"/>
              <w:autoSpaceDE/>
              <w:autoSpaceDN/>
              <w:bidi w:val="0"/>
              <w:adjustRightInd/>
              <w:spacing w:line="44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供货期：自合同签订之日起30天</w:t>
            </w:r>
          </w:p>
          <w:p>
            <w:pPr>
              <w:pageBreakBefore w:val="0"/>
              <w:widowControl w:val="0"/>
              <w:tabs>
                <w:tab w:val="left" w:pos="930"/>
              </w:tabs>
              <w:kinsoku/>
              <w:wordWrap w:val="0"/>
              <w:overflowPunct/>
              <w:topLinePunct w:val="0"/>
              <w:autoSpaceDE/>
              <w:autoSpaceDN/>
              <w:bidi w:val="0"/>
              <w:adjustRightInd/>
              <w:spacing w:line="440" w:lineRule="exact"/>
              <w:jc w:val="lef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质保期：执行国家服装类和鞋类三包法律法规,自货物验收合格之日起1年。</w:t>
            </w:r>
          </w:p>
          <w:p>
            <w:pPr>
              <w:pageBreakBefore w:val="0"/>
              <w:widowControl w:val="0"/>
              <w:tabs>
                <w:tab w:val="left" w:pos="930"/>
              </w:tabs>
              <w:kinsoku/>
              <w:wordWrap w:val="0"/>
              <w:overflowPunct/>
              <w:topLinePunct w:val="0"/>
              <w:autoSpaceDE/>
              <w:autoSpaceDN/>
              <w:bidi w:val="0"/>
              <w:adjustRightInd/>
              <w:spacing w:line="440" w:lineRule="exact"/>
              <w:jc w:val="left"/>
              <w:textAlignment w:val="auto"/>
              <w:rPr>
                <w:rFonts w:hint="eastAsia" w:ascii="宋体" w:hAnsi="宋体" w:eastAsia="宋体" w:cs="宋体"/>
                <w:highlight w:val="none"/>
              </w:rPr>
            </w:pPr>
            <w:r>
              <w:rPr>
                <w:rFonts w:hint="eastAsia" w:ascii="宋体" w:hAnsi="宋体" w:eastAsia="宋体" w:cs="宋体"/>
                <w:sz w:val="24"/>
                <w:szCs w:val="24"/>
                <w:highlight w:val="none"/>
                <w:lang w:val="zh-CN"/>
              </w:rPr>
              <w:t>交货地点：内蒙古自治区公安厅特勤局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102" w:type="dxa"/>
            <w:vAlign w:val="center"/>
          </w:tcPr>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按如下标准和规定交纳采购代理服务费：</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参照内蒙古自治区工程建设协会关于印发《内蒙古自治区建设工程招标代理服务收费指导意见（试行）》的通知（内工建协【2016】17号）文件规定的标准下浮20%计取，由成交供应商支付采购代理服务费。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8102" w:type="dxa"/>
            <w:vAlign w:val="center"/>
          </w:tcPr>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响应文件报价币种：人民币。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8102" w:type="dxa"/>
            <w:vAlign w:val="center"/>
          </w:tcPr>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（1）磋商保证金的形式：采用支票、汇票、本票、网上银行支付或者金融机构、担保机构出具的保函等非现金形式提交。</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（2）磋商保证金的金额：</w:t>
            </w:r>
            <w:r>
              <w:rPr>
                <w:rFonts w:hint="eastAsia" w:ascii="宋体" w:hAnsi="宋体" w:eastAsia="宋体" w:cs="宋体"/>
                <w:b/>
                <w:sz w:val="24"/>
                <w:szCs w:val="24"/>
                <w:highlight w:val="none"/>
              </w:rPr>
              <w:t>壹万</w:t>
            </w:r>
            <w:r>
              <w:rPr>
                <w:rFonts w:hint="eastAsia" w:ascii="宋体" w:hAnsi="宋体" w:eastAsia="宋体" w:cs="宋体"/>
                <w:b/>
                <w:bCs/>
                <w:sz w:val="24"/>
                <w:szCs w:val="24"/>
                <w:highlight w:val="none"/>
              </w:rPr>
              <w:t>元整（￥10000元整）</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采用</w:t>
            </w:r>
            <w:r>
              <w:rPr>
                <w:rFonts w:hint="eastAsia" w:ascii="宋体" w:hAnsi="宋体" w:eastAsia="宋体" w:cs="宋体"/>
                <w:sz w:val="24"/>
                <w:szCs w:val="24"/>
                <w:highlight w:val="none"/>
              </w:rPr>
              <w:t>网上银行</w:t>
            </w:r>
            <w:r>
              <w:rPr>
                <w:rFonts w:hint="eastAsia" w:ascii="宋体" w:hAnsi="宋体" w:cs="宋体"/>
                <w:sz w:val="24"/>
                <w:szCs w:val="24"/>
                <w:highlight w:val="none"/>
                <w:lang w:eastAsia="zh-CN"/>
              </w:rPr>
              <w:t>形式提交磋商保证金的，</w:t>
            </w:r>
            <w:r>
              <w:rPr>
                <w:rFonts w:hint="eastAsia" w:ascii="宋体" w:hAnsi="宋体" w:eastAsia="宋体" w:cs="宋体"/>
                <w:sz w:val="24"/>
                <w:szCs w:val="24"/>
                <w:highlight w:val="none"/>
              </w:rPr>
              <w:t>供应商在</w:t>
            </w:r>
            <w:r>
              <w:rPr>
                <w:rFonts w:hint="eastAsia" w:ascii="宋体" w:hAnsi="宋体" w:eastAsia="宋体" w:cs="宋体"/>
                <w:b/>
                <w:bCs/>
                <w:sz w:val="24"/>
                <w:szCs w:val="24"/>
                <w:highlight w:val="none"/>
              </w:rPr>
              <w:t>响应文件递交截止时间</w:t>
            </w:r>
            <w:r>
              <w:rPr>
                <w:rFonts w:hint="eastAsia" w:ascii="宋体" w:hAnsi="宋体" w:eastAsia="宋体" w:cs="宋体"/>
                <w:sz w:val="24"/>
                <w:szCs w:val="24"/>
                <w:highlight w:val="none"/>
              </w:rPr>
              <w:t>将磋商保证金从其基本账户转入采购代理机构账户内，磋商保证金逾期未递交到采购代理公司的，其响应文件不予接收。</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（4）账户信息如下：</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收款单位：内蒙古文尚鼎合工程招标代理有限公司</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  号：7271410182600117981</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开户行：中信银行股份有限公司呼和浩特锡林南路支行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8102" w:type="dxa"/>
            <w:vAlign w:val="center"/>
          </w:tcPr>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磋商有效期：90个日历日。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8102" w:type="dxa"/>
            <w:vAlign w:val="center"/>
          </w:tcPr>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响应文件份数：正本1份；副本2份；电子版2份（U盘）。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8102" w:type="dxa"/>
            <w:vAlign w:val="center"/>
          </w:tcPr>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响应文件必须牢固装订，否则按无效处理。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8102" w:type="dxa"/>
            <w:vAlign w:val="center"/>
          </w:tcPr>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供应商应将《竞争性磋商首轮报价表》一份单独密封提交，并在密封袋上标明“竞争性磋商首轮报价表”字样。供应商应将响应文件正本和所有的副本分开密封装在单独的密封袋中，并在密封袋上标明“正本”、“副本”字样。响应文件电子版单独密封，并标明“电子版”字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8102" w:type="dxa"/>
            <w:vAlign w:val="center"/>
          </w:tcPr>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响应文件递交截止时间及地点</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递交时间：</w:t>
            </w:r>
            <w:r>
              <w:rPr>
                <w:rFonts w:hint="eastAsia" w:ascii="宋体" w:hAnsi="宋体" w:cs="宋体"/>
                <w:sz w:val="24"/>
                <w:szCs w:val="24"/>
                <w:highlight w:val="none"/>
                <w:lang w:eastAsia="zh-CN"/>
              </w:rPr>
              <w:t>2022年8月15日9点30分</w:t>
            </w:r>
            <w:r>
              <w:rPr>
                <w:rFonts w:hint="eastAsia" w:ascii="宋体" w:hAnsi="宋体" w:eastAsia="宋体" w:cs="宋体"/>
                <w:sz w:val="24"/>
                <w:szCs w:val="24"/>
                <w:highlight w:val="none"/>
              </w:rPr>
              <w:t>(北京时间)</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r>
              <w:rPr>
                <w:rFonts w:hint="eastAsia" w:ascii="宋体" w:hAnsi="宋体" w:eastAsia="宋体" w:cs="宋体"/>
                <w:kern w:val="0"/>
                <w:sz w:val="24"/>
                <w:szCs w:val="24"/>
                <w:highlight w:val="none"/>
              </w:rPr>
              <w:t>内蒙古文尚鼎合工程招标代理有限公司（内蒙古自治区呼和浩特市赛罕区金桥开发区嘉逸大厦北楼17楼）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8102" w:type="dxa"/>
            <w:vAlign w:val="center"/>
          </w:tcPr>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磋商时间和地点</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r>
              <w:rPr>
                <w:rFonts w:hint="eastAsia" w:ascii="宋体" w:hAnsi="宋体" w:cs="宋体"/>
                <w:sz w:val="24"/>
                <w:szCs w:val="24"/>
                <w:highlight w:val="none"/>
                <w:lang w:eastAsia="zh-CN"/>
              </w:rPr>
              <w:t>2022年8月15日9点30分</w:t>
            </w:r>
            <w:r>
              <w:rPr>
                <w:rFonts w:hint="eastAsia" w:ascii="宋体" w:hAnsi="宋体" w:eastAsia="宋体" w:cs="宋体"/>
                <w:sz w:val="24"/>
                <w:szCs w:val="24"/>
                <w:highlight w:val="none"/>
              </w:rPr>
              <w:t>(北京时间)</w:t>
            </w:r>
          </w:p>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r>
              <w:rPr>
                <w:rFonts w:hint="eastAsia" w:ascii="宋体" w:hAnsi="宋体" w:eastAsia="宋体" w:cs="宋体"/>
                <w:kern w:val="0"/>
                <w:sz w:val="24"/>
                <w:szCs w:val="24"/>
                <w:highlight w:val="none"/>
              </w:rPr>
              <w:t>内蒙古文尚鼎合工程招标代理有限公司（内蒙古自治区呼和浩特市赛罕区金桥开发区嘉逸大厦北楼17楼）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03"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8102" w:type="dxa"/>
            <w:vAlign w:val="center"/>
          </w:tcPr>
          <w:p>
            <w:pPr>
              <w:pageBreakBefore w:val="0"/>
              <w:widowControl w:val="0"/>
              <w:kinsoku/>
              <w:wordWrap w:val="0"/>
              <w:overflowPunct/>
              <w:topLinePunct w:val="0"/>
              <w:autoSpaceDE/>
              <w:autoSpaceDN/>
              <w:bidi w:val="0"/>
              <w:adjustRightInd/>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封套上写明：</w:t>
            </w:r>
          </w:p>
          <w:p>
            <w:pPr>
              <w:pageBreakBefore w:val="0"/>
              <w:widowControl w:val="0"/>
              <w:kinsoku/>
              <w:wordWrap w:val="0"/>
              <w:overflowPunct/>
              <w:topLinePunct w:val="0"/>
              <w:autoSpaceDE/>
              <w:autoSpaceDN/>
              <w:bidi w:val="0"/>
              <w:adjustRightInd/>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szCs w:val="24"/>
                <w:highlight w:val="none"/>
              </w:rPr>
              <w:t>内蒙古自治区公安厅特勤局</w:t>
            </w:r>
          </w:p>
          <w:p>
            <w:pPr>
              <w:pageBreakBefore w:val="0"/>
              <w:widowControl w:val="0"/>
              <w:kinsoku/>
              <w:wordWrap w:val="0"/>
              <w:overflowPunct/>
              <w:topLinePunct w:val="0"/>
              <w:autoSpaceDE/>
              <w:autoSpaceDN/>
              <w:bidi w:val="0"/>
              <w:adjustRightInd/>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代理名称：内蒙古文尚鼎合工程招标代理有限公司</w:t>
            </w:r>
          </w:p>
          <w:p>
            <w:pPr>
              <w:pageBreakBefore w:val="0"/>
              <w:widowControl w:val="0"/>
              <w:kinsoku/>
              <w:wordWrap w:val="0"/>
              <w:overflowPunct/>
              <w:topLinePunct w:val="0"/>
              <w:autoSpaceDE/>
              <w:autoSpaceDN/>
              <w:bidi w:val="0"/>
              <w:adjustRightInd/>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供应商名称：</w:t>
            </w:r>
          </w:p>
          <w:p>
            <w:pPr>
              <w:pageBreakBefore w:val="0"/>
              <w:widowControl w:val="0"/>
              <w:kinsoku/>
              <w:wordWrap w:val="0"/>
              <w:overflowPunct/>
              <w:topLinePunct w:val="0"/>
              <w:autoSpaceDE/>
              <w:autoSpaceDN/>
              <w:bidi w:val="0"/>
              <w:adjustRightInd/>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u w:val="single"/>
              </w:rPr>
              <w:t>（项目名称）（项目编号）</w:t>
            </w:r>
            <w:r>
              <w:rPr>
                <w:rFonts w:hint="eastAsia" w:ascii="宋体" w:hAnsi="宋体" w:eastAsia="宋体" w:cs="宋体"/>
                <w:sz w:val="24"/>
                <w:highlight w:val="none"/>
              </w:rPr>
              <w:t>响应文件</w:t>
            </w:r>
          </w:p>
          <w:p>
            <w:pPr>
              <w:pageBreakBefore w:val="0"/>
              <w:widowControl w:val="0"/>
              <w:kinsoku/>
              <w:wordWrap w:val="0"/>
              <w:overflowPunct/>
              <w:topLinePunct w:val="0"/>
              <w:autoSpaceDE/>
              <w:autoSpaceDN/>
              <w:bidi w:val="0"/>
              <w:adjustRightInd/>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在</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年</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月</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日</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点</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分前不得开启。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752" w:type="dxa"/>
            <w:tcBorders>
              <w:right w:val="single" w:color="auto" w:sz="4" w:space="0"/>
            </w:tcBorders>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8102" w:type="dxa"/>
            <w:tcBorders>
              <w:left w:val="single" w:color="auto" w:sz="4" w:space="0"/>
            </w:tcBorders>
            <w:vAlign w:val="center"/>
          </w:tcPr>
          <w:p>
            <w:pPr>
              <w:pageBreakBefore w:val="0"/>
              <w:widowControl w:val="0"/>
              <w:kinsoku/>
              <w:wordWrap w:val="0"/>
              <w:overflowPunct/>
              <w:topLinePunct w:val="0"/>
              <w:autoSpaceDE/>
              <w:autoSpaceDN/>
              <w:bidi w:val="0"/>
              <w:adjustRightInd/>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响应文件装订要求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8102" w:type="dxa"/>
            <w:vAlign w:val="center"/>
          </w:tcPr>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评审方法: 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8102" w:type="dxa"/>
            <w:vAlign w:val="center"/>
          </w:tcPr>
          <w:p>
            <w:pPr>
              <w:pageBreakBefore w:val="0"/>
              <w:widowControl w:val="0"/>
              <w:kinsoku/>
              <w:wordWrap w:val="0"/>
              <w:overflowPunct/>
              <w:topLinePunct w:val="0"/>
              <w:autoSpaceDE/>
              <w:autoSpaceDN/>
              <w:bidi w:val="0"/>
              <w:adjustRightInd/>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磋商小组构成：3人组成；</w:t>
            </w:r>
          </w:p>
          <w:p>
            <w:pPr>
              <w:pStyle w:val="44"/>
              <w:pageBreakBefore w:val="0"/>
              <w:widowControl w:val="0"/>
              <w:kinsoku/>
              <w:wordWrap w:val="0"/>
              <w:overflowPunct/>
              <w:topLinePunct w:val="0"/>
              <w:autoSpaceDE/>
              <w:autoSpaceDN/>
              <w:bidi w:val="0"/>
              <w:adjustRightInd/>
              <w:spacing w:line="440" w:lineRule="exact"/>
              <w:ind w:left="0" w:leftChars="0"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磋商小组确定方式：专家库中随机抽取2人，采购人代表1人。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752" w:type="dxa"/>
            <w:vAlign w:val="center"/>
          </w:tcPr>
          <w:p>
            <w:pPr>
              <w:pageBreakBefore w:val="0"/>
              <w:widowControl w:val="0"/>
              <w:kinsoku/>
              <w:wordWrap w:val="0"/>
              <w:overflowPunct/>
              <w:topLinePunct w:val="0"/>
              <w:autoSpaceDE/>
              <w:autoSpaceDN/>
              <w:bidi w:val="0"/>
              <w:adjustRightInd/>
              <w:snapToGrid w:val="0"/>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w:t>
            </w:r>
          </w:p>
        </w:tc>
        <w:tc>
          <w:tcPr>
            <w:tcW w:w="8102" w:type="dxa"/>
            <w:vAlign w:val="center"/>
          </w:tcPr>
          <w:p>
            <w:pPr>
              <w:pageBreakBefore w:val="0"/>
              <w:widowControl w:val="0"/>
              <w:kinsoku/>
              <w:wordWrap w:val="0"/>
              <w:overflowPunct/>
              <w:topLinePunct w:val="0"/>
              <w:autoSpaceDE/>
              <w:autoSpaceDN/>
              <w:bidi w:val="0"/>
              <w:adjustRightInd/>
              <w:snapToGrid w:val="0"/>
              <w:spacing w:line="440" w:lineRule="exact"/>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确定成交人：</w:t>
            </w:r>
            <w:r>
              <w:rPr>
                <w:rFonts w:hint="eastAsia" w:ascii="宋体" w:hAnsi="宋体" w:eastAsia="宋体" w:cs="宋体"/>
                <w:sz w:val="24"/>
                <w:szCs w:val="24"/>
                <w:highlight w:val="none"/>
              </w:rPr>
              <w:t>采购人直接授权磋商小组确定成交供应商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752" w:type="dxa"/>
            <w:vAlign w:val="center"/>
          </w:tcPr>
          <w:p>
            <w:pPr>
              <w:pageBreakBefore w:val="0"/>
              <w:widowControl w:val="0"/>
              <w:kinsoku/>
              <w:wordWrap w:val="0"/>
              <w:overflowPunct/>
              <w:topLinePunct w:val="0"/>
              <w:bidi w:val="0"/>
              <w:snapToGrid w:val="0"/>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w:t>
            </w:r>
          </w:p>
        </w:tc>
        <w:tc>
          <w:tcPr>
            <w:tcW w:w="8102" w:type="dxa"/>
            <w:vAlign w:val="center"/>
          </w:tcPr>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否决响应条款：</w:t>
            </w:r>
          </w:p>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1、响应文件未按磋商文件要求签署、盖章的；</w:t>
            </w:r>
          </w:p>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2、不具备磋商文件中规定的资格要求的；</w:t>
            </w:r>
          </w:p>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3、报价超过磋商文件中规定的预算金额或者最高限价的；</w:t>
            </w:r>
          </w:p>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4、响应文件含有采购人不能接受的附加条件的；</w:t>
            </w:r>
          </w:p>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5、响应文件未按规定格式、内容填写的；</w:t>
            </w:r>
          </w:p>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6、传真响应的；</w:t>
            </w:r>
          </w:p>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7、在磋商截止时间后送达响应文件的；</w:t>
            </w:r>
          </w:p>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8、单位负责人（法定代表人）为同一人或者存在控股、管理关系的不同供应商，参加同一合同项下的磋商项目标的；</w:t>
            </w:r>
          </w:p>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9、响应文件无法定代表人签字或正式授权代表签字的、授权代表签字没有出具法定代表人授权委托书的；</w:t>
            </w:r>
          </w:p>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10、磋商有效期不足的；</w:t>
            </w:r>
          </w:p>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11、响应文件电子版未按磋商文件要求提交的；</w:t>
            </w:r>
          </w:p>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12、供应商被列入信用中国、中国政府采购网黑名单、失信名单的；</w:t>
            </w:r>
          </w:p>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响应文件报价出现前后不一致的，除磋商文件另有规定外，按照《政府采购货物和服务招标投标管理办法》（财政部令第87号）第五十九条规定进行修正，修正后的报价按照该办法第五十一条第二款的规定经供应商确认后产生约束力，供应商不确认的，其响应无效；</w:t>
            </w:r>
          </w:p>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将其作为无效响应处理。</w:t>
            </w:r>
          </w:p>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15、供应商串通参与磋商的；</w:t>
            </w:r>
          </w:p>
          <w:p>
            <w:pPr>
              <w:pageBreakBefore w:val="0"/>
              <w:widowControl w:val="0"/>
              <w:kinsoku/>
              <w:wordWrap w:val="0"/>
              <w:overflowPunct/>
              <w:topLinePunct w:val="0"/>
              <w:bidi w:val="0"/>
              <w:snapToGrid w:val="0"/>
              <w:spacing w:line="42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16、不符合法律、法规和磋商文件中规定的其他实质性要求的。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752" w:type="dxa"/>
            <w:vAlign w:val="center"/>
          </w:tcPr>
          <w:p>
            <w:pPr>
              <w:pageBreakBefore w:val="0"/>
              <w:widowControl w:val="0"/>
              <w:kinsoku/>
              <w:wordWrap w:val="0"/>
              <w:overflowPunct/>
              <w:topLinePunct w:val="0"/>
              <w:bidi w:val="0"/>
              <w:snapToGrid w:val="0"/>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8102" w:type="dxa"/>
            <w:vAlign w:val="center"/>
          </w:tcPr>
          <w:p>
            <w:pPr>
              <w:pageBreakBefore w:val="0"/>
              <w:widowControl w:val="0"/>
              <w:kinsoku/>
              <w:wordWrap w:val="0"/>
              <w:overflowPunct/>
              <w:topLinePunct w:val="0"/>
              <w:bidi w:val="0"/>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履约保证金形式：转账</w:t>
            </w:r>
          </w:p>
          <w:p>
            <w:pPr>
              <w:pageBreakBefore w:val="0"/>
              <w:widowControl w:val="0"/>
              <w:kinsoku/>
              <w:wordWrap w:val="0"/>
              <w:overflowPunct/>
              <w:topLinePunct w:val="0"/>
              <w:bidi w:val="0"/>
              <w:spacing w:line="4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履约保证金的金额：</w:t>
            </w:r>
            <w:r>
              <w:rPr>
                <w:rFonts w:hint="eastAsia" w:ascii="宋体" w:hAnsi="宋体" w:eastAsia="宋体" w:cs="宋体"/>
                <w:sz w:val="24"/>
                <w:szCs w:val="24"/>
                <w:highlight w:val="none"/>
                <w:lang w:eastAsia="zh-CN"/>
              </w:rPr>
              <w:t>2196</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元</w:t>
            </w:r>
          </w:p>
          <w:p>
            <w:pPr>
              <w:pageBreakBefore w:val="0"/>
              <w:widowControl w:val="0"/>
              <w:kinsoku/>
              <w:wordWrap w:val="0"/>
              <w:overflowPunct/>
              <w:topLinePunct w:val="0"/>
              <w:bidi w:val="0"/>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指定账户：内蒙古自治区警卫局</w:t>
            </w:r>
          </w:p>
          <w:p>
            <w:pPr>
              <w:pageBreakBefore w:val="0"/>
              <w:widowControl w:val="0"/>
              <w:kinsoku/>
              <w:wordWrap w:val="0"/>
              <w:overflowPunct/>
              <w:topLinePunct w:val="0"/>
              <w:bidi w:val="0"/>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账号：0602003309026700977</w:t>
            </w:r>
          </w:p>
          <w:p>
            <w:pPr>
              <w:pageBreakBefore w:val="0"/>
              <w:widowControl w:val="0"/>
              <w:kinsoku/>
              <w:wordWrap w:val="0"/>
              <w:overflowPunct/>
              <w:topLinePunct w:val="0"/>
              <w:bidi w:val="0"/>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开户行：中国工商银行股份有限公司呼和浩特市呼和佳地支行</w:t>
            </w:r>
          </w:p>
          <w:p>
            <w:pPr>
              <w:pageBreakBefore w:val="0"/>
              <w:widowControl w:val="0"/>
              <w:kinsoku/>
              <w:wordWrap w:val="0"/>
              <w:overflowPunct/>
              <w:topLinePunct w:val="0"/>
              <w:bidi w:val="0"/>
              <w:spacing w:line="420" w:lineRule="exac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行号：102191000335</w:t>
            </w:r>
          </w:p>
          <w:p>
            <w:pPr>
              <w:pageBreakBefore w:val="0"/>
              <w:widowControl w:val="0"/>
              <w:kinsoku/>
              <w:wordWrap w:val="0"/>
              <w:overflowPunct/>
              <w:topLinePunct w:val="0"/>
              <w:bidi w:val="0"/>
              <w:spacing w:line="42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注：成交供应商在收到成交通知书后5个工作日内，向采购人交纳</w:t>
            </w:r>
            <w:r>
              <w:rPr>
                <w:rFonts w:hint="eastAsia" w:ascii="宋体" w:hAnsi="宋体" w:eastAsia="宋体" w:cs="宋体"/>
                <w:b/>
                <w:sz w:val="24"/>
                <w:szCs w:val="24"/>
                <w:highlight w:val="none"/>
                <w:lang w:eastAsia="zh-CN"/>
              </w:rPr>
              <w:t>21962元</w:t>
            </w:r>
            <w:r>
              <w:rPr>
                <w:rFonts w:hint="eastAsia" w:ascii="宋体" w:hAnsi="宋体" w:eastAsia="宋体" w:cs="宋体"/>
                <w:b/>
                <w:sz w:val="24"/>
                <w:szCs w:val="24"/>
                <w:highlight w:val="none"/>
              </w:rPr>
              <w:t>作为履约保证金，验收合格后转为质保金，质保期满后</w:t>
            </w:r>
            <w:r>
              <w:rPr>
                <w:rFonts w:hint="eastAsia" w:ascii="宋体" w:hAnsi="宋体" w:cs="宋体"/>
                <w:b/>
                <w:sz w:val="24"/>
                <w:szCs w:val="24"/>
                <w:highlight w:val="none"/>
                <w:lang w:eastAsia="zh-CN"/>
              </w:rPr>
              <w:t>，</w:t>
            </w:r>
            <w:r>
              <w:rPr>
                <w:rFonts w:hint="eastAsia" w:ascii="宋体" w:hAnsi="宋体" w:eastAsia="宋体" w:cs="宋体"/>
                <w:b/>
                <w:sz w:val="24"/>
                <w:szCs w:val="24"/>
                <w:highlight w:val="none"/>
              </w:rPr>
              <w:t>由采购人无息退还。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752" w:type="dxa"/>
            <w:vAlign w:val="center"/>
          </w:tcPr>
          <w:p>
            <w:pPr>
              <w:pageBreakBefore w:val="0"/>
              <w:widowControl w:val="0"/>
              <w:kinsoku/>
              <w:wordWrap w:val="0"/>
              <w:overflowPunct/>
              <w:topLinePunct w:val="0"/>
              <w:bidi w:val="0"/>
              <w:snapToGrid w:val="0"/>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w:t>
            </w:r>
          </w:p>
        </w:tc>
        <w:tc>
          <w:tcPr>
            <w:tcW w:w="8102" w:type="dxa"/>
            <w:vAlign w:val="center"/>
          </w:tcPr>
          <w:p>
            <w:pPr>
              <w:pStyle w:val="78"/>
              <w:pageBreakBefore w:val="0"/>
              <w:widowControl w:val="0"/>
              <w:kinsoku/>
              <w:wordWrap w:val="0"/>
              <w:overflowPunct/>
              <w:topLinePunct w:val="0"/>
              <w:autoSpaceDE w:val="0"/>
              <w:autoSpaceDN w:val="0"/>
              <w:bidi w:val="0"/>
              <w:adjustRightInd w:val="0"/>
              <w:snapToGrid w:val="0"/>
              <w:spacing w:line="420" w:lineRule="exact"/>
              <w:textAlignment w:val="auto"/>
              <w:rPr>
                <w:rFonts w:hint="eastAsia" w:ascii="宋体" w:hAnsi="宋体" w:eastAsia="宋体" w:cs="宋体"/>
                <w:szCs w:val="24"/>
                <w:highlight w:val="none"/>
              </w:rPr>
            </w:pPr>
            <w:r>
              <w:rPr>
                <w:rFonts w:hint="eastAsia" w:ascii="宋体" w:hAnsi="宋体" w:eastAsia="宋体" w:cs="宋体"/>
                <w:szCs w:val="24"/>
                <w:highlight w:val="none"/>
              </w:rPr>
              <w:t>1、根据《内蒙古自治区新冠肺炎疫情防控指挥部关于落实疫情防控风险等级调整要求全面推进企业复工复产的通知》的要求，在磋商响应活动期间，往返我地的各省、区、市人员需申报“电子健康码”（对互认省、区、市健康通行码的，视同于我区健康通行码，作为通行凭证，不再重复申报），持有绿色“健康码”人员，可正常参加此次磋商活动，但对于来自中高风险重点疫情地区人员、国外人员（包括国外返回人员）、新冠肺炎确诊病例或疑似病例的密切接触者须满足隔离观察期满且解除隔离的要求并出具解除隔离证明方可出行。具体执行项目所在地实时疫情防控要求。</w:t>
            </w:r>
          </w:p>
          <w:p>
            <w:pPr>
              <w:pStyle w:val="78"/>
              <w:pageBreakBefore w:val="0"/>
              <w:widowControl w:val="0"/>
              <w:kinsoku/>
              <w:wordWrap w:val="0"/>
              <w:overflowPunct/>
              <w:topLinePunct w:val="0"/>
              <w:autoSpaceDE w:val="0"/>
              <w:autoSpaceDN w:val="0"/>
              <w:bidi w:val="0"/>
              <w:adjustRightInd w:val="0"/>
              <w:snapToGrid w:val="0"/>
              <w:spacing w:line="420" w:lineRule="exact"/>
              <w:textAlignment w:val="auto"/>
              <w:rPr>
                <w:rFonts w:hint="eastAsia" w:ascii="宋体" w:hAnsi="宋体" w:eastAsia="宋体" w:cs="宋体"/>
                <w:szCs w:val="24"/>
                <w:highlight w:val="none"/>
              </w:rPr>
            </w:pPr>
            <w:r>
              <w:rPr>
                <w:rFonts w:hint="eastAsia" w:ascii="宋体" w:hAnsi="宋体" w:eastAsia="宋体" w:cs="宋体"/>
                <w:szCs w:val="24"/>
                <w:highlight w:val="none"/>
              </w:rPr>
              <w:t>2、届时请各供应商派代表出席磋商仪式，供应商应及时关注疫情防控要求，提前做好出行安排。</w:t>
            </w:r>
          </w:p>
          <w:p>
            <w:pPr>
              <w:pStyle w:val="78"/>
              <w:pageBreakBefore w:val="0"/>
              <w:widowControl w:val="0"/>
              <w:kinsoku/>
              <w:wordWrap w:val="0"/>
              <w:overflowPunct/>
              <w:topLinePunct w:val="0"/>
              <w:autoSpaceDE w:val="0"/>
              <w:autoSpaceDN w:val="0"/>
              <w:bidi w:val="0"/>
              <w:adjustRightInd w:val="0"/>
              <w:snapToGrid w:val="0"/>
              <w:spacing w:line="420" w:lineRule="exact"/>
              <w:textAlignment w:val="auto"/>
              <w:rPr>
                <w:rFonts w:hint="eastAsia" w:ascii="宋体" w:hAnsi="宋体" w:eastAsia="宋体" w:cs="宋体"/>
                <w:bCs/>
                <w:szCs w:val="24"/>
                <w:highlight w:val="none"/>
              </w:rPr>
            </w:pPr>
            <w:r>
              <w:rPr>
                <w:rFonts w:hint="eastAsia" w:ascii="宋体" w:hAnsi="宋体" w:eastAsia="宋体" w:cs="宋体"/>
                <w:szCs w:val="24"/>
                <w:highlight w:val="none"/>
              </w:rPr>
              <w:t>3、各供应商只允许委派1名代表进入磋商场所，参加磋商活动。会议期间要求所有参会人员全程配戴口罩，配合工作人员做好疫情防控工作。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752" w:type="dxa"/>
            <w:vAlign w:val="center"/>
          </w:tcPr>
          <w:p>
            <w:pPr>
              <w:pageBreakBefore w:val="0"/>
              <w:widowControl w:val="0"/>
              <w:kinsoku/>
              <w:wordWrap w:val="0"/>
              <w:overflowPunct/>
              <w:topLinePunct w:val="0"/>
              <w:bidi w:val="0"/>
              <w:snapToGrid w:val="0"/>
              <w:spacing w:line="420" w:lineRule="exact"/>
              <w:jc w:val="center"/>
              <w:textAlignment w:val="auto"/>
              <w:rPr>
                <w:rFonts w:hint="eastAsia" w:ascii="宋体" w:hAnsi="宋体" w:eastAsia="宋体" w:cs="宋体"/>
                <w:sz w:val="24"/>
                <w:szCs w:val="24"/>
                <w:highlight w:val="none"/>
              </w:rPr>
            </w:pPr>
            <w:bookmarkStart w:id="15" w:name="_Toc81475548"/>
            <w:r>
              <w:rPr>
                <w:rFonts w:hint="eastAsia" w:ascii="宋体" w:hAnsi="宋体" w:eastAsia="宋体" w:cs="宋体"/>
                <w:sz w:val="24"/>
                <w:szCs w:val="24"/>
                <w:highlight w:val="none"/>
              </w:rPr>
              <w:t>22</w:t>
            </w:r>
          </w:p>
        </w:tc>
        <w:tc>
          <w:tcPr>
            <w:tcW w:w="8102" w:type="dxa"/>
            <w:vAlign w:val="center"/>
          </w:tcPr>
          <w:p>
            <w:pPr>
              <w:pStyle w:val="78"/>
              <w:pageBreakBefore w:val="0"/>
              <w:widowControl w:val="0"/>
              <w:kinsoku/>
              <w:wordWrap w:val="0"/>
              <w:overflowPunct/>
              <w:topLinePunct w:val="0"/>
              <w:autoSpaceDE w:val="0"/>
              <w:autoSpaceDN w:val="0"/>
              <w:bidi w:val="0"/>
              <w:adjustRightInd w:val="0"/>
              <w:snapToGrid w:val="0"/>
              <w:spacing w:line="420" w:lineRule="exact"/>
              <w:textAlignment w:val="auto"/>
              <w:rPr>
                <w:rFonts w:hint="eastAsia" w:ascii="宋体" w:hAnsi="宋体" w:eastAsia="宋体" w:cs="宋体"/>
                <w:bCs/>
                <w:szCs w:val="24"/>
                <w:highlight w:val="none"/>
              </w:rPr>
            </w:pPr>
            <w:r>
              <w:rPr>
                <w:rFonts w:hint="eastAsia" w:ascii="宋体" w:hAnsi="宋体" w:eastAsia="宋体" w:cs="宋体"/>
                <w:bCs/>
                <w:szCs w:val="24"/>
                <w:highlight w:val="none"/>
              </w:rPr>
              <w:t>供应商必须提供样品清单中要求的实物样品各一件，于响应文件递交截止时间前递交到招标代理机构样品收取处，样品将作为评审的重要依据。</w:t>
            </w:r>
          </w:p>
          <w:p>
            <w:pPr>
              <w:pStyle w:val="78"/>
              <w:pageBreakBefore w:val="0"/>
              <w:widowControl w:val="0"/>
              <w:kinsoku/>
              <w:wordWrap w:val="0"/>
              <w:overflowPunct/>
              <w:topLinePunct w:val="0"/>
              <w:autoSpaceDE w:val="0"/>
              <w:autoSpaceDN w:val="0"/>
              <w:bidi w:val="0"/>
              <w:adjustRightInd w:val="0"/>
              <w:snapToGrid w:val="0"/>
              <w:spacing w:line="420" w:lineRule="exact"/>
              <w:textAlignment w:val="auto"/>
              <w:rPr>
                <w:rFonts w:hint="eastAsia" w:ascii="宋体" w:hAnsi="宋体" w:eastAsia="宋体" w:cs="宋体"/>
                <w:bCs/>
                <w:szCs w:val="24"/>
                <w:highlight w:val="none"/>
              </w:rPr>
            </w:pPr>
            <w:r>
              <w:rPr>
                <w:rFonts w:hint="eastAsia" w:ascii="宋体" w:hAnsi="宋体" w:eastAsia="宋体" w:cs="宋体"/>
                <w:bCs/>
                <w:szCs w:val="24"/>
                <w:highlight w:val="none"/>
              </w:rPr>
              <w:t>注：1、成交供应商的实物样品将被封存，作为验收依据</w:t>
            </w:r>
            <w:r>
              <w:rPr>
                <w:rFonts w:hint="eastAsia" w:ascii="宋体" w:hAnsi="宋体" w:cs="宋体"/>
                <w:bCs/>
                <w:szCs w:val="24"/>
                <w:highlight w:val="none"/>
                <w:lang w:eastAsia="zh-CN"/>
              </w:rPr>
              <w:t>，验收合格后，由成交供应商到采购单位自行取回</w:t>
            </w:r>
            <w:r>
              <w:rPr>
                <w:rFonts w:hint="eastAsia" w:ascii="宋体" w:hAnsi="宋体" w:eastAsia="宋体" w:cs="宋体"/>
                <w:bCs/>
                <w:szCs w:val="24"/>
                <w:highlight w:val="none"/>
              </w:rPr>
              <w:t>；未成交供应商的实物样品将在成交公告发布之后由</w:t>
            </w:r>
            <w:r>
              <w:rPr>
                <w:rFonts w:hint="eastAsia" w:ascii="宋体" w:hAnsi="宋体" w:cs="宋体"/>
                <w:bCs/>
                <w:szCs w:val="24"/>
                <w:highlight w:val="none"/>
                <w:lang w:eastAsia="zh-CN"/>
              </w:rPr>
              <w:t>未成交</w:t>
            </w:r>
            <w:r>
              <w:rPr>
                <w:rFonts w:hint="eastAsia" w:ascii="宋体" w:hAnsi="宋体" w:eastAsia="宋体" w:cs="宋体"/>
                <w:bCs/>
                <w:szCs w:val="24"/>
                <w:highlight w:val="none"/>
              </w:rPr>
              <w:t>供应商到招标代理机构自行取回。</w:t>
            </w:r>
          </w:p>
          <w:p>
            <w:pPr>
              <w:pStyle w:val="78"/>
              <w:pageBreakBefore w:val="0"/>
              <w:widowControl w:val="0"/>
              <w:kinsoku/>
              <w:wordWrap w:val="0"/>
              <w:overflowPunct/>
              <w:topLinePunct w:val="0"/>
              <w:autoSpaceDE w:val="0"/>
              <w:autoSpaceDN w:val="0"/>
              <w:bidi w:val="0"/>
              <w:adjustRightInd w:val="0"/>
              <w:snapToGrid w:val="0"/>
              <w:spacing w:line="420" w:lineRule="exact"/>
              <w:textAlignment w:val="auto"/>
              <w:rPr>
                <w:rFonts w:hint="eastAsia" w:ascii="宋体" w:hAnsi="宋体" w:eastAsia="宋体" w:cs="宋体"/>
                <w:bCs/>
                <w:szCs w:val="24"/>
                <w:highlight w:val="none"/>
              </w:rPr>
            </w:pPr>
            <w:r>
              <w:rPr>
                <w:rFonts w:hint="eastAsia" w:ascii="宋体" w:hAnsi="宋体" w:eastAsia="宋体" w:cs="宋体"/>
                <w:bCs/>
                <w:szCs w:val="24"/>
                <w:highlight w:val="none"/>
              </w:rPr>
              <w:t>2、本项目需在开标时带好要求的样品，并把样品逐个包封，写明项目名称、项目编号、样品类别名称、供应商名称，贴好密封条并加盖公章。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752" w:type="dxa"/>
            <w:vAlign w:val="center"/>
          </w:tcPr>
          <w:p>
            <w:pPr>
              <w:pageBreakBefore w:val="0"/>
              <w:widowControl w:val="0"/>
              <w:kinsoku/>
              <w:wordWrap w:val="0"/>
              <w:overflowPunct/>
              <w:topLinePunct w:val="0"/>
              <w:bidi w:val="0"/>
              <w:snapToGrid w:val="0"/>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w:t>
            </w:r>
          </w:p>
        </w:tc>
        <w:tc>
          <w:tcPr>
            <w:tcW w:w="8102" w:type="dxa"/>
            <w:vAlign w:val="center"/>
          </w:tcPr>
          <w:p>
            <w:pPr>
              <w:pStyle w:val="78"/>
              <w:pageBreakBefore w:val="0"/>
              <w:widowControl w:val="0"/>
              <w:kinsoku/>
              <w:wordWrap w:val="0"/>
              <w:overflowPunct/>
              <w:topLinePunct w:val="0"/>
              <w:autoSpaceDE w:val="0"/>
              <w:autoSpaceDN w:val="0"/>
              <w:bidi w:val="0"/>
              <w:adjustRightInd w:val="0"/>
              <w:snapToGrid w:val="0"/>
              <w:spacing w:line="420" w:lineRule="exact"/>
              <w:textAlignment w:val="auto"/>
              <w:rPr>
                <w:rFonts w:hint="eastAsia" w:ascii="宋体" w:hAnsi="宋体" w:eastAsia="宋体" w:cs="宋体"/>
                <w:bCs/>
                <w:szCs w:val="24"/>
                <w:highlight w:val="none"/>
              </w:rPr>
            </w:pPr>
            <w:r>
              <w:rPr>
                <w:rFonts w:hint="eastAsia" w:ascii="宋体" w:hAnsi="宋体" w:eastAsia="宋体" w:cs="宋体"/>
                <w:bCs/>
                <w:szCs w:val="24"/>
                <w:highlight w:val="none"/>
              </w:rPr>
              <w:t>1、服务要求：</w:t>
            </w:r>
          </w:p>
          <w:p>
            <w:pPr>
              <w:pStyle w:val="78"/>
              <w:pageBreakBefore w:val="0"/>
              <w:widowControl w:val="0"/>
              <w:kinsoku/>
              <w:wordWrap w:val="0"/>
              <w:overflowPunct/>
              <w:topLinePunct w:val="0"/>
              <w:autoSpaceDE w:val="0"/>
              <w:autoSpaceDN w:val="0"/>
              <w:bidi w:val="0"/>
              <w:adjustRightInd w:val="0"/>
              <w:snapToGrid w:val="0"/>
              <w:spacing w:line="420" w:lineRule="exact"/>
              <w:textAlignment w:val="auto"/>
              <w:rPr>
                <w:rFonts w:hint="eastAsia" w:ascii="宋体" w:hAnsi="宋体" w:eastAsia="宋体" w:cs="宋体"/>
                <w:bCs/>
                <w:szCs w:val="24"/>
                <w:highlight w:val="none"/>
              </w:rPr>
            </w:pPr>
            <w:r>
              <w:rPr>
                <w:rFonts w:hint="eastAsia" w:ascii="宋体" w:hAnsi="宋体" w:eastAsia="宋体" w:cs="宋体"/>
                <w:bCs/>
                <w:szCs w:val="24"/>
                <w:highlight w:val="none"/>
              </w:rPr>
              <w:t>1.1供应商提供上门量体服务。</w:t>
            </w:r>
          </w:p>
          <w:p>
            <w:pPr>
              <w:pStyle w:val="78"/>
              <w:pageBreakBefore w:val="0"/>
              <w:widowControl w:val="0"/>
              <w:kinsoku/>
              <w:wordWrap w:val="0"/>
              <w:overflowPunct/>
              <w:topLinePunct w:val="0"/>
              <w:autoSpaceDE w:val="0"/>
              <w:autoSpaceDN w:val="0"/>
              <w:bidi w:val="0"/>
              <w:adjustRightInd w:val="0"/>
              <w:snapToGrid w:val="0"/>
              <w:spacing w:line="420" w:lineRule="exact"/>
              <w:textAlignment w:val="auto"/>
              <w:rPr>
                <w:rFonts w:hint="eastAsia" w:ascii="宋体" w:hAnsi="宋体" w:eastAsia="宋体" w:cs="宋体"/>
                <w:bCs/>
                <w:szCs w:val="24"/>
                <w:highlight w:val="none"/>
              </w:rPr>
            </w:pPr>
            <w:r>
              <w:rPr>
                <w:rFonts w:hint="eastAsia" w:ascii="宋体" w:hAnsi="宋体" w:eastAsia="宋体" w:cs="宋体"/>
                <w:bCs/>
                <w:szCs w:val="24"/>
                <w:highlight w:val="none"/>
              </w:rPr>
              <w:t>1.2供应商负责货物的运输，所需费用由供应商承担。</w:t>
            </w:r>
          </w:p>
          <w:p>
            <w:pPr>
              <w:pStyle w:val="78"/>
              <w:pageBreakBefore w:val="0"/>
              <w:widowControl w:val="0"/>
              <w:kinsoku/>
              <w:wordWrap w:val="0"/>
              <w:overflowPunct/>
              <w:topLinePunct w:val="0"/>
              <w:autoSpaceDE w:val="0"/>
              <w:autoSpaceDN w:val="0"/>
              <w:bidi w:val="0"/>
              <w:adjustRightInd w:val="0"/>
              <w:snapToGrid w:val="0"/>
              <w:spacing w:line="420" w:lineRule="exact"/>
              <w:textAlignment w:val="auto"/>
              <w:rPr>
                <w:rFonts w:hint="eastAsia" w:ascii="宋体" w:hAnsi="宋体" w:eastAsia="宋体" w:cs="宋体"/>
                <w:bCs/>
                <w:szCs w:val="24"/>
                <w:highlight w:val="none"/>
              </w:rPr>
            </w:pPr>
            <w:r>
              <w:rPr>
                <w:rFonts w:hint="eastAsia" w:ascii="宋体" w:hAnsi="宋体" w:eastAsia="宋体" w:cs="宋体"/>
                <w:bCs/>
                <w:szCs w:val="24"/>
                <w:highlight w:val="none"/>
              </w:rPr>
              <w:t>1.3交货后，如尺码不合适，必须在一个月之内更改或调换，直至符合要求。</w:t>
            </w:r>
          </w:p>
          <w:p>
            <w:pPr>
              <w:pStyle w:val="78"/>
              <w:pageBreakBefore w:val="0"/>
              <w:widowControl w:val="0"/>
              <w:kinsoku/>
              <w:wordWrap w:val="0"/>
              <w:overflowPunct/>
              <w:topLinePunct w:val="0"/>
              <w:autoSpaceDE w:val="0"/>
              <w:autoSpaceDN w:val="0"/>
              <w:bidi w:val="0"/>
              <w:adjustRightInd w:val="0"/>
              <w:snapToGrid w:val="0"/>
              <w:spacing w:line="420" w:lineRule="exact"/>
              <w:textAlignment w:val="auto"/>
              <w:rPr>
                <w:rFonts w:hint="eastAsia" w:ascii="宋体" w:hAnsi="宋体" w:eastAsia="宋体" w:cs="宋体"/>
                <w:bCs/>
                <w:szCs w:val="24"/>
                <w:highlight w:val="none"/>
              </w:rPr>
            </w:pPr>
            <w:r>
              <w:rPr>
                <w:rFonts w:hint="eastAsia" w:ascii="宋体" w:hAnsi="宋体" w:eastAsia="宋体" w:cs="宋体"/>
                <w:bCs/>
                <w:szCs w:val="24"/>
                <w:highlight w:val="none"/>
              </w:rPr>
              <w:t>1.4供应商提供该货物的详细使用保养说明。</w:t>
            </w:r>
          </w:p>
          <w:p>
            <w:pPr>
              <w:pStyle w:val="78"/>
              <w:pageBreakBefore w:val="0"/>
              <w:widowControl w:val="0"/>
              <w:numPr>
                <w:ilvl w:val="0"/>
                <w:numId w:val="0"/>
              </w:numPr>
              <w:kinsoku/>
              <w:wordWrap w:val="0"/>
              <w:overflowPunct/>
              <w:topLinePunct w:val="0"/>
              <w:autoSpaceDE w:val="0"/>
              <w:autoSpaceDN w:val="0"/>
              <w:bidi w:val="0"/>
              <w:adjustRightInd w:val="0"/>
              <w:snapToGrid w:val="0"/>
              <w:spacing w:line="420" w:lineRule="exact"/>
              <w:textAlignment w:val="auto"/>
              <w:rPr>
                <w:rFonts w:hint="eastAsia" w:ascii="宋体" w:hAnsi="宋体" w:eastAsia="宋体" w:cs="宋体"/>
                <w:bCs/>
                <w:szCs w:val="24"/>
                <w:highlight w:val="none"/>
              </w:rPr>
            </w:pPr>
            <w:r>
              <w:rPr>
                <w:rFonts w:hint="eastAsia" w:ascii="宋体" w:hAnsi="宋体" w:eastAsia="宋体" w:cs="宋体"/>
                <w:bCs/>
                <w:szCs w:val="24"/>
                <w:highlight w:val="none"/>
                <w:lang w:val="en-US" w:eastAsia="zh-CN"/>
              </w:rPr>
              <w:t>2、</w:t>
            </w:r>
            <w:r>
              <w:rPr>
                <w:rFonts w:hint="eastAsia" w:ascii="宋体" w:hAnsi="宋体" w:eastAsia="宋体" w:cs="宋体"/>
                <w:bCs/>
                <w:szCs w:val="24"/>
                <w:highlight w:val="none"/>
              </w:rPr>
              <w:t>质量标准：</w:t>
            </w:r>
          </w:p>
          <w:p>
            <w:pPr>
              <w:pStyle w:val="78"/>
              <w:pageBreakBefore w:val="0"/>
              <w:widowControl w:val="0"/>
              <w:kinsoku/>
              <w:wordWrap w:val="0"/>
              <w:overflowPunct/>
              <w:topLinePunct w:val="0"/>
              <w:autoSpaceDE w:val="0"/>
              <w:autoSpaceDN w:val="0"/>
              <w:bidi w:val="0"/>
              <w:adjustRightInd w:val="0"/>
              <w:snapToGrid w:val="0"/>
              <w:spacing w:line="420" w:lineRule="exact"/>
              <w:textAlignment w:val="auto"/>
              <w:rPr>
                <w:rFonts w:hint="eastAsia" w:ascii="宋体" w:hAnsi="宋体" w:eastAsia="宋体" w:cs="宋体"/>
                <w:bCs/>
                <w:szCs w:val="24"/>
                <w:highlight w:val="none"/>
              </w:rPr>
            </w:pPr>
            <w:r>
              <w:rPr>
                <w:rFonts w:hint="eastAsia" w:ascii="宋体" w:hAnsi="宋体" w:eastAsia="宋体" w:cs="宋体"/>
                <w:bCs/>
                <w:szCs w:val="24"/>
                <w:highlight w:val="none"/>
                <w:lang w:val="en-US" w:eastAsia="zh-CN"/>
              </w:rPr>
              <w:t>2</w:t>
            </w:r>
            <w:r>
              <w:rPr>
                <w:rFonts w:hint="eastAsia" w:ascii="宋体" w:hAnsi="宋体" w:eastAsia="宋体" w:cs="宋体"/>
                <w:bCs/>
                <w:szCs w:val="24"/>
                <w:highlight w:val="none"/>
              </w:rPr>
              <w:t>.1供应商需按竞争性磋商文件规定的技术要求和供应商响应文件内的响应内容、承诺的服务提供产品和服务，产品必须按相应的国际标准和国家标准及有关政府部门的规范完成制造。</w:t>
            </w:r>
          </w:p>
          <w:p>
            <w:pPr>
              <w:pStyle w:val="78"/>
              <w:pageBreakBefore w:val="0"/>
              <w:widowControl w:val="0"/>
              <w:kinsoku/>
              <w:wordWrap w:val="0"/>
              <w:overflowPunct/>
              <w:topLinePunct w:val="0"/>
              <w:autoSpaceDE w:val="0"/>
              <w:autoSpaceDN w:val="0"/>
              <w:bidi w:val="0"/>
              <w:adjustRightInd w:val="0"/>
              <w:snapToGrid w:val="0"/>
              <w:spacing w:line="420" w:lineRule="exact"/>
              <w:textAlignment w:val="auto"/>
              <w:rPr>
                <w:rFonts w:hint="eastAsia" w:ascii="宋体" w:hAnsi="宋体" w:eastAsia="宋体" w:cs="宋体"/>
                <w:bCs/>
                <w:szCs w:val="24"/>
                <w:highlight w:val="none"/>
              </w:rPr>
            </w:pPr>
            <w:r>
              <w:rPr>
                <w:rFonts w:hint="eastAsia" w:ascii="宋体" w:hAnsi="宋体" w:eastAsia="宋体" w:cs="宋体"/>
                <w:bCs/>
                <w:szCs w:val="24"/>
                <w:highlight w:val="none"/>
                <w:lang w:val="en-US" w:eastAsia="zh-CN"/>
              </w:rPr>
              <w:t>2</w:t>
            </w:r>
            <w:r>
              <w:rPr>
                <w:rFonts w:hint="eastAsia" w:ascii="宋体" w:hAnsi="宋体" w:eastAsia="宋体" w:cs="宋体"/>
                <w:bCs/>
                <w:szCs w:val="24"/>
                <w:highlight w:val="none"/>
              </w:rPr>
              <w:t>.</w:t>
            </w:r>
            <w:r>
              <w:rPr>
                <w:rFonts w:hint="eastAsia" w:ascii="宋体" w:hAnsi="宋体" w:eastAsia="宋体" w:cs="宋体"/>
                <w:bCs/>
                <w:szCs w:val="24"/>
                <w:highlight w:val="none"/>
                <w:lang w:val="en-US" w:eastAsia="zh-CN"/>
              </w:rPr>
              <w:t>2</w:t>
            </w:r>
            <w:r>
              <w:rPr>
                <w:rFonts w:hint="eastAsia" w:ascii="宋体" w:hAnsi="宋体" w:eastAsia="宋体" w:cs="宋体"/>
                <w:bCs/>
                <w:szCs w:val="24"/>
                <w:highlight w:val="none"/>
              </w:rPr>
              <w:t>执行国家GB18401-2010C类验收标准以及QB/T1002-2015,QB/T2955-2017等国家法律法规。</w:t>
            </w:r>
          </w:p>
        </w:tc>
      </w:tr>
    </w:tbl>
    <w:p>
      <w:pPr>
        <w:rPr>
          <w:rFonts w:hint="eastAsia" w:ascii="宋体" w:hAnsi="宋体" w:eastAsia="宋体" w:cs="宋体"/>
          <w:sz w:val="24"/>
          <w:szCs w:val="22"/>
          <w:highlight w:val="none"/>
        </w:rPr>
      </w:pPr>
      <w:r>
        <w:rPr>
          <w:rFonts w:hint="eastAsia" w:ascii="宋体" w:hAnsi="宋体" w:eastAsia="宋体" w:cs="宋体"/>
          <w:sz w:val="24"/>
          <w:szCs w:val="22"/>
          <w:highlight w:val="none"/>
        </w:rPr>
        <w:br w:type="page"/>
      </w:r>
    </w:p>
    <w:p>
      <w:pPr>
        <w:pStyle w:val="8"/>
        <w:ind w:firstLine="0"/>
        <w:rPr>
          <w:rFonts w:hint="eastAsia" w:ascii="宋体" w:hAnsi="宋体" w:eastAsia="宋体" w:cs="宋体"/>
          <w:b/>
          <w:bCs/>
          <w:sz w:val="24"/>
          <w:szCs w:val="22"/>
          <w:highlight w:val="none"/>
        </w:rPr>
      </w:pPr>
      <w:r>
        <w:rPr>
          <w:rFonts w:hint="eastAsia" w:ascii="宋体" w:hAnsi="宋体" w:eastAsia="宋体" w:cs="宋体"/>
          <w:b/>
          <w:bCs/>
          <w:sz w:val="24"/>
          <w:szCs w:val="22"/>
          <w:highlight w:val="none"/>
        </w:rPr>
        <w:t>附：需提供样品清单</w:t>
      </w:r>
    </w:p>
    <w:tbl>
      <w:tblPr>
        <w:tblStyle w:val="45"/>
        <w:tblW w:w="5603" w:type="pct"/>
        <w:jc w:val="center"/>
        <w:tblLayout w:type="fixed"/>
        <w:tblCellMar>
          <w:top w:w="0" w:type="dxa"/>
          <w:left w:w="108" w:type="dxa"/>
          <w:bottom w:w="0" w:type="dxa"/>
          <w:right w:w="108" w:type="dxa"/>
        </w:tblCellMar>
      </w:tblPr>
      <w:tblGrid>
        <w:gridCol w:w="580"/>
        <w:gridCol w:w="1966"/>
        <w:gridCol w:w="4984"/>
        <w:gridCol w:w="900"/>
        <w:gridCol w:w="1279"/>
      </w:tblGrid>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品种</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kern w:val="0"/>
                <w:sz w:val="24"/>
                <w:szCs w:val="24"/>
                <w:highlight w:val="none"/>
                <w:lang w:eastAsia="zh-CN"/>
              </w:rPr>
              <w:t>技术参数</w:t>
            </w:r>
            <w:r>
              <w:rPr>
                <w:rFonts w:hint="eastAsia" w:ascii="宋体" w:hAnsi="宋体" w:cs="宋体"/>
                <w:b/>
                <w:bCs/>
                <w:color w:val="000000"/>
                <w:kern w:val="0"/>
                <w:sz w:val="24"/>
                <w:szCs w:val="24"/>
                <w:highlight w:val="none"/>
                <w:lang w:eastAsia="zh-CN"/>
              </w:rPr>
              <w:t>指标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颜色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单价控制价（元）</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男士机织外套</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外面料：聚酯纤维≥95%.里料：聚酯纤维填充物等组成。具备面料拒水功能，透湿性功能。</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1900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女士机织外套</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外面料：聚酯纤维≥95%.里料：聚酯纤维填充物等组成。</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1900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女士轻量弹力夹克</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面料：锦纶≥70%，氨纶≥20%，里料：锦纶≥85%，氨纶≥13%</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淡紫色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1370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女士户外夹克</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面料：聚酯纤维≥90%，里料：锦纶B≥95%，聚酯纤维≥95%，</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沙色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1300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男士防风夹克</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面料：聚酯纤维≥90%，里料：锦纶B≥95%，聚酯纤维≥95%</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兰色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1900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1"/>
              </w:numPr>
              <w:adjustRightInd w:val="0"/>
              <w:snapToGrid w:val="0"/>
              <w:jc w:val="center"/>
              <w:textAlignment w:val="center"/>
              <w:rPr>
                <w:rFonts w:hint="eastAsia" w:ascii="宋体" w:hAnsi="宋体" w:eastAsia="宋体" w:cs="宋体"/>
                <w:color w:val="00000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女士夹克</w:t>
            </w:r>
          </w:p>
        </w:tc>
        <w:tc>
          <w:tcPr>
            <w:tcW w:w="2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面料：聚酯纤维≥85%，，内衬：聚酯纤维≥95%，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黑色</w:t>
            </w:r>
          </w:p>
        </w:tc>
        <w:tc>
          <w:tcPr>
            <w:tcW w:w="6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750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男士商务裤</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面料：由锦纶≥70%，氨纶≥20%，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1000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女士长裤</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面料：复合型多功能防晒面料K，火山岩面料</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1259</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男士长裤</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面料：舒乐面料。防晒功能</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1800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男士短裤</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面料：由聚酯纤维≥85%，氨纶≥10%，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600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休闲鞋3</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1.工艺牛皮，抗撕拉，柔韧性加倍，苯胺染色皮革增添光泽和耐久性，更加优雅</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2.经典鞋面设计打造一个商务和现代化的外观</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3.新型勾心嵌入到模具中，具备优质足跟落地穿着体验，保持更佳的稳定和舒适</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4.直接注塑工艺和人体解剖学上遵循的自然曲线为双足提供持久的减震效果</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iCs/>
                <w:color w:val="000000"/>
                <w:sz w:val="24"/>
                <w:szCs w:val="24"/>
                <w:highlight w:val="none"/>
              </w:rPr>
            </w:pPr>
            <w:r>
              <w:rPr>
                <w:rFonts w:hint="eastAsia" w:ascii="宋体" w:hAnsi="宋体" w:eastAsia="宋体" w:cs="宋体"/>
                <w:color w:val="000000"/>
                <w:kern w:val="0"/>
                <w:sz w:val="22"/>
                <w:szCs w:val="22"/>
                <w:highlight w:val="none"/>
              </w:rPr>
              <w:t>2800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休闲鞋4</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1.工艺牛皮，抗撕拉，柔韧性加倍，苯胺染色皮革增添光泽和耐久性，更加优雅</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2.经典鞋面设计打造一个商务和现代化的外观</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3.新型勾心嵌入到模具中，创造出独一无二足跟落地穿着体验，让你保持更佳的稳定和舒适</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4.直接注塑工艺和人体解剖学上遵循的自然曲线为双足提供持久的减震效果</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2800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女士运动鞋（低帮）</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织物面料，涂层除外＋合成革</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白色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1400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男士运动鞋（高帮）</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织物面料，涂层除外＋磨砂皮合成革</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男士休闲鞋</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双层网面鞋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女士休闲鞋</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双层网面鞋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男士低帮鞋</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合成纤维＋涂层</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1400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男士运动鞋</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帮面材料：纺织品，衬里材料：纺织品，鞋底材料：橡胶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女士运动鞋</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帮面材料：纺织品，衬里材料：纺织品，鞋底材料：橡胶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黑色、灰色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男士长袖衬衫</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面料：棉≥85%，桑蚕丝≥10%</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蓝色，白色，灰色</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1500</w:t>
            </w:r>
          </w:p>
        </w:tc>
      </w:tr>
      <w:tr>
        <w:tblPrEx>
          <w:tblCellMar>
            <w:top w:w="0" w:type="dxa"/>
            <w:left w:w="108" w:type="dxa"/>
            <w:bottom w:w="0" w:type="dxa"/>
            <w:right w:w="108" w:type="dxa"/>
          </w:tblCellMar>
        </w:tblPrEx>
        <w:trPr>
          <w:trHeight w:val="51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adjustRightInd w:val="0"/>
              <w:snapToGrid w:val="0"/>
              <w:jc w:val="center"/>
              <w:textAlignment w:val="center"/>
              <w:rPr>
                <w:rFonts w:hint="eastAsia" w:ascii="宋体" w:hAnsi="宋体" w:eastAsia="宋体" w:cs="宋体"/>
                <w:color w:val="000000"/>
                <w:kern w:val="0"/>
                <w:sz w:val="24"/>
                <w:szCs w:val="24"/>
                <w:highlight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男士夹克</w:t>
            </w:r>
          </w:p>
        </w:tc>
        <w:tc>
          <w:tcPr>
            <w:tcW w:w="25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面料：聚酯纤维≥95%，里料：聚酯纤维≥95%E</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藏蓝</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2800</w:t>
            </w:r>
          </w:p>
        </w:tc>
      </w:tr>
    </w:tbl>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4"/>
        <w:pageBreakBefore w:val="0"/>
        <w:kinsoku/>
        <w:wordWrap/>
        <w:overflowPunct/>
        <w:topLinePunct w:val="0"/>
        <w:autoSpaceDE/>
        <w:autoSpaceDN/>
        <w:bidi w:val="0"/>
        <w:adjustRightInd/>
        <w:spacing w:line="460" w:lineRule="exact"/>
        <w:textAlignment w:val="auto"/>
        <w:rPr>
          <w:rFonts w:hint="eastAsia" w:ascii="宋体" w:hAnsi="宋体" w:eastAsia="宋体" w:cs="宋体"/>
          <w:sz w:val="24"/>
          <w:szCs w:val="24"/>
          <w:highlight w:val="none"/>
        </w:rPr>
      </w:pPr>
      <w:bookmarkStart w:id="16" w:name="_Toc27944"/>
      <w:r>
        <w:rPr>
          <w:rFonts w:hint="eastAsia" w:ascii="宋体" w:hAnsi="宋体" w:eastAsia="宋体" w:cs="宋体"/>
          <w:sz w:val="24"/>
          <w:szCs w:val="24"/>
          <w:highlight w:val="none"/>
        </w:rPr>
        <w:t>一、说明</w:t>
      </w:r>
      <w:bookmarkEnd w:id="15"/>
      <w:bookmarkEnd w:id="16"/>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本竞争性磋商文件依据《中华人民共和国政府采购法》、《中华人民共和国政府采购法实施条例》及《政府采购竞争性磋商采购方式管理暂行办法》等有关法律、法规编制。</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1.适用范围</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1.1本磋商文件仅适用于本次采购公告中所涉及的项目和内容。</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1.2本磋商文件的解释权为组织本次采购活动的采购代理机构。</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2.定义</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 “采购人”是指依法进行政府采购的国家机关、事业单位和团体组织。本项目磋商文件的采购人详见磋商须知前附表。</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 “采购代理机构”是指政府集中采购机构和依法经认定资格的其他采购代理机构。本磋商文件的采购代理机构特指</w:t>
      </w:r>
      <w:r>
        <w:rPr>
          <w:rFonts w:hint="eastAsia" w:ascii="宋体" w:hAnsi="宋体" w:eastAsia="宋体" w:cs="宋体"/>
          <w:sz w:val="24"/>
          <w:szCs w:val="24"/>
          <w:highlight w:val="none"/>
          <w:u w:val="single"/>
        </w:rPr>
        <w:t>内蒙古文尚鼎合工程招标代理有限公司</w:t>
      </w:r>
      <w:r>
        <w:rPr>
          <w:rFonts w:hint="eastAsia" w:ascii="宋体" w:hAnsi="宋体" w:eastAsia="宋体" w:cs="宋体"/>
          <w:sz w:val="24"/>
          <w:szCs w:val="24"/>
          <w:highlight w:val="none"/>
        </w:rPr>
        <w:t xml:space="preserve">。 </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 “供应商”是指向采购人提供货物的法人、其他组织或者自然人。</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 “供应商”是指参加政府采购项目的供应商。</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 “成交供应商”是指经磋商评审，授予合同的供应商。</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3.项目基本情况或采购范围：</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 xml:space="preserve"> 详见第三章</w:t>
      </w:r>
      <w:r>
        <w:rPr>
          <w:rFonts w:hint="eastAsia" w:ascii="宋体" w:hAnsi="宋体" w:eastAsia="宋体" w:cs="宋体"/>
          <w:sz w:val="24"/>
          <w:szCs w:val="24"/>
          <w:highlight w:val="none"/>
          <w:lang w:eastAsia="zh-CN"/>
        </w:rPr>
        <w:t>采购需求</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4.磋商费用</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 供应商应承担所有与准备和参加磋商有关的费用。不论磋商结果如何，采购代理机构和采购人均无义务和责任承担这些费用。</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4.2采购代理服务费缴纳。</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4.3成交供应商在收到成交通知书前向采购代理机构缴付采购代理服务费。</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4.4成交供应商如未按规定办理，采购代理机构将不予退还其磋商保证金。</w:t>
      </w:r>
    </w:p>
    <w:p>
      <w:pPr>
        <w:pStyle w:val="4"/>
        <w:pageBreakBefore w:val="0"/>
        <w:kinsoku/>
        <w:wordWrap/>
        <w:overflowPunct/>
        <w:topLinePunct w:val="0"/>
        <w:autoSpaceDE/>
        <w:autoSpaceDN/>
        <w:bidi w:val="0"/>
        <w:adjustRightInd/>
        <w:spacing w:line="460" w:lineRule="exact"/>
        <w:textAlignment w:val="auto"/>
        <w:rPr>
          <w:rFonts w:hint="eastAsia" w:ascii="宋体" w:hAnsi="宋体" w:eastAsia="宋体" w:cs="宋体"/>
          <w:sz w:val="24"/>
          <w:szCs w:val="24"/>
          <w:highlight w:val="none"/>
        </w:rPr>
      </w:pPr>
      <w:bookmarkStart w:id="17" w:name="_Toc27590"/>
      <w:bookmarkStart w:id="18" w:name="_Toc81475549"/>
      <w:r>
        <w:rPr>
          <w:rFonts w:hint="eastAsia" w:ascii="宋体" w:hAnsi="宋体" w:eastAsia="宋体" w:cs="宋体"/>
          <w:sz w:val="24"/>
          <w:szCs w:val="24"/>
          <w:highlight w:val="none"/>
        </w:rPr>
        <w:t>二、磋商文件</w:t>
      </w:r>
      <w:bookmarkEnd w:id="17"/>
      <w:bookmarkEnd w:id="18"/>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5.磋商文件的构成</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磋商文件由下列文件组成：</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1）磋商公告</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磋商须知</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3) </w:t>
      </w:r>
      <w:r>
        <w:rPr>
          <w:rFonts w:hint="eastAsia" w:ascii="宋体" w:hAnsi="宋体" w:eastAsia="宋体" w:cs="宋体"/>
          <w:sz w:val="24"/>
          <w:szCs w:val="24"/>
          <w:highlight w:val="none"/>
          <w:lang w:eastAsia="zh-CN"/>
        </w:rPr>
        <w:t>采购需求</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4）评审方法、步骤及标准</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5）采购合同主要条款及格式样本</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 响应文件主要条款及格式样本</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7)在采购过程中由采购人或采购代理机构发出的修正和补充文件等</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 采购人或采购代理机构要求供应商提供的其它材料</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 供应商应认真阅读磋商文件中所有的事项、格式、条款和技术规格、参数及要求等，如果供应商没有按照磋商文件要求提交全部资料，或者没有对磋商文件在各方面都做出实质性响应，其风险应由供应商自行承担，并根据有关政策和条款规定，其响应文件有可能被拒绝，或被认定为无效响应。</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6.磋商文件的澄清与修改</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 任何要求对磋商文件进行澄清的供应商，均应以书面形式在磋商截止时间</w:t>
      </w:r>
      <w:r>
        <w:rPr>
          <w:rFonts w:hint="eastAsia" w:ascii="宋体" w:hAnsi="宋体" w:eastAsia="宋体" w:cs="宋体"/>
          <w:sz w:val="24"/>
          <w:szCs w:val="24"/>
          <w:highlight w:val="none"/>
          <w:u w:val="single"/>
        </w:rPr>
        <w:t>5日</w:t>
      </w:r>
      <w:r>
        <w:rPr>
          <w:rFonts w:hint="eastAsia" w:ascii="宋体" w:hAnsi="宋体" w:eastAsia="宋体" w:cs="宋体"/>
          <w:sz w:val="24"/>
          <w:szCs w:val="24"/>
          <w:highlight w:val="none"/>
        </w:rPr>
        <w:t>以前通知采购代理机构或采购人。采购代理机构将组织采购人对供应商所要求澄清的内容均以书面形式予以答复。必要时，采购代理机构将组织相关专家召开答疑会，并将会议内容以书面的形式发给每个购买磋商文件的潜在供应商。</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6.2 供应商在规定的时间内未对磋商文件澄清或提出疑问的，采购代理机构将视其为同意。 </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 在磋商截止时间</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日以前，无论出于何种原因，采购代理机构或采购人可以主动地或在解答供应商提出的疑问时对磋商文件进行修改。</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 修改后的内容是磋商文件的组成部分，将以书面形式通知所有购买磋商文件的潜在供应商，并对潜在供应商具有约束力。潜在供应商在收到上述通知后，应立即以书面形式向采购代理机构或采购人确认。</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 为使供应商准备应标时有充足时间对磋商文件的修改部分进行研究，采购代理机构或采购人可适当推迟磋商截止期，并书面通知所有购买磋商文件的潜在供应商。</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7、环保节能产品</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相关规定执行。</w:t>
      </w:r>
    </w:p>
    <w:p>
      <w:pPr>
        <w:pStyle w:val="4"/>
        <w:pageBreakBefore w:val="0"/>
        <w:kinsoku/>
        <w:wordWrap/>
        <w:overflowPunct/>
        <w:topLinePunct w:val="0"/>
        <w:autoSpaceDE/>
        <w:autoSpaceDN/>
        <w:bidi w:val="0"/>
        <w:adjustRightInd/>
        <w:spacing w:line="460" w:lineRule="exact"/>
        <w:textAlignment w:val="auto"/>
        <w:rPr>
          <w:rFonts w:hint="eastAsia" w:ascii="宋体" w:hAnsi="宋体" w:eastAsia="宋体" w:cs="宋体"/>
          <w:sz w:val="24"/>
          <w:szCs w:val="24"/>
          <w:highlight w:val="none"/>
        </w:rPr>
      </w:pPr>
      <w:bookmarkStart w:id="19" w:name="_Toc24753"/>
      <w:bookmarkStart w:id="20" w:name="_Toc81475550"/>
      <w:r>
        <w:rPr>
          <w:rFonts w:hint="eastAsia" w:ascii="宋体" w:hAnsi="宋体" w:eastAsia="宋体" w:cs="宋体"/>
          <w:sz w:val="24"/>
          <w:szCs w:val="24"/>
          <w:highlight w:val="none"/>
        </w:rPr>
        <w:t>三、响应文件的编制</w:t>
      </w:r>
      <w:bookmarkEnd w:id="19"/>
      <w:bookmarkEnd w:id="20"/>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8.磋商的语言及度量衡单位</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 供应商提交的磋商文件以及供应商与采购代理机构或采购人就有关磋商的所有来往函电均应使用简体中文。供应商提交的支持文件或印刷的文献可以用另一种语言，但相应内容应附有简体中文翻译本，在解释响应文件的修改内容时以简体中文翻译本为准。</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 除磋商文件另有规定外，响应文件所使用的度量衡单位均应采用公制。</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9.响应文件的构成</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 供应商编制的响应文件应包括但不少于下列内容：</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详见第六章</w:t>
      </w:r>
      <w:r>
        <w:rPr>
          <w:rFonts w:hint="eastAsia" w:ascii="宋体" w:hAnsi="宋体" w:eastAsia="宋体" w:cs="宋体"/>
          <w:sz w:val="24"/>
          <w:szCs w:val="24"/>
          <w:highlight w:val="none"/>
          <w:lang w:val="en-US" w:eastAsia="zh-CN"/>
        </w:rPr>
        <w:t xml:space="preserve"> 响应文件的格式及内容</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10.响应文件编制</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10.1 供应商对磋商文件中多个包进行应标的，其响应文件的编制应按每包要求分别装订和封装。供应商应当对响应文件进行牢固装订。</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10.2 供应商应完整地填写磋商文件中提供的磋商响应函、磋商首轮报价表、资格资信证明文件等磋商文件中规定的所有内容。</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10.3 供应商必须保证响应文件所提供的全部资料真实可靠，并接受采购人或采购代理机构对其中任何资料进一步核实的要求。</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10.4 如果因为供应商响应文件填报的内容不详，或没有提供磋商文件中所要求的全部资料及数据，由此造成的后果，其责任由供应商承担。</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10.5响应文件用纸外形尺寸应统一为A4纸规格。</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11.磋商报价</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11.1供应商所提供的</w:t>
      </w: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均以人民币报价。</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11.2供应商应按本磋商文件第三章“</w:t>
      </w:r>
      <w:r>
        <w:rPr>
          <w:rFonts w:hint="eastAsia" w:ascii="宋体" w:hAnsi="宋体" w:eastAsia="宋体" w:cs="宋体"/>
          <w:sz w:val="24"/>
          <w:szCs w:val="24"/>
          <w:highlight w:val="none"/>
          <w:lang w:eastAsia="zh-CN"/>
        </w:rPr>
        <w:t>采购需求</w:t>
      </w:r>
      <w:r>
        <w:rPr>
          <w:rFonts w:hint="eastAsia" w:ascii="宋体" w:hAnsi="宋体" w:eastAsia="宋体" w:cs="宋体"/>
          <w:sz w:val="24"/>
          <w:szCs w:val="24"/>
          <w:highlight w:val="none"/>
        </w:rPr>
        <w:t>”以及合同条款进行报价。磋商总价中不得包含磋商文件要求以外的内容，否则，在评审时不予核减。磋商总价中也不得缺漏磋商文件所要求的内容，否则，其响应将被视为无效响应。</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 xml:space="preserve"> 供应商所报的报价在合同执行过程中是固定不变的，不得以任何理由予以变更。</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12.备选方案</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 只允许供应商有一个方案，否则将被视为无效响应。</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13.联合体响应</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本项目不接受联合体响应。</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14. 磋商保证金</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 供应商应在响应文件递交截止时间，递交磋商保证金，保证金金额详见磋商须知前附表，交纳保证金的凭证须做在响应文件中。</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14.2 磋商保证金提交形式和时间：详见前附表。磋商保证金应在磋商有效期截止日内有效。</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14.3 凡未按规定递交磋商保证金的，将被视为无效响应。</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14.4采购代理机构在成交通知书发出后五个工作日内退还未成交供应商的磋商保证金，在采购合同签订后五个工作日内退还成交供应商的磋商保证金。</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14.5 有下列情形之一的，磋商保证金将被没收：</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1)成交后无正当理由不与采购人或者采购代理机构签订合同的；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2)将成交项目转让给他人，或者在响应文件中未说明，或未经采购人同意，将成交项目分包给他人的。</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15. 磋商的有效期</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 磋商有效期为磋商之日起</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个日历日。供应商磋商有效期不足的将被视为无效响应。</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 特殊情况下，在原磋商有效期截止之前，采购代理机构或采购人可要求供应商延长磋商有效期。这种要求与答复均应以书面形式提交。供应商可拒绝采购代理机构或采购人的这种要求，其磋商保证金将不会被没收，但其响应在原磋商有效期期满后将不再有效。同意延长磋商有效期的供应商将不会被要求和允许修正其响应文件，而只会被要求相应地延长其磋商保证金的有效期。在这种情况下，本须知有关磋商保证金的退还和没收的规定将在延长了的有效期内继续有效。</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16.响应文件的格式和签署</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 供应商应编制响应文件一式</w:t>
      </w:r>
      <w:r>
        <w:rPr>
          <w:rFonts w:hint="eastAsia" w:ascii="宋体" w:hAnsi="宋体" w:eastAsia="宋体" w:cs="宋体"/>
          <w:sz w:val="24"/>
          <w:szCs w:val="24"/>
          <w:highlight w:val="none"/>
          <w:u w:val="single"/>
        </w:rPr>
        <w:t>3</w:t>
      </w:r>
      <w:r>
        <w:rPr>
          <w:rFonts w:hint="eastAsia" w:ascii="宋体" w:hAnsi="宋体" w:eastAsia="宋体" w:cs="宋体"/>
          <w:sz w:val="24"/>
          <w:szCs w:val="24"/>
          <w:highlight w:val="none"/>
        </w:rPr>
        <w:t>份，其中正本</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rPr>
        <w:t>份和副本</w:t>
      </w:r>
      <w:r>
        <w:rPr>
          <w:rFonts w:hint="eastAsia" w:ascii="宋体" w:hAnsi="宋体" w:eastAsia="宋体" w:cs="宋体"/>
          <w:sz w:val="24"/>
          <w:szCs w:val="24"/>
          <w:highlight w:val="none"/>
          <w:u w:val="single"/>
        </w:rPr>
        <w:t>2</w:t>
      </w:r>
      <w:r>
        <w:rPr>
          <w:rFonts w:hint="eastAsia" w:ascii="宋体" w:hAnsi="宋体" w:eastAsia="宋体" w:cs="宋体"/>
          <w:sz w:val="24"/>
          <w:szCs w:val="24"/>
          <w:highlight w:val="none"/>
        </w:rPr>
        <w:t>份，响应文件的副本可采用正本的复印件。每套响应文件须清楚地标明“正本”、“副本”。若副本与正本不符，以正本为准。并须提供响应文件电子版2份，可提交U盘。</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 响应文件的正本需打印或用不褪色墨水书写，并由法定代表人或经其正式授权的代表签字。授权代表要以书面形式出具证明，其《法定代表人授权书》应附在响应文件中。</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16.3 响应文件中的任何行间重要的插字、涂改和增删，必须由法定代表人或经其正式授权的代表在旁边签字才有效。</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16.4供应商应按磋商文件中提供的响应文件格式编写响应文件，并使用A4规格打印，装订成册。响应文件要求编写目录，页码应连续，牢固装订成册，不可插页抽页。</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牢固装订成册是指用适当的办法，书脊涂有胶粘剂以保证响应文件不至于散开或用简单办法不能将任何一页在没有任何损坏的情况下取出或插入。各种用活页夹、文件夹、塑料方便式书脊（插入式或穿孔式）装订均不认为是牢固装订。</w:t>
      </w:r>
    </w:p>
    <w:p>
      <w:pPr>
        <w:pStyle w:val="4"/>
        <w:pageBreakBefore w:val="0"/>
        <w:kinsoku/>
        <w:wordWrap/>
        <w:overflowPunct/>
        <w:topLinePunct w:val="0"/>
        <w:autoSpaceDE/>
        <w:autoSpaceDN/>
        <w:bidi w:val="0"/>
        <w:adjustRightInd/>
        <w:spacing w:line="460" w:lineRule="exact"/>
        <w:textAlignment w:val="auto"/>
        <w:rPr>
          <w:rFonts w:hint="eastAsia" w:ascii="宋体" w:hAnsi="宋体" w:eastAsia="宋体" w:cs="宋体"/>
          <w:sz w:val="24"/>
          <w:szCs w:val="24"/>
          <w:highlight w:val="none"/>
        </w:rPr>
      </w:pPr>
      <w:bookmarkStart w:id="21" w:name="_Toc515896118"/>
      <w:bookmarkStart w:id="22" w:name="_Toc24335"/>
      <w:bookmarkStart w:id="23" w:name="_Toc81475551"/>
      <w:r>
        <w:rPr>
          <w:rFonts w:hint="eastAsia" w:ascii="宋体" w:hAnsi="宋体" w:eastAsia="宋体" w:cs="宋体"/>
          <w:sz w:val="24"/>
          <w:szCs w:val="24"/>
          <w:highlight w:val="none"/>
        </w:rPr>
        <w:t>四、响应文件的递交</w:t>
      </w:r>
      <w:bookmarkEnd w:id="21"/>
      <w:bookmarkEnd w:id="22"/>
      <w:bookmarkEnd w:id="23"/>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17.响应文件的密封和标记</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17.1详见磋商须知前附表。</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17.2封口处加盖供应商印章。</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17.3 如果未按要求加写密封和标记，采购代理机构对误投或提前启封概不负责。</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18. 响应截止时间</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18.1 供应商应在不迟于“磋商须知前附表”中规定的截止日期和时间将响应文件递交至采购代理机构。</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19. 迟交的响应文件</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19.1 采购代理机构将拒绝并原封退回在规定的截止期后收到的任何响应文件。</w:t>
      </w: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20.响应文件的修改和撤回</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20.1 供应商在递交响应文件后，可以修改其响应文件，但供应商必须在规定的磋商截止期之前将修改的响应文件递交到采购代理机构。在磋商截止期之后，供应商不得对其响应文件做任何修改。</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 供应商在递交响应文件后，可以撤回其响应文件，但供应商必须在规定的磋商截止期之前以书面形式告知采购代理机构。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20.3 从磋商截止期至供应商在响应文件中确定的磋商有效期期满这段时间内，供应商不得撤回其响应文件。</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20.4 供应商所提交的响应文件在评审结束后，无论成交与否都不退还。</w:t>
      </w:r>
    </w:p>
    <w:p>
      <w:pPr>
        <w:pStyle w:val="4"/>
        <w:pageBreakBefore w:val="0"/>
        <w:kinsoku/>
        <w:wordWrap/>
        <w:overflowPunct/>
        <w:topLinePunct w:val="0"/>
        <w:autoSpaceDE/>
        <w:autoSpaceDN/>
        <w:bidi w:val="0"/>
        <w:adjustRightInd/>
        <w:spacing w:line="460" w:lineRule="exact"/>
        <w:textAlignment w:val="auto"/>
        <w:rPr>
          <w:rFonts w:hint="eastAsia" w:ascii="宋体" w:hAnsi="宋体" w:eastAsia="宋体" w:cs="宋体"/>
          <w:sz w:val="24"/>
          <w:szCs w:val="24"/>
          <w:highlight w:val="none"/>
        </w:rPr>
      </w:pPr>
      <w:bookmarkStart w:id="24" w:name="_Toc515896119"/>
      <w:bookmarkStart w:id="25" w:name="_Toc81475552"/>
      <w:bookmarkStart w:id="26" w:name="_Toc32323"/>
      <w:r>
        <w:rPr>
          <w:rFonts w:hint="eastAsia" w:ascii="宋体" w:hAnsi="宋体" w:eastAsia="宋体" w:cs="宋体"/>
          <w:sz w:val="24"/>
          <w:szCs w:val="24"/>
          <w:highlight w:val="none"/>
        </w:rPr>
        <w:t>五、磋商与评审</w:t>
      </w:r>
      <w:bookmarkEnd w:id="24"/>
      <w:bookmarkEnd w:id="25"/>
      <w:bookmarkEnd w:id="26"/>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21. 磋商与评审</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21.1 磋商：采购代理机构在“磋商须知前附表”和公告中约定的日期、时间和地点组织公开磋商。磋商时需有采购人和供应商代表参加，必要时还将邀请监督管理部门参加等有关单位代表参加。参加磋商的代表应签到以证明其出席。</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21.2详见第四章“评审方法、步骤及标准”</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21.3评审委员会组成及确定方式：详见磋商须知前附表</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21.4确定成交人：详见磋商须知前附表</w:t>
      </w:r>
    </w:p>
    <w:p>
      <w:pPr>
        <w:pStyle w:val="4"/>
        <w:pageBreakBefore w:val="0"/>
        <w:kinsoku/>
        <w:wordWrap/>
        <w:overflowPunct/>
        <w:topLinePunct w:val="0"/>
        <w:autoSpaceDE/>
        <w:autoSpaceDN/>
        <w:bidi w:val="0"/>
        <w:adjustRightInd/>
        <w:spacing w:line="460" w:lineRule="exact"/>
        <w:textAlignment w:val="auto"/>
        <w:rPr>
          <w:rFonts w:hint="eastAsia" w:ascii="宋体" w:hAnsi="宋体" w:eastAsia="宋体" w:cs="宋体"/>
          <w:sz w:val="24"/>
          <w:szCs w:val="24"/>
          <w:highlight w:val="none"/>
        </w:rPr>
      </w:pPr>
      <w:bookmarkStart w:id="27" w:name="_Toc31916"/>
      <w:bookmarkStart w:id="28" w:name="_Toc81475553"/>
      <w:bookmarkStart w:id="29" w:name="_Toc515896120"/>
      <w:r>
        <w:rPr>
          <w:rFonts w:hint="eastAsia" w:ascii="宋体" w:hAnsi="宋体" w:eastAsia="宋体" w:cs="宋体"/>
          <w:sz w:val="24"/>
          <w:szCs w:val="24"/>
          <w:highlight w:val="none"/>
        </w:rPr>
        <w:t>六、公告、质疑</w:t>
      </w:r>
      <w:bookmarkEnd w:id="27"/>
      <w:bookmarkEnd w:id="28"/>
      <w:bookmarkEnd w:id="29"/>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 采购代理机构将在中国政府采购网上发布采购公告、更正公告、通知、成交结果公告等政府采购的信息。</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 如果供应商对此次采购活动有疑问，可依据《中华人民共和国政府采购法》、《中华人民共和国政府采购法实施条例》等相关规定，向采购人或采购代理机构提出质疑。</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24. </w:t>
      </w:r>
      <w:bookmarkStart w:id="30" w:name="_Toc515896121"/>
      <w:bookmarkStart w:id="31" w:name="_Toc81475554"/>
      <w:r>
        <w:rPr>
          <w:rFonts w:hint="eastAsia" w:ascii="宋体" w:hAnsi="宋体" w:eastAsia="宋体" w:cs="宋体"/>
          <w:sz w:val="24"/>
          <w:szCs w:val="24"/>
          <w:highlight w:val="none"/>
        </w:rPr>
        <w:t>公告期内如有质疑，采购人或采购代理机构依据《中华人民共和国政府采购法》、《中华人民共和国政府采购法实施条例》给与答复，并将结果告知所有当事人。</w:t>
      </w:r>
    </w:p>
    <w:p>
      <w:pPr>
        <w:pageBreakBefore w:val="0"/>
        <w:kinsoku/>
        <w:wordWrap/>
        <w:overflowPunct/>
        <w:topLinePunct w:val="0"/>
        <w:autoSpaceDE/>
        <w:autoSpaceDN/>
        <w:bidi w:val="0"/>
        <w:adjustRightInd/>
        <w:snapToGrid w:val="0"/>
        <w:spacing w:line="460" w:lineRule="exact"/>
        <w:jc w:val="center"/>
        <w:textAlignment w:val="auto"/>
        <w:outlineLvl w:val="1"/>
        <w:rPr>
          <w:rFonts w:hint="eastAsia" w:ascii="宋体" w:hAnsi="宋体" w:eastAsia="宋体" w:cs="宋体"/>
          <w:b/>
          <w:sz w:val="24"/>
          <w:szCs w:val="24"/>
          <w:highlight w:val="none"/>
        </w:rPr>
      </w:pPr>
      <w:bookmarkStart w:id="32" w:name="_Toc11407"/>
    </w:p>
    <w:p>
      <w:pPr>
        <w:pageBreakBefore w:val="0"/>
        <w:numPr>
          <w:ilvl w:val="0"/>
          <w:numId w:val="2"/>
        </w:numPr>
        <w:kinsoku/>
        <w:wordWrap/>
        <w:overflowPunct/>
        <w:topLinePunct w:val="0"/>
        <w:autoSpaceDE/>
        <w:autoSpaceDN/>
        <w:bidi w:val="0"/>
        <w:adjustRightInd/>
        <w:snapToGrid w:val="0"/>
        <w:spacing w:line="460" w:lineRule="exact"/>
        <w:jc w:val="center"/>
        <w:textAlignment w:val="auto"/>
        <w:outlineLvl w:val="1"/>
        <w:rPr>
          <w:rFonts w:hint="eastAsia"/>
          <w:b/>
          <w:bCs w:val="0"/>
        </w:rPr>
      </w:pPr>
      <w:r>
        <w:rPr>
          <w:rFonts w:hint="eastAsia" w:ascii="宋体" w:hAnsi="宋体" w:eastAsia="宋体" w:cs="宋体"/>
          <w:b/>
          <w:bCs w:val="0"/>
          <w:sz w:val="24"/>
          <w:szCs w:val="24"/>
          <w:highlight w:val="none"/>
        </w:rPr>
        <w:t>否决响应条款</w:t>
      </w:r>
      <w:bookmarkEnd w:id="30"/>
      <w:bookmarkEnd w:id="31"/>
      <w:bookmarkEnd w:id="32"/>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25.在采购中，出现下列情形之一的，应否决响应：</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1、响应文件未按磋商文件要求签署、盖章的；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2、不具备磋商文件中规定的资格要求的；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3、报价超过磋商文件中规定的预算金额或者最高限价的；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4、响应文件含有采购人不能接受的附加条件的；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5、响应文件未按规定格式、内容填写的；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6、传真响应的；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7、在磋商截止时间后送达响应文件的；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8、单位负责人（法定代表人）为同一人或者存在控股、管理关系的不同供应商，参加同一合同项下的磋商项目标的；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9、响应文件无法定代表人签字或正式授权代表签字的、授权代表签字没有出具法定代表人授权委托书的；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10、磋商有效期不足的；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11、响应文件电子版未按磋商文件要求提交的；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12、供应商被列入信用中国、中国政府采购网黑名单、失信名单的；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响应文件报价出现前后不一致的，除磋商文件另有规定外，按照《政府采购货物和服务招标投标管理办法》（财政部令第87号）第五十九条规定进行修正，修正后的报价按照该办法第五十一条第二款的规定经供应商确认后产生约束力，供应商不确认的，其响应无效；</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将其作为无效响应处理。</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15、供应商串通参与磋商的；</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16、不符合法律、法规和磋商文件中规定的其他实质性要求的。。</w:t>
      </w:r>
    </w:p>
    <w:p>
      <w:pPr>
        <w:pStyle w:val="4"/>
        <w:pageBreakBefore w:val="0"/>
        <w:kinsoku/>
        <w:wordWrap/>
        <w:overflowPunct/>
        <w:topLinePunct w:val="0"/>
        <w:autoSpaceDE/>
        <w:autoSpaceDN/>
        <w:bidi w:val="0"/>
        <w:adjustRightInd/>
        <w:spacing w:line="460" w:lineRule="exact"/>
        <w:textAlignment w:val="auto"/>
        <w:rPr>
          <w:rFonts w:hint="eastAsia" w:ascii="宋体" w:hAnsi="宋体" w:eastAsia="宋体" w:cs="宋体"/>
          <w:sz w:val="24"/>
          <w:szCs w:val="24"/>
          <w:highlight w:val="none"/>
        </w:rPr>
      </w:pPr>
      <w:bookmarkStart w:id="33" w:name="_Toc81475555"/>
      <w:bookmarkStart w:id="34" w:name="_Toc515896122"/>
      <w:bookmarkStart w:id="35" w:name="_Toc7678"/>
      <w:r>
        <w:rPr>
          <w:rFonts w:hint="eastAsia" w:ascii="宋体" w:hAnsi="宋体" w:eastAsia="宋体" w:cs="宋体"/>
          <w:sz w:val="24"/>
          <w:szCs w:val="24"/>
          <w:highlight w:val="none"/>
        </w:rPr>
        <w:t>八、 授予合同</w:t>
      </w:r>
      <w:bookmarkEnd w:id="33"/>
      <w:bookmarkEnd w:id="34"/>
      <w:bookmarkEnd w:id="35"/>
    </w:p>
    <w:p>
      <w:pPr>
        <w:pageBreakBefore w:val="0"/>
        <w:kinsoku/>
        <w:wordWrap/>
        <w:overflowPunct/>
        <w:topLinePunct w:val="0"/>
        <w:autoSpaceDE/>
        <w:autoSpaceDN/>
        <w:bidi w:val="0"/>
        <w:adjustRightInd/>
        <w:snapToGrid w:val="0"/>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26. 签订合同</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26.1采购人应当自《成交通知书》发出之日起30日内，按照磋商文件和成交供应商响应文件的约定，与成交供应商签订书面合同。</w:t>
      </w:r>
    </w:p>
    <w:p>
      <w:pPr>
        <w:pageBreakBefore w:val="0"/>
        <w:widowControl/>
        <w:kinsoku/>
        <w:wordWrap/>
        <w:overflowPunct/>
        <w:topLinePunct w:val="0"/>
        <w:autoSpaceDE/>
        <w:autoSpaceDN/>
        <w:bidi w:val="0"/>
        <w:adjustRightInd/>
        <w:spacing w:line="460" w:lineRule="exact"/>
        <w:ind w:firstLine="482" w:firstLineChars="201"/>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26.2采购人应当自政府采购合同签订之日起2个工作日内，将政府采购合同在省级以上人民政府财政部门指定的媒体上公告，但政府采购合同中涉及国家秘密、商业秘密的内容除外。</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26.3采购人应按磋商文件要求和成交供应商的响应文件承诺订立书面合同，但不得超出磋商文件和成交供应商响应文件的范围，也不得再行订立背离合同实质性内容的其他协议。</w:t>
      </w:r>
    </w:p>
    <w:p>
      <w:pPr>
        <w:pStyle w:val="4"/>
        <w:pageBreakBefore w:val="0"/>
        <w:kinsoku/>
        <w:wordWrap/>
        <w:overflowPunct/>
        <w:topLinePunct w:val="0"/>
        <w:autoSpaceDE/>
        <w:autoSpaceDN/>
        <w:bidi w:val="0"/>
        <w:adjustRightInd/>
        <w:spacing w:line="460" w:lineRule="exact"/>
        <w:textAlignment w:val="auto"/>
        <w:rPr>
          <w:rFonts w:hint="eastAsia" w:ascii="宋体" w:hAnsi="宋体" w:eastAsia="宋体" w:cs="宋体"/>
          <w:highlight w:val="none"/>
        </w:rPr>
      </w:pPr>
      <w:bookmarkStart w:id="36" w:name="_Toc32543"/>
      <w:bookmarkStart w:id="37" w:name="_Toc81475556"/>
      <w:bookmarkStart w:id="38" w:name="_Toc515896123"/>
      <w:r>
        <w:rPr>
          <w:rFonts w:hint="eastAsia" w:ascii="宋体" w:hAnsi="宋体" w:eastAsia="宋体" w:cs="宋体"/>
          <w:sz w:val="24"/>
          <w:szCs w:val="24"/>
          <w:highlight w:val="none"/>
        </w:rPr>
        <w:t>九、履约保证金</w:t>
      </w:r>
      <w:bookmarkEnd w:id="36"/>
      <w:bookmarkEnd w:id="37"/>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 具体详见磋商须知前附表</w:t>
      </w:r>
    </w:p>
    <w:p>
      <w:pPr>
        <w:pStyle w:val="4"/>
        <w:pageBreakBefore w:val="0"/>
        <w:kinsoku/>
        <w:wordWrap/>
        <w:overflowPunct/>
        <w:topLinePunct w:val="0"/>
        <w:autoSpaceDE/>
        <w:autoSpaceDN/>
        <w:bidi w:val="0"/>
        <w:adjustRightInd/>
        <w:spacing w:line="460" w:lineRule="exact"/>
        <w:textAlignment w:val="auto"/>
        <w:rPr>
          <w:rFonts w:hint="eastAsia" w:ascii="宋体" w:hAnsi="宋体" w:eastAsia="宋体" w:cs="宋体"/>
          <w:sz w:val="24"/>
          <w:szCs w:val="24"/>
          <w:highlight w:val="none"/>
        </w:rPr>
      </w:pPr>
      <w:bookmarkStart w:id="39" w:name="_Toc20838"/>
      <w:bookmarkStart w:id="40" w:name="_Toc81475557"/>
      <w:r>
        <w:rPr>
          <w:rFonts w:hint="eastAsia" w:ascii="宋体" w:hAnsi="宋体" w:eastAsia="宋体" w:cs="宋体"/>
          <w:sz w:val="24"/>
          <w:szCs w:val="24"/>
          <w:highlight w:val="none"/>
        </w:rPr>
        <w:t>十、评审纪律和注意事项</w:t>
      </w:r>
      <w:bookmarkEnd w:id="38"/>
      <w:bookmarkEnd w:id="39"/>
      <w:bookmarkEnd w:id="40"/>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 评审工作为保密评审，涉及评审工作的所有人员、供应商代表进入评审现场，须关闭一切通讯工具,不得随意走动。</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highlight w:val="none"/>
        </w:rPr>
      </w:pPr>
      <w:r>
        <w:rPr>
          <w:rFonts w:hint="eastAsia" w:ascii="宋体" w:hAnsi="宋体" w:eastAsia="宋体" w:cs="宋体"/>
          <w:sz w:val="24"/>
          <w:szCs w:val="24"/>
          <w:highlight w:val="none"/>
        </w:rPr>
        <w:t>29. 在评审过程中严格执行《中华人民共和国政府采购法》和《中华人民共和国反不正当竞争法》及国家、自治区关于政府采购的规定。</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涉及评审工作的所有人员不得以任何形式与供应商进行旨在影响评审结果的私下接触，不得接受供应商的任何信息、暗示、馈赠，不得参加供应商以任何方式组织的宴请、娱乐等活动。有需供应商澄清的问题必须采用集体询标的办法进行。</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 对每个供应商的商业秘密和报价，涉及评审工作的所有人员给予保密，不得泄露给其他供应商。评审开始之后，直至授予供应商合同止，有关审查、澄清、评价和比较响应的资料及授标意向等要严格保密，涉及评审工作的所有人员不得向供应商和其他人员透露。</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 供应商不得干扰评审工作，如果有企图对评审施加影响的行为，将会导致响应被拒绝。</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 评审必须坚持公平公正、实事求是的原则，杜绝不客观的提议。集中精力，采用集中办公方式。</w:t>
      </w:r>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 涉及评审工作的人员若有违规行为的，按照有关程序处理，并取消参加评审有关工作的资格。</w:t>
      </w:r>
    </w:p>
    <w:p>
      <w:pPr>
        <w:pStyle w:val="4"/>
        <w:pageBreakBefore w:val="0"/>
        <w:kinsoku/>
        <w:wordWrap/>
        <w:overflowPunct/>
        <w:topLinePunct w:val="0"/>
        <w:autoSpaceDE/>
        <w:autoSpaceDN/>
        <w:bidi w:val="0"/>
        <w:adjustRightInd/>
        <w:spacing w:line="460" w:lineRule="exact"/>
        <w:textAlignment w:val="auto"/>
        <w:rPr>
          <w:rFonts w:hint="eastAsia" w:ascii="宋体" w:hAnsi="宋体" w:eastAsia="宋体" w:cs="宋体"/>
          <w:sz w:val="24"/>
          <w:szCs w:val="24"/>
          <w:highlight w:val="none"/>
        </w:rPr>
      </w:pPr>
      <w:bookmarkStart w:id="41" w:name="_Toc81475558"/>
      <w:bookmarkStart w:id="42" w:name="_Toc30659"/>
      <w:bookmarkStart w:id="43" w:name="_Toc515896124"/>
      <w:r>
        <w:rPr>
          <w:rFonts w:hint="eastAsia" w:ascii="宋体" w:hAnsi="宋体" w:eastAsia="宋体" w:cs="宋体"/>
          <w:sz w:val="24"/>
          <w:szCs w:val="24"/>
          <w:highlight w:val="none"/>
        </w:rPr>
        <w:t>十一、 适用法律</w:t>
      </w:r>
      <w:bookmarkEnd w:id="41"/>
      <w:bookmarkEnd w:id="42"/>
      <w:bookmarkEnd w:id="43"/>
    </w:p>
    <w:p>
      <w:pPr>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 采购人、采购代理机构及供应商的一切政府采购活动均适用于《中华人民共和国政府采购法》及相关规定</w:t>
      </w:r>
      <w:r>
        <w:rPr>
          <w:rFonts w:hint="eastAsia" w:ascii="宋体" w:hAnsi="宋体" w:eastAsia="宋体" w:cs="宋体"/>
          <w:sz w:val="24"/>
          <w:szCs w:val="24"/>
          <w:highlight w:val="none"/>
        </w:rPr>
        <w:br w:type="page"/>
      </w:r>
    </w:p>
    <w:p>
      <w:pPr>
        <w:pStyle w:val="3"/>
        <w:spacing w:line="240" w:lineRule="auto"/>
        <w:jc w:val="center"/>
        <w:rPr>
          <w:rFonts w:hint="eastAsia" w:ascii="宋体" w:hAnsi="宋体" w:eastAsia="宋体" w:cs="宋体"/>
          <w:sz w:val="32"/>
          <w:szCs w:val="32"/>
          <w:highlight w:val="none"/>
          <w:lang w:eastAsia="zh-CN"/>
        </w:rPr>
      </w:pPr>
      <w:bookmarkStart w:id="44" w:name="_Toc81475559"/>
      <w:bookmarkStart w:id="45" w:name="_Toc29315"/>
      <w:bookmarkStart w:id="46" w:name="_Toc236590023"/>
      <w:r>
        <w:rPr>
          <w:rFonts w:hint="eastAsia" w:ascii="宋体" w:hAnsi="宋体" w:eastAsia="宋体" w:cs="宋体"/>
          <w:sz w:val="32"/>
          <w:szCs w:val="32"/>
          <w:highlight w:val="none"/>
        </w:rPr>
        <w:t>第三章</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采购</w:t>
      </w:r>
      <w:bookmarkEnd w:id="44"/>
      <w:r>
        <w:rPr>
          <w:rFonts w:hint="eastAsia" w:ascii="宋体" w:hAnsi="宋体" w:eastAsia="宋体" w:cs="宋体"/>
          <w:sz w:val="32"/>
          <w:szCs w:val="32"/>
          <w:highlight w:val="none"/>
          <w:lang w:eastAsia="zh-CN"/>
        </w:rPr>
        <w:t>需求</w:t>
      </w:r>
      <w:bookmarkEnd w:id="45"/>
    </w:p>
    <w:p>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一、项目名称：</w:t>
      </w:r>
      <w:r>
        <w:rPr>
          <w:rFonts w:hint="eastAsia" w:ascii="宋体" w:hAnsi="宋体" w:cs="宋体"/>
          <w:sz w:val="24"/>
          <w:szCs w:val="24"/>
          <w:highlight w:val="none"/>
          <w:lang w:eastAsia="zh-CN"/>
        </w:rPr>
        <w:t>内蒙古自治区公安厅特勤局2022年度执勤化装服采购项目（二次）</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二、预算金额：732080元</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、供货期：自合同签订之日起30天。</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、质保期：</w:t>
      </w:r>
      <w:r>
        <w:rPr>
          <w:rFonts w:hint="eastAsia" w:ascii="宋体" w:hAnsi="宋体" w:eastAsia="宋体" w:cs="宋体"/>
          <w:sz w:val="24"/>
          <w:szCs w:val="24"/>
          <w:highlight w:val="none"/>
          <w:lang w:val="zh-CN"/>
        </w:rPr>
        <w:t>自验收合格之日起</w:t>
      </w:r>
      <w:r>
        <w:rPr>
          <w:rFonts w:hint="eastAsia" w:ascii="宋体" w:hAnsi="宋体" w:eastAsia="宋体" w:cs="宋体"/>
          <w:sz w:val="24"/>
          <w:szCs w:val="24"/>
          <w:highlight w:val="none"/>
        </w:rPr>
        <w:t>1年。</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、交货地点:内蒙古自治区公安厅特勤局。</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、履约保证金：成交供应商在收到成交通知书后5个工作日内，向采购人交纳</w:t>
      </w:r>
      <w:r>
        <w:rPr>
          <w:rFonts w:hint="eastAsia" w:ascii="宋体" w:hAnsi="宋体" w:eastAsia="宋体" w:cs="宋体"/>
          <w:sz w:val="24"/>
          <w:szCs w:val="24"/>
          <w:highlight w:val="none"/>
          <w:lang w:eastAsia="zh-CN"/>
        </w:rPr>
        <w:t>21962元</w:t>
      </w:r>
      <w:r>
        <w:rPr>
          <w:rFonts w:hint="eastAsia" w:ascii="宋体" w:hAnsi="宋体" w:eastAsia="宋体" w:cs="宋体"/>
          <w:sz w:val="24"/>
          <w:szCs w:val="24"/>
          <w:highlight w:val="none"/>
        </w:rPr>
        <w:t>作为履约保证金，验收合格后转为质保金，质保期满后，由采购人无息退还</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lang w:eastAsia="zh-CN"/>
        </w:rPr>
        <w:t>七</w:t>
      </w:r>
      <w:r>
        <w:rPr>
          <w:rFonts w:hint="eastAsia" w:ascii="宋体" w:hAnsi="宋体" w:eastAsia="宋体" w:cs="宋体"/>
          <w:sz w:val="24"/>
          <w:szCs w:val="24"/>
          <w:highlight w:val="none"/>
        </w:rPr>
        <w:t>、付款方式：采购人验收合格并经审计后，按成交单价、实际发生数量，以结算审核金额为准一次性付款100%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验收合格后履约保证金转为质量保证金，质保期满后，由采购人无息退还。</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snapToGrid w:val="0"/>
          <w:kern w:val="0"/>
          <w:sz w:val="24"/>
          <w:szCs w:val="24"/>
          <w:highlight w:val="none"/>
          <w:lang w:val="zh-CN"/>
        </w:rPr>
      </w:pPr>
      <w:bookmarkStart w:id="47" w:name="_Toc81475570"/>
      <w:r>
        <w:rPr>
          <w:rFonts w:hint="eastAsia" w:ascii="宋体" w:hAnsi="宋体" w:eastAsia="宋体" w:cs="宋体"/>
          <w:snapToGrid w:val="0"/>
          <w:kern w:val="0"/>
          <w:sz w:val="24"/>
          <w:szCs w:val="24"/>
          <w:highlight w:val="none"/>
          <w:lang w:val="zh-CN"/>
        </w:rPr>
        <w:t>八、服务要求：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snapToGrid w:val="0"/>
          <w:kern w:val="0"/>
          <w:sz w:val="24"/>
          <w:szCs w:val="24"/>
          <w:highlight w:val="none"/>
          <w:lang w:val="zh-CN"/>
        </w:rPr>
      </w:pPr>
      <w:r>
        <w:rPr>
          <w:rFonts w:hint="eastAsia" w:ascii="宋体" w:hAnsi="宋体" w:eastAsia="宋体" w:cs="宋体"/>
          <w:snapToGrid w:val="0"/>
          <w:kern w:val="0"/>
          <w:sz w:val="24"/>
          <w:szCs w:val="24"/>
          <w:highlight w:val="none"/>
        </w:rPr>
        <w:t>1、</w:t>
      </w:r>
      <w:r>
        <w:rPr>
          <w:rFonts w:hint="eastAsia" w:ascii="宋体" w:hAnsi="宋体" w:eastAsia="宋体" w:cs="宋体"/>
          <w:snapToGrid w:val="0"/>
          <w:kern w:val="0"/>
          <w:sz w:val="24"/>
          <w:szCs w:val="24"/>
          <w:highlight w:val="none"/>
          <w:lang w:val="zh-CN"/>
        </w:rPr>
        <w:t>供应商提供上门量体服务。</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snapToGrid w:val="0"/>
          <w:kern w:val="0"/>
          <w:sz w:val="24"/>
          <w:szCs w:val="24"/>
          <w:highlight w:val="none"/>
          <w:lang w:val="zh-CN"/>
        </w:rPr>
      </w:pPr>
      <w:r>
        <w:rPr>
          <w:rFonts w:hint="eastAsia" w:ascii="宋体" w:hAnsi="宋体" w:eastAsia="宋体" w:cs="宋体"/>
          <w:snapToGrid w:val="0"/>
          <w:kern w:val="0"/>
          <w:sz w:val="24"/>
          <w:szCs w:val="24"/>
          <w:highlight w:val="none"/>
        </w:rPr>
        <w:t>2、</w:t>
      </w:r>
      <w:r>
        <w:rPr>
          <w:rFonts w:hint="eastAsia" w:ascii="宋体" w:hAnsi="宋体" w:eastAsia="宋体" w:cs="宋体"/>
          <w:snapToGrid w:val="0"/>
          <w:kern w:val="0"/>
          <w:sz w:val="24"/>
          <w:szCs w:val="24"/>
          <w:highlight w:val="none"/>
          <w:lang w:val="zh-CN"/>
        </w:rPr>
        <w:t>供应商负责货物的运输，所需费用由供应商承担。</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snapToGrid w:val="0"/>
          <w:kern w:val="0"/>
          <w:sz w:val="24"/>
          <w:szCs w:val="24"/>
          <w:highlight w:val="none"/>
          <w:lang w:val="zh-CN"/>
        </w:rPr>
      </w:pPr>
      <w:r>
        <w:rPr>
          <w:rFonts w:hint="eastAsia" w:ascii="宋体" w:hAnsi="宋体" w:eastAsia="宋体" w:cs="宋体"/>
          <w:snapToGrid w:val="0"/>
          <w:kern w:val="0"/>
          <w:sz w:val="24"/>
          <w:szCs w:val="24"/>
          <w:highlight w:val="none"/>
        </w:rPr>
        <w:t>3、</w:t>
      </w:r>
      <w:r>
        <w:rPr>
          <w:rFonts w:hint="eastAsia" w:ascii="宋体" w:hAnsi="宋体" w:eastAsia="宋体" w:cs="宋体"/>
          <w:snapToGrid w:val="0"/>
          <w:kern w:val="0"/>
          <w:sz w:val="24"/>
          <w:szCs w:val="24"/>
          <w:highlight w:val="none"/>
          <w:lang w:val="zh-CN"/>
        </w:rPr>
        <w:t>交货后，如尺码不合适，必须在一个月之内更改或调换，直至符合要求。</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snapToGrid w:val="0"/>
          <w:kern w:val="0"/>
          <w:sz w:val="24"/>
          <w:szCs w:val="24"/>
          <w:highlight w:val="none"/>
          <w:lang w:val="zh-CN"/>
        </w:rPr>
      </w:pPr>
      <w:r>
        <w:rPr>
          <w:rFonts w:hint="eastAsia" w:ascii="宋体" w:hAnsi="宋体" w:eastAsia="宋体" w:cs="宋体"/>
          <w:snapToGrid w:val="0"/>
          <w:kern w:val="0"/>
          <w:sz w:val="24"/>
          <w:szCs w:val="24"/>
          <w:highlight w:val="none"/>
        </w:rPr>
        <w:t>4、</w:t>
      </w:r>
      <w:r>
        <w:rPr>
          <w:rFonts w:hint="eastAsia" w:ascii="宋体" w:hAnsi="宋体" w:eastAsia="宋体" w:cs="宋体"/>
          <w:snapToGrid w:val="0"/>
          <w:kern w:val="0"/>
          <w:sz w:val="24"/>
          <w:szCs w:val="24"/>
          <w:highlight w:val="none"/>
          <w:lang w:val="zh-CN"/>
        </w:rPr>
        <w:t>供应商提供该货物的详细使用保养说明。</w:t>
      </w:r>
    </w:p>
    <w:p>
      <w:pPr>
        <w:keepNext w:val="0"/>
        <w:keepLines w:val="0"/>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snapToGrid w:val="0"/>
          <w:kern w:val="0"/>
          <w:sz w:val="24"/>
          <w:szCs w:val="24"/>
          <w:highlight w:val="none"/>
          <w:lang w:val="zh-CN"/>
        </w:rPr>
      </w:pPr>
      <w:r>
        <w:rPr>
          <w:rFonts w:hint="eastAsia" w:ascii="宋体" w:hAnsi="宋体" w:eastAsia="宋体" w:cs="宋体"/>
          <w:snapToGrid w:val="0"/>
          <w:kern w:val="0"/>
          <w:sz w:val="24"/>
          <w:szCs w:val="24"/>
          <w:highlight w:val="none"/>
          <w:lang w:val="zh-CN"/>
        </w:rPr>
        <w:t>九、验收</w:t>
      </w:r>
      <w:r>
        <w:rPr>
          <w:rFonts w:hint="eastAsia" w:ascii="宋体" w:hAnsi="宋体" w:cs="宋体"/>
          <w:snapToGrid w:val="0"/>
          <w:kern w:val="0"/>
          <w:sz w:val="24"/>
          <w:szCs w:val="24"/>
          <w:highlight w:val="none"/>
          <w:lang w:val="zh-CN"/>
        </w:rPr>
        <w:t>标准</w:t>
      </w:r>
      <w:r>
        <w:rPr>
          <w:rFonts w:hint="eastAsia" w:ascii="宋体" w:hAnsi="宋体" w:eastAsia="宋体" w:cs="宋体"/>
          <w:snapToGrid w:val="0"/>
          <w:kern w:val="0"/>
          <w:sz w:val="24"/>
          <w:szCs w:val="24"/>
          <w:highlight w:val="none"/>
          <w:lang w:val="zh-CN"/>
        </w:rPr>
        <w:t>：符合竞争性磋商文件采购需求中数量、质量、技术</w:t>
      </w:r>
      <w:r>
        <w:rPr>
          <w:rFonts w:hint="eastAsia" w:ascii="宋体" w:hAnsi="宋体" w:cs="宋体"/>
          <w:snapToGrid w:val="0"/>
          <w:kern w:val="0"/>
          <w:sz w:val="24"/>
          <w:szCs w:val="24"/>
          <w:highlight w:val="none"/>
          <w:lang w:val="zh-CN"/>
        </w:rPr>
        <w:t>参数</w:t>
      </w:r>
      <w:r>
        <w:rPr>
          <w:rFonts w:hint="eastAsia" w:ascii="宋体" w:hAnsi="宋体" w:eastAsia="宋体" w:cs="宋体"/>
          <w:snapToGrid w:val="0"/>
          <w:kern w:val="0"/>
          <w:sz w:val="24"/>
          <w:szCs w:val="24"/>
          <w:highlight w:val="none"/>
          <w:lang w:val="zh-CN"/>
        </w:rPr>
        <w:t>指标要求</w:t>
      </w:r>
      <w:r>
        <w:rPr>
          <w:rFonts w:hint="eastAsia" w:ascii="宋体" w:hAnsi="宋体" w:cs="宋体"/>
          <w:snapToGrid w:val="0"/>
          <w:kern w:val="0"/>
          <w:sz w:val="24"/>
          <w:szCs w:val="24"/>
          <w:highlight w:val="none"/>
          <w:lang w:val="zh-CN"/>
        </w:rPr>
        <w:t>。</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十</w:t>
      </w:r>
      <w:r>
        <w:rPr>
          <w:rFonts w:hint="eastAsia" w:ascii="宋体" w:hAnsi="宋体" w:eastAsia="宋体" w:cs="宋体"/>
          <w:sz w:val="24"/>
          <w:szCs w:val="24"/>
          <w:highlight w:val="none"/>
        </w:rPr>
        <w:t>、项目内容及要求：详见</w:t>
      </w:r>
      <w:r>
        <w:rPr>
          <w:rFonts w:hint="eastAsia" w:ascii="宋体" w:hAnsi="宋体" w:eastAsia="宋体" w:cs="宋体"/>
          <w:sz w:val="24"/>
          <w:szCs w:val="24"/>
          <w:highlight w:val="none"/>
          <w:lang w:eastAsia="zh-CN"/>
        </w:rPr>
        <w:t>下表</w:t>
      </w:r>
      <w:r>
        <w:rPr>
          <w:rFonts w:hint="eastAsia" w:ascii="宋体" w:hAnsi="宋体" w:eastAsia="宋体" w:cs="宋体"/>
          <w:sz w:val="24"/>
          <w:szCs w:val="24"/>
          <w:highlight w:val="none"/>
        </w:rPr>
        <w:t>。</w:t>
      </w:r>
    </w:p>
    <w:p>
      <w:pPr>
        <w:pStyle w:val="8"/>
        <w:jc w:val="center"/>
        <w:rPr>
          <w:rFonts w:hint="eastAsia" w:ascii="宋体" w:hAnsi="宋体" w:eastAsia="宋体" w:cs="宋体"/>
          <w:b/>
          <w:bCs/>
          <w:sz w:val="24"/>
          <w:szCs w:val="22"/>
          <w:highlight w:val="none"/>
          <w:lang w:val="zh-CN"/>
        </w:rPr>
      </w:pPr>
      <w:r>
        <w:rPr>
          <w:rFonts w:hint="eastAsia" w:ascii="宋体" w:hAnsi="宋体" w:eastAsia="宋体" w:cs="宋体"/>
          <w:b/>
          <w:bCs/>
          <w:sz w:val="24"/>
          <w:szCs w:val="22"/>
          <w:highlight w:val="none"/>
          <w:lang w:val="zh-CN" w:eastAsia="zh-CN"/>
        </w:rPr>
        <w:t>采购需求</w:t>
      </w:r>
      <w:r>
        <w:rPr>
          <w:rFonts w:hint="eastAsia" w:ascii="宋体" w:hAnsi="宋体" w:eastAsia="宋体" w:cs="宋体"/>
          <w:b/>
          <w:bCs/>
          <w:sz w:val="24"/>
          <w:szCs w:val="22"/>
          <w:highlight w:val="none"/>
          <w:lang w:val="zh-CN"/>
        </w:rPr>
        <w:t>统计表</w:t>
      </w:r>
    </w:p>
    <w:tbl>
      <w:tblPr>
        <w:tblStyle w:val="45"/>
        <w:tblW w:w="5603" w:type="pct"/>
        <w:jc w:val="center"/>
        <w:tblLayout w:type="fixed"/>
        <w:tblCellMar>
          <w:top w:w="0" w:type="dxa"/>
          <w:left w:w="108" w:type="dxa"/>
          <w:bottom w:w="0" w:type="dxa"/>
          <w:right w:w="108" w:type="dxa"/>
        </w:tblCellMar>
      </w:tblPr>
      <w:tblGrid>
        <w:gridCol w:w="489"/>
        <w:gridCol w:w="1703"/>
        <w:gridCol w:w="5526"/>
        <w:gridCol w:w="709"/>
        <w:gridCol w:w="1282"/>
      </w:tblGrid>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品种</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kern w:val="0"/>
                <w:sz w:val="24"/>
                <w:szCs w:val="24"/>
                <w:highlight w:val="none"/>
                <w:lang w:eastAsia="zh-CN"/>
              </w:rPr>
              <w:t>技术</w:t>
            </w:r>
            <w:r>
              <w:rPr>
                <w:rFonts w:hint="eastAsia" w:ascii="宋体" w:hAnsi="宋体" w:cs="宋体"/>
                <w:b/>
                <w:bCs/>
                <w:color w:val="000000"/>
                <w:kern w:val="0"/>
                <w:sz w:val="24"/>
                <w:szCs w:val="24"/>
                <w:highlight w:val="none"/>
                <w:lang w:eastAsia="zh-CN"/>
              </w:rPr>
              <w:t>参数</w:t>
            </w:r>
            <w:r>
              <w:rPr>
                <w:rFonts w:hint="eastAsia" w:ascii="宋体" w:hAnsi="宋体" w:eastAsia="宋体" w:cs="宋体"/>
                <w:b/>
                <w:bCs/>
                <w:color w:val="000000"/>
                <w:kern w:val="0"/>
                <w:sz w:val="24"/>
                <w:szCs w:val="24"/>
                <w:highlight w:val="none"/>
                <w:lang w:eastAsia="zh-CN"/>
              </w:rPr>
              <w:t>指标要求</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颜色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rPr>
              <w:t>单价控制价（元）</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针织短袖T恤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面料：≥85%聚酯纤维，≥10%氨纶，男士适用</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针织短袖T恤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面料：≥95%聚酯纤维，≥10%氨纶，男士适用</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男士机织外套</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面料：锦纶≥80%，氨纶C≥10%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1100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女士机织外套</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外面料：锦纶≥90%.里料：锦纶里料,聚酯纤维等组成</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1100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男士机织外套</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外面料：聚酯纤维≥90%.里料：聚酯纤维填充物等组成</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1000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男士机织外套</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外面料：锦纶≥90%.里料：聚酯纤维填充物等组成</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1800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男士机织外套</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外面料：聚酯纤维≥90%.里料：聚酯纤维填充物等组成</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1000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男士机织外套</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外面料：锦纶≥85%.氨纶≥10%。里料：聚酯纤维填充物等组成</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1100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男士机织外套</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外面料：聚酯纤维≥95%.里料：聚酯纤维填充物等组成。具备面料拒水功能，透湿性功能。</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1900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女士机织外套</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外面料：聚酯纤维≥95%.里料：聚酯纤维填充物等组成。</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1900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女士机织外套</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外面料：锦纶≥85%.氨纶≥13%，里料：聚酯纤维填充物等组成。</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1100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女士机织外套</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外面料：锦纶≥95%.里料：聚酯纤维填充物等组成。</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1100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女士机织T恤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高性能SECO面料</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黑色兰色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750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男士机织T恤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高性能SECO面料</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黑色兰色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750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男士机织T恤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复合型功能面料</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650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男士机织T恤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复合型功能速干面料</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550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男士机织外套</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复合型功能弹力面料，防晒</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男士机织外套</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复合型功能弹力面料，防晒</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女士防风外套</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复合型功能防风面料</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多色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1600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女士夏季外套</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复合型功能防晒防风面料</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多色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1650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女士夏季外套</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复合型功能防晒面料</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多色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1160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轻量弹力夹克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面料：聚酯纤维≥90%，氨纶≥9%，包含涂层</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炭灰色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女士轻量弹力夹克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面料：锦纶≥70%，氨纶≥20%，里料：锦纶≥85%，氨纶≥13%</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淡紫色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1370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女士短袖圆领T恤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面料：聚酯纤维≥80%，氨纶≥15%，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淡紫色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男士轻量弹力马甲</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面料：锦纶≥70%，氨纶≥20%，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兰色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880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女士户外夹克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面料：聚酯纤维≥90%，里料：锦纶B≥95%，聚酯纤维≥95%，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沙色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1300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男士短袖圆领T恤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男士短袖圆领T恤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面料：聚酯纤维≥80%，氨纶≥15%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男士短袖衬衫</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面料：锦纶≥85%，氨纶≥10%，面料2：聚酯纤维≥85%，氨纶≥10%，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兰色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900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女士短袖POLOT恤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浅紫色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男士短袖POLOT恤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面料：聚酯纤维≥60%，粘纤≥35%，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兰色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650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男士短袖POLOT恤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面料：聚酯纤维≥70%，氨纶≥20%，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800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男士短袖POLOT恤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面料：聚酯纤维≥80%，氨纶≥15%，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700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男士夹克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面料：聚酯纤维≥95%，里料：锦纶B≥95%，聚酯纤维≥95%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兰色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1900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男士防风夹克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面料：聚酯纤维≥90%，里料：锦纶B≥95%，聚酯纤维≥95%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兰色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1900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女士针织运动服</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面料：聚酯纤维≥95%，，内衬：聚酯纤维≥85%，氨纶≥10%A</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多色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男士上衣</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面料：聚酯纤维≥90%，，内衬：聚酯纤维≥85%，氨纶≥5%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多色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900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男士夹克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面料：聚酯纤维≥85%，氨纶≥10%，内衬：聚酯纤维≥,95%，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900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男士拼接夹克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面料：聚酯纤维≥90%，，内衬：聚酯纤维≥85%，氨纶≥5%.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多色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1150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女士夹克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面料：聚酯纤维≥95%，，内衬：聚酯纤维≥85%，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650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女士夹克</w:t>
            </w:r>
          </w:p>
        </w:tc>
        <w:tc>
          <w:tcPr>
            <w:tcW w:w="2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面料：聚酯纤维≥85%，，内衬：聚酯纤维≥95%，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750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女士针织运动服</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面料：聚酯纤维≥90%，，氨纶≥10%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多色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500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女士针织运动服</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面料：聚酯纤维≥90%，，氨纶≥10%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多色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500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女士上衣</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面料：聚酯纤维≥90%，里料：聚酯纤维≥95%。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820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男士针织运动服</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面料：聚酯纤维≥90%，，氨纶≥10%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多色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500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男士针织运动服</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多色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300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男士针织运动服</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面料：聚酯纤维≥40%，，氨纶≥50%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多色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500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女士机织长裤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面料：由锦纶≥85%，，氨纶≥10%，，聚酯纤维等材料组成。</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850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女士针织运动裤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面料：由聚酯纤维≥85%，，氨纶≥10%，，聚酯纤维等材料组成。</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500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男士机织长裤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面料：由锦纶，氨纶，聚酯纤维等材料组成。</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850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男士短裤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面料：由聚酯纤维≥95%，氨纶≥10%，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男士短裤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面料：由聚酯纤维≥80%，氨纶≥10%，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550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男士长裤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面料：由聚酯纤维≥85%，氨纶≥10%，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700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女士长裤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面料：由聚酯纤维≥85%，氨纶≥10%，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600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女士长裤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面料：由聚酯纤维≥85%，氨纶≥10%，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600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男士长裤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面料：由聚酯纤维≥95%，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550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男士商务裤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面料：由锦纶≥70%，氨纶≥20%，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1000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男士商务裤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面料：由锦纶≥85%，氨纶≥10%，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1000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女士长裤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面料：复合型多功能面料K，火山岩面料，</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1250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女士长裤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面料：复合型多功能防晒面料K，火山岩面料</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1259</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男士长裤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面料：舒乐面料。防晒功能</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1800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男士短裤</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面料：由聚酯纤维≥85%，氨纶≥10%，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600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休闲鞋1</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1.现代休闲化风格鞋款结合了经典风格设计，打造一款舒适，及现代化的男性鞋款</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2.精致的外观设计突显正装轮廓和现代化的细节元素</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3.可替换皮质鞋垫带有舒适纤维系统，提高空气流通，确保良好鞋内环境</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4.质感牛皮鞋面。</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5.中底，大底结合直接注塑工艺一体成型。</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6.，鞋底缓震材质，具备回弹缓震功效。</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1800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休闲鞋2</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1.现代化正装鞋款结合了经典风格设计，打造一款舒适的男性鞋款</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2.精致的外观设计更好的突显正装轮廓和现代化的细节元素</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3.可替换皮质鞋垫带有舒适纤维系统，提高空气流通，确保良好鞋内环境</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4.直接注塑单层PU外底，轻盈，柔韧,3mm鞋垫提供完美的舒适度</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2000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休闲鞋3</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1.工艺牛皮，抗撕拉，柔韧性加倍，苯胺染色皮革增添光泽和耐久性，更加优雅</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2.经典鞋面设计打造一个商务和现代化的外观</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3.新型勾心嵌入到模具中，具备优质足跟落地穿着体验，保持更佳的稳定和舒适</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4.直接注塑工艺和人体解剖学上遵循的自然曲线为双足提供持久的减震效果</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iCs/>
                <w:color w:val="000000"/>
                <w:sz w:val="24"/>
                <w:szCs w:val="24"/>
                <w:highlight w:val="none"/>
              </w:rPr>
            </w:pPr>
            <w:r>
              <w:rPr>
                <w:rFonts w:hint="eastAsia" w:ascii="宋体" w:hAnsi="宋体" w:eastAsia="宋体" w:cs="宋体"/>
                <w:color w:val="000000"/>
                <w:kern w:val="0"/>
                <w:sz w:val="22"/>
                <w:szCs w:val="22"/>
                <w:highlight w:val="none"/>
              </w:rPr>
              <w:t>2800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休闲鞋4</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1.工艺牛皮，抗撕拉，柔韧性加倍，苯胺染色皮革增添光泽和耐久性，更加优雅</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2.经典鞋面设计打造一个商务和现代化的外观</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3.新型勾心嵌入到模具中，创造出独一无二足跟落地穿着体验，让你保持更佳的稳定和舒适</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4.直接注塑工艺和人体解剖学上遵循的自然曲线为双足提供持久的减震效果</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2800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休闲鞋5</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1.鞋面简约而充满运动感，皮革与织物的混搭则带来更轻盈的体验</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2.方便的一拉得鞋带设计，更易穿脱且更适合脚部线条</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3.织物衬里增加了透气性和鞋内温度控制</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4.易于清洁，穿着舒适</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6.耐穿轻便的缓震鞋底</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1800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休闲鞋6</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1.皮革与织物的混搭则带来更轻盈的体验</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2.防水科技保证双足的持续干爽</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3.方便的一拉得鞋带设计，更易穿脱且更适合脚部线条</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4.织物内衬提供一个透气适稳的鞋内环境</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5.耐穿轻便的缓震鞋底</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1800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休闲鞋7</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1.皮革与织物的混搭则带来更轻盈的体验</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2.新型勾心嵌入到模具中，具备足跟落地穿着体验，保持更佳的稳定和舒适</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3.织物内衬提供一个透气适稳的鞋内环境</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4.耐穿轻便的缓震鞋底</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1850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休闲鞋8</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1.自然律动科技，回弹力在脚底传递，提升运动或行走灵活性；</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2.类似神经元的凹槽大底，提升行走的抓地力，缓震，稳定性；</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3.贴合脚背，让脚背无束缚、方便穿脱；</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1850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休闲鞋9</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1.皮革与织物的混搭则带来更轻盈的体验</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2.新型勾心嵌入到模具中，具备足跟落地穿着体验，让你保持更佳的稳定和舒适</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3.织物内衬提供一个透气适稳的鞋内环境</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4.耐穿轻便的缓震鞋底</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1400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休闲鞋10</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1.时尚超酷鞋款结合了经典风格设计，打造一款舒适的女性鞋款</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2.精致的外观设计更好的突显潮鞋轮廓和现代化的细节元素</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3.可替换皮质鞋垫带有舒适纤维系统，提高空气流通，确保良好鞋内环境</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4.直接注塑单层外底，轻盈，柔韧,4.5厘米鞋底提供完美的舒适度</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1850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休闲鞋11</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1.全粒面牛皮，抗撕拉，柔韧性加倍，苯胺染色皮革增添光泽和耐久性，更加优雅</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2.复古风格鞋面设计打造一个时尚经典的外观</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3.新型勾心嵌入到模具中，具备足跟落地穿着体验，让你保持更佳的稳定和舒适</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4.直接注塑工艺和人体解剖学上遵循的自然曲线为双足提供持久的减震效果</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1850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休闲鞋12</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1.工艺牛皮，抗撕拉，柔韧性加倍，苯胺染色皮革增添光泽和耐久性，更加优雅</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2.经典鞋面设计打造一个商务和现代化的外观</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3.新型勾心嵌入到模具中，具备足跟落地穿着体验，让你保持更佳的稳定和舒适</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4.直接注塑工艺和人体解剖学上遵循的自然曲线为双足提供持久的减震效果</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2600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休闲鞋13</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1.工艺牛皮，抗撕拉，柔韧性加倍，苯胺染色皮革增添光泽和耐久性，更加优雅</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2.经典鞋面设计打造一个商务和现代化的外观</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3.新型勾心嵌入到模具中，具备足跟落地穿着体验，让你保持更佳的稳定和舒适</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4.直接注塑工艺和人体解剖学上遵循的自然曲线为双足提供持久的减震效果</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2800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休闲鞋14</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1.鞋面简约而充满运动感，皮革与织物的混搭则带来更轻盈的体验</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2.方便的一拉得鞋带设计，更易穿脱且更适合脚部线条</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3.织物衬里增加了透气性和鞋内温度控制</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4.易于清洁，穿着舒适</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6.耐穿轻便的缓震鞋底</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1600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休闲鞋15</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1.皮革与织物的混搭则带来更轻盈的体验</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2.防水科技保证双足的持续干爽</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3.方便的一拉得鞋带设计，更易穿脱且更适合脚部线条</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4.织物内衬提供一个透气适稳的鞋内环境</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5.科技，耐穿轻便的缓震鞋底</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1800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休闲鞋16</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1.时尚超酷鞋款结合了经典风格设计，打造一款舒适的女性鞋款</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2.精致的外观设计更好的突显潮鞋轮廓和现代化的细节元素</w:t>
            </w:r>
          </w:p>
          <w:p>
            <w:pPr>
              <w:widowControl/>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3.可替换皮质鞋垫带有舒适纤维系统，提高空气流通，确保良好鞋内环境</w:t>
            </w:r>
          </w:p>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4.直接注塑单层外底，轻盈，柔韧4厘米鞋底提供完美的舒适度</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1300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男士运动鞋（高帮）</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织物面料，涂层除外＋合成革</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1100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女士运动鞋（低帮）</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织物面料，涂层除外＋合成革</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白色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1400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女士运动鞋（低帮）</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织物面料，涂层除外＋合成革</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白色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1400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男士运动鞋（高帮）</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织物面料，涂层除外＋合成革</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1100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男士运动鞋（高帮）</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织物面料，涂层除外＋合成革</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1100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男士运动鞋（高帮）</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织物面料，涂层除外＋磨砂皮合成革</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男士休闲鞋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双层网面鞋</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女士休闲鞋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双层网面鞋</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男士低帮鞋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超纤维＋网布</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岩石灰拼橙</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950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男士低帮鞋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合成纤维＋涂层</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1400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女士运动鞋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化学纤维纺织品</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1150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男士运动鞋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帮面材料：纺织品，衬里材料：纺织品，鞋底材料：橡胶-醋酸乙酯共聚物</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多色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男女篮球鞋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帮面材料：纺织品，衬里材料：纺织品，鞋底材料：乙烯-醋酸乙酯共聚物</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多色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男士运动鞋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帮面材料：纺织品，衬里材料：纺织品，鞋底材料：乙烯-醋酸乙酯共聚物</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白色、黄色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男士运动鞋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帮面材料：纺织品，衬里材料：纺织品，鞋底材料：橡胶</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女士运动鞋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帮面材料：纺织品，衬里材料：纺织品，鞋底材料：橡胶</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黑色、灰色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女士运动鞋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帮面材料：纺织品，衬里材料：纺织品，鞋底材料：橡胶</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女士运动鞋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帮面材料：纺织品，衬里材料：纺织品，鞋底材料：橡胶</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黑色，白色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女士运动鞋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帮面材料：纺织品，衬里材料：纺织品，鞋底材料：橡胶</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绿色，紫色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女士运动鞋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帮面材料：纺织品，衬里材料：纺织品，鞋底材料：橡胶</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黑色，紫色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女士运动鞋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帮面材料：纺织品，衬里材料：纺织品，鞋底材料：橡胶</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黑色。灰色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1200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男士长袖衬衫</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面料：棉≥85%，桑蚕丝≥10%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蓝色，白色，灰色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1500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男士夹克</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面料：聚酯纤维≥95%，里料：聚酯纤维≥95%E</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藏蓝</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2800</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adjustRightInd w:val="0"/>
              <w:snapToGrid w:val="0"/>
              <w:jc w:val="center"/>
              <w:textAlignment w:val="center"/>
              <w:rPr>
                <w:rFonts w:hint="eastAsia" w:ascii="宋体" w:hAnsi="宋体" w:eastAsia="宋体" w:cs="宋体"/>
                <w:color w:val="000000"/>
                <w:kern w:val="0"/>
                <w:sz w:val="24"/>
                <w:szCs w:val="24"/>
                <w:highlight w:val="none"/>
              </w:rPr>
            </w:pPr>
          </w:p>
        </w:tc>
        <w:tc>
          <w:tcPr>
            <w:tcW w:w="8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男女士通用袜子</w:t>
            </w:r>
          </w:p>
        </w:tc>
        <w:tc>
          <w:tcPr>
            <w:tcW w:w="28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材料：棉＋化纤</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2"/>
                <w:szCs w:val="22"/>
                <w:highlight w:val="none"/>
              </w:rPr>
              <w:t>多色</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rPr>
              <w:t>10</w:t>
            </w:r>
          </w:p>
        </w:tc>
      </w:tr>
    </w:tbl>
    <w:p>
      <w:pPr>
        <w:autoSpaceDE w:val="0"/>
        <w:autoSpaceDN w:val="0"/>
        <w:adjustRightInd w:val="0"/>
        <w:snapToGrid w:val="0"/>
        <w:spacing w:beforeLines="50" w:afterLines="50" w:line="400" w:lineRule="exact"/>
        <w:rPr>
          <w:rFonts w:hint="eastAsia" w:ascii="宋体" w:hAnsi="宋体" w:eastAsia="宋体" w:cs="宋体"/>
          <w:b/>
          <w:bCs/>
          <w:snapToGrid w:val="0"/>
          <w:kern w:val="0"/>
          <w:sz w:val="24"/>
          <w:szCs w:val="24"/>
          <w:highlight w:val="none"/>
          <w:lang w:val="zh-CN"/>
        </w:rPr>
      </w:pPr>
      <w:r>
        <w:rPr>
          <w:rFonts w:hint="eastAsia" w:ascii="宋体" w:hAnsi="宋体" w:cs="宋体"/>
          <w:b/>
          <w:bCs/>
          <w:snapToGrid w:val="0"/>
          <w:kern w:val="0"/>
          <w:sz w:val="24"/>
          <w:szCs w:val="24"/>
          <w:highlight w:val="none"/>
          <w:lang w:val="zh-CN" w:eastAsia="zh-CN"/>
        </w:rPr>
        <w:t>注：</w:t>
      </w:r>
      <w:r>
        <w:rPr>
          <w:rFonts w:hint="eastAsia" w:ascii="宋体" w:hAnsi="宋体" w:eastAsia="宋体" w:cs="宋体"/>
          <w:b/>
          <w:bCs/>
          <w:snapToGrid w:val="0"/>
          <w:kern w:val="0"/>
          <w:sz w:val="24"/>
          <w:szCs w:val="24"/>
          <w:highlight w:val="none"/>
          <w:lang w:val="zh-CN"/>
        </w:rPr>
        <w:t>本项目综合单价最高</w:t>
      </w:r>
      <w:r>
        <w:rPr>
          <w:rFonts w:hint="eastAsia" w:ascii="宋体" w:hAnsi="宋体" w:eastAsia="宋体" w:cs="宋体"/>
          <w:b/>
          <w:bCs/>
          <w:snapToGrid w:val="0"/>
          <w:kern w:val="0"/>
          <w:sz w:val="24"/>
          <w:szCs w:val="24"/>
          <w:highlight w:val="none"/>
          <w:lang w:val="zh-CN" w:eastAsia="zh-CN"/>
        </w:rPr>
        <w:t>响应</w:t>
      </w:r>
      <w:r>
        <w:rPr>
          <w:rFonts w:hint="eastAsia" w:ascii="宋体" w:hAnsi="宋体" w:eastAsia="宋体" w:cs="宋体"/>
          <w:b/>
          <w:bCs/>
          <w:snapToGrid w:val="0"/>
          <w:kern w:val="0"/>
          <w:sz w:val="24"/>
          <w:szCs w:val="24"/>
          <w:highlight w:val="none"/>
          <w:lang w:val="zh-CN"/>
        </w:rPr>
        <w:t>限价：118649元</w:t>
      </w:r>
      <w:r>
        <w:rPr>
          <w:rFonts w:hint="eastAsia" w:ascii="宋体" w:hAnsi="宋体" w:cs="宋体"/>
          <w:b/>
          <w:bCs/>
          <w:snapToGrid w:val="0"/>
          <w:kern w:val="0"/>
          <w:sz w:val="24"/>
          <w:szCs w:val="24"/>
          <w:highlight w:val="none"/>
          <w:lang w:val="zh-CN"/>
        </w:rPr>
        <w:t>，</w:t>
      </w:r>
      <w:r>
        <w:rPr>
          <w:rFonts w:hint="eastAsia" w:ascii="宋体" w:hAnsi="宋体" w:eastAsia="宋体" w:cs="宋体"/>
          <w:b/>
          <w:bCs/>
          <w:snapToGrid w:val="0"/>
          <w:kern w:val="0"/>
          <w:sz w:val="24"/>
          <w:szCs w:val="24"/>
          <w:highlight w:val="none"/>
          <w:lang w:val="zh-CN"/>
        </w:rPr>
        <w:t>供应商</w:t>
      </w:r>
      <w:r>
        <w:rPr>
          <w:rFonts w:hint="eastAsia" w:ascii="宋体" w:hAnsi="宋体" w:cs="宋体"/>
          <w:b/>
          <w:bCs/>
          <w:snapToGrid w:val="0"/>
          <w:kern w:val="0"/>
          <w:sz w:val="24"/>
          <w:szCs w:val="24"/>
          <w:highlight w:val="none"/>
          <w:lang w:val="zh-CN"/>
        </w:rPr>
        <w:t>所报单价不得超出单价控制价，否则</w:t>
      </w:r>
      <w:r>
        <w:rPr>
          <w:rFonts w:hint="eastAsia" w:ascii="宋体" w:hAnsi="宋体" w:eastAsia="宋体" w:cs="宋体"/>
          <w:b/>
          <w:bCs/>
          <w:snapToGrid w:val="0"/>
          <w:kern w:val="0"/>
          <w:sz w:val="24"/>
          <w:szCs w:val="24"/>
          <w:highlight w:val="none"/>
          <w:lang w:val="zh-CN"/>
        </w:rPr>
        <w:t>按无效投标处理。</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pPr>
        <w:pStyle w:val="3"/>
        <w:spacing w:before="0" w:after="0" w:line="360" w:lineRule="auto"/>
        <w:jc w:val="center"/>
        <w:rPr>
          <w:rFonts w:hint="eastAsia" w:ascii="宋体" w:hAnsi="宋体" w:eastAsia="宋体" w:cs="宋体"/>
          <w:sz w:val="32"/>
          <w:szCs w:val="32"/>
          <w:highlight w:val="none"/>
        </w:rPr>
      </w:pPr>
      <w:bookmarkStart w:id="48" w:name="_Toc10346"/>
      <w:r>
        <w:rPr>
          <w:rFonts w:hint="eastAsia" w:ascii="宋体" w:hAnsi="宋体" w:eastAsia="宋体" w:cs="宋体"/>
          <w:sz w:val="32"/>
          <w:szCs w:val="32"/>
          <w:highlight w:val="none"/>
        </w:rPr>
        <w:t>第四章</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评审方法、步骤及标准</w:t>
      </w:r>
      <w:bookmarkEnd w:id="47"/>
      <w:bookmarkEnd w:id="48"/>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一、评审依据</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《中华人民共和国政府采购法》、《中华人民共和国政府采购法实施条例》、《政府采购竞争性磋商采购方式管理暂行办法》，磋商文件、评审办法和各供应商的响应文件。</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二、磋商小组的依法组建</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由采购人代表和有关技术等方面的专家组成，成员人数为3人以上单数，评审专家应当从政府采购评审专家库内相关专业的专家名单中随机抽取，其中技术等方面的评审专家不少于成员总数的三分之二，与供应商有利害关系的专家不能担任评委。</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三、评审原则</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审遵循公开透明、公平竞争、公正和诚实信用的原则，依据《中华人民共和国政府采购法》、《中华人民共和国政府采购法实施条例》、《政府采购竞争性磋商采购方式管理暂行办法》等相关法律、法规和规定、磋商文件，对各供应商的响应文件进行实质性审查。实质性审查合格的供应商在规定的时间内进行第二次报价即最后磋商报价。</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磋商小组根据各供应商提交的响应文件和最后磋商报价进行综合评分。对报价、财务状况、信誉、业绩、技术部分进行评分，所有评审专家评分的算术平均值为各供应商的综合得分。磋商小组根据各供应商的综合得分进行排序，采购人直接授权磋商小组确定成交供应商。</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四、评分办法</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综合评分内容主要由报价部分30分，商务部分</w:t>
      </w:r>
      <w:r>
        <w:rPr>
          <w:rFonts w:hint="eastAsia" w:ascii="宋体" w:hAnsi="宋体" w:cs="宋体"/>
          <w:sz w:val="24"/>
          <w:highlight w:val="none"/>
          <w:lang w:val="en-US" w:eastAsia="zh-CN"/>
        </w:rPr>
        <w:t>10</w:t>
      </w:r>
      <w:r>
        <w:rPr>
          <w:rFonts w:hint="eastAsia" w:ascii="宋体" w:hAnsi="宋体" w:eastAsia="宋体" w:cs="宋体"/>
          <w:sz w:val="24"/>
          <w:highlight w:val="none"/>
        </w:rPr>
        <w:t>分，技术部分</w:t>
      </w:r>
      <w:r>
        <w:rPr>
          <w:rFonts w:hint="eastAsia" w:ascii="宋体" w:hAnsi="宋体" w:cs="宋体"/>
          <w:sz w:val="24"/>
          <w:highlight w:val="none"/>
          <w:lang w:val="en-US" w:eastAsia="zh-CN"/>
        </w:rPr>
        <w:t>60</w:t>
      </w:r>
      <w:r>
        <w:rPr>
          <w:rFonts w:hint="eastAsia" w:ascii="宋体" w:hAnsi="宋体" w:eastAsia="宋体" w:cs="宋体"/>
          <w:sz w:val="24"/>
          <w:highlight w:val="none"/>
        </w:rPr>
        <w:t>分组成。评委评分小数点后取一位，报价和汇总计算四舍五入小数点后取两位。</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磋商报价得分=（磋商基准价/最后磋商报价）×30%×100，磋商基准价是指满足磋商文件要求且最后报价最低的磋商报价。最低报价不是成交的唯一依据。</w:t>
      </w:r>
    </w:p>
    <w:p>
      <w:pPr>
        <w:spacing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（注：满足磋商文件要求且价格最低的报价为评审基准价。）</w:t>
      </w:r>
    </w:p>
    <w:p>
      <w:pPr>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br w:type="page"/>
      </w:r>
    </w:p>
    <w:p>
      <w:pPr>
        <w:pStyle w:val="44"/>
        <w:tabs>
          <w:tab w:val="right" w:leader="middleDot" w:pos="8820"/>
        </w:tabs>
        <w:ind w:left="0" w:leftChars="0" w:firstLine="0" w:firstLineChars="0"/>
        <w:jc w:val="center"/>
        <w:rPr>
          <w:rFonts w:hint="eastAsia" w:ascii="宋体" w:hAnsi="宋体" w:eastAsia="宋体" w:cs="宋体"/>
          <w:highlight w:val="none"/>
        </w:rPr>
      </w:pPr>
      <w:r>
        <w:rPr>
          <w:rFonts w:hint="eastAsia" w:ascii="宋体" w:hAnsi="宋体" w:eastAsia="宋体" w:cs="宋体"/>
          <w:bCs/>
          <w:kern w:val="0"/>
          <w:sz w:val="28"/>
          <w:szCs w:val="28"/>
          <w:highlight w:val="none"/>
        </w:rPr>
        <w:t>初步评审一览表</w:t>
      </w:r>
    </w:p>
    <w:tbl>
      <w:tblPr>
        <w:tblStyle w:val="45"/>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290"/>
        <w:gridCol w:w="6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033" w:type="dxa"/>
            <w:vMerge w:val="restart"/>
            <w:tcBorders>
              <w:top w:val="single" w:color="auto" w:sz="4" w:space="0"/>
              <w:left w:val="single" w:color="auto" w:sz="4" w:space="0"/>
              <w:right w:val="single" w:color="auto" w:sz="4" w:space="0"/>
            </w:tcBorders>
            <w:vAlign w:val="center"/>
          </w:tcPr>
          <w:p>
            <w:pPr>
              <w:tabs>
                <w:tab w:val="center" w:pos="4153"/>
                <w:tab w:val="right" w:pos="8306"/>
              </w:tabs>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资格性评审标准</w:t>
            </w:r>
          </w:p>
        </w:tc>
        <w:tc>
          <w:tcPr>
            <w:tcW w:w="229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营业执照副本</w:t>
            </w:r>
          </w:p>
        </w:tc>
        <w:tc>
          <w:tcPr>
            <w:tcW w:w="6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有效的营业执照（营业执照、组织机构代码与税务登记证实行“三证合一”的执行《国务院办公厅关于加快推进“三证合一”登记制度改革的意见》（国办发【2015】50号））；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033" w:type="dxa"/>
            <w:vMerge w:val="continue"/>
            <w:tcBorders>
              <w:left w:val="single" w:color="auto" w:sz="4" w:space="0"/>
              <w:right w:val="single" w:color="auto" w:sz="4" w:space="0"/>
            </w:tcBorders>
            <w:vAlign w:val="center"/>
          </w:tcPr>
          <w:p>
            <w:pPr>
              <w:tabs>
                <w:tab w:val="center" w:pos="4153"/>
                <w:tab w:val="right" w:pos="8306"/>
              </w:tabs>
              <w:snapToGrid w:val="0"/>
              <w:spacing w:line="480" w:lineRule="exact"/>
              <w:ind w:firstLine="480" w:firstLineChars="200"/>
              <w:jc w:val="center"/>
              <w:rPr>
                <w:rFonts w:hint="eastAsia" w:ascii="宋体" w:hAnsi="宋体" w:eastAsia="宋体" w:cs="宋体"/>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授权委托书</w:t>
            </w:r>
          </w:p>
        </w:tc>
        <w:tc>
          <w:tcPr>
            <w:tcW w:w="6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经法定代表人签字、公司盖章的“授权委托书”原件；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033" w:type="dxa"/>
            <w:vMerge w:val="continue"/>
            <w:tcBorders>
              <w:left w:val="single" w:color="auto" w:sz="4" w:space="0"/>
              <w:right w:val="single" w:color="auto" w:sz="4" w:space="0"/>
            </w:tcBorders>
            <w:vAlign w:val="center"/>
          </w:tcPr>
          <w:p>
            <w:pPr>
              <w:tabs>
                <w:tab w:val="center" w:pos="4153"/>
                <w:tab w:val="right" w:pos="8306"/>
              </w:tabs>
              <w:snapToGrid w:val="0"/>
              <w:spacing w:line="480" w:lineRule="exact"/>
              <w:ind w:firstLine="480" w:firstLineChars="200"/>
              <w:jc w:val="center"/>
              <w:rPr>
                <w:rFonts w:hint="eastAsia" w:ascii="宋体" w:hAnsi="宋体" w:eastAsia="宋体" w:cs="宋体"/>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没有重大违法记录书面声明</w:t>
            </w:r>
          </w:p>
        </w:tc>
        <w:tc>
          <w:tcPr>
            <w:tcW w:w="6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参加政府采购前三年内在经营活动中没有重大违法记录书面声明；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033" w:type="dxa"/>
            <w:vMerge w:val="continue"/>
            <w:tcBorders>
              <w:left w:val="single" w:color="auto" w:sz="4" w:space="0"/>
              <w:right w:val="single" w:color="auto" w:sz="4" w:space="0"/>
            </w:tcBorders>
            <w:vAlign w:val="center"/>
          </w:tcPr>
          <w:p>
            <w:pPr>
              <w:tabs>
                <w:tab w:val="center" w:pos="4153"/>
                <w:tab w:val="right" w:pos="8306"/>
              </w:tabs>
              <w:snapToGrid w:val="0"/>
              <w:spacing w:line="480" w:lineRule="exact"/>
              <w:ind w:firstLine="480" w:firstLineChars="200"/>
              <w:jc w:val="center"/>
              <w:rPr>
                <w:rFonts w:hint="eastAsia" w:ascii="宋体" w:hAnsi="宋体" w:eastAsia="宋体" w:cs="宋体"/>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各项声明</w:t>
            </w:r>
          </w:p>
        </w:tc>
        <w:tc>
          <w:tcPr>
            <w:tcW w:w="6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1、具有良好的商业信誉和健全的财务会计制度声明原件；2、具有履行合同所必须的设备和专业技术能力声明原件；3、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依法缴纳税收和社会保障资金”的声明原件；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033" w:type="dxa"/>
            <w:vMerge w:val="continue"/>
            <w:tcBorders>
              <w:left w:val="single" w:color="auto" w:sz="4" w:space="0"/>
              <w:right w:val="single" w:color="auto" w:sz="4" w:space="0"/>
            </w:tcBorders>
            <w:vAlign w:val="center"/>
          </w:tcPr>
          <w:p>
            <w:pPr>
              <w:tabs>
                <w:tab w:val="center" w:pos="4153"/>
                <w:tab w:val="right" w:pos="8306"/>
              </w:tabs>
              <w:snapToGrid w:val="0"/>
              <w:spacing w:line="480" w:lineRule="exact"/>
              <w:ind w:firstLine="480" w:firstLineChars="200"/>
              <w:jc w:val="center"/>
              <w:rPr>
                <w:rFonts w:hint="eastAsia" w:ascii="宋体" w:hAnsi="宋体" w:eastAsia="宋体" w:cs="宋体"/>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信用记录</w:t>
            </w:r>
          </w:p>
        </w:tc>
        <w:tc>
          <w:tcPr>
            <w:tcW w:w="6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信用中国、中国政府采购网查询（对列入“失信被执行人”、“重大税收违法失信主体”、“政府采购严重违法失信行为记录名单”截图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033" w:type="dxa"/>
            <w:vMerge w:val="continue"/>
            <w:tcBorders>
              <w:left w:val="single" w:color="auto" w:sz="4" w:space="0"/>
              <w:right w:val="single" w:color="auto" w:sz="4" w:space="0"/>
            </w:tcBorders>
            <w:vAlign w:val="center"/>
          </w:tcPr>
          <w:p>
            <w:pPr>
              <w:tabs>
                <w:tab w:val="center" w:pos="4153"/>
                <w:tab w:val="right" w:pos="8306"/>
              </w:tabs>
              <w:snapToGrid w:val="0"/>
              <w:spacing w:line="480" w:lineRule="exact"/>
              <w:ind w:firstLine="480" w:firstLineChars="200"/>
              <w:jc w:val="center"/>
              <w:rPr>
                <w:rFonts w:hint="eastAsia" w:ascii="宋体" w:hAnsi="宋体" w:eastAsia="宋体" w:cs="宋体"/>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促进中小企业发展</w:t>
            </w:r>
          </w:p>
        </w:tc>
        <w:tc>
          <w:tcPr>
            <w:tcW w:w="6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提供中小企业声明及查询截图。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033" w:type="dxa"/>
            <w:vMerge w:val="restart"/>
            <w:tcBorders>
              <w:left w:val="single" w:color="auto" w:sz="4" w:space="0"/>
              <w:right w:val="single" w:color="auto" w:sz="4" w:space="0"/>
            </w:tcBorders>
            <w:vAlign w:val="center"/>
          </w:tcPr>
          <w:p>
            <w:pPr>
              <w:tabs>
                <w:tab w:val="center" w:pos="4153"/>
                <w:tab w:val="right" w:pos="8306"/>
              </w:tabs>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符合性评审标准</w:t>
            </w:r>
          </w:p>
        </w:tc>
        <w:tc>
          <w:tcPr>
            <w:tcW w:w="229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磋商保证金</w:t>
            </w:r>
          </w:p>
        </w:tc>
        <w:tc>
          <w:tcPr>
            <w:tcW w:w="6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033" w:type="dxa"/>
            <w:vMerge w:val="continue"/>
            <w:tcBorders>
              <w:left w:val="single" w:color="auto" w:sz="4" w:space="0"/>
              <w:right w:val="single" w:color="auto" w:sz="4" w:space="0"/>
            </w:tcBorders>
            <w:vAlign w:val="center"/>
          </w:tcPr>
          <w:p>
            <w:pPr>
              <w:spacing w:line="480" w:lineRule="exact"/>
              <w:jc w:val="left"/>
              <w:rPr>
                <w:rFonts w:hint="eastAsia" w:ascii="宋体" w:hAnsi="宋体" w:eastAsia="宋体" w:cs="宋体"/>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响应文件的要求</w:t>
            </w:r>
          </w:p>
        </w:tc>
        <w:tc>
          <w:tcPr>
            <w:tcW w:w="6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签署、盖章符合磋商文件要求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033" w:type="dxa"/>
            <w:vMerge w:val="continue"/>
            <w:tcBorders>
              <w:left w:val="single" w:color="auto" w:sz="4" w:space="0"/>
              <w:right w:val="single" w:color="auto" w:sz="4" w:space="0"/>
            </w:tcBorders>
            <w:vAlign w:val="center"/>
          </w:tcPr>
          <w:p>
            <w:pPr>
              <w:spacing w:line="480" w:lineRule="exact"/>
              <w:jc w:val="left"/>
              <w:rPr>
                <w:rFonts w:hint="eastAsia" w:ascii="宋体" w:hAnsi="宋体" w:eastAsia="宋体" w:cs="宋体"/>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w:t>
            </w:r>
          </w:p>
        </w:tc>
        <w:tc>
          <w:tcPr>
            <w:tcW w:w="6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磋商有效期符合磋商文件要求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033" w:type="dxa"/>
            <w:vMerge w:val="continue"/>
            <w:tcBorders>
              <w:left w:val="single" w:color="auto" w:sz="4" w:space="0"/>
              <w:right w:val="single" w:color="auto" w:sz="4" w:space="0"/>
            </w:tcBorders>
            <w:vAlign w:val="center"/>
          </w:tcPr>
          <w:p>
            <w:pPr>
              <w:spacing w:line="480" w:lineRule="exact"/>
              <w:jc w:val="left"/>
              <w:rPr>
                <w:rFonts w:hint="eastAsia" w:ascii="宋体" w:hAnsi="宋体" w:eastAsia="宋体" w:cs="宋体"/>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c>
          <w:tcPr>
            <w:tcW w:w="6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未超过采购预算，符合磋商文件要求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33" w:type="dxa"/>
            <w:vMerge w:val="continue"/>
            <w:tcBorders>
              <w:left w:val="single" w:color="auto" w:sz="4" w:space="0"/>
              <w:right w:val="single" w:color="auto" w:sz="4" w:space="0"/>
            </w:tcBorders>
            <w:vAlign w:val="center"/>
          </w:tcPr>
          <w:p>
            <w:pPr>
              <w:widowControl/>
              <w:spacing w:line="480" w:lineRule="exact"/>
              <w:jc w:val="left"/>
              <w:rPr>
                <w:rFonts w:hint="eastAsia" w:ascii="宋体" w:hAnsi="宋体" w:eastAsia="宋体" w:cs="宋体"/>
                <w:sz w:val="24"/>
                <w:szCs w:val="24"/>
                <w:highlight w:val="none"/>
              </w:rPr>
            </w:pPr>
          </w:p>
        </w:tc>
        <w:tc>
          <w:tcPr>
            <w:tcW w:w="2290" w:type="dxa"/>
            <w:tcBorders>
              <w:top w:val="single" w:color="auto" w:sz="4" w:space="0"/>
              <w:left w:val="single" w:color="auto" w:sz="4" w:space="0"/>
              <w:right w:val="single" w:color="auto" w:sz="4" w:space="0"/>
            </w:tcBorders>
            <w:vAlign w:val="center"/>
          </w:tcPr>
          <w:p>
            <w:pPr>
              <w:tabs>
                <w:tab w:val="center" w:pos="4153"/>
                <w:tab w:val="right" w:pos="8306"/>
              </w:tabs>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交货地点</w:t>
            </w:r>
          </w:p>
        </w:tc>
        <w:tc>
          <w:tcPr>
            <w:tcW w:w="6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1033" w:type="dxa"/>
            <w:vMerge w:val="continue"/>
            <w:tcBorders>
              <w:left w:val="single" w:color="auto" w:sz="4" w:space="0"/>
              <w:right w:val="single" w:color="auto" w:sz="4" w:space="0"/>
            </w:tcBorders>
            <w:vAlign w:val="center"/>
          </w:tcPr>
          <w:p>
            <w:pPr>
              <w:widowControl/>
              <w:spacing w:line="480" w:lineRule="exact"/>
              <w:jc w:val="left"/>
              <w:rPr>
                <w:rFonts w:hint="eastAsia" w:ascii="宋体" w:hAnsi="宋体" w:eastAsia="宋体" w:cs="宋体"/>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响应内容</w:t>
            </w:r>
          </w:p>
        </w:tc>
        <w:tc>
          <w:tcPr>
            <w:tcW w:w="6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符合磋商文件中规定的实质性要求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033" w:type="dxa"/>
            <w:vMerge w:val="continue"/>
            <w:tcBorders>
              <w:left w:val="single" w:color="auto" w:sz="4" w:space="0"/>
              <w:right w:val="single" w:color="auto" w:sz="4" w:space="0"/>
            </w:tcBorders>
            <w:vAlign w:val="center"/>
          </w:tcPr>
          <w:p>
            <w:pPr>
              <w:widowControl/>
              <w:spacing w:line="480" w:lineRule="exact"/>
              <w:jc w:val="left"/>
              <w:rPr>
                <w:rFonts w:hint="eastAsia" w:ascii="宋体" w:hAnsi="宋体" w:eastAsia="宋体" w:cs="宋体"/>
                <w:sz w:val="24"/>
                <w:szCs w:val="24"/>
                <w:highlight w:val="none"/>
              </w:rPr>
            </w:pPr>
          </w:p>
        </w:tc>
        <w:tc>
          <w:tcPr>
            <w:tcW w:w="229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c>
          <w:tcPr>
            <w:tcW w:w="6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4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符合磋商文件及法律、法规的规定</w:t>
            </w:r>
          </w:p>
        </w:tc>
      </w:tr>
    </w:tbl>
    <w:p>
      <w:pPr>
        <w:pStyle w:val="44"/>
        <w:tabs>
          <w:tab w:val="right" w:leader="middleDot" w:pos="8820"/>
        </w:tabs>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注：以上内容凡有一项不合格者，视为未通过初步审查，按无效处理。</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tbl>
      <w:tblPr>
        <w:tblStyle w:val="45"/>
        <w:tblW w:w="6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314"/>
        <w:gridCol w:w="7721"/>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73" w:type="pct"/>
            <w:tcBorders>
              <w:top w:val="single" w:color="auto" w:sz="4" w:space="0"/>
              <w:left w:val="single" w:color="auto" w:sz="4" w:space="0"/>
              <w:bottom w:val="single" w:color="auto" w:sz="4" w:space="0"/>
              <w:right w:val="single" w:color="auto" w:sz="4" w:space="0"/>
            </w:tcBorders>
            <w:vAlign w:val="center"/>
          </w:tcPr>
          <w:p>
            <w:pPr>
              <w:pStyle w:val="8"/>
              <w:ind w:right="-11" w:firstLine="0"/>
              <w:jc w:val="center"/>
              <w:rPr>
                <w:rFonts w:hint="eastAsia" w:ascii="宋体" w:hAnsi="宋体" w:eastAsia="宋体" w:cs="宋体"/>
                <w:b/>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b/>
                <w:sz w:val="24"/>
                <w:szCs w:val="24"/>
                <w:highlight w:val="none"/>
              </w:rPr>
              <w:t>序号</w:t>
            </w:r>
          </w:p>
        </w:tc>
        <w:tc>
          <w:tcPr>
            <w:tcW w:w="626" w:type="pct"/>
            <w:tcBorders>
              <w:top w:val="single" w:color="auto" w:sz="4" w:space="0"/>
              <w:left w:val="single" w:color="auto" w:sz="4" w:space="0"/>
              <w:bottom w:val="single" w:color="auto" w:sz="4" w:space="0"/>
              <w:right w:val="single" w:color="auto" w:sz="4" w:space="0"/>
            </w:tcBorders>
            <w:vAlign w:val="center"/>
          </w:tcPr>
          <w:p>
            <w:pPr>
              <w:pStyle w:val="8"/>
              <w:ind w:right="-11" w:firstLine="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w:t>
            </w:r>
          </w:p>
          <w:p>
            <w:pPr>
              <w:pStyle w:val="8"/>
              <w:ind w:right="-11" w:firstLine="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因素</w:t>
            </w:r>
          </w:p>
        </w:tc>
        <w:tc>
          <w:tcPr>
            <w:tcW w:w="3678" w:type="pct"/>
            <w:tcBorders>
              <w:top w:val="single" w:color="auto" w:sz="4" w:space="0"/>
              <w:left w:val="single" w:color="auto" w:sz="4" w:space="0"/>
              <w:bottom w:val="single" w:color="auto" w:sz="4" w:space="0"/>
              <w:right w:val="single" w:color="auto" w:sz="4" w:space="0"/>
            </w:tcBorders>
            <w:vAlign w:val="center"/>
          </w:tcPr>
          <w:p>
            <w:pPr>
              <w:pStyle w:val="8"/>
              <w:ind w:right="-11" w:firstLine="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评审标准</w:t>
            </w:r>
          </w:p>
        </w:tc>
        <w:tc>
          <w:tcPr>
            <w:tcW w:w="422" w:type="pct"/>
            <w:tcBorders>
              <w:top w:val="single" w:color="auto" w:sz="4" w:space="0"/>
              <w:left w:val="single" w:color="auto" w:sz="4" w:space="0"/>
              <w:bottom w:val="single" w:color="auto" w:sz="4" w:space="0"/>
              <w:right w:val="single" w:color="auto" w:sz="4" w:space="0"/>
            </w:tcBorders>
            <w:vAlign w:val="center"/>
          </w:tcPr>
          <w:p>
            <w:pPr>
              <w:pStyle w:val="8"/>
              <w:ind w:right="-11" w:firstLine="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73" w:type="pct"/>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价格部分</w:t>
            </w:r>
            <w:r>
              <w:rPr>
                <w:rFonts w:hint="eastAsia" w:ascii="宋体" w:hAnsi="宋体" w:eastAsia="宋体" w:cs="宋体"/>
                <w:sz w:val="24"/>
                <w:highlight w:val="none"/>
              </w:rPr>
              <w:t>(30分)</w:t>
            </w:r>
          </w:p>
        </w:tc>
        <w:tc>
          <w:tcPr>
            <w:tcW w:w="3678" w:type="pct"/>
            <w:tcBorders>
              <w:top w:val="single" w:color="auto" w:sz="4" w:space="0"/>
              <w:left w:val="single" w:color="auto" w:sz="4" w:space="0"/>
              <w:bottom w:val="single" w:color="auto" w:sz="4" w:space="0"/>
              <w:right w:val="single" w:color="auto" w:sz="4" w:space="0"/>
            </w:tcBorders>
            <w:vAlign w:val="center"/>
          </w:tcPr>
          <w:p>
            <w:pPr>
              <w:pStyle w:val="8"/>
              <w:spacing w:line="360" w:lineRule="auto"/>
              <w:ind w:right="-8" w:rightChars="-4"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1.磋商报价得分=（磋商基准价/最后磋商报价）×30%×100。</w:t>
            </w:r>
          </w:p>
          <w:p>
            <w:pPr>
              <w:pStyle w:val="8"/>
              <w:spacing w:line="360" w:lineRule="auto"/>
              <w:ind w:right="-8" w:rightChars="-4"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2.评审基准价、最高限价和响应报价均以人民币元为单位。</w:t>
            </w:r>
          </w:p>
          <w:p>
            <w:pPr>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highlight w:val="none"/>
              </w:rPr>
              <w:t>3.满足磋商文件要求且响应价格最低的响应报价为评审基准价</w:t>
            </w:r>
            <w:r>
              <w:rPr>
                <w:rFonts w:hint="eastAsia" w:ascii="宋体" w:hAnsi="宋体" w:eastAsia="宋体" w:cs="宋体"/>
                <w:sz w:val="24"/>
                <w:szCs w:val="24"/>
                <w:highlight w:val="none"/>
              </w:rPr>
              <w:t>（不以最低价为成交依据）。</w:t>
            </w:r>
          </w:p>
        </w:tc>
        <w:tc>
          <w:tcPr>
            <w:tcW w:w="422" w:type="pct"/>
            <w:tcBorders>
              <w:top w:val="single" w:color="auto" w:sz="4" w:space="0"/>
              <w:left w:val="single" w:color="auto" w:sz="4" w:space="0"/>
              <w:bottom w:val="single" w:color="auto" w:sz="4" w:space="0"/>
              <w:right w:val="single" w:color="auto" w:sz="4" w:space="0"/>
            </w:tcBorders>
            <w:vAlign w:val="center"/>
          </w:tcPr>
          <w:p>
            <w:pPr>
              <w:pStyle w:val="8"/>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73" w:type="pct"/>
            <w:vMerge w:val="restart"/>
            <w:tcBorders>
              <w:top w:val="single" w:color="auto" w:sz="4" w:space="0"/>
              <w:left w:val="single" w:color="auto" w:sz="4" w:space="0"/>
              <w:right w:val="single" w:color="auto" w:sz="4" w:space="0"/>
            </w:tcBorders>
            <w:vAlign w:val="center"/>
          </w:tcPr>
          <w:p>
            <w:pPr>
              <w:pStyle w:val="8"/>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26" w:type="pct"/>
            <w:vMerge w:val="restart"/>
            <w:tcBorders>
              <w:top w:val="single" w:color="auto" w:sz="4" w:space="0"/>
              <w:left w:val="single" w:color="auto" w:sz="4" w:space="0"/>
              <w:right w:val="single" w:color="auto" w:sz="4" w:space="0"/>
            </w:tcBorders>
            <w:vAlign w:val="center"/>
          </w:tcPr>
          <w:p>
            <w:pPr>
              <w:pStyle w:val="8"/>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技术部分</w:t>
            </w:r>
            <w:r>
              <w:rPr>
                <w:rFonts w:hint="eastAsia" w:ascii="宋体" w:hAnsi="宋体" w:eastAsia="宋体" w:cs="宋体"/>
                <w:sz w:val="24"/>
                <w:highlight w:val="none"/>
              </w:rPr>
              <w:t>(6</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分)</w:t>
            </w:r>
          </w:p>
        </w:tc>
        <w:tc>
          <w:tcPr>
            <w:tcW w:w="3678" w:type="pct"/>
            <w:tcBorders>
              <w:top w:val="single" w:color="auto" w:sz="4" w:space="0"/>
              <w:left w:val="single" w:color="auto" w:sz="4" w:space="0"/>
              <w:right w:val="single" w:color="auto" w:sz="4" w:space="0"/>
            </w:tcBorders>
            <w:vAlign w:val="center"/>
          </w:tcPr>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磋商文件内容完整性和编制水平：</w:t>
            </w:r>
          </w:p>
          <w:p>
            <w:pPr>
              <w:numPr>
                <w:ilvl w:val="0"/>
                <w:numId w:val="4"/>
              </w:num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内容完整且编制合理最多7-10分；</w:t>
            </w:r>
          </w:p>
          <w:p>
            <w:pPr>
              <w:numPr>
                <w:ilvl w:val="0"/>
                <w:numId w:val="4"/>
              </w:num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内容基本完整且编制基本合理最多4-7分（不含）；</w:t>
            </w:r>
          </w:p>
          <w:p>
            <w:pPr>
              <w:pStyle w:val="78"/>
              <w:spacing w:line="360" w:lineRule="auto"/>
              <w:jc w:val="left"/>
              <w:rPr>
                <w:rFonts w:hint="eastAsia" w:ascii="宋体" w:hAnsi="宋体" w:eastAsia="宋体" w:cs="宋体"/>
                <w:szCs w:val="24"/>
                <w:highlight w:val="none"/>
              </w:rPr>
            </w:pPr>
            <w:r>
              <w:rPr>
                <w:rFonts w:hint="eastAsia" w:ascii="宋体" w:hAnsi="宋体" w:eastAsia="宋体" w:cs="宋体"/>
                <w:highlight w:val="none"/>
              </w:rPr>
              <w:t>3、内容不完整且编制不合理的得0-4分（不含）。</w:t>
            </w:r>
          </w:p>
        </w:tc>
        <w:tc>
          <w:tcPr>
            <w:tcW w:w="422" w:type="pct"/>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73" w:type="pct"/>
            <w:vMerge w:val="continue"/>
            <w:tcBorders>
              <w:left w:val="single" w:color="auto" w:sz="4" w:space="0"/>
              <w:right w:val="single" w:color="auto" w:sz="4" w:space="0"/>
            </w:tcBorders>
            <w:vAlign w:val="center"/>
          </w:tcPr>
          <w:p>
            <w:pPr>
              <w:pStyle w:val="8"/>
              <w:spacing w:line="360" w:lineRule="auto"/>
              <w:ind w:firstLine="0"/>
              <w:jc w:val="left"/>
              <w:rPr>
                <w:rFonts w:hint="eastAsia" w:ascii="宋体" w:hAnsi="宋体" w:eastAsia="宋体" w:cs="宋体"/>
                <w:sz w:val="24"/>
                <w:szCs w:val="24"/>
                <w:highlight w:val="none"/>
              </w:rPr>
            </w:pPr>
          </w:p>
        </w:tc>
        <w:tc>
          <w:tcPr>
            <w:tcW w:w="626" w:type="pct"/>
            <w:vMerge w:val="continue"/>
            <w:tcBorders>
              <w:left w:val="single" w:color="auto" w:sz="4" w:space="0"/>
              <w:right w:val="single" w:color="auto" w:sz="4" w:space="0"/>
            </w:tcBorders>
            <w:vAlign w:val="center"/>
          </w:tcPr>
          <w:p>
            <w:pPr>
              <w:pStyle w:val="8"/>
              <w:spacing w:line="360" w:lineRule="auto"/>
              <w:ind w:firstLine="0"/>
              <w:jc w:val="left"/>
              <w:rPr>
                <w:rFonts w:hint="eastAsia" w:ascii="宋体" w:hAnsi="宋体" w:eastAsia="宋体" w:cs="宋体"/>
                <w:sz w:val="24"/>
                <w:szCs w:val="24"/>
                <w:highlight w:val="none"/>
              </w:rPr>
            </w:pPr>
          </w:p>
        </w:tc>
        <w:tc>
          <w:tcPr>
            <w:tcW w:w="3678" w:type="pct"/>
            <w:tcBorders>
              <w:top w:val="single" w:color="auto" w:sz="4" w:space="0"/>
              <w:left w:val="single" w:color="auto" w:sz="4" w:space="0"/>
              <w:right w:val="single" w:color="auto" w:sz="4" w:space="0"/>
            </w:tcBorders>
            <w:vAlign w:val="center"/>
          </w:tcPr>
          <w:p>
            <w:pPr>
              <w:pStyle w:val="78"/>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供货方案是否完善可行，包括且不限于供货方案、产品保护、运输、保证措施等方面内容进行评审：</w:t>
            </w:r>
          </w:p>
          <w:p>
            <w:pPr>
              <w:pStyle w:val="78"/>
              <w:spacing w:line="360" w:lineRule="auto"/>
              <w:jc w:val="left"/>
              <w:rPr>
                <w:rFonts w:hint="eastAsia" w:ascii="宋体" w:hAnsi="宋体" w:eastAsia="宋体" w:cs="宋体"/>
                <w:spacing w:val="-60"/>
                <w:szCs w:val="24"/>
                <w:highlight w:val="none"/>
              </w:rPr>
            </w:pPr>
            <w:r>
              <w:rPr>
                <w:rFonts w:hint="eastAsia" w:ascii="宋体" w:hAnsi="宋体" w:eastAsia="宋体" w:cs="宋体"/>
                <w:szCs w:val="24"/>
                <w:highlight w:val="none"/>
              </w:rPr>
              <w:t>1、方案合理完善、健全且</w:t>
            </w:r>
            <w:r>
              <w:rPr>
                <w:rFonts w:hint="eastAsia" w:ascii="宋体" w:hAnsi="宋体" w:eastAsia="宋体" w:cs="宋体"/>
                <w:spacing w:val="-5"/>
                <w:szCs w:val="24"/>
                <w:highlight w:val="none"/>
              </w:rPr>
              <w:t>满足采购需求</w:t>
            </w:r>
            <w:r>
              <w:rPr>
                <w:rFonts w:hint="eastAsia" w:ascii="宋体" w:hAnsi="宋体" w:eastAsia="宋体" w:cs="宋体"/>
                <w:szCs w:val="24"/>
                <w:highlight w:val="none"/>
              </w:rPr>
              <w:t>得7-10分</w:t>
            </w:r>
            <w:r>
              <w:rPr>
                <w:rFonts w:hint="eastAsia" w:ascii="宋体" w:hAnsi="宋体" w:eastAsia="宋体" w:cs="宋体"/>
                <w:spacing w:val="-60"/>
                <w:szCs w:val="24"/>
                <w:highlight w:val="none"/>
              </w:rPr>
              <w:t>；</w:t>
            </w:r>
          </w:p>
          <w:p>
            <w:pPr>
              <w:pStyle w:val="78"/>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2、方案较完善、较健全得4-7分（不含）；</w:t>
            </w:r>
          </w:p>
          <w:p>
            <w:pPr>
              <w:pStyle w:val="78"/>
              <w:spacing w:line="360" w:lineRule="auto"/>
              <w:jc w:val="left"/>
              <w:rPr>
                <w:rFonts w:hint="eastAsia" w:ascii="宋体" w:hAnsi="宋体" w:eastAsia="宋体" w:cs="宋体"/>
                <w:spacing w:val="-60"/>
                <w:szCs w:val="24"/>
                <w:highlight w:val="none"/>
              </w:rPr>
            </w:pPr>
            <w:r>
              <w:rPr>
                <w:rFonts w:hint="eastAsia" w:ascii="宋体" w:hAnsi="宋体" w:eastAsia="宋体" w:cs="宋体"/>
                <w:szCs w:val="24"/>
                <w:highlight w:val="none"/>
              </w:rPr>
              <w:t>3、方案一般得0-4分（不含）。</w:t>
            </w:r>
          </w:p>
        </w:tc>
        <w:tc>
          <w:tcPr>
            <w:tcW w:w="422" w:type="pct"/>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73" w:type="pct"/>
            <w:vMerge w:val="continue"/>
            <w:tcBorders>
              <w:left w:val="single" w:color="auto" w:sz="4" w:space="0"/>
              <w:right w:val="single" w:color="auto" w:sz="4" w:space="0"/>
            </w:tcBorders>
            <w:vAlign w:val="center"/>
          </w:tcPr>
          <w:p>
            <w:pPr>
              <w:pStyle w:val="8"/>
              <w:spacing w:line="360" w:lineRule="auto"/>
              <w:ind w:firstLine="0"/>
              <w:jc w:val="left"/>
              <w:rPr>
                <w:rFonts w:hint="eastAsia" w:ascii="宋体" w:hAnsi="宋体" w:eastAsia="宋体" w:cs="宋体"/>
                <w:sz w:val="24"/>
                <w:szCs w:val="24"/>
                <w:highlight w:val="none"/>
              </w:rPr>
            </w:pPr>
          </w:p>
        </w:tc>
        <w:tc>
          <w:tcPr>
            <w:tcW w:w="626" w:type="pct"/>
            <w:vMerge w:val="continue"/>
            <w:tcBorders>
              <w:left w:val="single" w:color="auto" w:sz="4" w:space="0"/>
              <w:right w:val="single" w:color="auto" w:sz="4" w:space="0"/>
            </w:tcBorders>
            <w:vAlign w:val="center"/>
          </w:tcPr>
          <w:p>
            <w:pPr>
              <w:pStyle w:val="8"/>
              <w:spacing w:line="360" w:lineRule="auto"/>
              <w:ind w:firstLine="0"/>
              <w:jc w:val="left"/>
              <w:rPr>
                <w:rFonts w:hint="eastAsia" w:ascii="宋体" w:hAnsi="宋体" w:eastAsia="宋体" w:cs="宋体"/>
                <w:sz w:val="24"/>
                <w:szCs w:val="24"/>
                <w:highlight w:val="none"/>
              </w:rPr>
            </w:pPr>
          </w:p>
        </w:tc>
        <w:tc>
          <w:tcPr>
            <w:tcW w:w="3678" w:type="pct"/>
            <w:tcBorders>
              <w:top w:val="single" w:color="auto" w:sz="4" w:space="0"/>
              <w:left w:val="single" w:color="auto" w:sz="4" w:space="0"/>
              <w:right w:val="single" w:color="auto" w:sz="4" w:space="0"/>
            </w:tcBorders>
            <w:vAlign w:val="center"/>
          </w:tcPr>
          <w:p>
            <w:pPr>
              <w:pStyle w:val="78"/>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根据供应商提供的产品</w:t>
            </w:r>
            <w:r>
              <w:rPr>
                <w:rFonts w:hint="eastAsia" w:ascii="宋体" w:hAnsi="宋体" w:eastAsia="宋体" w:cs="宋体"/>
                <w:szCs w:val="24"/>
                <w:highlight w:val="none"/>
                <w:lang w:eastAsia="zh-CN"/>
              </w:rPr>
              <w:t>样品</w:t>
            </w:r>
            <w:r>
              <w:rPr>
                <w:rFonts w:hint="eastAsia" w:ascii="宋体" w:hAnsi="宋体" w:eastAsia="宋体" w:cs="宋体"/>
                <w:szCs w:val="24"/>
                <w:highlight w:val="none"/>
              </w:rPr>
              <w:t>整体质量状况、选材用料与做工工艺进行评审：</w:t>
            </w:r>
          </w:p>
          <w:p>
            <w:pPr>
              <w:pStyle w:val="78"/>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1、整体质量状况、选材用料与做工工艺完全满足采购人及磋商文件要求，得10-15分</w:t>
            </w:r>
          </w:p>
          <w:p>
            <w:pPr>
              <w:pStyle w:val="78"/>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2、整体质量状况、选材用料与做工工艺基本满足采购人及磋商文件要求，得5-10分（不含）</w:t>
            </w:r>
          </w:p>
          <w:p>
            <w:pPr>
              <w:pStyle w:val="78"/>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3、整体质量状况、选材用料与做工工艺不太符合采购人及磋商文件要求得0-5分（不含）。</w:t>
            </w:r>
          </w:p>
        </w:tc>
        <w:tc>
          <w:tcPr>
            <w:tcW w:w="422" w:type="pct"/>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73" w:type="pct"/>
            <w:vMerge w:val="continue"/>
            <w:tcBorders>
              <w:left w:val="single" w:color="auto" w:sz="4" w:space="0"/>
              <w:right w:val="single" w:color="auto" w:sz="4" w:space="0"/>
            </w:tcBorders>
            <w:vAlign w:val="center"/>
          </w:tcPr>
          <w:p>
            <w:pPr>
              <w:pStyle w:val="8"/>
              <w:spacing w:line="360" w:lineRule="auto"/>
              <w:ind w:firstLine="0"/>
              <w:jc w:val="left"/>
              <w:rPr>
                <w:rFonts w:hint="eastAsia" w:ascii="宋体" w:hAnsi="宋体" w:eastAsia="宋体" w:cs="宋体"/>
                <w:sz w:val="24"/>
                <w:szCs w:val="24"/>
                <w:highlight w:val="none"/>
              </w:rPr>
            </w:pPr>
          </w:p>
        </w:tc>
        <w:tc>
          <w:tcPr>
            <w:tcW w:w="626" w:type="pct"/>
            <w:vMerge w:val="continue"/>
            <w:tcBorders>
              <w:left w:val="single" w:color="auto" w:sz="4" w:space="0"/>
              <w:right w:val="single" w:color="auto" w:sz="4" w:space="0"/>
            </w:tcBorders>
            <w:vAlign w:val="center"/>
          </w:tcPr>
          <w:p>
            <w:pPr>
              <w:pStyle w:val="8"/>
              <w:spacing w:line="360" w:lineRule="auto"/>
              <w:ind w:firstLine="0"/>
              <w:jc w:val="left"/>
              <w:rPr>
                <w:rFonts w:hint="eastAsia" w:ascii="宋体" w:hAnsi="宋体" w:eastAsia="宋体" w:cs="宋体"/>
                <w:sz w:val="24"/>
                <w:szCs w:val="24"/>
                <w:highlight w:val="none"/>
              </w:rPr>
            </w:pPr>
          </w:p>
        </w:tc>
        <w:tc>
          <w:tcPr>
            <w:tcW w:w="3678" w:type="pct"/>
            <w:tcBorders>
              <w:top w:val="single" w:color="auto" w:sz="4" w:space="0"/>
              <w:left w:val="single" w:color="auto" w:sz="4" w:space="0"/>
              <w:right w:val="single" w:color="auto" w:sz="4" w:space="0"/>
            </w:tcBorders>
            <w:vAlign w:val="center"/>
          </w:tcPr>
          <w:p>
            <w:pPr>
              <w:pStyle w:val="8"/>
              <w:adjustRightInd w:val="0"/>
              <w:snapToGrid w:val="0"/>
              <w:spacing w:line="360" w:lineRule="auto"/>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供应商需提供完整的售后服务方案，视其售后服务方案完整程度及可操作性进行评审：</w:t>
            </w:r>
          </w:p>
          <w:p>
            <w:pPr>
              <w:pStyle w:val="8"/>
              <w:adjustRightInd w:val="0"/>
              <w:snapToGrid w:val="0"/>
              <w:spacing w:line="360" w:lineRule="auto"/>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1、售后服务方案全面完善、可操作性强的得7-10分；</w:t>
            </w:r>
          </w:p>
          <w:p>
            <w:pPr>
              <w:pStyle w:val="8"/>
              <w:adjustRightInd w:val="0"/>
              <w:snapToGrid w:val="0"/>
              <w:spacing w:line="360" w:lineRule="auto"/>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2、售后服务方案较为完善、可操作性较强的得4-7分（不含）；</w:t>
            </w:r>
          </w:p>
          <w:p>
            <w:pPr>
              <w:pStyle w:val="8"/>
              <w:adjustRightInd w:val="0"/>
              <w:snapToGrid w:val="0"/>
              <w:spacing w:line="360" w:lineRule="auto"/>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3、售后服务方案不完善、可操作性一般的得0-4分（不含）。</w:t>
            </w:r>
          </w:p>
        </w:tc>
        <w:tc>
          <w:tcPr>
            <w:tcW w:w="422" w:type="pct"/>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73" w:type="pct"/>
            <w:vMerge w:val="continue"/>
            <w:tcBorders>
              <w:left w:val="single" w:color="auto" w:sz="4" w:space="0"/>
              <w:right w:val="single" w:color="auto" w:sz="4" w:space="0"/>
            </w:tcBorders>
            <w:vAlign w:val="center"/>
          </w:tcPr>
          <w:p>
            <w:pPr>
              <w:pStyle w:val="8"/>
              <w:spacing w:line="360" w:lineRule="auto"/>
              <w:ind w:firstLine="0"/>
              <w:jc w:val="left"/>
              <w:rPr>
                <w:rFonts w:hint="eastAsia" w:ascii="宋体" w:hAnsi="宋体" w:eastAsia="宋体" w:cs="宋体"/>
                <w:sz w:val="24"/>
                <w:szCs w:val="24"/>
                <w:highlight w:val="none"/>
              </w:rPr>
            </w:pPr>
          </w:p>
        </w:tc>
        <w:tc>
          <w:tcPr>
            <w:tcW w:w="626" w:type="pct"/>
            <w:vMerge w:val="continue"/>
            <w:tcBorders>
              <w:left w:val="single" w:color="auto" w:sz="4" w:space="0"/>
              <w:right w:val="single" w:color="auto" w:sz="4" w:space="0"/>
            </w:tcBorders>
            <w:vAlign w:val="center"/>
          </w:tcPr>
          <w:p>
            <w:pPr>
              <w:pStyle w:val="8"/>
              <w:spacing w:line="360" w:lineRule="auto"/>
              <w:ind w:firstLine="0"/>
              <w:jc w:val="left"/>
              <w:rPr>
                <w:rFonts w:hint="eastAsia" w:ascii="宋体" w:hAnsi="宋体" w:eastAsia="宋体" w:cs="宋体"/>
                <w:sz w:val="24"/>
                <w:szCs w:val="24"/>
                <w:highlight w:val="none"/>
              </w:rPr>
            </w:pPr>
          </w:p>
        </w:tc>
        <w:tc>
          <w:tcPr>
            <w:tcW w:w="3678" w:type="pct"/>
            <w:tcBorders>
              <w:top w:val="single" w:color="auto" w:sz="4" w:space="0"/>
              <w:left w:val="single" w:color="auto" w:sz="4" w:space="0"/>
              <w:right w:val="single" w:color="auto" w:sz="4" w:space="0"/>
            </w:tcBorders>
            <w:vAlign w:val="center"/>
          </w:tcPr>
          <w:p>
            <w:pPr>
              <w:numPr>
                <w:ilvl w:val="0"/>
                <w:numId w:val="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提供相应服装的检测报告（针对面料、里料等材料），有一项得1分，最高得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422" w:type="pct"/>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ind w:firstLine="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73" w:type="pct"/>
            <w:vMerge w:val="continue"/>
            <w:tcBorders>
              <w:left w:val="single" w:color="auto" w:sz="4" w:space="0"/>
              <w:right w:val="single" w:color="auto" w:sz="4" w:space="0"/>
            </w:tcBorders>
            <w:vAlign w:val="center"/>
          </w:tcPr>
          <w:p>
            <w:pPr>
              <w:pStyle w:val="8"/>
              <w:spacing w:line="360" w:lineRule="auto"/>
              <w:ind w:firstLine="0"/>
              <w:jc w:val="left"/>
              <w:rPr>
                <w:rFonts w:hint="eastAsia" w:ascii="宋体" w:hAnsi="宋体" w:eastAsia="宋体" w:cs="宋体"/>
                <w:sz w:val="24"/>
                <w:szCs w:val="24"/>
                <w:highlight w:val="none"/>
              </w:rPr>
            </w:pPr>
          </w:p>
        </w:tc>
        <w:tc>
          <w:tcPr>
            <w:tcW w:w="626" w:type="pct"/>
            <w:vMerge w:val="continue"/>
            <w:tcBorders>
              <w:left w:val="single" w:color="auto" w:sz="4" w:space="0"/>
              <w:right w:val="single" w:color="auto" w:sz="4" w:space="0"/>
            </w:tcBorders>
            <w:vAlign w:val="center"/>
          </w:tcPr>
          <w:p>
            <w:pPr>
              <w:pStyle w:val="8"/>
              <w:spacing w:line="360" w:lineRule="auto"/>
              <w:ind w:firstLine="0"/>
              <w:jc w:val="left"/>
              <w:rPr>
                <w:rFonts w:hint="eastAsia" w:ascii="宋体" w:hAnsi="宋体" w:eastAsia="宋体" w:cs="宋体"/>
                <w:sz w:val="24"/>
                <w:szCs w:val="24"/>
                <w:highlight w:val="none"/>
              </w:rPr>
            </w:pPr>
          </w:p>
        </w:tc>
        <w:tc>
          <w:tcPr>
            <w:tcW w:w="3678" w:type="pct"/>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对供应商提供的对自身企业的内部管理各项制度、措施、流程等方案进行评审，进行评审：</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1、内部管理各项制度、措施、流程等方案全面完善得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2、内部管理各项制度、措施、流程等方案较为全面完善得2-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分（不含）；</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3、内部管理各项制度、措施、流程等方案一般得1-2分（不含）。</w:t>
            </w:r>
          </w:p>
        </w:tc>
        <w:tc>
          <w:tcPr>
            <w:tcW w:w="422" w:type="pct"/>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ind w:firstLine="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273" w:type="pct"/>
            <w:tcBorders>
              <w:top w:val="single" w:color="auto" w:sz="4" w:space="0"/>
              <w:left w:val="single" w:color="auto" w:sz="4" w:space="0"/>
              <w:right w:val="single" w:color="auto" w:sz="4" w:space="0"/>
            </w:tcBorders>
            <w:vAlign w:val="center"/>
          </w:tcPr>
          <w:p>
            <w:pPr>
              <w:pStyle w:val="8"/>
              <w:spacing w:line="360" w:lineRule="auto"/>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26" w:type="pct"/>
            <w:tcBorders>
              <w:top w:val="single" w:color="auto" w:sz="4" w:space="0"/>
              <w:left w:val="single" w:color="auto" w:sz="4" w:space="0"/>
              <w:right w:val="single" w:color="auto" w:sz="4" w:space="0"/>
            </w:tcBorders>
            <w:vAlign w:val="center"/>
          </w:tcPr>
          <w:p>
            <w:pPr>
              <w:pStyle w:val="8"/>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分)</w:t>
            </w:r>
          </w:p>
        </w:tc>
        <w:tc>
          <w:tcPr>
            <w:tcW w:w="3678" w:type="pct"/>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ind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根据供应商企业近3年（2019年7月-至今）同类或相似项目业绩，以成交通知书或合同复印件为准,每提供一个得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分，本项最多得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422" w:type="pct"/>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360" w:lineRule="auto"/>
              <w:ind w:firstLine="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r>
    </w:tbl>
    <w:p>
      <w:pPr>
        <w:rPr>
          <w:rFonts w:hint="eastAsia" w:ascii="宋体" w:hAnsi="宋体" w:eastAsia="宋体" w:cs="宋体"/>
          <w:highlight w:val="none"/>
        </w:rPr>
      </w:pPr>
      <w:r>
        <w:rPr>
          <w:rFonts w:hint="eastAsia" w:ascii="宋体" w:hAnsi="宋体" w:eastAsia="宋体" w:cs="宋体"/>
          <w:highlight w:val="none"/>
        </w:rPr>
        <w:br w:type="page"/>
      </w:r>
    </w:p>
    <w:p>
      <w:pPr>
        <w:pStyle w:val="3"/>
        <w:jc w:val="center"/>
        <w:rPr>
          <w:rFonts w:hint="eastAsia" w:ascii="宋体" w:hAnsi="宋体" w:eastAsia="宋体" w:cs="宋体"/>
          <w:sz w:val="32"/>
          <w:szCs w:val="32"/>
          <w:highlight w:val="none"/>
        </w:rPr>
      </w:pPr>
      <w:bookmarkStart w:id="49" w:name="_Toc1326"/>
      <w:bookmarkStart w:id="50" w:name="_Toc81475571"/>
      <w:r>
        <w:rPr>
          <w:rFonts w:hint="eastAsia" w:ascii="宋体" w:hAnsi="宋体" w:eastAsia="宋体" w:cs="宋体"/>
          <w:sz w:val="32"/>
          <w:szCs w:val="32"/>
          <w:highlight w:val="none"/>
        </w:rPr>
        <w:t>第五章</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合同条款和格式</w:t>
      </w:r>
      <w:bookmarkEnd w:id="46"/>
      <w:bookmarkEnd w:id="49"/>
      <w:bookmarkEnd w:id="50"/>
    </w:p>
    <w:p>
      <w:pPr>
        <w:spacing w:line="520" w:lineRule="exact"/>
        <w:jc w:val="center"/>
        <w:rPr>
          <w:rFonts w:hint="eastAsia" w:ascii="宋体" w:hAnsi="宋体" w:eastAsia="宋体" w:cs="宋体"/>
          <w:b/>
          <w:sz w:val="28"/>
          <w:szCs w:val="28"/>
          <w:highlight w:val="none"/>
        </w:rPr>
      </w:pPr>
    </w:p>
    <w:p>
      <w:pPr>
        <w:spacing w:line="520" w:lineRule="exact"/>
        <w:jc w:val="center"/>
        <w:rPr>
          <w:rFonts w:hint="eastAsia" w:ascii="宋体" w:hAnsi="宋体" w:eastAsia="宋体" w:cs="宋体"/>
          <w:b/>
          <w:sz w:val="28"/>
          <w:szCs w:val="28"/>
          <w:highlight w:val="none"/>
        </w:rPr>
      </w:pPr>
    </w:p>
    <w:p>
      <w:pPr>
        <w:spacing w:line="580" w:lineRule="exact"/>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采购合同范本</w:t>
      </w:r>
    </w:p>
    <w:p>
      <w:pPr>
        <w:widowControl/>
        <w:shd w:val="clear" w:color="auto" w:fill="FFFFFF"/>
        <w:spacing w:line="580" w:lineRule="exact"/>
        <w:jc w:val="center"/>
        <w:rPr>
          <w:rFonts w:hint="eastAsia" w:ascii="宋体" w:hAnsi="宋体" w:eastAsia="宋体" w:cs="宋体"/>
          <w:kern w:val="0"/>
          <w:sz w:val="27"/>
          <w:szCs w:val="27"/>
          <w:highlight w:val="none"/>
        </w:rPr>
      </w:pPr>
    </w:p>
    <w:p>
      <w:pPr>
        <w:widowControl/>
        <w:shd w:val="clear" w:color="auto" w:fill="FFFFFF"/>
        <w:spacing w:line="580" w:lineRule="exact"/>
        <w:jc w:val="center"/>
        <w:rPr>
          <w:rFonts w:hint="eastAsia" w:ascii="宋体" w:hAnsi="宋体" w:eastAsia="宋体" w:cs="宋体"/>
          <w:kern w:val="0"/>
          <w:sz w:val="27"/>
          <w:szCs w:val="27"/>
          <w:highlight w:val="none"/>
        </w:rPr>
      </w:pPr>
    </w:p>
    <w:p>
      <w:pPr>
        <w:widowControl/>
        <w:shd w:val="clear" w:color="auto" w:fill="FFFFFF"/>
        <w:spacing w:line="580" w:lineRule="exact"/>
        <w:jc w:val="center"/>
        <w:rPr>
          <w:rFonts w:hint="eastAsia" w:ascii="宋体" w:hAnsi="宋体" w:eastAsia="宋体" w:cs="宋体"/>
          <w:kern w:val="0"/>
          <w:sz w:val="27"/>
          <w:szCs w:val="27"/>
          <w:highlight w:val="none"/>
        </w:rPr>
      </w:pPr>
    </w:p>
    <w:p>
      <w:pPr>
        <w:widowControl/>
        <w:shd w:val="clear" w:color="auto" w:fill="FFFFFF"/>
        <w:spacing w:line="580" w:lineRule="exact"/>
        <w:jc w:val="center"/>
        <w:rPr>
          <w:rFonts w:hint="eastAsia" w:ascii="宋体" w:hAnsi="宋体" w:eastAsia="宋体" w:cs="宋体"/>
          <w:kern w:val="0"/>
          <w:sz w:val="27"/>
          <w:szCs w:val="27"/>
          <w:highlight w:val="none"/>
        </w:rPr>
      </w:pPr>
    </w:p>
    <w:p>
      <w:pPr>
        <w:widowControl/>
        <w:shd w:val="clear" w:color="auto" w:fill="FFFFFF"/>
        <w:spacing w:line="580" w:lineRule="exact"/>
        <w:jc w:val="center"/>
        <w:rPr>
          <w:rFonts w:hint="eastAsia" w:ascii="宋体" w:hAnsi="宋体" w:eastAsia="宋体" w:cs="宋体"/>
          <w:kern w:val="0"/>
          <w:sz w:val="27"/>
          <w:szCs w:val="27"/>
          <w:highlight w:val="none"/>
        </w:rPr>
      </w:pPr>
    </w:p>
    <w:p>
      <w:pPr>
        <w:widowControl/>
        <w:shd w:val="clear" w:color="auto" w:fill="FFFFFF"/>
        <w:spacing w:line="580" w:lineRule="exact"/>
        <w:jc w:val="center"/>
        <w:rPr>
          <w:rFonts w:hint="eastAsia" w:ascii="宋体" w:hAnsi="宋体" w:eastAsia="宋体" w:cs="宋体"/>
          <w:kern w:val="0"/>
          <w:sz w:val="27"/>
          <w:szCs w:val="27"/>
          <w:highlight w:val="none"/>
        </w:rPr>
      </w:pPr>
    </w:p>
    <w:p>
      <w:pPr>
        <w:widowControl/>
        <w:shd w:val="clear" w:color="auto" w:fill="FFFFFF"/>
        <w:spacing w:line="580" w:lineRule="exact"/>
        <w:jc w:val="center"/>
        <w:rPr>
          <w:rFonts w:hint="eastAsia" w:ascii="宋体" w:hAnsi="宋体" w:eastAsia="宋体" w:cs="宋体"/>
          <w:kern w:val="0"/>
          <w:sz w:val="27"/>
          <w:szCs w:val="27"/>
          <w:highlight w:val="none"/>
        </w:rPr>
      </w:pPr>
    </w:p>
    <w:p>
      <w:pPr>
        <w:widowControl/>
        <w:shd w:val="clear" w:color="auto" w:fill="FFFFFF"/>
        <w:spacing w:line="580" w:lineRule="exact"/>
        <w:jc w:val="center"/>
        <w:rPr>
          <w:rFonts w:hint="eastAsia" w:ascii="宋体" w:hAnsi="宋体" w:eastAsia="宋体" w:cs="宋体"/>
          <w:kern w:val="0"/>
          <w:sz w:val="27"/>
          <w:szCs w:val="27"/>
          <w:highlight w:val="none"/>
        </w:rPr>
      </w:pPr>
    </w:p>
    <w:p>
      <w:pPr>
        <w:widowControl/>
        <w:shd w:val="clear" w:color="auto" w:fill="FFFFFF"/>
        <w:spacing w:line="580" w:lineRule="exact"/>
        <w:jc w:val="center"/>
        <w:rPr>
          <w:rFonts w:hint="eastAsia" w:ascii="宋体" w:hAnsi="宋体" w:eastAsia="宋体" w:cs="宋体"/>
          <w:kern w:val="0"/>
          <w:sz w:val="27"/>
          <w:szCs w:val="27"/>
          <w:highlight w:val="none"/>
        </w:rPr>
      </w:pPr>
    </w:p>
    <w:p>
      <w:pPr>
        <w:widowControl/>
        <w:shd w:val="clear" w:color="auto" w:fill="FFFFFF"/>
        <w:spacing w:line="580" w:lineRule="exact"/>
        <w:jc w:val="center"/>
        <w:rPr>
          <w:rFonts w:hint="eastAsia" w:ascii="宋体" w:hAnsi="宋体" w:eastAsia="宋体" w:cs="宋体"/>
          <w:kern w:val="0"/>
          <w:sz w:val="27"/>
          <w:szCs w:val="27"/>
          <w:highlight w:val="none"/>
        </w:rPr>
      </w:pPr>
    </w:p>
    <w:p>
      <w:pPr>
        <w:pStyle w:val="18"/>
        <w:rPr>
          <w:rFonts w:hint="eastAsia" w:ascii="宋体" w:hAnsi="宋体" w:eastAsia="宋体" w:cs="宋体"/>
          <w:kern w:val="0"/>
          <w:sz w:val="27"/>
          <w:szCs w:val="27"/>
          <w:highlight w:val="none"/>
        </w:rPr>
      </w:pPr>
    </w:p>
    <w:p>
      <w:pPr>
        <w:pStyle w:val="18"/>
        <w:rPr>
          <w:rFonts w:hint="eastAsia" w:ascii="宋体" w:hAnsi="宋体" w:eastAsia="宋体" w:cs="宋体"/>
          <w:kern w:val="0"/>
          <w:sz w:val="27"/>
          <w:szCs w:val="27"/>
          <w:highlight w:val="none"/>
        </w:rPr>
      </w:pPr>
    </w:p>
    <w:p>
      <w:pPr>
        <w:widowControl/>
        <w:shd w:val="clear" w:color="auto" w:fill="FFFFFF"/>
        <w:spacing w:line="580" w:lineRule="exact"/>
        <w:jc w:val="center"/>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年 月 日</w:t>
      </w:r>
    </w:p>
    <w:p>
      <w:pPr>
        <w:widowControl/>
        <w:shd w:val="clear" w:color="auto" w:fill="FFFFFF"/>
        <w:spacing w:line="550" w:lineRule="exact"/>
        <w:ind w:firstLine="600" w:firstLineChars="200"/>
        <w:jc w:val="center"/>
        <w:rPr>
          <w:rFonts w:hint="eastAsia" w:ascii="宋体" w:hAnsi="宋体" w:eastAsia="宋体" w:cs="宋体"/>
          <w:kern w:val="0"/>
          <w:sz w:val="30"/>
          <w:szCs w:val="30"/>
          <w:highlight w:val="none"/>
        </w:rPr>
      </w:pPr>
      <w:r>
        <w:rPr>
          <w:rFonts w:hint="eastAsia" w:ascii="宋体" w:hAnsi="宋体" w:eastAsia="宋体" w:cs="宋体"/>
          <w:kern w:val="0"/>
          <w:sz w:val="30"/>
          <w:szCs w:val="30"/>
          <w:highlight w:val="none"/>
        </w:rPr>
        <w:t>（此文本仅供参考，合同签订双方可根据项目的具体要求自行修订相关内容）</w:t>
      </w:r>
    </w:p>
    <w:p>
      <w:pPr>
        <w:pStyle w:val="18"/>
        <w:rPr>
          <w:rFonts w:hint="eastAsia" w:ascii="宋体" w:hAnsi="宋体" w:eastAsia="宋体" w:cs="宋体"/>
          <w:b/>
          <w:bCs/>
          <w:kern w:val="0"/>
          <w:sz w:val="44"/>
          <w:szCs w:val="44"/>
          <w:highlight w:val="none"/>
        </w:rPr>
      </w:pPr>
      <w:bookmarkStart w:id="51" w:name="_Toc34423570"/>
      <w:bookmarkStart w:id="52" w:name="_Toc34423573"/>
      <w:bookmarkStart w:id="53" w:name="_Toc20651994"/>
      <w:bookmarkStart w:id="54" w:name="_Toc24239438"/>
    </w:p>
    <w:p>
      <w:pPr>
        <w:keepNext w:val="0"/>
        <w:keepLines w:val="0"/>
        <w:pageBreakBefore w:val="0"/>
        <w:kinsoku/>
        <w:wordWrap/>
        <w:overflowPunct/>
        <w:topLinePunct w:val="0"/>
        <w:autoSpaceDE/>
        <w:autoSpaceDN/>
        <w:bidi w:val="0"/>
        <w:spacing w:line="460" w:lineRule="exact"/>
        <w:ind w:firstLine="480" w:firstLineChars="200"/>
        <w:rPr>
          <w:rFonts w:hint="eastAsia" w:asciiTheme="minorEastAsia" w:hAnsiTheme="minorEastAsia" w:eastAsiaTheme="minorEastAsia" w:cstheme="minorEastAsia"/>
          <w:b/>
          <w:bCs/>
          <w:sz w:val="24"/>
          <w:szCs w:val="24"/>
          <w:highlight w:val="none"/>
        </w:rPr>
      </w:pPr>
      <w:r>
        <w:rPr>
          <w:rFonts w:hint="eastAsia" w:ascii="宋体" w:hAnsi="宋体" w:eastAsia="宋体" w:cs="宋体"/>
          <w:sz w:val="24"/>
          <w:szCs w:val="22"/>
          <w:highlight w:val="none"/>
        </w:rPr>
        <w:br w:type="page"/>
      </w:r>
      <w:r>
        <w:rPr>
          <w:rFonts w:hint="eastAsia" w:asciiTheme="minorEastAsia" w:hAnsiTheme="minorEastAsia" w:eastAsiaTheme="minorEastAsia" w:cstheme="minorEastAsia"/>
          <w:b/>
          <w:bCs/>
          <w:sz w:val="24"/>
          <w:szCs w:val="24"/>
          <w:highlight w:val="none"/>
        </w:rPr>
        <w:t>采购人：</w:t>
      </w:r>
      <w:r>
        <w:rPr>
          <w:rFonts w:hint="eastAsia" w:asciiTheme="minorEastAsia" w:hAnsiTheme="minorEastAsia" w:eastAsiaTheme="minorEastAsia" w:cstheme="minorEastAsia"/>
          <w:b/>
          <w:bCs/>
          <w:sz w:val="24"/>
          <w:szCs w:val="24"/>
          <w:highlight w:val="none"/>
          <w:u w:val="single"/>
        </w:rPr>
        <w:t xml:space="preserve">内蒙古自治区公安厅特勤局 </w:t>
      </w:r>
    </w:p>
    <w:p>
      <w:pPr>
        <w:keepNext w:val="0"/>
        <w:keepLines w:val="0"/>
        <w:pageBreakBefore w:val="0"/>
        <w:kinsoku/>
        <w:wordWrap/>
        <w:overflowPunct/>
        <w:topLinePunct w:val="0"/>
        <w:autoSpaceDE/>
        <w:autoSpaceDN/>
        <w:bidi w:val="0"/>
        <w:spacing w:line="460" w:lineRule="exact"/>
        <w:ind w:firstLine="482" w:firstLineChars="200"/>
        <w:rPr>
          <w:rFonts w:hint="eastAsia" w:asciiTheme="minorEastAsia" w:hAnsiTheme="minorEastAsia" w:eastAsiaTheme="minorEastAsia" w:cstheme="minorEastAsia"/>
          <w:b/>
          <w:bCs/>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rPr>
        <w:t>成交供应商：</w:t>
      </w:r>
      <w:r>
        <w:rPr>
          <w:rFonts w:hint="eastAsia" w:asciiTheme="minorEastAsia" w:hAnsiTheme="minorEastAsia" w:eastAsiaTheme="minorEastAsia" w:cstheme="minorEastAsia"/>
          <w:b/>
          <w:bCs/>
          <w:sz w:val="24"/>
          <w:szCs w:val="24"/>
          <w:highlight w:val="none"/>
          <w:u w:val="single"/>
          <w:lang w:val="en-US" w:eastAsia="zh-CN"/>
        </w:rPr>
        <w:t xml:space="preserve">                </w:t>
      </w:r>
    </w:p>
    <w:p>
      <w:pPr>
        <w:keepNext w:val="0"/>
        <w:keepLines w:val="0"/>
        <w:pageBreakBefore w:val="0"/>
        <w:kinsoku/>
        <w:wordWrap/>
        <w:overflowPunct/>
        <w:topLinePunct w:val="0"/>
        <w:autoSpaceDE/>
        <w:autoSpaceDN/>
        <w:bidi w:val="0"/>
        <w:spacing w:line="460" w:lineRule="exact"/>
        <w:ind w:firstLine="480" w:firstLineChars="200"/>
        <w:rPr>
          <w:rFonts w:hint="eastAsia" w:asciiTheme="minorEastAsia" w:hAnsiTheme="minorEastAsia" w:eastAsiaTheme="minorEastAsia" w:cstheme="minorEastAsia"/>
          <w:b/>
          <w:sz w:val="24"/>
          <w:szCs w:val="24"/>
          <w:highlight w:val="none"/>
          <w:u w:val="single"/>
        </w:rPr>
      </w:pPr>
      <w:r>
        <w:rPr>
          <w:rFonts w:hint="eastAsia" w:asciiTheme="minorEastAsia" w:hAnsiTheme="minorEastAsia" w:eastAsiaTheme="minorEastAsia" w:cstheme="minorEastAsia"/>
          <w:sz w:val="24"/>
          <w:szCs w:val="24"/>
          <w:highlight w:val="none"/>
        </w:rPr>
        <w:t>根据采购人委托</w:t>
      </w:r>
      <w:r>
        <w:rPr>
          <w:rFonts w:hint="eastAsia" w:asciiTheme="minorEastAsia" w:hAnsiTheme="minorEastAsia" w:eastAsiaTheme="minorEastAsia" w:cstheme="minorEastAsia"/>
          <w:sz w:val="24"/>
          <w:szCs w:val="24"/>
          <w:highlight w:val="none"/>
          <w:u w:val="single"/>
        </w:rPr>
        <w:t>内蒙古文尚鼎合工程招标代理有限公司</w:t>
      </w:r>
      <w:r>
        <w:rPr>
          <w:rFonts w:hint="eastAsia" w:asciiTheme="minorEastAsia" w:hAnsiTheme="minorEastAsia" w:eastAsiaTheme="minorEastAsia" w:cstheme="minorEastAsia"/>
          <w:sz w:val="24"/>
          <w:szCs w:val="24"/>
          <w:highlight w:val="none"/>
        </w:rPr>
        <w:t>实施的</w:t>
      </w:r>
      <w:r>
        <w:rPr>
          <w:rFonts w:hint="eastAsia" w:asciiTheme="minorEastAsia" w:hAnsiTheme="minorEastAsia" w:eastAsiaTheme="minorEastAsia" w:cstheme="minorEastAsia"/>
          <w:sz w:val="24"/>
          <w:szCs w:val="24"/>
          <w:highlight w:val="none"/>
          <w:u w:val="single"/>
          <w:lang w:eastAsia="zh-CN"/>
        </w:rPr>
        <w:t>内蒙古自治区公安厅特勤局2022年度执勤化装服采购项目（二次）</w:t>
      </w:r>
      <w:r>
        <w:rPr>
          <w:rFonts w:hint="eastAsia" w:asciiTheme="minorEastAsia" w:hAnsiTheme="minorEastAsia" w:eastAsiaTheme="minorEastAsia" w:cstheme="minorEastAsia"/>
          <w:sz w:val="24"/>
          <w:szCs w:val="24"/>
          <w:highlight w:val="none"/>
        </w:rPr>
        <w:t xml:space="preserve">的采购结果，按照《中华人民共和国政府采购法》、《中华人民共和国民法典》，经双方协商，本着平等和诚实信用的原则，双方一致同意，签订本合同。 </w:t>
      </w:r>
    </w:p>
    <w:p>
      <w:pPr>
        <w:keepNext w:val="0"/>
        <w:keepLines w:val="0"/>
        <w:pageBreakBefore w:val="0"/>
        <w:kinsoku/>
        <w:wordWrap/>
        <w:overflowPunct/>
        <w:topLinePunct w:val="0"/>
        <w:autoSpaceDE/>
        <w:autoSpaceDN/>
        <w:bidi w:val="0"/>
        <w:spacing w:line="460" w:lineRule="exact"/>
        <w:ind w:firstLine="482"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第一条 合同内容及期限</w:t>
      </w:r>
    </w:p>
    <w:p>
      <w:pPr>
        <w:keepNext w:val="0"/>
        <w:keepLines w:val="0"/>
        <w:pageBreakBefore w:val="0"/>
        <w:kinsoku/>
        <w:wordWrap/>
        <w:overflowPunct/>
        <w:topLinePunct w:val="0"/>
        <w:autoSpaceDE/>
        <w:autoSpaceDN/>
        <w:bidi w:val="0"/>
        <w:spacing w:line="46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1.采购人以</w:t>
      </w:r>
      <w:r>
        <w:rPr>
          <w:rFonts w:hint="eastAsia" w:asciiTheme="minorEastAsia" w:hAnsiTheme="minorEastAsia" w:eastAsiaTheme="minorEastAsia" w:cstheme="minorEastAsia"/>
          <w:sz w:val="24"/>
          <w:szCs w:val="24"/>
          <w:highlight w:val="none"/>
          <w:u w:val="single"/>
        </w:rPr>
        <w:t xml:space="preserve"> 竞争性磋商 </w:t>
      </w:r>
      <w:r>
        <w:rPr>
          <w:rFonts w:hint="eastAsia" w:asciiTheme="minorEastAsia" w:hAnsiTheme="minorEastAsia" w:eastAsiaTheme="minorEastAsia" w:cstheme="minorEastAsia"/>
          <w:sz w:val="24"/>
          <w:szCs w:val="24"/>
          <w:highlight w:val="none"/>
        </w:rPr>
        <w:t>（采购方式）采购成交供应商提供的以下</w:t>
      </w:r>
      <w:r>
        <w:rPr>
          <w:rFonts w:hint="eastAsia" w:asciiTheme="minorEastAsia" w:hAnsiTheme="minorEastAsia" w:eastAsiaTheme="minorEastAsia" w:cstheme="minorEastAsia"/>
          <w:sz w:val="24"/>
          <w:szCs w:val="24"/>
          <w:highlight w:val="none"/>
          <w:lang w:eastAsia="zh-CN"/>
        </w:rPr>
        <w:t>货物</w:t>
      </w:r>
      <w:r>
        <w:rPr>
          <w:rFonts w:hint="eastAsia" w:asciiTheme="minorEastAsia" w:hAnsiTheme="minorEastAsia" w:eastAsiaTheme="minorEastAsia" w:cstheme="minorEastAsia"/>
          <w:sz w:val="24"/>
          <w:szCs w:val="24"/>
          <w:highlight w:val="none"/>
        </w:rPr>
        <w:t xml:space="preserve">： </w:t>
      </w:r>
    </w:p>
    <w:p>
      <w:pPr>
        <w:keepNext w:val="0"/>
        <w:keepLines w:val="0"/>
        <w:pageBreakBefore w:val="0"/>
        <w:kinsoku/>
        <w:wordWrap/>
        <w:overflowPunct/>
        <w:topLinePunct w:val="0"/>
        <w:autoSpaceDE/>
        <w:autoSpaceDN/>
        <w:bidi w:val="0"/>
        <w:spacing w:line="460" w:lineRule="exact"/>
        <w:ind w:firstLine="480" w:firstLineChars="200"/>
        <w:rPr>
          <w:rFonts w:hint="eastAsia" w:asciiTheme="minorEastAsia" w:hAnsiTheme="minorEastAsia" w:eastAsiaTheme="minorEastAsia" w:cstheme="minorEastAsia"/>
          <w:b/>
          <w:sz w:val="24"/>
          <w:szCs w:val="24"/>
          <w:highlight w:val="none"/>
          <w:u w:val="single"/>
        </w:rPr>
      </w:pPr>
      <w:r>
        <w:rPr>
          <w:rFonts w:hint="eastAsia" w:asciiTheme="minorEastAsia" w:hAnsiTheme="minorEastAsia" w:eastAsiaTheme="minorEastAsia" w:cstheme="minorEastAsia"/>
          <w:sz w:val="24"/>
          <w:szCs w:val="24"/>
          <w:highlight w:val="none"/>
          <w:u w:val="single"/>
          <w:lang w:eastAsia="zh-CN"/>
        </w:rPr>
        <w:t>内蒙古自治区公安厅特勤局2022年度执勤化装服采购项目（二次）</w:t>
      </w:r>
      <w:r>
        <w:rPr>
          <w:rFonts w:hint="eastAsia" w:asciiTheme="minorEastAsia" w:hAnsiTheme="minorEastAsia" w:eastAsiaTheme="minorEastAsia" w:cstheme="minorEastAsia"/>
          <w:sz w:val="24"/>
          <w:szCs w:val="24"/>
          <w:highlight w:val="none"/>
        </w:rPr>
        <w:t xml:space="preserve">。 </w:t>
      </w:r>
    </w:p>
    <w:p>
      <w:pPr>
        <w:keepNext w:val="0"/>
        <w:keepLines w:val="0"/>
        <w:pageBreakBefore w:val="0"/>
        <w:kinsoku/>
        <w:wordWrap/>
        <w:overflowPunct/>
        <w:topLinePunct w:val="0"/>
        <w:autoSpaceDE/>
        <w:autoSpaceDN/>
        <w:bidi w:val="0"/>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内容包括：</w:t>
      </w:r>
      <w:r>
        <w:rPr>
          <w:rFonts w:hint="eastAsia" w:asciiTheme="minorEastAsia" w:hAnsiTheme="minorEastAsia" w:eastAsiaTheme="minorEastAsia" w:cstheme="minorEastAsia"/>
          <w:sz w:val="24"/>
          <w:szCs w:val="24"/>
          <w:highlight w:val="none"/>
          <w:u w:val="single"/>
        </w:rPr>
        <w:t>执勤化装服采购</w:t>
      </w:r>
      <w:r>
        <w:rPr>
          <w:rFonts w:hint="eastAsia" w:asciiTheme="minorEastAsia" w:hAnsiTheme="minorEastAsia" w:eastAsiaTheme="minorEastAsia" w:cstheme="minorEastAsia"/>
          <w:sz w:val="24"/>
          <w:szCs w:val="24"/>
          <w:highlight w:val="none"/>
        </w:rPr>
        <w:t xml:space="preserve">。 </w:t>
      </w:r>
    </w:p>
    <w:p>
      <w:pPr>
        <w:keepNext w:val="0"/>
        <w:keepLines w:val="0"/>
        <w:pageBreakBefore w:val="0"/>
        <w:kinsoku/>
        <w:wordWrap/>
        <w:overflowPunct/>
        <w:topLinePunct w:val="0"/>
        <w:autoSpaceDE/>
        <w:autoSpaceDN/>
        <w:bidi w:val="0"/>
        <w:spacing w:line="46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2.供货期：自合同签订之日起30天。</w:t>
      </w:r>
    </w:p>
    <w:p>
      <w:pPr>
        <w:keepNext w:val="0"/>
        <w:keepLines w:val="0"/>
        <w:pageBreakBefore w:val="0"/>
        <w:kinsoku/>
        <w:wordWrap/>
        <w:overflowPunct/>
        <w:topLinePunct w:val="0"/>
        <w:autoSpaceDE/>
        <w:autoSpaceDN/>
        <w:bidi w:val="0"/>
        <w:spacing w:line="46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3.质保期：</w:t>
      </w:r>
      <w:r>
        <w:rPr>
          <w:rFonts w:hint="eastAsia" w:asciiTheme="minorEastAsia" w:hAnsiTheme="minorEastAsia" w:eastAsiaTheme="minorEastAsia" w:cstheme="minorEastAsia"/>
          <w:kern w:val="0"/>
          <w:sz w:val="24"/>
          <w:szCs w:val="24"/>
          <w:highlight w:val="none"/>
          <w:lang w:val="zh-CN"/>
        </w:rPr>
        <w:t>自验收合格之日起</w:t>
      </w:r>
      <w:r>
        <w:rPr>
          <w:rFonts w:hint="eastAsia" w:asciiTheme="minorEastAsia" w:hAnsiTheme="minorEastAsia" w:eastAsiaTheme="minorEastAsia" w:cstheme="minorEastAsia"/>
          <w:kern w:val="0"/>
          <w:sz w:val="24"/>
          <w:szCs w:val="24"/>
          <w:highlight w:val="none"/>
        </w:rPr>
        <w:t>1年。</w:t>
      </w:r>
    </w:p>
    <w:p>
      <w:pPr>
        <w:keepNext w:val="0"/>
        <w:keepLines w:val="0"/>
        <w:pageBreakBefore w:val="0"/>
        <w:kinsoku/>
        <w:wordWrap/>
        <w:overflowPunct/>
        <w:topLinePunct w:val="0"/>
        <w:autoSpaceDE/>
        <w:autoSpaceDN/>
        <w:bidi w:val="0"/>
        <w:spacing w:line="46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4.交货地点:内蒙古自治区公安厅特勤局。</w:t>
      </w:r>
    </w:p>
    <w:p>
      <w:pPr>
        <w:keepNext w:val="0"/>
        <w:keepLines w:val="0"/>
        <w:pageBreakBefore w:val="0"/>
        <w:kinsoku/>
        <w:wordWrap/>
        <w:overflowPunct/>
        <w:topLinePunct w:val="0"/>
        <w:autoSpaceDE/>
        <w:autoSpaceDN/>
        <w:bidi w:val="0"/>
        <w:spacing w:line="46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w:t>
      </w:r>
      <w:r>
        <w:rPr>
          <w:rFonts w:hint="eastAsia" w:asciiTheme="minorEastAsia" w:hAnsiTheme="minorEastAsia" w:eastAsiaTheme="minorEastAsia" w:cstheme="minorEastAsia"/>
          <w:kern w:val="0"/>
          <w:sz w:val="24"/>
          <w:szCs w:val="24"/>
          <w:highlight w:val="none"/>
          <w:lang w:val="zh-CN"/>
        </w:rPr>
        <w:t>验收标准</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eastAsia="zh-CN"/>
        </w:rPr>
        <w:t>符合竞争性磋商文件采购需求中数量、质量、技术参数指标要求</w:t>
      </w:r>
      <w:r>
        <w:rPr>
          <w:rFonts w:hint="eastAsia" w:asciiTheme="minorEastAsia" w:hAnsiTheme="minorEastAsia" w:eastAsiaTheme="minorEastAsia" w:cstheme="minorEastAsia"/>
          <w:kern w:val="0"/>
          <w:sz w:val="24"/>
          <w:szCs w:val="24"/>
          <w:highlight w:val="none"/>
        </w:rPr>
        <w:t>。</w:t>
      </w:r>
    </w:p>
    <w:p>
      <w:pPr>
        <w:keepNext w:val="0"/>
        <w:keepLines w:val="0"/>
        <w:pageBreakBefore w:val="0"/>
        <w:kinsoku/>
        <w:wordWrap/>
        <w:overflowPunct/>
        <w:topLinePunct w:val="0"/>
        <w:autoSpaceDE/>
        <w:autoSpaceDN/>
        <w:bidi w:val="0"/>
        <w:spacing w:line="460" w:lineRule="exact"/>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6</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zh-CN"/>
        </w:rPr>
        <w:t>服务要求：</w:t>
      </w:r>
    </w:p>
    <w:p>
      <w:pPr>
        <w:keepNext w:val="0"/>
        <w:keepLines w:val="0"/>
        <w:pageBreakBefore w:val="0"/>
        <w:kinsoku/>
        <w:wordWrap/>
        <w:overflowPunct/>
        <w:topLinePunct w:val="0"/>
        <w:autoSpaceDE/>
        <w:autoSpaceDN/>
        <w:bidi w:val="0"/>
        <w:spacing w:line="460" w:lineRule="exact"/>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rPr>
        <w:t>（1）</w:t>
      </w:r>
      <w:r>
        <w:rPr>
          <w:rFonts w:hint="eastAsia" w:asciiTheme="minorEastAsia" w:hAnsiTheme="minorEastAsia" w:eastAsiaTheme="minorEastAsia" w:cstheme="minorEastAsia"/>
          <w:kern w:val="0"/>
          <w:sz w:val="24"/>
          <w:szCs w:val="24"/>
          <w:highlight w:val="none"/>
          <w:lang w:val="zh-CN"/>
        </w:rPr>
        <w:t>供应商提供上门量体服务。</w:t>
      </w:r>
    </w:p>
    <w:p>
      <w:pPr>
        <w:keepNext w:val="0"/>
        <w:keepLines w:val="0"/>
        <w:pageBreakBefore w:val="0"/>
        <w:kinsoku/>
        <w:wordWrap/>
        <w:overflowPunct/>
        <w:topLinePunct w:val="0"/>
        <w:autoSpaceDE/>
        <w:autoSpaceDN/>
        <w:bidi w:val="0"/>
        <w:spacing w:line="460" w:lineRule="exact"/>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rPr>
        <w:t>（2）</w:t>
      </w:r>
      <w:r>
        <w:rPr>
          <w:rFonts w:hint="eastAsia" w:asciiTheme="minorEastAsia" w:hAnsiTheme="minorEastAsia" w:eastAsiaTheme="minorEastAsia" w:cstheme="minorEastAsia"/>
          <w:kern w:val="0"/>
          <w:sz w:val="24"/>
          <w:szCs w:val="24"/>
          <w:highlight w:val="none"/>
          <w:lang w:val="zh-CN"/>
        </w:rPr>
        <w:t>供应商负责货物的运输，所需费用由供应商承担。</w:t>
      </w:r>
    </w:p>
    <w:p>
      <w:pPr>
        <w:keepNext w:val="0"/>
        <w:keepLines w:val="0"/>
        <w:pageBreakBefore w:val="0"/>
        <w:kinsoku/>
        <w:wordWrap/>
        <w:overflowPunct/>
        <w:topLinePunct w:val="0"/>
        <w:autoSpaceDE/>
        <w:autoSpaceDN/>
        <w:bidi w:val="0"/>
        <w:spacing w:line="460" w:lineRule="exact"/>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rPr>
        <w:t>（3）</w:t>
      </w:r>
      <w:r>
        <w:rPr>
          <w:rFonts w:hint="eastAsia" w:asciiTheme="minorEastAsia" w:hAnsiTheme="minorEastAsia" w:eastAsiaTheme="minorEastAsia" w:cstheme="minorEastAsia"/>
          <w:kern w:val="0"/>
          <w:sz w:val="24"/>
          <w:szCs w:val="24"/>
          <w:highlight w:val="none"/>
          <w:lang w:val="zh-CN"/>
        </w:rPr>
        <w:t>交货后，如尺码不合适，必须在一个月之内更改或调换，直至符合要求。</w:t>
      </w:r>
    </w:p>
    <w:p>
      <w:pPr>
        <w:keepNext w:val="0"/>
        <w:keepLines w:val="0"/>
        <w:pageBreakBefore w:val="0"/>
        <w:kinsoku/>
        <w:wordWrap/>
        <w:overflowPunct/>
        <w:topLinePunct w:val="0"/>
        <w:autoSpaceDE/>
        <w:autoSpaceDN/>
        <w:bidi w:val="0"/>
        <w:spacing w:line="460" w:lineRule="exact"/>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rPr>
        <w:t>（4）</w:t>
      </w:r>
      <w:r>
        <w:rPr>
          <w:rFonts w:hint="eastAsia" w:asciiTheme="minorEastAsia" w:hAnsiTheme="minorEastAsia" w:eastAsiaTheme="minorEastAsia" w:cstheme="minorEastAsia"/>
          <w:kern w:val="0"/>
          <w:sz w:val="24"/>
          <w:szCs w:val="24"/>
          <w:highlight w:val="none"/>
          <w:lang w:val="zh-CN"/>
        </w:rPr>
        <w:t>供应商提供该货物的详细使用保养说明。</w:t>
      </w:r>
    </w:p>
    <w:p>
      <w:pPr>
        <w:keepNext w:val="0"/>
        <w:keepLines w:val="0"/>
        <w:pageBreakBefore w:val="0"/>
        <w:kinsoku/>
        <w:wordWrap/>
        <w:overflowPunct/>
        <w:topLinePunct w:val="0"/>
        <w:autoSpaceDE/>
        <w:autoSpaceDN/>
        <w:bidi w:val="0"/>
        <w:spacing w:line="460" w:lineRule="exact"/>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en-US" w:eastAsia="zh-CN"/>
        </w:rPr>
        <w:t>7</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lang w:val="zh-CN"/>
        </w:rPr>
        <w:t>质量标准：</w:t>
      </w:r>
    </w:p>
    <w:p>
      <w:pPr>
        <w:keepNext w:val="0"/>
        <w:keepLines w:val="0"/>
        <w:pageBreakBefore w:val="0"/>
        <w:kinsoku/>
        <w:wordWrap/>
        <w:overflowPunct/>
        <w:topLinePunct w:val="0"/>
        <w:autoSpaceDE/>
        <w:autoSpaceDN/>
        <w:bidi w:val="0"/>
        <w:spacing w:line="460" w:lineRule="exact"/>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供应商需按竞争性磋商文件规定的技术要求和供应商响应文件内的响应内容、承诺的服务提供产品和服务，产品必须按相应的国际标准和国家标准及有关政府部门的规范完成制造。</w:t>
      </w:r>
    </w:p>
    <w:p>
      <w:pPr>
        <w:keepNext w:val="0"/>
        <w:keepLines w:val="0"/>
        <w:pageBreakBefore w:val="0"/>
        <w:kinsoku/>
        <w:wordWrap/>
        <w:overflowPunct/>
        <w:topLinePunct w:val="0"/>
        <w:autoSpaceDE/>
        <w:autoSpaceDN/>
        <w:bidi w:val="0"/>
        <w:spacing w:line="460" w:lineRule="exact"/>
        <w:ind w:firstLine="480" w:firstLineChars="200"/>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执行国家GB18401-2010C类验收标准以及QB/T1002-2015,QB/T2955-2017等国家法律法规。</w:t>
      </w:r>
    </w:p>
    <w:p>
      <w:pPr>
        <w:keepNext w:val="0"/>
        <w:keepLines w:val="0"/>
        <w:pageBreakBefore w:val="0"/>
        <w:kinsoku/>
        <w:wordWrap/>
        <w:overflowPunct/>
        <w:topLinePunct w:val="0"/>
        <w:autoSpaceDE/>
        <w:autoSpaceDN/>
        <w:bidi w:val="0"/>
        <w:spacing w:line="460" w:lineRule="exact"/>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br w:type="page"/>
      </w:r>
    </w:p>
    <w:p>
      <w:pPr>
        <w:keepNext w:val="0"/>
        <w:keepLines w:val="0"/>
        <w:pageBreakBefore w:val="0"/>
        <w:kinsoku/>
        <w:wordWrap/>
        <w:overflowPunct/>
        <w:topLinePunct w:val="0"/>
        <w:autoSpaceDE/>
        <w:autoSpaceDN/>
        <w:bidi w:val="0"/>
        <w:spacing w:line="460" w:lineRule="exact"/>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eastAsia="zh-CN"/>
        </w:rPr>
        <w:t>合同明细表</w:t>
      </w:r>
    </w:p>
    <w:tbl>
      <w:tblPr>
        <w:tblStyle w:val="45"/>
        <w:tblW w:w="5603" w:type="pct"/>
        <w:jc w:val="center"/>
        <w:tblLayout w:type="fixed"/>
        <w:tblCellMar>
          <w:top w:w="0" w:type="dxa"/>
          <w:left w:w="108" w:type="dxa"/>
          <w:bottom w:w="0" w:type="dxa"/>
          <w:right w:w="108" w:type="dxa"/>
        </w:tblCellMar>
      </w:tblPr>
      <w:tblGrid>
        <w:gridCol w:w="773"/>
        <w:gridCol w:w="2440"/>
        <w:gridCol w:w="3067"/>
        <w:gridCol w:w="2017"/>
        <w:gridCol w:w="1412"/>
      </w:tblGrid>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b/>
                <w:bCs/>
                <w:color w:val="000000"/>
                <w:kern w:val="0"/>
                <w:sz w:val="24"/>
                <w:szCs w:val="24"/>
                <w:highlight w:val="none"/>
              </w:rPr>
            </w:pPr>
            <w:r>
              <w:rPr>
                <w:rFonts w:hint="eastAsia" w:asciiTheme="minorEastAsia" w:hAnsiTheme="minorEastAsia" w:eastAsiaTheme="minorEastAsia" w:cstheme="minorEastAsia"/>
                <w:b/>
                <w:bCs/>
                <w:color w:val="000000"/>
                <w:kern w:val="0"/>
                <w:sz w:val="24"/>
                <w:szCs w:val="24"/>
                <w:highlight w:val="none"/>
              </w:rPr>
              <w:t>序号</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kern w:val="0"/>
                <w:sz w:val="24"/>
                <w:szCs w:val="24"/>
                <w:highlight w:val="none"/>
              </w:rPr>
              <w:t>品种</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kern w:val="0"/>
                <w:sz w:val="24"/>
                <w:szCs w:val="24"/>
                <w:highlight w:val="none"/>
                <w:lang w:eastAsia="zh-CN"/>
              </w:rPr>
              <w:t>技术参数指标</w:t>
            </w: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kern w:val="0"/>
                <w:sz w:val="24"/>
                <w:szCs w:val="24"/>
                <w:highlight w:val="none"/>
              </w:rPr>
              <w:t>颜色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kern w:val="0"/>
                <w:sz w:val="24"/>
                <w:szCs w:val="24"/>
                <w:highlight w:val="none"/>
                <w:lang w:eastAsia="zh-CN"/>
              </w:rPr>
              <w:t>单</w:t>
            </w:r>
            <w:r>
              <w:rPr>
                <w:rFonts w:hint="eastAsia" w:asciiTheme="minorEastAsia" w:hAnsiTheme="minorEastAsia" w:eastAsiaTheme="minorEastAsia" w:cstheme="minorEastAsia"/>
                <w:b/>
                <w:bCs/>
                <w:color w:val="000000"/>
                <w:kern w:val="0"/>
                <w:sz w:val="24"/>
                <w:szCs w:val="24"/>
                <w:highlight w:val="none"/>
              </w:rPr>
              <w:t>价（元）</w:t>
            </w: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针织短袖T恤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针织短袖T恤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男士机织外套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女士机织外套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男士机织外套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男士机织外套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男士机织外套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男士机织外套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男士机织外套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女士机织外套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女士机织外套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女士机织外套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女士机织T恤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兰色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男士机织T恤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兰色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男士机织T恤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男士机织T恤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男士机织外套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男士机织外套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女士防风外套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多色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女士夏季外套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多色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女士夏季外套</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多色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轻量弹力夹克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炭灰色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女士轻量弹力夹克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淡紫色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女士短袖圆领T恤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淡紫色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男士轻量弹力马甲</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兰色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女士户外夹克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沙色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男士短袖圆领T恤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男士短袖圆领T恤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男士短袖衬衫</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兰色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女士短袖POLOT恤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浅紫色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男士短袖POLOT恤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兰色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男士短袖POLOT恤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男士短袖POLOT恤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男士夹克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兰色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男士防风夹克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兰色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女士针织运动服</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多色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男士上衣</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多色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男士夹克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男士拼接夹克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多色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女士夹克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女士夹克</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女士针织运动服</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多色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女士针织运动服</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多色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女士上衣</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男士针织运动服</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多色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男士针织运动服</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多色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男士针织运动服</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多色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女士机织长裤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女士针织运动裤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男士机织长裤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男士短裤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男士短裤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男士长裤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女士长裤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女士长裤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男士长裤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男士商务裤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男士商务裤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女士长裤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女士长裤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男士长裤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男士短裤</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休闲鞋1</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休闲鞋2</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休闲鞋3</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i/>
                <w:iCs/>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休闲鞋4</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休闲鞋5</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休闲鞋6</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休闲鞋7</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休闲鞋8</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休闲鞋9</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休闲鞋10</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休闲鞋11</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休闲鞋12</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休闲鞋13</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休闲鞋14</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休闲鞋15</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休闲鞋16</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男士运动鞋（高帮）</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女士运动鞋（低帮）</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白色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女士运动鞋（低帮）</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白色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男士运动鞋（高帮）</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男士运动鞋（高帮）</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男士运动鞋（高帮）</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男士休闲鞋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女士休闲鞋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男士低帮鞋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岩石灰拼橙</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男士低帮鞋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女士运动鞋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男士运动鞋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多色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男女篮球鞋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多色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男士运动鞋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白色、黄色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男士运动鞋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女士运动鞋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黑色、灰色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女士运动鞋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女士运动鞋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白色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女士运动鞋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绿色</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紫色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女士运动鞋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紫色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女士运动鞋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黑色</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灰色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男士长袖衬衫</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蓝色</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白色</w:t>
            </w:r>
            <w:r>
              <w:rPr>
                <w:rFonts w:hint="eastAsia" w:asciiTheme="minorEastAsia" w:hAnsiTheme="minorEastAsia" w:eastAsiaTheme="minorEastAsia" w:cstheme="minorEastAsia"/>
                <w:color w:val="000000"/>
                <w:kern w:val="0"/>
                <w:sz w:val="24"/>
                <w:szCs w:val="24"/>
                <w:highlight w:val="none"/>
                <w:lang w:eastAsia="zh-CN"/>
              </w:rPr>
              <w:t>、</w:t>
            </w:r>
            <w:r>
              <w:rPr>
                <w:rFonts w:hint="eastAsia" w:asciiTheme="minorEastAsia" w:hAnsiTheme="minorEastAsia" w:eastAsiaTheme="minorEastAsia" w:cstheme="minorEastAsia"/>
                <w:color w:val="000000"/>
                <w:kern w:val="0"/>
                <w:sz w:val="24"/>
                <w:szCs w:val="24"/>
                <w:highlight w:val="none"/>
              </w:rPr>
              <w:t>灰色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男士夹克</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藏蓝</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r>
        <w:tblPrEx>
          <w:tblCellMar>
            <w:top w:w="0" w:type="dxa"/>
            <w:left w:w="108" w:type="dxa"/>
            <w:bottom w:w="0" w:type="dxa"/>
            <w:right w:w="108" w:type="dxa"/>
          </w:tblCellMar>
        </w:tblPrEx>
        <w:trPr>
          <w:trHeight w:val="510" w:hRule="atLeast"/>
          <w:jc w:val="center"/>
        </w:trPr>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男女士通用袜子</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p>
        </w:tc>
        <w:tc>
          <w:tcPr>
            <w:tcW w:w="10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多色</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center"/>
              <w:rPr>
                <w:rFonts w:hint="eastAsia" w:asciiTheme="minorEastAsia" w:hAnsiTheme="minorEastAsia" w:eastAsiaTheme="minorEastAsia" w:cstheme="minorEastAsia"/>
                <w:color w:val="000000"/>
                <w:sz w:val="24"/>
                <w:szCs w:val="24"/>
                <w:highlight w:val="none"/>
              </w:rPr>
            </w:pPr>
          </w:p>
        </w:tc>
      </w:tr>
    </w:tbl>
    <w:p>
      <w:pPr>
        <w:keepNext w:val="0"/>
        <w:keepLines w:val="0"/>
        <w:pageBreakBefore w:val="0"/>
        <w:widowControl w:val="0"/>
        <w:tabs>
          <w:tab w:val="left" w:pos="927"/>
        </w:tabs>
        <w:kinsoku/>
        <w:wordWrap/>
        <w:overflowPunct/>
        <w:topLinePunct w:val="0"/>
        <w:autoSpaceDE/>
        <w:autoSpaceDN/>
        <w:bidi w:val="0"/>
        <w:adjustRightInd/>
        <w:snapToGrid/>
        <w:spacing w:line="460" w:lineRule="exact"/>
        <w:ind w:firstLine="472" w:firstLineChars="196"/>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第二条  合同金额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本合同服务费总金额为人民币（大写）：</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元（</w:t>
      </w:r>
      <w:r>
        <w:rPr>
          <w:rFonts w:hint="eastAsia" w:asciiTheme="minorEastAsia" w:hAnsiTheme="minorEastAsia" w:eastAsiaTheme="minorEastAsia" w:cstheme="minorEastAsia"/>
          <w:sz w:val="24"/>
          <w:szCs w:val="24"/>
          <w:highlight w:val="none"/>
          <w:u w:val="single"/>
        </w:rPr>
        <w:t>￥     元</w:t>
      </w:r>
      <w:r>
        <w:rPr>
          <w:rFonts w:hint="eastAsia" w:asciiTheme="minorEastAsia" w:hAnsiTheme="minorEastAsia" w:eastAsiaTheme="minorEastAsia" w:cstheme="minorEastAsia"/>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 xml:space="preserve">第三条  </w:t>
      </w:r>
      <w:r>
        <w:rPr>
          <w:rFonts w:hint="eastAsia" w:asciiTheme="minorEastAsia" w:hAnsiTheme="minorEastAsia" w:eastAsiaTheme="minorEastAsia" w:cstheme="minorEastAsia"/>
          <w:b/>
          <w:bCs/>
          <w:sz w:val="24"/>
          <w:szCs w:val="24"/>
          <w:highlight w:val="none"/>
          <w:lang w:eastAsia="zh-CN"/>
        </w:rPr>
        <w:t>货物</w:t>
      </w:r>
      <w:r>
        <w:rPr>
          <w:rFonts w:hint="eastAsia" w:asciiTheme="minorEastAsia" w:hAnsiTheme="minorEastAsia" w:eastAsiaTheme="minorEastAsia" w:cstheme="minorEastAsia"/>
          <w:b/>
          <w:bCs/>
          <w:sz w:val="24"/>
          <w:szCs w:val="24"/>
          <w:highlight w:val="none"/>
        </w:rPr>
        <w:t>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提供的货物</w:t>
      </w:r>
      <w:r>
        <w:rPr>
          <w:rFonts w:hint="eastAsia" w:asciiTheme="minorEastAsia" w:hAnsiTheme="minorEastAsia" w:eastAsiaTheme="minorEastAsia" w:cstheme="minorEastAsia"/>
          <w:sz w:val="24"/>
          <w:szCs w:val="24"/>
          <w:highlight w:val="none"/>
        </w:rPr>
        <w:t>应与竞争性磋商文件、响应文件、本合同约定内容一致。</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第四条  双方权利和义务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1.采购人的权利和义务：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采购人的权利义务包括但不限于：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1.1向成交供应商给予属于采购人批准权限内的批准并保持批准有效；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1.2对成交供应商的业务协调、机构管理、制度建设等工作提供协助；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1.3采购人应当按照政府</w:t>
      </w:r>
      <w:r>
        <w:rPr>
          <w:rFonts w:hint="eastAsia" w:asciiTheme="minorEastAsia" w:hAnsiTheme="minorEastAsia" w:eastAsiaTheme="minorEastAsia" w:cstheme="minorEastAsia"/>
          <w:sz w:val="24"/>
          <w:szCs w:val="24"/>
          <w:highlight w:val="none"/>
          <w:lang w:eastAsia="zh-CN"/>
        </w:rPr>
        <w:t>采</w:t>
      </w:r>
      <w:r>
        <w:rPr>
          <w:rFonts w:hint="eastAsia" w:asciiTheme="minorEastAsia" w:hAnsiTheme="minorEastAsia" w:eastAsiaTheme="minorEastAsia" w:cstheme="minorEastAsia"/>
          <w:sz w:val="24"/>
          <w:szCs w:val="24"/>
          <w:highlight w:val="none"/>
        </w:rPr>
        <w:t>购合同的约定向成交供应商支付费</w:t>
      </w:r>
      <w:r>
        <w:rPr>
          <w:rFonts w:hint="eastAsia" w:asciiTheme="minorEastAsia" w:hAnsiTheme="minorEastAsia" w:eastAsiaTheme="minorEastAsia" w:cstheme="minorEastAsia"/>
          <w:sz w:val="24"/>
          <w:szCs w:val="24"/>
          <w:highlight w:val="none"/>
          <w:lang w:eastAsia="zh-CN"/>
        </w:rPr>
        <w:t>用</w:t>
      </w:r>
      <w:r>
        <w:rPr>
          <w:rFonts w:hint="eastAsia" w:asciiTheme="minorEastAsia" w:hAnsiTheme="minorEastAsia" w:eastAsiaTheme="minorEastAsia" w:cstheme="minorEastAsia"/>
          <w:sz w:val="24"/>
          <w:szCs w:val="24"/>
          <w:highlight w:val="none"/>
        </w:rPr>
        <w:t>等。</w:t>
      </w:r>
    </w:p>
    <w:p>
      <w:pPr>
        <w:keepNext w:val="0"/>
        <w:keepLines w:val="0"/>
        <w:pageBreakBefore w:val="0"/>
        <w:widowControl w:val="0"/>
        <w:tabs>
          <w:tab w:val="left" w:pos="3871"/>
        </w:tabs>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2.成交供应商的权利和义务：</w:t>
      </w:r>
      <w:r>
        <w:rPr>
          <w:rFonts w:hint="eastAsia" w:asciiTheme="minorEastAsia" w:hAnsiTheme="minorEastAsia" w:eastAsiaTheme="minorEastAsia" w:cstheme="minorEastAsia"/>
          <w:sz w:val="24"/>
          <w:szCs w:val="24"/>
          <w:highlight w:val="none"/>
        </w:rPr>
        <w:tab/>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成交供应商的权利义务包括但不限于：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2.1在合同约定的期限内根据相关法律法规、磋商文件以及政府</w:t>
      </w:r>
      <w:r>
        <w:rPr>
          <w:rFonts w:hint="eastAsia" w:asciiTheme="minorEastAsia" w:hAnsiTheme="minorEastAsia" w:eastAsiaTheme="minorEastAsia" w:cstheme="minorEastAsia"/>
          <w:sz w:val="24"/>
          <w:szCs w:val="24"/>
          <w:highlight w:val="none"/>
          <w:lang w:eastAsia="zh-CN"/>
        </w:rPr>
        <w:t>采</w:t>
      </w:r>
      <w:r>
        <w:rPr>
          <w:rFonts w:hint="eastAsia" w:asciiTheme="minorEastAsia" w:hAnsiTheme="minorEastAsia" w:eastAsiaTheme="minorEastAsia" w:cstheme="minorEastAsia"/>
          <w:sz w:val="24"/>
          <w:szCs w:val="24"/>
          <w:highlight w:val="none"/>
        </w:rPr>
        <w:t>购合同及其附件的规定按质按量提供</w:t>
      </w:r>
      <w:r>
        <w:rPr>
          <w:rFonts w:hint="eastAsia" w:asciiTheme="minorEastAsia" w:hAnsiTheme="minorEastAsia" w:eastAsiaTheme="minorEastAsia" w:cstheme="minorEastAsia"/>
          <w:sz w:val="24"/>
          <w:szCs w:val="24"/>
          <w:highlight w:val="none"/>
          <w:lang w:eastAsia="zh-CN"/>
        </w:rPr>
        <w:t>货物</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第五条  付款方式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采购人验收合格并经审计后，按成交单价、实际发生数量，以结算审核金额为准一次性付款100%，验收合格后履约保证金转为质量保证金，质保期满后，由采购人无息退还</w:t>
      </w:r>
      <w:r>
        <w:rPr>
          <w:rFonts w:hint="eastAsia" w:asciiTheme="minorEastAsia" w:hAnsiTheme="minorEastAsia" w:eastAsiaTheme="minorEastAsia" w:cstheme="minorEastAsia"/>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第六条  履约保证金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履约保证金形式：转账。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履约保证金的金额：21962元。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成交供应商收到成交通知书后5个工作日内，向采购人指定账户交纳履约保证金，否则将视为自动放弃成交，采购人有权重新选定成交供应商。合同履行期满后由采购人无息退还。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采购人指定账户：内蒙古自治区警卫局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账号：0602003309026700977</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开户行：中国工商银行股份有限公司呼和浩特市呼和佳地支行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行号：102191000335</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第七条  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1.成交供应商提供的</w:t>
      </w:r>
      <w:r>
        <w:rPr>
          <w:rFonts w:hint="eastAsia" w:asciiTheme="minorEastAsia" w:hAnsiTheme="minorEastAsia" w:eastAsiaTheme="minorEastAsia" w:cstheme="minorEastAsia"/>
          <w:sz w:val="24"/>
          <w:szCs w:val="24"/>
          <w:highlight w:val="none"/>
          <w:lang w:eastAsia="zh-CN"/>
        </w:rPr>
        <w:t>货物</w:t>
      </w:r>
      <w:r>
        <w:rPr>
          <w:rFonts w:hint="eastAsia" w:asciiTheme="minorEastAsia" w:hAnsiTheme="minorEastAsia" w:eastAsiaTheme="minorEastAsia" w:cstheme="minorEastAsia"/>
          <w:sz w:val="24"/>
          <w:szCs w:val="24"/>
          <w:highlight w:val="none"/>
        </w:rPr>
        <w:t>不符合竞争性磋商文件或本合同规定的，采购人有权拒收，并且成交供应商须向采购人支付本合同总价10％的违约金。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2.成交供应商未能按本合同规定的时间完成项目，从逾期之日起每日按本合同总价3‰的数额向采购人支付违约金</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逾期半个月以上的，采购人有权终止合同，由此造成的采购人经济损失由成交供应商承担。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3.成交供应商如私自转包，采购人有权向成交供应商追究法律责任。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4.采购人无正当理由拒绝接受</w:t>
      </w:r>
      <w:r>
        <w:rPr>
          <w:rFonts w:hint="eastAsia" w:asciiTheme="minorEastAsia" w:hAnsiTheme="minorEastAsia" w:eastAsiaTheme="minorEastAsia" w:cstheme="minorEastAsia"/>
          <w:sz w:val="24"/>
          <w:szCs w:val="24"/>
          <w:highlight w:val="none"/>
          <w:lang w:eastAsia="zh-CN"/>
        </w:rPr>
        <w:t>成交供应商提供货物</w:t>
      </w:r>
      <w:r>
        <w:rPr>
          <w:rFonts w:hint="eastAsia" w:asciiTheme="minorEastAsia" w:hAnsiTheme="minorEastAsia" w:eastAsiaTheme="minorEastAsia" w:cstheme="minorEastAsia"/>
          <w:sz w:val="24"/>
          <w:szCs w:val="24"/>
          <w:highlight w:val="none"/>
        </w:rPr>
        <w:t>，到期拒付款项的，采购人向成交供应商支付本合同总价的10％的违约金。采购人逾期付款，则每日按逾期金额的3‰向成交供应商支付违约金,违约金上限为合同金额的10%。</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5.其它违约责任按《中华人民共和国民法典》处理。</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第八条保密条款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成交供应商对采购人提供的资料负有保密义务，未经采购人同意，不得向项目无关单位和个人提供有关资料。如发生以上情况，采购人有权向成交供应商追究责任。</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第九条  售后服务承诺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根据成交供应商提交的响应文件中承诺的相关条款，由双方协商制定。</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第十条争议的解决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本合同执行过程中发生的任何争议，如双方不能通过友好协商解决，向采购人所在地有管辖权的人民法院提起诉讼。</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第十一条不可抗力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任何一方由于不可抗力原因不能履行合同时，应在不可抗力事件发生当日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第十二条税费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此项目发生的与本合同执行有关的一切税费均由成交供应商负担。</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第十三条其它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Cs/>
          <w:sz w:val="24"/>
          <w:szCs w:val="24"/>
          <w:highlight w:val="none"/>
        </w:rPr>
        <w:t>1.</w:t>
      </w:r>
      <w:r>
        <w:rPr>
          <w:rFonts w:hint="eastAsia" w:asciiTheme="minorEastAsia" w:hAnsiTheme="minorEastAsia" w:eastAsiaTheme="minorEastAsia" w:cstheme="minorEastAsia"/>
          <w:sz w:val="24"/>
          <w:szCs w:val="24"/>
          <w:highlight w:val="none"/>
        </w:rPr>
        <w:t>本合同所有附件、竞争性磋商文件、成交供应商提供的响应文件及成交通知书均为合同的有效组成部分，与本合同具有同等法律效力。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3.如一方地址、电话、传真号码有变更，应在变更当日内书面通知对方。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4.采购人发出信息、通知2日内没有收到回复，视为对方收到信息</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第十四条合同生效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1.本合同签订时间：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2.本合同签订地点：</w:t>
      </w:r>
      <w:r>
        <w:rPr>
          <w:rFonts w:hint="eastAsia" w:asciiTheme="minorEastAsia" w:hAnsiTheme="minorEastAsia" w:eastAsiaTheme="minorEastAsia" w:cstheme="minorEastAsia"/>
          <w:sz w:val="24"/>
          <w:szCs w:val="24"/>
          <w:highlight w:val="none"/>
          <w:u w:val="single"/>
        </w:rPr>
        <w:t>内蒙古自治区公安厅特勤局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3.本合同在双方法人代表或其授权代表签字盖章后生效。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本合同一式</w:t>
      </w:r>
      <w:r>
        <w:rPr>
          <w:rFonts w:hint="eastAsia" w:asciiTheme="minorEastAsia" w:hAnsiTheme="minorEastAsia" w:eastAsiaTheme="minorEastAsia" w:cstheme="minorEastAsia"/>
          <w:sz w:val="24"/>
          <w:szCs w:val="24"/>
          <w:highlight w:val="none"/>
          <w:u w:val="single"/>
        </w:rPr>
        <w:t xml:space="preserve"> 伍 </w:t>
      </w:r>
      <w:r>
        <w:rPr>
          <w:rFonts w:hint="eastAsia" w:asciiTheme="minorEastAsia" w:hAnsiTheme="minorEastAsia" w:eastAsiaTheme="minorEastAsia" w:cstheme="minorEastAsia"/>
          <w:sz w:val="24"/>
          <w:szCs w:val="24"/>
          <w:highlight w:val="none"/>
        </w:rPr>
        <w:t>份，双方各执</w:t>
      </w:r>
      <w:r>
        <w:rPr>
          <w:rFonts w:hint="eastAsia" w:asciiTheme="minorEastAsia" w:hAnsiTheme="minorEastAsia" w:eastAsiaTheme="minorEastAsia" w:cstheme="minorEastAsia"/>
          <w:sz w:val="24"/>
          <w:szCs w:val="24"/>
          <w:highlight w:val="none"/>
          <w:u w:val="single"/>
        </w:rPr>
        <w:t xml:space="preserve"> 贰 </w:t>
      </w:r>
      <w:r>
        <w:rPr>
          <w:rFonts w:hint="eastAsia" w:asciiTheme="minorEastAsia" w:hAnsiTheme="minorEastAsia" w:eastAsiaTheme="minorEastAsia" w:cstheme="minorEastAsia"/>
          <w:sz w:val="24"/>
          <w:szCs w:val="24"/>
          <w:highlight w:val="none"/>
        </w:rPr>
        <w:t>份，代理机构</w:t>
      </w:r>
      <w:r>
        <w:rPr>
          <w:rFonts w:hint="eastAsia" w:asciiTheme="minorEastAsia" w:hAnsiTheme="minorEastAsia" w:eastAsiaTheme="minorEastAsia" w:cstheme="minorEastAsia"/>
          <w:sz w:val="24"/>
          <w:szCs w:val="24"/>
          <w:highlight w:val="none"/>
          <w:u w:val="single"/>
        </w:rPr>
        <w:t xml:space="preserve"> 壹 </w:t>
      </w:r>
      <w:r>
        <w:rPr>
          <w:rFonts w:hint="eastAsia" w:asciiTheme="minorEastAsia" w:hAnsiTheme="minorEastAsia" w:eastAsiaTheme="minorEastAsia" w:cstheme="minorEastAsia"/>
          <w:sz w:val="24"/>
          <w:szCs w:val="24"/>
          <w:highlight w:val="none"/>
        </w:rPr>
        <w:t>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采购人(盖章):</w:t>
      </w:r>
      <w:r>
        <w:rPr>
          <w:rFonts w:hint="eastAsia" w:asciiTheme="minorEastAsia" w:hAnsiTheme="minorEastAsia" w:eastAsiaTheme="minorEastAsia" w:cstheme="minorEastAsia"/>
          <w:color w:val="000000"/>
          <w:sz w:val="24"/>
          <w:szCs w:val="24"/>
          <w:u w:val="single"/>
        </w:rPr>
        <w:t>内蒙古自治区公安厅特勤局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法定代表人或授权代表人(盖章或签字):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w:t>
      </w:r>
      <w:r>
        <w:rPr>
          <w:rFonts w:hint="eastAsia" w:asciiTheme="minorEastAsia" w:hAnsiTheme="minorEastAsia" w:eastAsiaTheme="minorEastAsia" w:cstheme="minorEastAsia"/>
          <w:color w:val="000000"/>
          <w:sz w:val="24"/>
          <w:szCs w:val="24"/>
          <w:u w:val="single"/>
        </w:rPr>
        <w:t xml:space="preserve">呼和浩特市新城区呼伦贝尔北路12号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电话：</w:t>
      </w:r>
      <w:r>
        <w:rPr>
          <w:rFonts w:hint="eastAsia" w:asciiTheme="minorEastAsia" w:hAnsiTheme="minorEastAsia" w:eastAsiaTheme="minorEastAsia" w:cstheme="minorEastAsia"/>
          <w:color w:val="000000"/>
          <w:sz w:val="24"/>
          <w:szCs w:val="24"/>
          <w:u w:val="single"/>
        </w:rPr>
        <w:t>0471-6550948</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000000"/>
          <w:sz w:val="24"/>
          <w:szCs w:val="24"/>
          <w:lang w:bidi="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zh-CN"/>
        </w:rPr>
        <w:t>成交供应商</w:t>
      </w:r>
      <w:r>
        <w:rPr>
          <w:rFonts w:hint="eastAsia" w:asciiTheme="minorEastAsia" w:hAnsiTheme="minorEastAsia" w:eastAsiaTheme="minorEastAsia" w:cstheme="minorEastAsia"/>
          <w:color w:val="000000"/>
          <w:sz w:val="24"/>
          <w:szCs w:val="24"/>
        </w:rPr>
        <w:t>(盖章)：</w:t>
      </w:r>
      <w:r>
        <w:rPr>
          <w:rFonts w:hint="eastAsia" w:asciiTheme="minorEastAsia" w:hAnsiTheme="minorEastAsia" w:eastAsiaTheme="minorEastAsia" w:cstheme="minorEastAsia"/>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法定代表人或授权代表人(盖章或签字):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w:t>
      </w:r>
      <w:r>
        <w:rPr>
          <w:rFonts w:hint="eastAsia" w:asciiTheme="minorEastAsia" w:hAnsiTheme="minorEastAsia" w:eastAsiaTheme="minorEastAsia" w:cstheme="minorEastAsia"/>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电话：</w:t>
      </w:r>
      <w:r>
        <w:rPr>
          <w:rFonts w:hint="eastAsia" w:asciiTheme="minorEastAsia" w:hAnsiTheme="minorEastAsia" w:eastAsiaTheme="minorEastAsia" w:cstheme="minorEastAsia"/>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bookmarkEnd w:id="51"/>
    <w:bookmarkEnd w:id="52"/>
    <w:bookmarkEnd w:id="53"/>
    <w:bookmarkEnd w:id="54"/>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highlight w:val="none"/>
        </w:rPr>
      </w:pPr>
      <w:bookmarkStart w:id="55" w:name="_Toc81475572"/>
      <w:r>
        <w:rPr>
          <w:rFonts w:hint="eastAsia" w:asciiTheme="minorEastAsia" w:hAnsiTheme="minorEastAsia" w:eastAsiaTheme="minorEastAsia" w:cstheme="minorEastAsia"/>
          <w:sz w:val="21"/>
          <w:szCs w:val="21"/>
          <w:highlight w:val="none"/>
        </w:rPr>
        <w:br w:type="page"/>
      </w:r>
    </w:p>
    <w:p>
      <w:pPr>
        <w:pStyle w:val="3"/>
        <w:jc w:val="center"/>
        <w:rPr>
          <w:rFonts w:hint="eastAsia" w:ascii="宋体" w:hAnsi="宋体" w:eastAsia="宋体" w:cs="宋体"/>
          <w:sz w:val="32"/>
          <w:szCs w:val="32"/>
          <w:highlight w:val="none"/>
        </w:rPr>
      </w:pPr>
      <w:bookmarkStart w:id="56" w:name="_Toc24743"/>
      <w:r>
        <w:rPr>
          <w:rFonts w:hint="eastAsia" w:ascii="宋体" w:hAnsi="宋体" w:eastAsia="宋体" w:cs="宋体"/>
          <w:sz w:val="32"/>
          <w:szCs w:val="32"/>
          <w:highlight w:val="none"/>
        </w:rPr>
        <w:t>第六章</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响应文件的格式及内容</w:t>
      </w:r>
      <w:bookmarkEnd w:id="55"/>
      <w:bookmarkEnd w:id="56"/>
    </w:p>
    <w:p>
      <w:pPr>
        <w:spacing w:line="520" w:lineRule="exact"/>
        <w:jc w:val="center"/>
        <w:rPr>
          <w:rFonts w:hint="eastAsia" w:ascii="宋体" w:hAnsi="宋体" w:eastAsia="宋体" w:cs="宋体"/>
          <w:b/>
          <w:kern w:val="0"/>
          <w:sz w:val="36"/>
          <w:szCs w:val="36"/>
          <w:highlight w:val="none"/>
        </w:rPr>
      </w:pPr>
    </w:p>
    <w:p>
      <w:pPr>
        <w:spacing w:line="520" w:lineRule="exact"/>
        <w:jc w:val="center"/>
        <w:rPr>
          <w:rFonts w:hint="eastAsia" w:ascii="宋体" w:hAnsi="宋体" w:eastAsia="宋体" w:cs="宋体"/>
          <w:b/>
          <w:kern w:val="0"/>
          <w:sz w:val="36"/>
          <w:szCs w:val="36"/>
          <w:highlight w:val="none"/>
        </w:rPr>
      </w:pPr>
    </w:p>
    <w:p>
      <w:pPr>
        <w:spacing w:line="520" w:lineRule="exact"/>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（项目名称）</w:t>
      </w:r>
    </w:p>
    <w:p>
      <w:pPr>
        <w:spacing w:line="520" w:lineRule="exact"/>
        <w:jc w:val="center"/>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响应文件</w:t>
      </w:r>
    </w:p>
    <w:p>
      <w:pPr>
        <w:spacing w:line="520" w:lineRule="exact"/>
        <w:jc w:val="center"/>
        <w:rPr>
          <w:rFonts w:hint="eastAsia" w:ascii="宋体" w:hAnsi="宋体" w:eastAsia="宋体" w:cs="宋体"/>
          <w:sz w:val="28"/>
          <w:szCs w:val="28"/>
          <w:highlight w:val="none"/>
        </w:rPr>
      </w:pPr>
    </w:p>
    <w:p>
      <w:pPr>
        <w:spacing w:line="5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（正本/副本）</w:t>
      </w:r>
    </w:p>
    <w:p>
      <w:pPr>
        <w:spacing w:line="5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p>
      <w:pPr>
        <w:spacing w:line="520" w:lineRule="exact"/>
        <w:ind w:firstLine="1084" w:firstLineChars="300"/>
        <w:jc w:val="left"/>
        <w:rPr>
          <w:rFonts w:hint="eastAsia" w:ascii="宋体" w:hAnsi="宋体" w:eastAsia="宋体" w:cs="宋体"/>
          <w:b/>
          <w:sz w:val="36"/>
          <w:highlight w:val="none"/>
        </w:rPr>
      </w:pPr>
    </w:p>
    <w:p>
      <w:pPr>
        <w:spacing w:line="520" w:lineRule="exact"/>
        <w:jc w:val="center"/>
        <w:rPr>
          <w:rFonts w:hint="eastAsia" w:ascii="宋体" w:hAnsi="宋体" w:eastAsia="宋体" w:cs="宋体"/>
          <w:b/>
          <w:kern w:val="0"/>
          <w:sz w:val="28"/>
          <w:szCs w:val="28"/>
          <w:highlight w:val="none"/>
        </w:rPr>
      </w:pPr>
    </w:p>
    <w:p>
      <w:pPr>
        <w:spacing w:line="520" w:lineRule="exact"/>
        <w:rPr>
          <w:rFonts w:hint="eastAsia" w:ascii="宋体" w:hAnsi="宋体" w:eastAsia="宋体" w:cs="宋体"/>
          <w:kern w:val="0"/>
          <w:sz w:val="28"/>
          <w:szCs w:val="28"/>
          <w:highlight w:val="none"/>
        </w:rPr>
      </w:pPr>
    </w:p>
    <w:p>
      <w:pPr>
        <w:spacing w:line="520" w:lineRule="exact"/>
        <w:jc w:val="center"/>
        <w:rPr>
          <w:rFonts w:hint="eastAsia" w:ascii="宋体" w:hAnsi="宋体" w:eastAsia="宋体" w:cs="宋体"/>
          <w:b/>
          <w:kern w:val="0"/>
          <w:sz w:val="28"/>
          <w:szCs w:val="28"/>
          <w:highlight w:val="none"/>
        </w:rPr>
      </w:pPr>
    </w:p>
    <w:p>
      <w:pPr>
        <w:spacing w:line="520" w:lineRule="exact"/>
        <w:jc w:val="center"/>
        <w:rPr>
          <w:rFonts w:hint="eastAsia" w:ascii="宋体" w:hAnsi="宋体" w:eastAsia="宋体" w:cs="宋体"/>
          <w:b/>
          <w:kern w:val="0"/>
          <w:sz w:val="28"/>
          <w:szCs w:val="28"/>
          <w:highlight w:val="none"/>
        </w:rPr>
      </w:pPr>
    </w:p>
    <w:p>
      <w:pPr>
        <w:spacing w:line="520" w:lineRule="exact"/>
        <w:jc w:val="center"/>
        <w:rPr>
          <w:rFonts w:hint="eastAsia" w:ascii="宋体" w:hAnsi="宋体" w:eastAsia="宋体" w:cs="宋体"/>
          <w:b/>
          <w:kern w:val="0"/>
          <w:sz w:val="28"/>
          <w:szCs w:val="28"/>
          <w:highlight w:val="none"/>
        </w:rPr>
      </w:pPr>
    </w:p>
    <w:p>
      <w:pPr>
        <w:spacing w:line="520" w:lineRule="exact"/>
        <w:jc w:val="center"/>
        <w:rPr>
          <w:rFonts w:hint="eastAsia" w:ascii="宋体" w:hAnsi="宋体" w:eastAsia="宋体" w:cs="宋体"/>
          <w:b/>
          <w:kern w:val="0"/>
          <w:sz w:val="28"/>
          <w:szCs w:val="28"/>
          <w:highlight w:val="none"/>
        </w:rPr>
      </w:pPr>
    </w:p>
    <w:p>
      <w:pPr>
        <w:spacing w:line="520" w:lineRule="exact"/>
        <w:rPr>
          <w:rFonts w:hint="eastAsia" w:ascii="宋体" w:hAnsi="宋体" w:eastAsia="宋体" w:cs="宋体"/>
          <w:b/>
          <w:kern w:val="0"/>
          <w:sz w:val="28"/>
          <w:szCs w:val="28"/>
          <w:highlight w:val="none"/>
        </w:rPr>
      </w:pPr>
    </w:p>
    <w:p>
      <w:pPr>
        <w:spacing w:line="520" w:lineRule="exact"/>
        <w:jc w:val="center"/>
        <w:rPr>
          <w:rFonts w:hint="eastAsia" w:ascii="宋体" w:hAnsi="宋体" w:eastAsia="宋体" w:cs="宋体"/>
          <w:b/>
          <w:kern w:val="0"/>
          <w:sz w:val="28"/>
          <w:szCs w:val="28"/>
          <w:highlight w:val="none"/>
        </w:rPr>
      </w:pPr>
    </w:p>
    <w:p>
      <w:pPr>
        <w:spacing w:line="520" w:lineRule="exact"/>
        <w:ind w:firstLine="840" w:firstLineChars="3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供应商(公章)：</w:t>
      </w:r>
    </w:p>
    <w:p>
      <w:pPr>
        <w:spacing w:line="520" w:lineRule="exact"/>
        <w:ind w:firstLine="840" w:firstLineChars="3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法定代表人（签字或盖章）：</w:t>
      </w:r>
    </w:p>
    <w:p>
      <w:pPr>
        <w:spacing w:line="520" w:lineRule="exact"/>
        <w:ind w:firstLine="840" w:firstLineChars="3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代理人（签字或盖章）：</w:t>
      </w:r>
    </w:p>
    <w:p>
      <w:pPr>
        <w:spacing w:line="520" w:lineRule="exact"/>
        <w:ind w:firstLine="840" w:firstLineChars="3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供应商地址：</w:t>
      </w:r>
    </w:p>
    <w:p>
      <w:pPr>
        <w:spacing w:line="520" w:lineRule="exact"/>
        <w:ind w:firstLine="840" w:firstLineChars="3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联系电话：</w:t>
      </w:r>
    </w:p>
    <w:p>
      <w:pPr>
        <w:spacing w:line="520" w:lineRule="exact"/>
        <w:ind w:firstLine="840" w:firstLineChars="3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日    期：  年  月  日</w:t>
      </w:r>
    </w:p>
    <w:p>
      <w:pPr>
        <w:spacing w:line="520" w:lineRule="exact"/>
        <w:ind w:firstLine="840" w:firstLineChars="300"/>
        <w:jc w:val="left"/>
        <w:rPr>
          <w:rFonts w:hint="eastAsia" w:ascii="宋体" w:hAnsi="宋体" w:eastAsia="宋体" w:cs="宋体"/>
          <w:sz w:val="28"/>
          <w:szCs w:val="28"/>
          <w:highlight w:val="none"/>
        </w:rPr>
      </w:pPr>
    </w:p>
    <w:p>
      <w:pPr>
        <w:spacing w:line="4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pPr>
        <w:spacing w:line="480" w:lineRule="exact"/>
        <w:jc w:val="center"/>
        <w:rPr>
          <w:rFonts w:hint="eastAsia" w:ascii="宋体" w:hAnsi="宋体" w:eastAsia="宋体" w:cs="宋体"/>
          <w:sz w:val="28"/>
          <w:szCs w:val="28"/>
          <w:highlight w:val="none"/>
        </w:rPr>
      </w:pPr>
    </w:p>
    <w:p>
      <w:pPr>
        <w:spacing w:line="4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目录自制（目录内容须与正文内容一致并有详细页码）</w:t>
      </w:r>
    </w:p>
    <w:p>
      <w:pPr>
        <w:spacing w:line="480" w:lineRule="exact"/>
        <w:rPr>
          <w:rFonts w:hint="eastAsia" w:ascii="宋体" w:hAnsi="宋体" w:eastAsia="宋体" w:cs="宋体"/>
          <w:sz w:val="24"/>
          <w:szCs w:val="24"/>
          <w:highlight w:val="none"/>
        </w:rPr>
      </w:pPr>
    </w:p>
    <w:p>
      <w:pPr>
        <w:rPr>
          <w:rFonts w:hint="eastAsia" w:ascii="宋体" w:hAnsi="宋体" w:eastAsia="宋体" w:cs="宋体"/>
          <w:highlight w:val="none"/>
        </w:rPr>
      </w:pPr>
      <w:bookmarkStart w:id="57" w:name="_Toc81475573"/>
      <w:r>
        <w:rPr>
          <w:rFonts w:hint="eastAsia" w:ascii="宋体" w:hAnsi="宋体" w:eastAsia="宋体" w:cs="宋体"/>
          <w:highlight w:val="none"/>
        </w:rPr>
        <w:br w:type="page"/>
      </w:r>
    </w:p>
    <w:p>
      <w:pPr>
        <w:pStyle w:val="4"/>
        <w:tabs>
          <w:tab w:val="left" w:pos="5670"/>
        </w:tabs>
        <w:rPr>
          <w:rFonts w:hint="eastAsia" w:ascii="宋体" w:hAnsi="宋体" w:eastAsia="宋体" w:cs="宋体"/>
          <w:sz w:val="24"/>
          <w:szCs w:val="24"/>
          <w:highlight w:val="none"/>
        </w:rPr>
      </w:pPr>
      <w:bookmarkStart w:id="58" w:name="_Toc29026"/>
      <w:r>
        <w:rPr>
          <w:rFonts w:hint="eastAsia" w:ascii="宋体" w:hAnsi="宋体" w:eastAsia="宋体" w:cs="宋体"/>
          <w:highlight w:val="none"/>
        </w:rPr>
        <w:t>一、</w:t>
      </w:r>
      <w:bookmarkEnd w:id="57"/>
      <w:r>
        <w:rPr>
          <w:rFonts w:hint="eastAsia" w:ascii="宋体" w:hAnsi="宋体" w:eastAsia="宋体" w:cs="宋体"/>
          <w:highlight w:val="none"/>
        </w:rPr>
        <w:t>磋商响应函</w:t>
      </w:r>
      <w:bookmarkEnd w:id="58"/>
    </w:p>
    <w:p>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我们仔细研究了贵公司的</w:t>
      </w:r>
      <w:r>
        <w:rPr>
          <w:rFonts w:hint="eastAsia" w:ascii="宋体" w:hAnsi="宋体" w:eastAsia="宋体" w:cs="宋体"/>
          <w:sz w:val="24"/>
          <w:szCs w:val="24"/>
          <w:highlight w:val="none"/>
          <w:u w:val="single"/>
        </w:rPr>
        <w:t xml:space="preserve">    （项目名称、项目编号）    </w:t>
      </w:r>
      <w:r>
        <w:rPr>
          <w:rFonts w:hint="eastAsia" w:ascii="宋体" w:hAnsi="宋体" w:eastAsia="宋体" w:cs="宋体"/>
          <w:sz w:val="24"/>
          <w:szCs w:val="24"/>
          <w:highlight w:val="none"/>
        </w:rPr>
        <w:t>项目竞争性磋商文件，我们认为我们有能力也完全同意承担竞争性磋商文件中所规定的供应商的全部责任和义务。</w:t>
      </w:r>
    </w:p>
    <w:p>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供货期：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，质保期：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，交货地点：</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质量</w:t>
      </w:r>
      <w:r>
        <w:rPr>
          <w:rFonts w:hint="eastAsia" w:ascii="宋体" w:hAnsi="宋体" w:eastAsia="宋体" w:cs="宋体"/>
          <w:sz w:val="24"/>
          <w:szCs w:val="24"/>
          <w:highlight w:val="none"/>
        </w:rPr>
        <w:t>标准：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假如我们成交，我们保证： </w:t>
      </w:r>
    </w:p>
    <w:p>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1、按照竞争性磋商文件的所有条款及所要求的质量、时间和其它一切要求提供合格的产品。</w:t>
      </w:r>
    </w:p>
    <w:p>
      <w:pPr>
        <w:tabs>
          <w:tab w:val="right" w:leader="middleDot" w:pos="8820"/>
        </w:tabs>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2、我们同意遵守竞争性磋商文件中的规定，本响应文件的有效期为响应文件递交截止日后</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日历日，在这期间，本响应文件始终对我们有约束力。</w:t>
      </w:r>
    </w:p>
    <w:p>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3、供应商将按竞争性磋商文件的规定履行合同责任和义务。</w:t>
      </w:r>
    </w:p>
    <w:p>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4、供应商已详细审查全部竞争性磋商文件，我们完全理解并同意放弃对这方面有不明及误解的权利。</w:t>
      </w:r>
    </w:p>
    <w:p>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5、我们完全理解，贵方不一定接受最低价。无论成交与否，我们愿意承担由开始准备直至签订合同协议前后所发生的一切费用。</w:t>
      </w:r>
    </w:p>
    <w:p>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6、我们同意提供采购人要求的有关本次磋商的其它任何资料。</w:t>
      </w:r>
    </w:p>
    <w:p>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7、磋商有效期为：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日历日。</w:t>
      </w:r>
    </w:p>
    <w:p>
      <w:pPr>
        <w:spacing w:line="480" w:lineRule="exact"/>
        <w:rPr>
          <w:rFonts w:hint="eastAsia" w:ascii="宋体" w:hAnsi="宋体" w:eastAsia="宋体" w:cs="宋体"/>
          <w:sz w:val="24"/>
          <w:szCs w:val="24"/>
          <w:highlight w:val="none"/>
        </w:rPr>
      </w:pPr>
    </w:p>
    <w:p>
      <w:pPr>
        <w:spacing w:line="480" w:lineRule="exact"/>
        <w:rPr>
          <w:rFonts w:hint="eastAsia" w:ascii="宋体" w:hAnsi="宋体" w:eastAsia="宋体" w:cs="宋体"/>
          <w:sz w:val="24"/>
          <w:highlight w:val="none"/>
          <w:u w:val="single"/>
        </w:rPr>
      </w:pPr>
      <w:r>
        <w:rPr>
          <w:rFonts w:hint="eastAsia" w:ascii="宋体" w:hAnsi="宋体" w:eastAsia="宋体" w:cs="宋体"/>
          <w:sz w:val="24"/>
          <w:highlight w:val="none"/>
        </w:rPr>
        <w:t xml:space="preserve">                               供应商：（公章）</w:t>
      </w:r>
    </w:p>
    <w:p>
      <w:pPr>
        <w:spacing w:line="480" w:lineRule="exact"/>
        <w:ind w:firstLine="480" w:firstLineChars="200"/>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 xml:space="preserve">                               法定代表人或代理人：（签字或盖章）</w:t>
      </w:r>
    </w:p>
    <w:p>
      <w:pPr>
        <w:spacing w:line="480" w:lineRule="exact"/>
        <w:ind w:firstLine="480"/>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 xml:space="preserve">                               日期：</w:t>
      </w:r>
    </w:p>
    <w:p>
      <w:pPr>
        <w:spacing w:line="520" w:lineRule="exact"/>
        <w:jc w:val="center"/>
        <w:rPr>
          <w:rFonts w:hint="eastAsia" w:ascii="宋体" w:hAnsi="宋体" w:eastAsia="宋体" w:cs="宋体"/>
          <w:b/>
          <w:szCs w:val="21"/>
          <w:highlight w:val="none"/>
        </w:rPr>
      </w:pP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spacing w:line="5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供应商信息表</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3008"/>
        <w:gridCol w:w="124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vAlign w:val="center"/>
          </w:tcPr>
          <w:p>
            <w:pPr>
              <w:spacing w:line="520" w:lineRule="exact"/>
              <w:jc w:val="center"/>
              <w:rPr>
                <w:rFonts w:hint="eastAsia" w:ascii="宋体" w:hAnsi="宋体" w:eastAsia="宋体" w:cs="宋体"/>
                <w:szCs w:val="21"/>
                <w:highlight w:val="none"/>
              </w:rPr>
            </w:pPr>
            <w:r>
              <w:rPr>
                <w:rFonts w:hint="eastAsia" w:ascii="宋体" w:hAnsi="宋体" w:eastAsia="宋体" w:cs="宋体"/>
                <w:szCs w:val="21"/>
                <w:highlight w:val="none"/>
              </w:rPr>
              <w:t>公司名称</w:t>
            </w:r>
          </w:p>
        </w:tc>
        <w:tc>
          <w:tcPr>
            <w:tcW w:w="1736" w:type="pct"/>
            <w:vAlign w:val="center"/>
          </w:tcPr>
          <w:p>
            <w:pPr>
              <w:spacing w:line="520" w:lineRule="exact"/>
              <w:jc w:val="center"/>
              <w:rPr>
                <w:rFonts w:hint="eastAsia" w:ascii="宋体" w:hAnsi="宋体" w:eastAsia="宋体" w:cs="宋体"/>
                <w:szCs w:val="21"/>
                <w:highlight w:val="none"/>
              </w:rPr>
            </w:pPr>
          </w:p>
        </w:tc>
        <w:tc>
          <w:tcPr>
            <w:tcW w:w="719" w:type="pct"/>
            <w:vAlign w:val="center"/>
          </w:tcPr>
          <w:p>
            <w:pPr>
              <w:spacing w:line="520" w:lineRule="exact"/>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1818" w:type="pct"/>
            <w:vAlign w:val="center"/>
          </w:tcPr>
          <w:p>
            <w:pPr>
              <w:spacing w:line="52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vAlign w:val="center"/>
          </w:tcPr>
          <w:p>
            <w:pPr>
              <w:spacing w:line="520" w:lineRule="exact"/>
              <w:jc w:val="center"/>
              <w:rPr>
                <w:rFonts w:hint="eastAsia" w:ascii="宋体" w:hAnsi="宋体" w:eastAsia="宋体" w:cs="宋体"/>
                <w:szCs w:val="21"/>
                <w:highlight w:val="none"/>
              </w:rPr>
            </w:pPr>
            <w:r>
              <w:rPr>
                <w:rFonts w:hint="eastAsia" w:ascii="宋体" w:hAnsi="宋体" w:eastAsia="宋体" w:cs="宋体"/>
                <w:szCs w:val="21"/>
                <w:highlight w:val="none"/>
              </w:rPr>
              <w:t>通讯地址</w:t>
            </w:r>
          </w:p>
        </w:tc>
        <w:tc>
          <w:tcPr>
            <w:tcW w:w="1736" w:type="pct"/>
            <w:vAlign w:val="center"/>
          </w:tcPr>
          <w:p>
            <w:pPr>
              <w:spacing w:line="520" w:lineRule="exact"/>
              <w:jc w:val="center"/>
              <w:rPr>
                <w:rFonts w:hint="eastAsia" w:ascii="宋体" w:hAnsi="宋体" w:eastAsia="宋体" w:cs="宋体"/>
                <w:szCs w:val="21"/>
                <w:highlight w:val="none"/>
              </w:rPr>
            </w:pPr>
          </w:p>
        </w:tc>
        <w:tc>
          <w:tcPr>
            <w:tcW w:w="719" w:type="pct"/>
            <w:vAlign w:val="center"/>
          </w:tcPr>
          <w:p>
            <w:pPr>
              <w:spacing w:line="520" w:lineRule="exact"/>
              <w:jc w:val="center"/>
              <w:rPr>
                <w:rFonts w:hint="eastAsia" w:ascii="宋体" w:hAnsi="宋体" w:eastAsia="宋体" w:cs="宋体"/>
                <w:szCs w:val="21"/>
                <w:highlight w:val="none"/>
              </w:rPr>
            </w:pPr>
            <w:r>
              <w:rPr>
                <w:rFonts w:hint="eastAsia" w:ascii="宋体" w:hAnsi="宋体" w:eastAsia="宋体" w:cs="宋体"/>
                <w:szCs w:val="21"/>
                <w:highlight w:val="none"/>
              </w:rPr>
              <w:t>邮    编</w:t>
            </w:r>
          </w:p>
        </w:tc>
        <w:tc>
          <w:tcPr>
            <w:tcW w:w="1818" w:type="pct"/>
            <w:vAlign w:val="center"/>
          </w:tcPr>
          <w:p>
            <w:pPr>
              <w:spacing w:line="52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vAlign w:val="center"/>
          </w:tcPr>
          <w:p>
            <w:pPr>
              <w:spacing w:line="520" w:lineRule="exact"/>
              <w:jc w:val="center"/>
              <w:rPr>
                <w:rFonts w:hint="eastAsia" w:ascii="宋体" w:hAnsi="宋体" w:eastAsia="宋体" w:cs="宋体"/>
                <w:szCs w:val="21"/>
                <w:highlight w:val="none"/>
              </w:rPr>
            </w:pPr>
            <w:r>
              <w:rPr>
                <w:rFonts w:hint="eastAsia" w:ascii="宋体" w:hAnsi="宋体" w:eastAsia="宋体" w:cs="宋体"/>
                <w:szCs w:val="21"/>
                <w:highlight w:val="none"/>
              </w:rPr>
              <w:t>联 系 人</w:t>
            </w:r>
          </w:p>
        </w:tc>
        <w:tc>
          <w:tcPr>
            <w:tcW w:w="1736" w:type="pct"/>
            <w:vAlign w:val="center"/>
          </w:tcPr>
          <w:p>
            <w:pPr>
              <w:spacing w:line="520" w:lineRule="exact"/>
              <w:jc w:val="center"/>
              <w:rPr>
                <w:rFonts w:hint="eastAsia" w:ascii="宋体" w:hAnsi="宋体" w:eastAsia="宋体" w:cs="宋体"/>
                <w:szCs w:val="21"/>
                <w:highlight w:val="none"/>
              </w:rPr>
            </w:pPr>
          </w:p>
        </w:tc>
        <w:tc>
          <w:tcPr>
            <w:tcW w:w="719" w:type="pct"/>
            <w:vAlign w:val="center"/>
          </w:tcPr>
          <w:p>
            <w:pPr>
              <w:spacing w:line="520" w:lineRule="exact"/>
              <w:jc w:val="center"/>
              <w:rPr>
                <w:rFonts w:hint="eastAsia" w:ascii="宋体" w:hAnsi="宋体" w:eastAsia="宋体" w:cs="宋体"/>
                <w:szCs w:val="21"/>
                <w:highlight w:val="none"/>
              </w:rPr>
            </w:pPr>
            <w:r>
              <w:rPr>
                <w:rFonts w:hint="eastAsia" w:ascii="宋体" w:hAnsi="宋体" w:eastAsia="宋体" w:cs="宋体"/>
                <w:szCs w:val="21"/>
                <w:highlight w:val="none"/>
              </w:rPr>
              <w:t>手    机</w:t>
            </w:r>
          </w:p>
        </w:tc>
        <w:tc>
          <w:tcPr>
            <w:tcW w:w="1818" w:type="pct"/>
            <w:vAlign w:val="center"/>
          </w:tcPr>
          <w:p>
            <w:pPr>
              <w:spacing w:line="52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vAlign w:val="center"/>
          </w:tcPr>
          <w:p>
            <w:pPr>
              <w:spacing w:line="520" w:lineRule="exact"/>
              <w:jc w:val="center"/>
              <w:rPr>
                <w:rFonts w:hint="eastAsia" w:ascii="宋体" w:hAnsi="宋体" w:eastAsia="宋体" w:cs="宋体"/>
                <w:szCs w:val="21"/>
                <w:highlight w:val="none"/>
              </w:rPr>
            </w:pPr>
            <w:r>
              <w:rPr>
                <w:rFonts w:hint="eastAsia" w:ascii="宋体" w:hAnsi="宋体" w:eastAsia="宋体" w:cs="宋体"/>
                <w:szCs w:val="21"/>
                <w:highlight w:val="none"/>
              </w:rPr>
              <w:t>电    话</w:t>
            </w:r>
          </w:p>
        </w:tc>
        <w:tc>
          <w:tcPr>
            <w:tcW w:w="1736" w:type="pct"/>
            <w:vAlign w:val="center"/>
          </w:tcPr>
          <w:p>
            <w:pPr>
              <w:spacing w:line="520" w:lineRule="exact"/>
              <w:jc w:val="center"/>
              <w:rPr>
                <w:rFonts w:hint="eastAsia" w:ascii="宋体" w:hAnsi="宋体" w:eastAsia="宋体" w:cs="宋体"/>
                <w:szCs w:val="21"/>
                <w:highlight w:val="none"/>
              </w:rPr>
            </w:pPr>
          </w:p>
        </w:tc>
        <w:tc>
          <w:tcPr>
            <w:tcW w:w="719" w:type="pct"/>
            <w:vAlign w:val="center"/>
          </w:tcPr>
          <w:p>
            <w:pPr>
              <w:spacing w:line="520" w:lineRule="exact"/>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1818" w:type="pct"/>
            <w:vAlign w:val="center"/>
          </w:tcPr>
          <w:p>
            <w:pPr>
              <w:spacing w:line="52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vAlign w:val="center"/>
          </w:tcPr>
          <w:p>
            <w:pPr>
              <w:spacing w:line="520" w:lineRule="exact"/>
              <w:jc w:val="center"/>
              <w:rPr>
                <w:rFonts w:hint="eastAsia" w:ascii="宋体" w:hAnsi="宋体" w:eastAsia="宋体" w:cs="宋体"/>
                <w:szCs w:val="21"/>
                <w:highlight w:val="none"/>
              </w:rPr>
            </w:pPr>
            <w:r>
              <w:rPr>
                <w:rFonts w:hint="eastAsia" w:ascii="宋体" w:hAnsi="宋体" w:eastAsia="宋体" w:cs="宋体"/>
                <w:szCs w:val="21"/>
                <w:highlight w:val="none"/>
              </w:rPr>
              <w:t>收款单位</w:t>
            </w:r>
          </w:p>
        </w:tc>
        <w:tc>
          <w:tcPr>
            <w:tcW w:w="1736" w:type="pct"/>
            <w:vAlign w:val="center"/>
          </w:tcPr>
          <w:p>
            <w:pPr>
              <w:spacing w:line="520" w:lineRule="exact"/>
              <w:jc w:val="center"/>
              <w:rPr>
                <w:rFonts w:hint="eastAsia" w:ascii="宋体" w:hAnsi="宋体" w:eastAsia="宋体" w:cs="宋体"/>
                <w:szCs w:val="21"/>
                <w:highlight w:val="none"/>
              </w:rPr>
            </w:pPr>
          </w:p>
        </w:tc>
        <w:tc>
          <w:tcPr>
            <w:tcW w:w="719" w:type="pct"/>
            <w:vAlign w:val="center"/>
          </w:tcPr>
          <w:p>
            <w:pPr>
              <w:spacing w:line="520" w:lineRule="exact"/>
              <w:jc w:val="center"/>
              <w:rPr>
                <w:rFonts w:hint="eastAsia" w:ascii="宋体" w:hAnsi="宋体" w:eastAsia="宋体" w:cs="宋体"/>
                <w:szCs w:val="21"/>
                <w:highlight w:val="none"/>
              </w:rPr>
            </w:pPr>
            <w:r>
              <w:rPr>
                <w:rFonts w:hint="eastAsia" w:ascii="宋体" w:hAnsi="宋体" w:eastAsia="宋体" w:cs="宋体"/>
                <w:szCs w:val="21"/>
                <w:highlight w:val="none"/>
              </w:rPr>
              <w:t>开户银行</w:t>
            </w:r>
          </w:p>
        </w:tc>
        <w:tc>
          <w:tcPr>
            <w:tcW w:w="1818" w:type="pct"/>
            <w:vAlign w:val="center"/>
          </w:tcPr>
          <w:p>
            <w:pPr>
              <w:spacing w:line="52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pct"/>
            <w:vAlign w:val="center"/>
          </w:tcPr>
          <w:p>
            <w:pPr>
              <w:spacing w:line="520" w:lineRule="exact"/>
              <w:jc w:val="center"/>
              <w:rPr>
                <w:rFonts w:hint="eastAsia" w:ascii="宋体" w:hAnsi="宋体" w:eastAsia="宋体" w:cs="宋体"/>
                <w:szCs w:val="21"/>
                <w:highlight w:val="none"/>
              </w:rPr>
            </w:pPr>
            <w:r>
              <w:rPr>
                <w:rFonts w:hint="eastAsia" w:ascii="宋体" w:hAnsi="宋体" w:eastAsia="宋体" w:cs="宋体"/>
                <w:szCs w:val="21"/>
                <w:highlight w:val="none"/>
              </w:rPr>
              <w:t>帐    号</w:t>
            </w:r>
          </w:p>
        </w:tc>
        <w:tc>
          <w:tcPr>
            <w:tcW w:w="1736" w:type="pct"/>
            <w:vAlign w:val="center"/>
          </w:tcPr>
          <w:p>
            <w:pPr>
              <w:spacing w:line="520" w:lineRule="exact"/>
              <w:jc w:val="center"/>
              <w:rPr>
                <w:rFonts w:hint="eastAsia" w:ascii="宋体" w:hAnsi="宋体" w:eastAsia="宋体" w:cs="宋体"/>
                <w:szCs w:val="21"/>
                <w:highlight w:val="none"/>
              </w:rPr>
            </w:pPr>
          </w:p>
        </w:tc>
        <w:tc>
          <w:tcPr>
            <w:tcW w:w="719" w:type="pct"/>
            <w:vAlign w:val="center"/>
          </w:tcPr>
          <w:p>
            <w:pPr>
              <w:spacing w:line="520" w:lineRule="exact"/>
              <w:jc w:val="center"/>
              <w:rPr>
                <w:rFonts w:hint="eastAsia" w:ascii="宋体" w:hAnsi="宋体" w:eastAsia="宋体" w:cs="宋体"/>
                <w:szCs w:val="21"/>
                <w:highlight w:val="none"/>
              </w:rPr>
            </w:pPr>
            <w:r>
              <w:rPr>
                <w:rFonts w:hint="eastAsia" w:ascii="宋体" w:hAnsi="宋体" w:eastAsia="宋体" w:cs="宋体"/>
                <w:szCs w:val="21"/>
                <w:highlight w:val="none"/>
              </w:rPr>
              <w:t>邮箱地址</w:t>
            </w:r>
          </w:p>
        </w:tc>
        <w:tc>
          <w:tcPr>
            <w:tcW w:w="1818" w:type="pct"/>
            <w:vAlign w:val="center"/>
          </w:tcPr>
          <w:p>
            <w:pPr>
              <w:spacing w:line="520" w:lineRule="exact"/>
              <w:jc w:val="center"/>
              <w:rPr>
                <w:rFonts w:hint="eastAsia" w:ascii="宋体" w:hAnsi="宋体" w:eastAsia="宋体" w:cs="宋体"/>
                <w:szCs w:val="21"/>
                <w:highlight w:val="none"/>
              </w:rPr>
            </w:pPr>
          </w:p>
        </w:tc>
      </w:tr>
    </w:tbl>
    <w:p>
      <w:pPr>
        <w:spacing w:line="5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注：请供应商认真填写银行信息，并要求与转帐或电汇银行凭证的相关信息一致，采购人或采购代理机构将依据此凭证信息退还磋商保证金。  </w:t>
      </w:r>
    </w:p>
    <w:p>
      <w:pPr>
        <w:spacing w:line="520" w:lineRule="exact"/>
        <w:rPr>
          <w:rFonts w:hint="eastAsia" w:ascii="宋体" w:hAnsi="宋体" w:eastAsia="宋体" w:cs="宋体"/>
          <w:b/>
          <w:sz w:val="24"/>
          <w:szCs w:val="24"/>
          <w:highlight w:val="none"/>
        </w:rPr>
      </w:pPr>
    </w:p>
    <w:p>
      <w:pPr>
        <w:spacing w:line="520" w:lineRule="exact"/>
        <w:jc w:val="left"/>
        <w:rPr>
          <w:rFonts w:hint="eastAsia" w:ascii="宋体" w:hAnsi="宋体" w:eastAsia="宋体" w:cs="宋体"/>
          <w:sz w:val="24"/>
          <w:szCs w:val="24"/>
          <w:highlight w:val="none"/>
        </w:rPr>
      </w:pPr>
    </w:p>
    <w:p>
      <w:pPr>
        <w:spacing w:line="480" w:lineRule="exact"/>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供应商：（公章）</w:t>
      </w:r>
    </w:p>
    <w:p>
      <w:pPr>
        <w:spacing w:line="480" w:lineRule="exact"/>
        <w:ind w:firstLine="480" w:firstLineChars="200"/>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 xml:space="preserve">                            法定代表人或代理人：（签字或盖章）</w:t>
      </w:r>
    </w:p>
    <w:p>
      <w:pPr>
        <w:spacing w:line="480" w:lineRule="exact"/>
        <w:ind w:firstLine="480"/>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 xml:space="preserve">                            日期：</w:t>
      </w:r>
    </w:p>
    <w:p>
      <w:pPr>
        <w:spacing w:line="520" w:lineRule="exact"/>
        <w:rPr>
          <w:rFonts w:hint="eastAsia" w:ascii="宋体" w:hAnsi="宋体" w:eastAsia="宋体" w:cs="宋体"/>
          <w:szCs w:val="21"/>
          <w:highlight w:val="none"/>
        </w:rPr>
      </w:pPr>
    </w:p>
    <w:p>
      <w:pPr>
        <w:spacing w:line="520" w:lineRule="exact"/>
        <w:ind w:firstLine="570"/>
        <w:rPr>
          <w:rFonts w:hint="eastAsia" w:ascii="宋体" w:hAnsi="宋体" w:eastAsia="宋体" w:cs="宋体"/>
          <w:szCs w:val="21"/>
          <w:highlight w:val="none"/>
        </w:rPr>
      </w:pPr>
    </w:p>
    <w:p>
      <w:pPr>
        <w:autoSpaceDE w:val="0"/>
        <w:autoSpaceDN w:val="0"/>
        <w:spacing w:line="520" w:lineRule="exact"/>
        <w:ind w:firstLine="630" w:firstLineChars="300"/>
        <w:rPr>
          <w:rFonts w:hint="eastAsia" w:ascii="宋体" w:hAnsi="宋体" w:eastAsia="宋体" w:cs="宋体"/>
          <w:szCs w:val="21"/>
          <w:highlight w:val="none"/>
        </w:rPr>
      </w:pPr>
    </w:p>
    <w:p>
      <w:pPr>
        <w:autoSpaceDE w:val="0"/>
        <w:autoSpaceDN w:val="0"/>
        <w:spacing w:line="520" w:lineRule="exact"/>
        <w:ind w:firstLine="630" w:firstLineChars="300"/>
        <w:rPr>
          <w:rFonts w:hint="eastAsia" w:ascii="宋体" w:hAnsi="宋体" w:eastAsia="宋体" w:cs="宋体"/>
          <w:szCs w:val="21"/>
          <w:highlight w:val="none"/>
        </w:rPr>
      </w:pPr>
    </w:p>
    <w:p>
      <w:pPr>
        <w:autoSpaceDE w:val="0"/>
        <w:autoSpaceDN w:val="0"/>
        <w:spacing w:line="520" w:lineRule="exact"/>
        <w:ind w:firstLine="630" w:firstLineChars="300"/>
        <w:rPr>
          <w:rFonts w:hint="eastAsia" w:ascii="宋体" w:hAnsi="宋体" w:eastAsia="宋体" w:cs="宋体"/>
          <w:szCs w:val="21"/>
          <w:highlight w:val="none"/>
        </w:rPr>
      </w:pPr>
    </w:p>
    <w:p>
      <w:pPr>
        <w:autoSpaceDE w:val="0"/>
        <w:autoSpaceDN w:val="0"/>
        <w:spacing w:line="520" w:lineRule="exact"/>
        <w:ind w:firstLine="630" w:firstLineChars="300"/>
        <w:rPr>
          <w:rFonts w:hint="eastAsia" w:ascii="宋体" w:hAnsi="宋体" w:eastAsia="宋体" w:cs="宋体"/>
          <w:szCs w:val="21"/>
          <w:highlight w:val="none"/>
        </w:rPr>
      </w:pPr>
    </w:p>
    <w:p>
      <w:pPr>
        <w:autoSpaceDE w:val="0"/>
        <w:autoSpaceDN w:val="0"/>
        <w:spacing w:line="520" w:lineRule="exact"/>
        <w:ind w:firstLine="630" w:firstLineChars="300"/>
        <w:rPr>
          <w:rFonts w:hint="eastAsia" w:ascii="宋体" w:hAnsi="宋体" w:eastAsia="宋体" w:cs="宋体"/>
          <w:szCs w:val="21"/>
          <w:highlight w:val="none"/>
        </w:rPr>
      </w:pPr>
    </w:p>
    <w:p>
      <w:pPr>
        <w:autoSpaceDE w:val="0"/>
        <w:autoSpaceDN w:val="0"/>
        <w:spacing w:line="520" w:lineRule="exact"/>
        <w:ind w:firstLine="630" w:firstLineChars="300"/>
        <w:rPr>
          <w:rFonts w:hint="eastAsia" w:ascii="宋体" w:hAnsi="宋体" w:eastAsia="宋体" w:cs="宋体"/>
          <w:szCs w:val="21"/>
          <w:highlight w:val="none"/>
        </w:rPr>
      </w:pPr>
    </w:p>
    <w:p>
      <w:pPr>
        <w:rPr>
          <w:rFonts w:hint="eastAsia" w:ascii="宋体" w:hAnsi="宋体" w:eastAsia="宋体" w:cs="宋体"/>
          <w:highlight w:val="none"/>
        </w:rPr>
      </w:pPr>
      <w:bookmarkStart w:id="59" w:name="_Toc81475574"/>
      <w:r>
        <w:rPr>
          <w:rFonts w:hint="eastAsia" w:ascii="宋体" w:hAnsi="宋体" w:eastAsia="宋体" w:cs="宋体"/>
          <w:highlight w:val="none"/>
        </w:rPr>
        <w:br w:type="page"/>
      </w:r>
    </w:p>
    <w:p>
      <w:pPr>
        <w:pStyle w:val="4"/>
        <w:rPr>
          <w:rFonts w:hint="eastAsia" w:ascii="宋体" w:hAnsi="宋体" w:eastAsia="宋体" w:cs="宋体"/>
          <w:highlight w:val="none"/>
        </w:rPr>
      </w:pPr>
      <w:bookmarkStart w:id="60" w:name="_Toc11374"/>
      <w:r>
        <w:rPr>
          <w:rFonts w:hint="eastAsia" w:ascii="宋体" w:hAnsi="宋体" w:eastAsia="宋体" w:cs="宋体"/>
          <w:highlight w:val="none"/>
        </w:rPr>
        <w:t>二、首轮报价表</w:t>
      </w:r>
      <w:bookmarkEnd w:id="59"/>
      <w:bookmarkEnd w:id="60"/>
    </w:p>
    <w:p>
      <w:pPr>
        <w:adjustRightInd w:val="0"/>
        <w:snapToGrid w:val="0"/>
        <w:spacing w:line="520" w:lineRule="exact"/>
        <w:ind w:left="-88" w:leftChars="-4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项目名称： </w:t>
      </w:r>
    </w:p>
    <w:p>
      <w:pPr>
        <w:adjustRightInd w:val="0"/>
        <w:snapToGrid w:val="0"/>
        <w:spacing w:line="520" w:lineRule="exact"/>
        <w:ind w:left="-88" w:leftChars="-4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tbl>
      <w:tblPr>
        <w:tblStyle w:val="45"/>
        <w:tblW w:w="9558" w:type="dxa"/>
        <w:jc w:val="center"/>
        <w:tblLayout w:type="fixed"/>
        <w:tblCellMar>
          <w:top w:w="0" w:type="dxa"/>
          <w:left w:w="108" w:type="dxa"/>
          <w:bottom w:w="0" w:type="dxa"/>
          <w:right w:w="108" w:type="dxa"/>
        </w:tblCellMar>
      </w:tblPr>
      <w:tblGrid>
        <w:gridCol w:w="788"/>
        <w:gridCol w:w="2600"/>
        <w:gridCol w:w="2800"/>
        <w:gridCol w:w="1334"/>
        <w:gridCol w:w="1166"/>
        <w:gridCol w:w="870"/>
      </w:tblGrid>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品种</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eastAsia="zh-CN"/>
              </w:rPr>
              <w:t>技术参数</w:t>
            </w:r>
            <w:r>
              <w:rPr>
                <w:rFonts w:hint="eastAsia" w:ascii="宋体" w:hAnsi="宋体" w:cs="宋体"/>
                <w:color w:val="000000"/>
                <w:kern w:val="0"/>
                <w:sz w:val="24"/>
                <w:szCs w:val="24"/>
                <w:highlight w:val="none"/>
                <w:lang w:eastAsia="zh-CN"/>
              </w:rPr>
              <w:t>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颜色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单价（元）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备注</w:t>
            </w: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针织短袖T恤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针织短袖T恤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男士机织外套</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女士机织外套</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男士机织外套</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男士机织外套</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男士机织外套</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男士机织外套</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男士机织外套</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女士机织外套</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女士机织外套</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女士机织外套</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女士机织T恤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兰色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男士机织T恤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兰色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男士机织T恤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男士机织T恤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男士机织外套</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男士机织外套</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女士防风外套</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多色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女士夏季外套</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多色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女士夏季外套</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多色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轻量弹力夹克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炭灰色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女士轻量弹力夹克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淡紫色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女士短袖圆领T恤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淡紫色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男士轻量弹力马甲</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兰色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女士户外夹克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沙色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男士短袖圆领T恤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男士短袖圆领T恤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男士短袖衬衫</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兰色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女士短袖POLOT恤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浅紫色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男士短袖POLOT恤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兰色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男士短袖POLOT恤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男士短袖POLOT恤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男士夹克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兰色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男士防风夹克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兰色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女士针织运动服</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多色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男士上衣</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多色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男士夹克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男士拼接夹克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多色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女士夹克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女士夹克</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女士针织运动服</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多色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女士针织运动服</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多色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女士上衣</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男士针织运动服</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多色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男士针织运动服</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多色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男士针织运动服</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多色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女士机织长裤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女士针织运动裤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男士机织长裤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男士短裤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Style w:val="112"/>
                <w:rFonts w:hint="eastAsia" w:ascii="宋体" w:hAnsi="宋体" w:eastAsia="宋体" w:cs="宋体"/>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男士短裤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Style w:val="112"/>
                <w:rFonts w:hint="eastAsia" w:ascii="宋体" w:hAnsi="宋体" w:eastAsia="宋体" w:cs="宋体"/>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男士长裤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Style w:val="112"/>
                <w:rFonts w:hint="eastAsia" w:ascii="宋体" w:hAnsi="宋体" w:eastAsia="宋体" w:cs="宋体"/>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女士长裤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Style w:val="112"/>
                <w:rFonts w:hint="eastAsia" w:ascii="宋体" w:hAnsi="宋体" w:eastAsia="宋体" w:cs="宋体"/>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女士长裤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Style w:val="112"/>
                <w:rFonts w:hint="eastAsia" w:ascii="宋体" w:hAnsi="宋体" w:eastAsia="宋体" w:cs="宋体"/>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男士长裤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Style w:val="112"/>
                <w:rFonts w:hint="eastAsia" w:ascii="宋体" w:hAnsi="宋体" w:eastAsia="宋体" w:cs="宋体"/>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男士商务裤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Style w:val="112"/>
                <w:rFonts w:hint="eastAsia" w:ascii="宋体" w:hAnsi="宋体" w:eastAsia="宋体" w:cs="宋体"/>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男士商务裤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Style w:val="112"/>
                <w:rFonts w:hint="eastAsia" w:ascii="宋体" w:hAnsi="宋体" w:eastAsia="宋体" w:cs="宋体"/>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女士长裤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Style w:val="112"/>
                <w:rFonts w:hint="eastAsia" w:ascii="宋体" w:hAnsi="宋体" w:eastAsia="宋体" w:cs="宋体"/>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女士长裤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Style w:val="112"/>
                <w:rFonts w:hint="eastAsia" w:ascii="宋体" w:hAnsi="宋体" w:eastAsia="宋体" w:cs="宋体"/>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男士长裤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Style w:val="112"/>
                <w:rFonts w:hint="eastAsia" w:ascii="宋体" w:hAnsi="宋体" w:eastAsia="宋体" w:cs="宋体"/>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男士短裤</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Style w:val="112"/>
                <w:rFonts w:hint="eastAsia" w:ascii="宋体" w:hAnsi="宋体" w:eastAsia="宋体" w:cs="宋体"/>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休闲鞋1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Style w:val="112"/>
                <w:rFonts w:hint="eastAsia" w:ascii="宋体" w:hAnsi="宋体" w:eastAsia="宋体" w:cs="宋体"/>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休闲鞋2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Style w:val="112"/>
                <w:rFonts w:hint="eastAsia" w:ascii="宋体" w:hAnsi="宋体" w:eastAsia="宋体" w:cs="宋体"/>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休闲鞋3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i/>
                <w:iCs/>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i/>
                <w:iCs/>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Style w:val="112"/>
                <w:rFonts w:hint="eastAsia" w:ascii="宋体" w:hAnsi="宋体" w:eastAsia="宋体" w:cs="宋体"/>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休闲鞋4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Style w:val="112"/>
                <w:rFonts w:hint="eastAsia" w:ascii="宋体" w:hAnsi="宋体" w:eastAsia="宋体" w:cs="宋体"/>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休闲鞋5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休闲鞋6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休闲鞋7</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休闲鞋8</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休闲鞋9</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休闲鞋10</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休闲鞋11</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休闲鞋12</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休闲鞋13</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休闲鞋14</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休闲鞋15</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休闲鞋16</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男士运动鞋（高帮）</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女士运动鞋（低帮）</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白色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女士运动鞋（低帮）</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白色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男士运动鞋（高帮）</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男士运动鞋（高帮）</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男士运动鞋（高帮）</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男士休闲鞋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女士休闲鞋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男士低帮鞋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岩石灰拼橙</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男士低帮鞋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女士运动鞋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男士运动鞋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多色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男女篮球鞋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多色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男士运动鞋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白色、黄色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男士运动鞋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女士运动鞋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黑色、灰色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女士运动鞋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黑色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女士运动鞋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黑色</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白色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女士运动鞋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绿色</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紫色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女士运动鞋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黑色</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紫色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女士运动鞋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黑色</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灰色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男士长袖衬衫</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蓝色</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白色</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灰色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男士夹克</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藏蓝</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男女士通用袜子</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多色</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6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adjustRightInd w:val="0"/>
              <w:snapToGrid w:val="0"/>
              <w:jc w:val="center"/>
              <w:textAlignment w:val="center"/>
              <w:rPr>
                <w:rFonts w:hint="eastAsia" w:ascii="宋体" w:hAnsi="宋体" w:eastAsia="宋体" w:cs="宋体"/>
                <w:color w:val="000000"/>
                <w:kern w:val="0"/>
                <w:sz w:val="24"/>
                <w:szCs w:val="24"/>
                <w:highlight w:val="none"/>
              </w:rPr>
            </w:pPr>
          </w:p>
        </w:tc>
        <w:tc>
          <w:tcPr>
            <w:tcW w:w="67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78"/>
              <w:kinsoku w:val="0"/>
              <w:overflowPunct w:val="0"/>
              <w:adjustRightInd w:val="0"/>
              <w:snapToGrid w:val="0"/>
              <w:jc w:val="center"/>
              <w:rPr>
                <w:rFonts w:hint="eastAsia" w:ascii="宋体" w:hAnsi="宋体" w:eastAsia="宋体" w:cs="宋体"/>
                <w:color w:val="000000"/>
                <w:kern w:val="0"/>
                <w:szCs w:val="24"/>
                <w:highlight w:val="none"/>
              </w:rPr>
            </w:pPr>
            <w:r>
              <w:rPr>
                <w:rFonts w:hint="eastAsia" w:ascii="宋体" w:hAnsi="宋体" w:eastAsia="宋体" w:cs="宋体"/>
                <w:color w:val="000000"/>
                <w:szCs w:val="24"/>
                <w:highlight w:val="none"/>
              </w:rPr>
              <w:t>合计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val="0"/>
              <w:overflowPunct w:val="0"/>
              <w:adjustRightInd w:val="0"/>
              <w:snapToGrid w:val="0"/>
              <w:jc w:val="center"/>
              <w:rPr>
                <w:rFonts w:hint="eastAsia" w:ascii="宋体" w:hAnsi="宋体" w:eastAsia="宋体" w:cs="宋体"/>
                <w:color w:val="000000"/>
                <w:sz w:val="24"/>
                <w:szCs w:val="24"/>
                <w:highlight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val="0"/>
              <w:overflowPunct w:val="0"/>
              <w:adjustRightInd w:val="0"/>
              <w:snapToGrid w:val="0"/>
              <w:jc w:val="center"/>
              <w:rPr>
                <w:rFonts w:hint="eastAsia" w:ascii="宋体" w:hAnsi="宋体" w:eastAsia="宋体" w:cs="宋体"/>
                <w:color w:val="000000"/>
                <w:kern w:val="0"/>
                <w:sz w:val="24"/>
                <w:szCs w:val="24"/>
                <w:highlight w:val="none"/>
              </w:rPr>
            </w:pPr>
          </w:p>
        </w:tc>
      </w:tr>
    </w:tbl>
    <w:p>
      <w:pPr>
        <w:adjustRightInd w:val="0"/>
        <w:snapToGrid w:val="0"/>
        <w:spacing w:line="0" w:lineRule="atLeast"/>
        <w:ind w:left="-88" w:leftChars="-42"/>
        <w:jc w:val="left"/>
        <w:rPr>
          <w:rFonts w:hint="eastAsia" w:ascii="宋体" w:hAnsi="宋体" w:eastAsia="宋体" w:cs="宋体"/>
          <w:sz w:val="24"/>
          <w:szCs w:val="24"/>
          <w:highlight w:val="none"/>
        </w:rPr>
      </w:pPr>
    </w:p>
    <w:p>
      <w:pPr>
        <w:spacing w:line="5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注：1、此表须单独装在一小信封内，同时为正、副本中不可缺少的内容。</w:t>
      </w:r>
    </w:p>
    <w:p>
      <w:pPr>
        <w:spacing w:line="52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2、本项目以单价报价，单价报价汇总之和为本项目响应报价，单价报价不得超过单价控制价。</w:t>
      </w:r>
    </w:p>
    <w:p>
      <w:pPr>
        <w:spacing w:line="520" w:lineRule="exact"/>
        <w:jc w:val="left"/>
        <w:rPr>
          <w:rFonts w:hint="eastAsia" w:ascii="宋体" w:hAnsi="宋体" w:eastAsia="宋体" w:cs="宋体"/>
          <w:sz w:val="24"/>
          <w:szCs w:val="24"/>
          <w:highlight w:val="none"/>
        </w:rPr>
      </w:pPr>
    </w:p>
    <w:p>
      <w:pPr>
        <w:spacing w:line="480" w:lineRule="exact"/>
        <w:rPr>
          <w:rFonts w:hint="eastAsia" w:ascii="宋体" w:hAnsi="宋体" w:eastAsia="宋体" w:cs="宋体"/>
          <w:sz w:val="24"/>
          <w:highlight w:val="none"/>
          <w:u w:val="single"/>
        </w:rPr>
      </w:pPr>
      <w:r>
        <w:rPr>
          <w:rFonts w:hint="eastAsia" w:ascii="宋体" w:hAnsi="宋体" w:eastAsia="宋体" w:cs="宋体"/>
          <w:sz w:val="24"/>
          <w:highlight w:val="none"/>
        </w:rPr>
        <w:t>供应商：（公章）</w:t>
      </w: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法定代表人或代理人：（签字或盖章）</w:t>
      </w: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szCs w:val="24"/>
          <w:highlight w:val="none"/>
        </w:rPr>
      </w:pPr>
      <w:r>
        <w:rPr>
          <w:rFonts w:hint="eastAsia" w:ascii="宋体" w:hAnsi="宋体" w:eastAsia="宋体" w:cs="宋体"/>
          <w:sz w:val="24"/>
          <w:highlight w:val="none"/>
        </w:rPr>
        <w:t>日期：</w:t>
      </w:r>
    </w:p>
    <w:p>
      <w:pPr>
        <w:rPr>
          <w:rFonts w:hint="eastAsia" w:ascii="宋体" w:hAnsi="宋体" w:eastAsia="宋体" w:cs="宋体"/>
          <w:highlight w:val="none"/>
        </w:rPr>
      </w:pPr>
      <w:bookmarkStart w:id="61" w:name="_Toc81475575"/>
      <w:r>
        <w:rPr>
          <w:rFonts w:hint="eastAsia" w:ascii="宋体" w:hAnsi="宋体" w:eastAsia="宋体" w:cs="宋体"/>
          <w:highlight w:val="none"/>
        </w:rPr>
        <w:br w:type="page"/>
      </w:r>
    </w:p>
    <w:p>
      <w:pPr>
        <w:pStyle w:val="4"/>
        <w:rPr>
          <w:rFonts w:hint="eastAsia" w:ascii="宋体" w:hAnsi="宋体" w:eastAsia="宋体" w:cs="宋体"/>
          <w:highlight w:val="none"/>
        </w:rPr>
      </w:pPr>
      <w:bookmarkStart w:id="62" w:name="_Toc28543"/>
      <w:r>
        <w:rPr>
          <w:rFonts w:hint="eastAsia" w:ascii="宋体" w:hAnsi="宋体" w:eastAsia="宋体" w:cs="宋体"/>
          <w:highlight w:val="none"/>
        </w:rPr>
        <w:t>三、供应商资格资信证明</w:t>
      </w:r>
      <w:bookmarkEnd w:id="61"/>
      <w:bookmarkEnd w:id="62"/>
    </w:p>
    <w:p>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（一）供应商简介和资格声明</w:t>
      </w:r>
    </w:p>
    <w:p>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1.供应商简介</w:t>
      </w:r>
    </w:p>
    <w:p>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2.供应商资格声明</w:t>
      </w:r>
    </w:p>
    <w:p>
      <w:pPr>
        <w:spacing w:line="52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供应商基本情况表</w:t>
      </w:r>
    </w:p>
    <w:tbl>
      <w:tblPr>
        <w:tblStyle w:val="45"/>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64"/>
        <w:gridCol w:w="982"/>
        <w:gridCol w:w="1274"/>
        <w:gridCol w:w="1281"/>
        <w:gridCol w:w="1356"/>
        <w:gridCol w:w="873"/>
        <w:gridCol w:w="195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64" w:type="dxa"/>
            <w:tcBorders>
              <w:top w:val="single" w:color="auto" w:sz="18" w:space="0"/>
              <w:left w:val="single" w:color="auto" w:sz="18"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7722" w:type="dxa"/>
            <w:gridSpan w:val="6"/>
            <w:tcBorders>
              <w:top w:val="single" w:color="auto" w:sz="18" w:space="0"/>
              <w:left w:val="single" w:color="auto" w:sz="6" w:space="0"/>
              <w:bottom w:val="single" w:color="auto" w:sz="6" w:space="0"/>
              <w:right w:val="single" w:color="auto" w:sz="18"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64" w:type="dxa"/>
            <w:tcBorders>
              <w:top w:val="single" w:color="auto" w:sz="6" w:space="0"/>
              <w:left w:val="single" w:color="auto" w:sz="18"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注册地址</w:t>
            </w:r>
          </w:p>
        </w:tc>
        <w:tc>
          <w:tcPr>
            <w:tcW w:w="3537" w:type="dxa"/>
            <w:gridSpan w:val="3"/>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2829" w:type="dxa"/>
            <w:gridSpan w:val="2"/>
            <w:tcBorders>
              <w:top w:val="single" w:color="auto" w:sz="6" w:space="0"/>
              <w:left w:val="single" w:color="auto" w:sz="6" w:space="0"/>
              <w:bottom w:val="single" w:color="auto" w:sz="6" w:space="0"/>
              <w:right w:val="single" w:color="auto" w:sz="18"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64" w:type="dxa"/>
            <w:vMerge w:val="restart"/>
            <w:tcBorders>
              <w:top w:val="single" w:color="auto" w:sz="6" w:space="0"/>
              <w:left w:val="single" w:color="auto" w:sz="18"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982" w:type="dxa"/>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555"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2829" w:type="dxa"/>
            <w:gridSpan w:val="2"/>
            <w:tcBorders>
              <w:top w:val="single" w:color="auto" w:sz="6" w:space="0"/>
              <w:left w:val="single" w:color="auto" w:sz="6" w:space="0"/>
              <w:bottom w:val="single" w:color="auto" w:sz="6" w:space="0"/>
              <w:right w:val="single" w:color="auto" w:sz="18"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64"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宋体" w:hAnsi="宋体" w:eastAsia="宋体" w:cs="宋体"/>
                <w:sz w:val="24"/>
                <w:szCs w:val="24"/>
                <w:highlight w:val="none"/>
              </w:rPr>
            </w:pPr>
          </w:p>
        </w:tc>
        <w:tc>
          <w:tcPr>
            <w:tcW w:w="982" w:type="dxa"/>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2555"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网址</w:t>
            </w:r>
          </w:p>
        </w:tc>
        <w:tc>
          <w:tcPr>
            <w:tcW w:w="2829" w:type="dxa"/>
            <w:gridSpan w:val="2"/>
            <w:tcBorders>
              <w:top w:val="single" w:color="auto" w:sz="6" w:space="0"/>
              <w:left w:val="single" w:color="auto" w:sz="6" w:space="0"/>
              <w:bottom w:val="single" w:color="auto" w:sz="6" w:space="0"/>
              <w:right w:val="single" w:color="auto" w:sz="18"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64" w:type="dxa"/>
            <w:tcBorders>
              <w:top w:val="single" w:color="auto" w:sz="6" w:space="0"/>
              <w:left w:val="single" w:color="auto" w:sz="18"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982" w:type="dxa"/>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274" w:type="dxa"/>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p>
        </w:tc>
        <w:tc>
          <w:tcPr>
            <w:tcW w:w="1281" w:type="dxa"/>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356" w:type="dxa"/>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p>
        </w:tc>
        <w:tc>
          <w:tcPr>
            <w:tcW w:w="873" w:type="dxa"/>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1956" w:type="dxa"/>
            <w:tcBorders>
              <w:top w:val="single" w:color="auto" w:sz="6" w:space="0"/>
              <w:left w:val="single" w:color="auto" w:sz="6" w:space="0"/>
              <w:bottom w:val="single" w:color="auto" w:sz="6" w:space="0"/>
              <w:right w:val="single" w:color="auto" w:sz="18"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564" w:type="dxa"/>
            <w:tcBorders>
              <w:top w:val="single" w:color="auto" w:sz="6" w:space="0"/>
              <w:left w:val="single" w:color="auto" w:sz="18"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负责人</w:t>
            </w:r>
          </w:p>
        </w:tc>
        <w:tc>
          <w:tcPr>
            <w:tcW w:w="982" w:type="dxa"/>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274" w:type="dxa"/>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p>
        </w:tc>
        <w:tc>
          <w:tcPr>
            <w:tcW w:w="1281" w:type="dxa"/>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356" w:type="dxa"/>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p>
        </w:tc>
        <w:tc>
          <w:tcPr>
            <w:tcW w:w="873" w:type="dxa"/>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1956" w:type="dxa"/>
            <w:tcBorders>
              <w:top w:val="single" w:color="auto" w:sz="6" w:space="0"/>
              <w:left w:val="single" w:color="auto" w:sz="6" w:space="0"/>
              <w:bottom w:val="single" w:color="auto" w:sz="6" w:space="0"/>
              <w:right w:val="single" w:color="auto" w:sz="18"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64" w:type="dxa"/>
            <w:tcBorders>
              <w:top w:val="single" w:color="auto" w:sz="6" w:space="0"/>
              <w:left w:val="single" w:color="auto" w:sz="18"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p>
        </w:tc>
        <w:tc>
          <w:tcPr>
            <w:tcW w:w="2256" w:type="dxa"/>
            <w:gridSpan w:val="2"/>
            <w:tcBorders>
              <w:top w:val="single" w:color="auto" w:sz="6" w:space="0"/>
              <w:left w:val="single" w:color="auto" w:sz="6"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p>
        </w:tc>
        <w:tc>
          <w:tcPr>
            <w:tcW w:w="5466" w:type="dxa"/>
            <w:gridSpan w:val="4"/>
            <w:tcBorders>
              <w:top w:val="single" w:color="auto" w:sz="6" w:space="0"/>
              <w:left w:val="single" w:color="auto" w:sz="6" w:space="0"/>
              <w:bottom w:val="single" w:color="auto" w:sz="6" w:space="0"/>
              <w:right w:val="single" w:color="auto" w:sz="18"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64" w:type="dxa"/>
            <w:tcBorders>
              <w:top w:val="single" w:color="auto" w:sz="6" w:space="0"/>
              <w:left w:val="single" w:color="auto" w:sz="18"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营业执照号</w:t>
            </w:r>
          </w:p>
        </w:tc>
        <w:tc>
          <w:tcPr>
            <w:tcW w:w="7722" w:type="dxa"/>
            <w:gridSpan w:val="6"/>
            <w:tcBorders>
              <w:top w:val="single" w:color="auto" w:sz="6" w:space="0"/>
              <w:left w:val="single" w:color="auto" w:sz="6" w:space="0"/>
              <w:bottom w:val="single" w:color="auto" w:sz="6" w:space="0"/>
              <w:right w:val="single" w:color="auto" w:sz="18"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64" w:type="dxa"/>
            <w:tcBorders>
              <w:top w:val="single" w:color="auto" w:sz="6" w:space="0"/>
              <w:left w:val="single" w:color="auto" w:sz="18"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注册资金</w:t>
            </w:r>
          </w:p>
        </w:tc>
        <w:tc>
          <w:tcPr>
            <w:tcW w:w="7722" w:type="dxa"/>
            <w:gridSpan w:val="6"/>
            <w:tcBorders>
              <w:top w:val="single" w:color="auto" w:sz="6" w:space="0"/>
              <w:left w:val="single" w:color="auto" w:sz="6" w:space="0"/>
              <w:bottom w:val="single" w:color="auto" w:sz="6" w:space="0"/>
              <w:right w:val="single" w:color="auto" w:sz="18"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64" w:type="dxa"/>
            <w:tcBorders>
              <w:top w:val="single" w:color="auto" w:sz="6" w:space="0"/>
              <w:left w:val="single" w:color="auto" w:sz="18"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7722" w:type="dxa"/>
            <w:gridSpan w:val="6"/>
            <w:tcBorders>
              <w:top w:val="single" w:color="auto" w:sz="6" w:space="0"/>
              <w:left w:val="single" w:color="auto" w:sz="6" w:space="0"/>
              <w:bottom w:val="single" w:color="auto" w:sz="6" w:space="0"/>
              <w:right w:val="single" w:color="auto" w:sz="18"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64" w:type="dxa"/>
            <w:tcBorders>
              <w:top w:val="single" w:color="auto" w:sz="6" w:space="0"/>
              <w:left w:val="single" w:color="auto" w:sz="18"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c>
          <w:tcPr>
            <w:tcW w:w="7722" w:type="dxa"/>
            <w:gridSpan w:val="6"/>
            <w:tcBorders>
              <w:top w:val="single" w:color="auto" w:sz="6" w:space="0"/>
              <w:left w:val="single" w:color="auto" w:sz="6" w:space="0"/>
              <w:bottom w:val="single" w:color="auto" w:sz="6" w:space="0"/>
              <w:right w:val="single" w:color="auto" w:sz="18"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696" w:hRule="atLeast"/>
          <w:jc w:val="center"/>
        </w:trPr>
        <w:tc>
          <w:tcPr>
            <w:tcW w:w="1564" w:type="dxa"/>
            <w:tcBorders>
              <w:top w:val="single" w:color="auto" w:sz="6" w:space="0"/>
              <w:left w:val="single" w:color="auto" w:sz="18" w:space="0"/>
              <w:bottom w:val="single" w:color="auto" w:sz="6" w:space="0"/>
              <w:right w:val="single" w:color="auto" w:sz="6" w:space="0"/>
            </w:tcBorders>
            <w:vAlign w:val="center"/>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经营范围</w:t>
            </w:r>
          </w:p>
        </w:tc>
        <w:tc>
          <w:tcPr>
            <w:tcW w:w="7722" w:type="dxa"/>
            <w:gridSpan w:val="6"/>
            <w:tcBorders>
              <w:top w:val="single" w:color="auto" w:sz="6" w:space="0"/>
              <w:left w:val="single" w:color="auto" w:sz="6" w:space="0"/>
              <w:bottom w:val="single" w:color="auto" w:sz="6" w:space="0"/>
              <w:right w:val="single" w:color="auto" w:sz="18" w:space="0"/>
            </w:tcBorders>
            <w:vAlign w:val="center"/>
          </w:tcPr>
          <w:p>
            <w:pPr>
              <w:spacing w:line="500" w:lineRule="exact"/>
              <w:rPr>
                <w:rFonts w:hint="eastAsia" w:ascii="宋体" w:hAnsi="宋体" w:eastAsia="宋体" w:cs="宋体"/>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64" w:type="dxa"/>
            <w:tcBorders>
              <w:top w:val="single" w:color="auto" w:sz="6" w:space="0"/>
              <w:left w:val="single" w:color="auto" w:sz="18" w:space="0"/>
              <w:bottom w:val="single" w:color="auto" w:sz="18" w:space="0"/>
              <w:right w:val="single" w:color="auto" w:sz="6" w:space="0"/>
            </w:tcBorders>
          </w:tcPr>
          <w:p>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7722" w:type="dxa"/>
            <w:gridSpan w:val="6"/>
            <w:tcBorders>
              <w:top w:val="single" w:color="auto" w:sz="6" w:space="0"/>
              <w:left w:val="single" w:color="auto" w:sz="6" w:space="0"/>
              <w:bottom w:val="single" w:color="auto" w:sz="18" w:space="0"/>
              <w:right w:val="single" w:color="auto" w:sz="18" w:space="0"/>
            </w:tcBorders>
          </w:tcPr>
          <w:p>
            <w:pPr>
              <w:spacing w:line="500" w:lineRule="exact"/>
              <w:rPr>
                <w:rFonts w:hint="eastAsia" w:ascii="宋体" w:hAnsi="宋体" w:eastAsia="宋体" w:cs="宋体"/>
                <w:sz w:val="24"/>
                <w:szCs w:val="24"/>
                <w:highlight w:val="none"/>
              </w:rPr>
            </w:pPr>
          </w:p>
        </w:tc>
      </w:tr>
    </w:tbl>
    <w:p>
      <w:pPr>
        <w:spacing w:line="520" w:lineRule="exact"/>
        <w:ind w:firstLine="480" w:firstLineChars="200"/>
        <w:rPr>
          <w:rFonts w:hint="eastAsia" w:ascii="宋体" w:hAnsi="宋体" w:eastAsia="宋体" w:cs="宋体"/>
          <w:sz w:val="24"/>
          <w:szCs w:val="24"/>
          <w:highlight w:val="none"/>
        </w:rPr>
      </w:pPr>
    </w:p>
    <w:p>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（二）法人代表授权书（原件）</w:t>
      </w:r>
    </w:p>
    <w:p>
      <w:pPr>
        <w:spacing w:line="520" w:lineRule="exact"/>
        <w:ind w:firstLine="480" w:firstLineChars="200"/>
        <w:rPr>
          <w:rFonts w:hint="eastAsia" w:ascii="宋体" w:hAnsi="宋体" w:eastAsia="宋体" w:cs="宋体"/>
          <w:sz w:val="24"/>
          <w:szCs w:val="24"/>
          <w:highlight w:val="none"/>
        </w:rPr>
      </w:pPr>
    </w:p>
    <w:p>
      <w:pPr>
        <w:adjustRightInd w:val="0"/>
        <w:snapToGrid w:val="0"/>
        <w:spacing w:line="5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法定代表人授权书</w:t>
      </w:r>
    </w:p>
    <w:p>
      <w:pPr>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（采购人或采购代理机构名称）：</w:t>
      </w:r>
    </w:p>
    <w:p>
      <w:pPr>
        <w:spacing w:line="520" w:lineRule="exact"/>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兹授权</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同志（称为被授权人代表）为我单位参加贵单位组织的（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）（项目编号：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采购活动的委托代理人，全权代表我单位处理在该项目活动中的磋商、签订合同、履行合同、验收等一切事宜的合法代理人。我单位对法人授权代表的签名负全部责任。</w:t>
      </w:r>
    </w:p>
    <w:p>
      <w:pPr>
        <w:spacing w:line="520" w:lineRule="exact"/>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本授权书于签字盖章后生效，在贵单位收到撤消授权的书面通知以前，本授权书一直有效</w:t>
      </w:r>
    </w:p>
    <w:p>
      <w:pPr>
        <w:spacing w:line="520" w:lineRule="exact"/>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法人授权代表无转委权。</w:t>
      </w:r>
    </w:p>
    <w:p>
      <w:pPr>
        <w:spacing w:line="520" w:lineRule="exact"/>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特此授权。</w:t>
      </w:r>
    </w:p>
    <w:p>
      <w:pPr>
        <w:spacing w:line="520" w:lineRule="exact"/>
        <w:ind w:firstLine="555"/>
        <w:rPr>
          <w:rFonts w:hint="eastAsia" w:ascii="宋体" w:hAnsi="宋体" w:eastAsia="宋体" w:cs="宋体"/>
          <w:szCs w:val="21"/>
          <w:highlight w:val="none"/>
        </w:rPr>
      </w:pPr>
      <w:r>
        <w:rPr>
          <w:rFonts w:hint="eastAsia" w:ascii="宋体" w:hAnsi="宋体" w:eastAsia="宋体" w:cs="宋体"/>
          <w:szCs w:val="21"/>
          <w:highlight w:val="none"/>
        </w:rPr>
        <mc:AlternateContent>
          <mc:Choice Requires="wps">
            <w:drawing>
              <wp:anchor distT="0" distB="0" distL="114300" distR="114300" simplePos="0" relativeHeight="251660288" behindDoc="0" locked="0" layoutInCell="1" allowOverlap="1">
                <wp:simplePos x="0" y="0"/>
                <wp:positionH relativeFrom="column">
                  <wp:posOffset>3173095</wp:posOffset>
                </wp:positionH>
                <wp:positionV relativeFrom="paragraph">
                  <wp:posOffset>274955</wp:posOffset>
                </wp:positionV>
                <wp:extent cx="2856230" cy="2098675"/>
                <wp:effectExtent l="4445" t="4445" r="15875" b="11430"/>
                <wp:wrapNone/>
                <wp:docPr id="4" name="文本框 11"/>
                <wp:cNvGraphicFramePr/>
                <a:graphic xmlns:a="http://schemas.openxmlformats.org/drawingml/2006/main">
                  <a:graphicData uri="http://schemas.microsoft.com/office/word/2010/wordprocessingShape">
                    <wps:wsp>
                      <wps:cNvSpPr txBox="1"/>
                      <wps:spPr>
                        <a:xfrm>
                          <a:off x="0" y="0"/>
                          <a:ext cx="2856230" cy="20986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委托代理人身份证扫描件</w:t>
                            </w:r>
                          </w:p>
                          <w:p>
                            <w:pPr>
                              <w:jc w:val="center"/>
                              <w:rPr>
                                <w:rFonts w:ascii="楷体_GB2312" w:eastAsia="楷体_GB2312"/>
                                <w:sz w:val="24"/>
                              </w:rPr>
                            </w:pPr>
                            <w:r>
                              <w:rPr>
                                <w:rFonts w:hint="eastAsia" w:ascii="楷体_GB2312" w:eastAsia="楷体_GB2312"/>
                                <w:sz w:val="24"/>
                              </w:rPr>
                              <w:t>（正、反面）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楷体_GB2312" w:eastAsia="楷体_GB2312"/>
                                <w:sz w:val="24"/>
                              </w:rPr>
                            </w:pPr>
                          </w:p>
                          <w:p>
                            <w:pPr>
                              <w:jc w:val="center"/>
                              <w:rPr>
                                <w:rFonts w:ascii="楷体_GB2312" w:eastAsia="楷体_GB2312"/>
                                <w:sz w:val="24"/>
                              </w:rPr>
                            </w:pPr>
                          </w:p>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11" o:spid="_x0000_s1026" o:spt="202" type="#_x0000_t202" style="position:absolute;left:0pt;margin-left:249.85pt;margin-top:21.65pt;height:165.25pt;width:224.9pt;z-index:251660288;mso-width-relative:page;mso-height-relative:margin;mso-height-percent:200;" fillcolor="#FFFFFF" filled="t" stroked="t" coordsize="21600,21600" o:gfxdata="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u5Gt3Z&#10;AAAACgEAAA8AAAAAAAAAAQAgAAAAIgAAAGRycy9kb3ducmV2LnhtbFBLAQIUABQAAAAIAIdO4kDt&#10;M6juHwIAAGAEAAAOAAAAAAAAAAEAIAAAACgBAABkcnMvZTJvRG9jLnhtbFBLBQYAAAAABgAGAFkB&#10;AAC5BQAAAAA=&#10;">
                <v:fill on="t" focussize="0,0"/>
                <v:stroke color="#000000" joinstyle="miter"/>
                <v:imagedata o:title=""/>
                <o:lock v:ext="edit" aspectratio="f"/>
                <v:textbox style="mso-fit-shape-to-text:t;">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委托代理人身份证扫描件</w:t>
                      </w:r>
                    </w:p>
                    <w:p>
                      <w:pPr>
                        <w:jc w:val="center"/>
                        <w:rPr>
                          <w:rFonts w:ascii="楷体_GB2312" w:eastAsia="楷体_GB2312"/>
                          <w:sz w:val="24"/>
                        </w:rPr>
                      </w:pPr>
                      <w:r>
                        <w:rPr>
                          <w:rFonts w:hint="eastAsia" w:ascii="楷体_GB2312" w:eastAsia="楷体_GB2312"/>
                          <w:sz w:val="24"/>
                        </w:rPr>
                        <w:t>（正、反面）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楷体_GB2312" w:eastAsia="楷体_GB2312"/>
                          <w:sz w:val="24"/>
                        </w:rPr>
                      </w:pPr>
                    </w:p>
                    <w:p>
                      <w:pPr>
                        <w:jc w:val="center"/>
                        <w:rPr>
                          <w:rFonts w:ascii="楷体_GB2312" w:eastAsia="楷体_GB2312"/>
                          <w:sz w:val="24"/>
                        </w:rPr>
                      </w:pPr>
                    </w:p>
                    <w:p/>
                  </w:txbxContent>
                </v:textbox>
              </v:shape>
            </w:pict>
          </mc:Fallback>
        </mc:AlternateContent>
      </w:r>
      <w:r>
        <w:rPr>
          <w:rFonts w:hint="eastAsia" w:ascii="宋体" w:hAnsi="宋体" w:eastAsia="宋体" w:cs="宋体"/>
          <w:szCs w:val="21"/>
          <w:highlight w:val="none"/>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274955</wp:posOffset>
                </wp:positionV>
                <wp:extent cx="2880995" cy="2098675"/>
                <wp:effectExtent l="4445" t="5080" r="10160" b="10795"/>
                <wp:wrapNone/>
                <wp:docPr id="3" name="文本框 10"/>
                <wp:cNvGraphicFramePr/>
                <a:graphic xmlns:a="http://schemas.openxmlformats.org/drawingml/2006/main">
                  <a:graphicData uri="http://schemas.microsoft.com/office/word/2010/wordprocessingShape">
                    <wps:wsp>
                      <wps:cNvSpPr txBox="1"/>
                      <wps:spPr>
                        <a:xfrm>
                          <a:off x="0" y="0"/>
                          <a:ext cx="2880995" cy="20986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楷体_GB2312" w:eastAsia="楷体_GB2312"/>
                                <w:sz w:val="24"/>
                              </w:rPr>
                            </w:pPr>
                            <w:r>
                              <w:rPr>
                                <w:rFonts w:hint="eastAsia" w:ascii="楷体_GB2312" w:eastAsia="楷体_GB2312"/>
                                <w:sz w:val="24"/>
                              </w:rPr>
                              <w:t>（正、反面）</w:t>
                            </w:r>
                          </w:p>
                          <w:p>
                            <w:pPr>
                              <w:rPr>
                                <w:rFonts w:ascii="楷体_GB2312" w:eastAsia="楷体_GB2312"/>
                                <w:sz w:val="24"/>
                              </w:rPr>
                            </w:pPr>
                            <w:r>
                              <w:rPr>
                                <w:rFonts w:hint="eastAsia" w:ascii="楷体_GB2312" w:eastAsia="楷体_GB2312"/>
                                <w:sz w:val="24"/>
                              </w:rPr>
                              <w:t>（本证件需直接扫描，不允许粘贴）</w:t>
                            </w:r>
                          </w:p>
                          <w:p>
                            <w:pPr>
                              <w:jc w:val="center"/>
                              <w:rPr>
                                <w:rFonts w:ascii="楷体_GB2312" w:eastAsia="楷体_GB2312"/>
                                <w:sz w:val="24"/>
                              </w:rPr>
                            </w:pPr>
                          </w:p>
                          <w:p>
                            <w:pPr>
                              <w:jc w:val="center"/>
                              <w:rPr>
                                <w:rFonts w:ascii="楷体_GB2312" w:eastAsia="楷体_GB2312"/>
                                <w:sz w:val="24"/>
                              </w:rPr>
                            </w:pPr>
                          </w:p>
                          <w:p>
                            <w:pPr>
                              <w:jc w:val="cente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10" o:spid="_x0000_s1026" o:spt="202" type="#_x0000_t202" style="position:absolute;left:0pt;margin-left:4.3pt;margin-top:21.65pt;height:165.25pt;width:226.85pt;z-index:251659264;mso-width-relative:page;mso-height-relative:margin;mso-height-percent:200;" fillcolor="#FFFFFF" filled="t" stroked="t" coordsize="21600,21600" o:gfxdata="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3m2o1gAAAAgB&#10;AAAPAAAAAAAAAAEAIAAAACIAAABkcnMvZG93bnJldi54bWxQSwECFAAUAAAACACHTuJAu3QOkh0C&#10;AABgBAAADgAAAAAAAAABACAAAAAlAQAAZHJzL2Uyb0RvYy54bWxQSwUGAAAAAAYABgBZAQAAtAUA&#10;AAAA&#10;">
                <v:fill on="t" focussize="0,0"/>
                <v:stroke color="#000000" joinstyle="miter"/>
                <v:imagedata o:title=""/>
                <o:lock v:ext="edit" aspectratio="f"/>
                <v:textbox style="mso-fit-shape-to-text:t;">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楷体_GB2312" w:eastAsia="楷体_GB2312"/>
                          <w:sz w:val="24"/>
                        </w:rPr>
                      </w:pPr>
                      <w:r>
                        <w:rPr>
                          <w:rFonts w:hint="eastAsia" w:ascii="楷体_GB2312" w:eastAsia="楷体_GB2312"/>
                          <w:sz w:val="24"/>
                        </w:rPr>
                        <w:t>（正、反面）</w:t>
                      </w:r>
                    </w:p>
                    <w:p>
                      <w:pPr>
                        <w:rPr>
                          <w:rFonts w:ascii="楷体_GB2312" w:eastAsia="楷体_GB2312"/>
                          <w:sz w:val="24"/>
                        </w:rPr>
                      </w:pPr>
                      <w:r>
                        <w:rPr>
                          <w:rFonts w:hint="eastAsia" w:ascii="楷体_GB2312" w:eastAsia="楷体_GB2312"/>
                          <w:sz w:val="24"/>
                        </w:rPr>
                        <w:t>（本证件需直接扫描，不允许粘贴）</w:t>
                      </w:r>
                    </w:p>
                    <w:p>
                      <w:pPr>
                        <w:jc w:val="center"/>
                        <w:rPr>
                          <w:rFonts w:ascii="楷体_GB2312" w:eastAsia="楷体_GB2312"/>
                          <w:sz w:val="24"/>
                        </w:rPr>
                      </w:pPr>
                    </w:p>
                    <w:p>
                      <w:pPr>
                        <w:jc w:val="center"/>
                        <w:rPr>
                          <w:rFonts w:ascii="楷体_GB2312" w:eastAsia="楷体_GB2312"/>
                          <w:sz w:val="24"/>
                        </w:rPr>
                      </w:pPr>
                    </w:p>
                    <w:p>
                      <w:pPr>
                        <w:jc w:val="center"/>
                      </w:pPr>
                    </w:p>
                  </w:txbxContent>
                </v:textbox>
              </v:shape>
            </w:pict>
          </mc:Fallback>
        </mc:AlternateContent>
      </w:r>
    </w:p>
    <w:p>
      <w:pPr>
        <w:spacing w:line="520" w:lineRule="exact"/>
        <w:jc w:val="left"/>
        <w:rPr>
          <w:rFonts w:hint="eastAsia" w:ascii="宋体" w:hAnsi="宋体" w:eastAsia="宋体" w:cs="宋体"/>
          <w:szCs w:val="21"/>
          <w:highlight w:val="none"/>
        </w:rPr>
      </w:pPr>
    </w:p>
    <w:p>
      <w:pPr>
        <w:spacing w:line="520" w:lineRule="exact"/>
        <w:ind w:firstLine="555"/>
        <w:rPr>
          <w:rFonts w:hint="eastAsia" w:ascii="宋体" w:hAnsi="宋体" w:eastAsia="宋体" w:cs="宋体"/>
          <w:szCs w:val="21"/>
          <w:highlight w:val="none"/>
        </w:rPr>
      </w:pPr>
    </w:p>
    <w:p>
      <w:pPr>
        <w:spacing w:line="520" w:lineRule="exact"/>
        <w:rPr>
          <w:rFonts w:hint="eastAsia" w:ascii="宋体" w:hAnsi="宋体" w:eastAsia="宋体" w:cs="宋体"/>
          <w:szCs w:val="21"/>
          <w:highlight w:val="none"/>
        </w:rPr>
      </w:pPr>
    </w:p>
    <w:p>
      <w:pPr>
        <w:spacing w:line="520" w:lineRule="exact"/>
        <w:rPr>
          <w:rFonts w:hint="eastAsia" w:ascii="宋体" w:hAnsi="宋体" w:eastAsia="宋体" w:cs="宋体"/>
          <w:szCs w:val="21"/>
          <w:highlight w:val="none"/>
        </w:rPr>
      </w:pPr>
    </w:p>
    <w:p>
      <w:pPr>
        <w:spacing w:line="520" w:lineRule="exact"/>
        <w:rPr>
          <w:rFonts w:hint="eastAsia" w:ascii="宋体" w:hAnsi="宋体" w:eastAsia="宋体" w:cs="宋体"/>
          <w:szCs w:val="21"/>
          <w:highlight w:val="none"/>
        </w:rPr>
      </w:pPr>
    </w:p>
    <w:p>
      <w:pPr>
        <w:pStyle w:val="8"/>
        <w:rPr>
          <w:rFonts w:hint="eastAsia" w:ascii="宋体" w:hAnsi="宋体" w:eastAsia="宋体" w:cs="宋体"/>
          <w:highlight w:val="none"/>
        </w:rPr>
      </w:pPr>
    </w:p>
    <w:p>
      <w:pPr>
        <w:pStyle w:val="8"/>
        <w:rPr>
          <w:rFonts w:hint="eastAsia" w:ascii="宋体" w:hAnsi="宋体" w:eastAsia="宋体" w:cs="宋体"/>
          <w:szCs w:val="21"/>
          <w:highlight w:val="none"/>
        </w:rPr>
      </w:pPr>
    </w:p>
    <w:p>
      <w:pPr>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企业法人代表签字或盖章：</w:t>
      </w:r>
    </w:p>
    <w:p>
      <w:pPr>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pPr>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被授权人签字：</w:t>
      </w:r>
    </w:p>
    <w:p>
      <w:pPr>
        <w:spacing w:line="52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        邮编：        固定电话：        传真：</w:t>
      </w: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供应商：（公章）</w:t>
      </w:r>
    </w:p>
    <w:p>
      <w:pPr>
        <w:spacing w:line="480" w:lineRule="exact"/>
        <w:rPr>
          <w:rFonts w:hint="eastAsia" w:ascii="宋体" w:hAnsi="宋体" w:eastAsia="宋体" w:cs="宋体"/>
          <w:szCs w:val="21"/>
          <w:highlight w:val="none"/>
        </w:rPr>
      </w:pPr>
      <w:r>
        <w:rPr>
          <w:rFonts w:hint="eastAsia" w:ascii="宋体" w:hAnsi="宋体" w:eastAsia="宋体" w:cs="宋体"/>
          <w:sz w:val="24"/>
          <w:highlight w:val="none"/>
        </w:rPr>
        <w:t>日期：</w:t>
      </w:r>
    </w:p>
    <w:p>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（三）经年检的营业执照</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（四）缴纳磋商保证金的银行凭证</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sz w:val="24"/>
          <w:highlight w:val="none"/>
        </w:rPr>
        <w:t>参加采购活动近三年内，在经营活动中没有重大违法记录的声明</w:t>
      </w:r>
    </w:p>
    <w:p>
      <w:pPr>
        <w:spacing w:line="520" w:lineRule="exact"/>
        <w:ind w:firstLine="480" w:firstLineChars="200"/>
        <w:rPr>
          <w:rFonts w:hint="eastAsia" w:ascii="宋体" w:hAnsi="宋体" w:eastAsia="宋体" w:cs="宋体"/>
          <w:sz w:val="24"/>
          <w:szCs w:val="24"/>
          <w:highlight w:val="none"/>
        </w:rPr>
      </w:pPr>
    </w:p>
    <w:p>
      <w:pPr>
        <w:spacing w:line="5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（采购人或采购代理机构名称）：</w:t>
      </w:r>
    </w:p>
    <w:p>
      <w:pPr>
        <w:spacing w:line="520" w:lineRule="exact"/>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我公司自愿参加本次采购活动（项目名称：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），严格遵守《中华人民共和国政府采购法》、《政府采购法实施条例》及所有相关法律、法规和规定，同时郑重承诺：</w:t>
      </w:r>
    </w:p>
    <w:p>
      <w:pPr>
        <w:spacing w:line="520" w:lineRule="exact"/>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在参加此次采购活动前3年内，本公司在经营活动中无重大违法记录，在“信用中国”网站（www.creditchina.gov.cn）和中国政府采购网（www.ccgp.gov.cn）上均无任何违法违规行为的纪录。</w:t>
      </w:r>
    </w:p>
    <w:p>
      <w:pPr>
        <w:spacing w:line="520" w:lineRule="exact"/>
        <w:ind w:firstLine="555"/>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pPr>
        <w:spacing w:line="520" w:lineRule="exact"/>
        <w:ind w:firstLine="555"/>
        <w:rPr>
          <w:rFonts w:hint="eastAsia" w:ascii="宋体" w:hAnsi="宋体" w:eastAsia="宋体" w:cs="宋体"/>
          <w:sz w:val="24"/>
          <w:szCs w:val="24"/>
          <w:highlight w:val="none"/>
        </w:rPr>
      </w:pPr>
    </w:p>
    <w:p>
      <w:pPr>
        <w:spacing w:line="520" w:lineRule="exact"/>
        <w:ind w:firstLine="555"/>
        <w:rPr>
          <w:rFonts w:hint="eastAsia" w:ascii="宋体" w:hAnsi="宋体" w:eastAsia="宋体" w:cs="宋体"/>
          <w:sz w:val="24"/>
          <w:szCs w:val="24"/>
          <w:highlight w:val="none"/>
        </w:rPr>
      </w:pPr>
    </w:p>
    <w:p>
      <w:pPr>
        <w:spacing w:line="520" w:lineRule="exact"/>
        <w:ind w:firstLine="555"/>
        <w:rPr>
          <w:rFonts w:hint="eastAsia" w:ascii="宋体" w:hAnsi="宋体" w:eastAsia="宋体" w:cs="宋体"/>
          <w:sz w:val="24"/>
          <w:szCs w:val="24"/>
          <w:highlight w:val="none"/>
        </w:rPr>
      </w:pPr>
    </w:p>
    <w:p>
      <w:pPr>
        <w:spacing w:line="480" w:lineRule="exact"/>
        <w:rPr>
          <w:rFonts w:hint="eastAsia" w:ascii="宋体" w:hAnsi="宋体" w:eastAsia="宋体" w:cs="宋体"/>
          <w:sz w:val="24"/>
          <w:highlight w:val="none"/>
          <w:u w:val="single"/>
        </w:rPr>
      </w:pPr>
      <w:r>
        <w:rPr>
          <w:rFonts w:hint="eastAsia" w:ascii="宋体" w:hAnsi="宋体" w:eastAsia="宋体" w:cs="宋体"/>
          <w:sz w:val="24"/>
          <w:highlight w:val="none"/>
        </w:rPr>
        <w:t>供应商：（公章）</w:t>
      </w:r>
    </w:p>
    <w:p>
      <w:pPr>
        <w:spacing w:line="480" w:lineRule="exact"/>
        <w:ind w:firstLine="480" w:firstLineChars="200"/>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法定代表人或代理人：（签字或盖章）</w:t>
      </w:r>
    </w:p>
    <w:p>
      <w:pPr>
        <w:spacing w:line="480" w:lineRule="exact"/>
        <w:ind w:firstLine="480"/>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日期：</w:t>
      </w:r>
    </w:p>
    <w:p>
      <w:pPr>
        <w:spacing w:line="520" w:lineRule="exact"/>
        <w:rPr>
          <w:rFonts w:hint="eastAsia" w:ascii="宋体" w:hAnsi="宋体" w:eastAsia="宋体" w:cs="宋体"/>
          <w:kern w:val="0"/>
          <w:sz w:val="24"/>
          <w:szCs w:val="24"/>
          <w:highlight w:val="none"/>
        </w:rPr>
      </w:pPr>
    </w:p>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pPr>
        <w:spacing w:line="52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六</w:t>
      </w:r>
      <w:r>
        <w:rPr>
          <w:rFonts w:hint="eastAsia" w:ascii="宋体" w:hAnsi="宋体" w:eastAsia="宋体" w:cs="宋体"/>
          <w:kern w:val="0"/>
          <w:sz w:val="24"/>
          <w:szCs w:val="24"/>
          <w:highlight w:val="none"/>
        </w:rPr>
        <w:t>）其它有利于磋商的供应商资格资信证明文件（如获奖证书等内容）；</w:t>
      </w:r>
    </w:p>
    <w:p>
      <w:pP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pPr>
        <w:spacing w:line="520" w:lineRule="exact"/>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七</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rPr>
        <w:t>信用中国、中国政府采购网查询（对列入“失信被执行人”、“重大税收违法失信主体”、“政府采购严重违法失信行为记录名单”</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截图</w:t>
      </w:r>
      <w:r>
        <w:rPr>
          <w:rFonts w:hint="eastAsia" w:ascii="宋体" w:hAnsi="宋体" w:eastAsia="宋体" w:cs="宋体"/>
          <w:kern w:val="0"/>
          <w:sz w:val="24"/>
          <w:szCs w:val="24"/>
          <w:highlight w:val="none"/>
        </w:rPr>
        <w:t>。</w:t>
      </w:r>
    </w:p>
    <w:p>
      <w:pPr>
        <w:spacing w:line="520" w:lineRule="exact"/>
        <w:rPr>
          <w:rFonts w:hint="eastAsia" w:ascii="宋体" w:hAnsi="宋体" w:eastAsia="宋体" w:cs="宋体"/>
          <w:kern w:val="0"/>
          <w:szCs w:val="21"/>
          <w:highlight w:val="none"/>
        </w:rPr>
      </w:pPr>
    </w:p>
    <w:p>
      <w:pPr>
        <w:pStyle w:val="4"/>
        <w:spacing w:line="360" w:lineRule="auto"/>
        <w:rPr>
          <w:rFonts w:hint="eastAsia" w:ascii="宋体" w:hAnsi="宋体" w:eastAsia="宋体" w:cs="宋体"/>
          <w:sz w:val="30"/>
          <w:szCs w:val="30"/>
          <w:highlight w:val="none"/>
        </w:rPr>
      </w:pPr>
      <w:bookmarkStart w:id="63" w:name="_Toc81475576"/>
      <w:bookmarkStart w:id="64" w:name="_Toc89792660"/>
      <w:r>
        <w:rPr>
          <w:rFonts w:hint="eastAsia" w:ascii="宋体" w:hAnsi="宋体" w:eastAsia="宋体" w:cs="宋体"/>
          <w:highlight w:val="none"/>
        </w:rPr>
        <w:br w:type="page"/>
      </w:r>
      <w:bookmarkEnd w:id="63"/>
      <w:bookmarkEnd w:id="64"/>
      <w:bookmarkStart w:id="65" w:name="_Toc81475577"/>
      <w:bookmarkStart w:id="66" w:name="_Toc21980"/>
      <w:r>
        <w:rPr>
          <w:rFonts w:hint="eastAsia" w:ascii="宋体" w:hAnsi="宋体" w:eastAsia="宋体" w:cs="宋体"/>
          <w:sz w:val="30"/>
          <w:szCs w:val="30"/>
          <w:highlight w:val="none"/>
        </w:rPr>
        <w:t>四、技术规格响应表</w:t>
      </w:r>
      <w:bookmarkEnd w:id="65"/>
      <w:bookmarkEnd w:id="66"/>
    </w:p>
    <w:tbl>
      <w:tblPr>
        <w:tblStyle w:val="45"/>
        <w:tblpPr w:leftFromText="180" w:rightFromText="180" w:vertAnchor="text" w:horzAnchor="margin" w:tblpXSpec="center" w:tblpY="28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2925"/>
        <w:gridCol w:w="2512"/>
        <w:gridCol w:w="925"/>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Align w:val="center"/>
          </w:tcPr>
          <w:p>
            <w:pPr>
              <w:adjustRightInd w:val="0"/>
              <w:snapToGrid w:val="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项目名称</w:t>
            </w:r>
          </w:p>
        </w:tc>
        <w:tc>
          <w:tcPr>
            <w:tcW w:w="1688" w:type="pct"/>
            <w:vAlign w:val="center"/>
          </w:tcPr>
          <w:p>
            <w:pPr>
              <w:adjustRightInd w:val="0"/>
              <w:snapToGrid w:val="0"/>
              <w:jc w:val="center"/>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rPr>
              <w:t>磋商文件</w:t>
            </w:r>
            <w:r>
              <w:rPr>
                <w:rFonts w:hint="eastAsia" w:ascii="宋体" w:hAnsi="宋体" w:eastAsia="宋体" w:cs="宋体"/>
                <w:b w:val="0"/>
                <w:bCs/>
                <w:sz w:val="24"/>
                <w:szCs w:val="24"/>
                <w:highlight w:val="none"/>
                <w:lang w:eastAsia="zh-CN"/>
              </w:rPr>
              <w:t>采购需求</w:t>
            </w:r>
          </w:p>
        </w:tc>
        <w:tc>
          <w:tcPr>
            <w:tcW w:w="1450" w:type="pct"/>
            <w:vAlign w:val="center"/>
          </w:tcPr>
          <w:p>
            <w:pPr>
              <w:adjustRightInd w:val="0"/>
              <w:snapToGrid w:val="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供应商提供的内容</w:t>
            </w:r>
          </w:p>
        </w:tc>
        <w:tc>
          <w:tcPr>
            <w:tcW w:w="534" w:type="pct"/>
            <w:vAlign w:val="center"/>
          </w:tcPr>
          <w:p>
            <w:pPr>
              <w:adjustRightInd w:val="0"/>
              <w:snapToGrid w:val="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响应</w:t>
            </w:r>
          </w:p>
          <w:p>
            <w:pPr>
              <w:adjustRightInd w:val="0"/>
              <w:snapToGrid w:val="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程度</w:t>
            </w:r>
          </w:p>
        </w:tc>
        <w:tc>
          <w:tcPr>
            <w:tcW w:w="497" w:type="pct"/>
            <w:vAlign w:val="center"/>
          </w:tcPr>
          <w:p>
            <w:pPr>
              <w:adjustRightInd w:val="0"/>
              <w:snapToGrid w:val="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restart"/>
            <w:vAlign w:val="center"/>
          </w:tcPr>
          <w:p>
            <w:pPr>
              <w:ind w:left="-128"/>
              <w:jc w:val="center"/>
              <w:rPr>
                <w:rFonts w:hint="eastAsia" w:ascii="宋体" w:hAnsi="宋体" w:eastAsia="宋体" w:cs="宋体"/>
                <w:b w:val="0"/>
                <w:bCs/>
                <w:sz w:val="24"/>
                <w:szCs w:val="24"/>
                <w:highlight w:val="none"/>
                <w:lang w:eastAsia="zh-CN"/>
              </w:rPr>
            </w:pPr>
            <w:r>
              <w:rPr>
                <w:rFonts w:hint="eastAsia" w:ascii="宋体" w:hAnsi="宋体" w:cs="宋体"/>
                <w:b w:val="0"/>
                <w:bCs/>
                <w:sz w:val="24"/>
                <w:szCs w:val="24"/>
                <w:highlight w:val="none"/>
                <w:lang w:eastAsia="zh-CN"/>
              </w:rPr>
              <w:t>内蒙古自治区公安厅特勤局2022年度执勤化装服采购项目（二次）</w:t>
            </w:r>
          </w:p>
        </w:tc>
        <w:tc>
          <w:tcPr>
            <w:tcW w:w="1688" w:type="pct"/>
            <w:vAlign w:val="center"/>
          </w:tcPr>
          <w:p>
            <w:pPr>
              <w:widowControl/>
              <w:spacing w:line="276" w:lineRule="auto"/>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Merge w:val="continue"/>
            <w:vAlign w:val="center"/>
          </w:tcPr>
          <w:p>
            <w:pPr>
              <w:ind w:left="-128"/>
              <w:jc w:val="center"/>
              <w:rPr>
                <w:rFonts w:hint="eastAsia" w:ascii="宋体" w:hAnsi="宋体" w:eastAsia="宋体" w:cs="宋体"/>
                <w:b w:val="0"/>
                <w:bCs/>
                <w:sz w:val="24"/>
                <w:szCs w:val="24"/>
                <w:highlight w:val="none"/>
              </w:rPr>
            </w:pPr>
          </w:p>
        </w:tc>
        <w:tc>
          <w:tcPr>
            <w:tcW w:w="1688" w:type="pct"/>
            <w:vAlign w:val="center"/>
          </w:tcPr>
          <w:p>
            <w:pPr>
              <w:tabs>
                <w:tab w:val="left" w:pos="841"/>
              </w:tabs>
              <w:adjustRightInd w:val="0"/>
              <w:snapToGrid w:val="0"/>
              <w:ind w:left="-130"/>
              <w:jc w:val="center"/>
              <w:rPr>
                <w:rFonts w:hint="eastAsia" w:ascii="宋体" w:hAnsi="宋体" w:eastAsia="宋体" w:cs="宋体"/>
                <w:b w:val="0"/>
                <w:bCs/>
                <w:sz w:val="24"/>
                <w:szCs w:val="24"/>
                <w:highlight w:val="none"/>
              </w:rPr>
            </w:pPr>
          </w:p>
        </w:tc>
        <w:tc>
          <w:tcPr>
            <w:tcW w:w="1450" w:type="pct"/>
            <w:vAlign w:val="center"/>
          </w:tcPr>
          <w:p>
            <w:pPr>
              <w:ind w:left="-128"/>
              <w:jc w:val="center"/>
              <w:rPr>
                <w:rFonts w:hint="eastAsia" w:ascii="宋体" w:hAnsi="宋体" w:eastAsia="宋体" w:cs="宋体"/>
                <w:b w:val="0"/>
                <w:bCs/>
                <w:sz w:val="24"/>
                <w:szCs w:val="24"/>
                <w:highlight w:val="none"/>
              </w:rPr>
            </w:pPr>
          </w:p>
        </w:tc>
        <w:tc>
          <w:tcPr>
            <w:tcW w:w="534" w:type="pct"/>
            <w:vAlign w:val="center"/>
          </w:tcPr>
          <w:p>
            <w:pPr>
              <w:ind w:left="-128"/>
              <w:jc w:val="center"/>
              <w:rPr>
                <w:rFonts w:hint="eastAsia" w:ascii="宋体" w:hAnsi="宋体" w:eastAsia="宋体" w:cs="宋体"/>
                <w:b w:val="0"/>
                <w:bCs/>
                <w:sz w:val="24"/>
                <w:szCs w:val="24"/>
                <w:highlight w:val="none"/>
              </w:rPr>
            </w:pPr>
          </w:p>
        </w:tc>
        <w:tc>
          <w:tcPr>
            <w:tcW w:w="497" w:type="pct"/>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Align w:val="center"/>
          </w:tcPr>
          <w:p>
            <w:pPr>
              <w:ind w:left="-128"/>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交货期</w:t>
            </w:r>
          </w:p>
        </w:tc>
        <w:tc>
          <w:tcPr>
            <w:tcW w:w="4171" w:type="pct"/>
            <w:gridSpan w:val="4"/>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Align w:val="center"/>
          </w:tcPr>
          <w:p>
            <w:pPr>
              <w:ind w:left="-128"/>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质保期</w:t>
            </w:r>
          </w:p>
        </w:tc>
        <w:tc>
          <w:tcPr>
            <w:tcW w:w="4171" w:type="pct"/>
            <w:gridSpan w:val="4"/>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Align w:val="center"/>
          </w:tcPr>
          <w:p>
            <w:pPr>
              <w:ind w:left="-128"/>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交货地点</w:t>
            </w:r>
          </w:p>
        </w:tc>
        <w:tc>
          <w:tcPr>
            <w:tcW w:w="4171" w:type="pct"/>
            <w:gridSpan w:val="4"/>
            <w:vAlign w:val="center"/>
          </w:tcPr>
          <w:p>
            <w:pPr>
              <w:ind w:left="-128"/>
              <w:jc w:val="center"/>
              <w:rPr>
                <w:rFonts w:hint="eastAsia" w:ascii="宋体" w:hAnsi="宋体" w:eastAsia="宋体" w:cs="宋体"/>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pct"/>
            <w:vAlign w:val="center"/>
          </w:tcPr>
          <w:p>
            <w:pPr>
              <w:ind w:left="-128"/>
              <w:jc w:val="center"/>
              <w:rPr>
                <w:rFonts w:hint="eastAsia" w:ascii="宋体" w:hAnsi="宋体" w:eastAsia="宋体" w:cs="宋体"/>
                <w:b w:val="0"/>
                <w:bCs/>
                <w:sz w:val="24"/>
                <w:szCs w:val="24"/>
                <w:highlight w:val="none"/>
                <w:lang w:eastAsia="zh-CN"/>
              </w:rPr>
            </w:pPr>
            <w:r>
              <w:rPr>
                <w:rFonts w:hint="eastAsia" w:ascii="宋体" w:hAnsi="宋体" w:cs="宋体"/>
                <w:b w:val="0"/>
                <w:bCs/>
                <w:sz w:val="24"/>
                <w:szCs w:val="24"/>
                <w:highlight w:val="none"/>
                <w:lang w:eastAsia="zh-CN"/>
              </w:rPr>
              <w:t>质量标准</w:t>
            </w:r>
          </w:p>
        </w:tc>
        <w:tc>
          <w:tcPr>
            <w:tcW w:w="4171" w:type="pct"/>
            <w:gridSpan w:val="4"/>
            <w:vAlign w:val="center"/>
          </w:tcPr>
          <w:p>
            <w:pPr>
              <w:ind w:left="-128"/>
              <w:jc w:val="center"/>
              <w:rPr>
                <w:rFonts w:hint="eastAsia" w:ascii="宋体" w:hAnsi="宋体" w:eastAsia="宋体" w:cs="宋体"/>
                <w:b w:val="0"/>
                <w:bCs/>
                <w:sz w:val="24"/>
                <w:szCs w:val="24"/>
                <w:highlight w:val="none"/>
              </w:rPr>
            </w:pPr>
          </w:p>
        </w:tc>
      </w:tr>
    </w:tbl>
    <w:p>
      <w:pPr>
        <w:adjustRightInd w:val="0"/>
        <w:snapToGrid w:val="0"/>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注：表格可自行调整</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供应商名称（公章）：</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供应商法人或法人授权代表（签字或盖章）：</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bookmarkStart w:id="67" w:name="_Toc81475578"/>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4"/>
        <w:rPr>
          <w:rFonts w:hint="eastAsia" w:ascii="宋体" w:hAnsi="宋体" w:eastAsia="宋体" w:cs="宋体"/>
          <w:highlight w:val="none"/>
          <w:lang w:eastAsia="zh-CN"/>
        </w:rPr>
      </w:pPr>
      <w:bookmarkStart w:id="68" w:name="_Toc12165"/>
      <w:r>
        <w:rPr>
          <w:rFonts w:hint="eastAsia" w:ascii="宋体" w:hAnsi="宋体" w:eastAsia="宋体" w:cs="宋体"/>
          <w:highlight w:val="none"/>
        </w:rPr>
        <w:t>五、</w:t>
      </w:r>
      <w:bookmarkEnd w:id="67"/>
      <w:r>
        <w:rPr>
          <w:rFonts w:hint="eastAsia" w:ascii="宋体" w:hAnsi="宋体" w:eastAsia="宋体" w:cs="宋体"/>
          <w:highlight w:val="none"/>
          <w:lang w:eastAsia="zh-CN"/>
        </w:rPr>
        <w:t>供货方案</w:t>
      </w:r>
      <w:bookmarkEnd w:id="68"/>
    </w:p>
    <w:p>
      <w:pPr>
        <w:spacing w:line="480" w:lineRule="exact"/>
        <w:rPr>
          <w:rFonts w:hint="eastAsia" w:ascii="宋体" w:hAnsi="宋体" w:eastAsia="宋体" w:cs="宋体"/>
          <w:sz w:val="24"/>
          <w:highlight w:val="none"/>
        </w:rPr>
      </w:pPr>
    </w:p>
    <w:p>
      <w:pPr>
        <w:spacing w:line="480" w:lineRule="exact"/>
        <w:jc w:val="center"/>
        <w:rPr>
          <w:rFonts w:hint="eastAsia" w:ascii="宋体" w:hAnsi="宋体" w:eastAsia="宋体" w:cs="宋体"/>
          <w:sz w:val="24"/>
          <w:highlight w:val="none"/>
        </w:rPr>
      </w:pPr>
      <w:r>
        <w:rPr>
          <w:rFonts w:hint="eastAsia" w:ascii="宋体" w:hAnsi="宋体" w:eastAsia="宋体" w:cs="宋体"/>
          <w:sz w:val="24"/>
          <w:highlight w:val="none"/>
        </w:rPr>
        <w:t>根据采购需求及评审办法技术评价部分要求，供应商自行编制，格式不限。</w:t>
      </w: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p>
    <w:p>
      <w:pPr>
        <w:spacing w:line="480" w:lineRule="exact"/>
        <w:rPr>
          <w:rFonts w:hint="eastAsia" w:ascii="宋体" w:hAnsi="宋体" w:eastAsia="宋体" w:cs="宋体"/>
          <w:sz w:val="24"/>
          <w:highlight w:val="none"/>
          <w:u w:val="single"/>
        </w:rPr>
      </w:pPr>
      <w:r>
        <w:rPr>
          <w:rFonts w:hint="eastAsia" w:ascii="宋体" w:hAnsi="宋体" w:eastAsia="宋体" w:cs="宋体"/>
          <w:sz w:val="24"/>
          <w:highlight w:val="none"/>
        </w:rPr>
        <w:t>供应商：（公章）</w:t>
      </w:r>
    </w:p>
    <w:p>
      <w:pPr>
        <w:spacing w:line="480" w:lineRule="exact"/>
        <w:ind w:firstLine="480" w:firstLineChars="200"/>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法定代表人或代理人：（签字或盖章）</w:t>
      </w:r>
    </w:p>
    <w:p>
      <w:pPr>
        <w:spacing w:line="480" w:lineRule="exact"/>
        <w:ind w:firstLine="480"/>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日期：</w:t>
      </w:r>
    </w:p>
    <w:p>
      <w:pPr>
        <w:rPr>
          <w:rFonts w:hint="eastAsia" w:ascii="宋体" w:hAnsi="宋体" w:eastAsia="宋体" w:cs="宋体"/>
          <w:highlight w:val="none"/>
        </w:rPr>
      </w:pPr>
      <w:bookmarkStart w:id="69" w:name="_Toc81475579"/>
      <w:r>
        <w:rPr>
          <w:rFonts w:hint="eastAsia" w:ascii="宋体" w:hAnsi="宋体" w:eastAsia="宋体" w:cs="宋体"/>
          <w:highlight w:val="none"/>
        </w:rPr>
        <w:br w:type="page"/>
      </w:r>
    </w:p>
    <w:p>
      <w:pPr>
        <w:pStyle w:val="4"/>
        <w:rPr>
          <w:rFonts w:hint="eastAsia" w:ascii="宋体" w:hAnsi="宋体" w:eastAsia="宋体" w:cs="宋体"/>
          <w:highlight w:val="none"/>
        </w:rPr>
      </w:pPr>
      <w:bookmarkStart w:id="70" w:name="_Toc27132"/>
      <w:r>
        <w:rPr>
          <w:rFonts w:hint="eastAsia" w:ascii="宋体" w:hAnsi="宋体" w:eastAsia="宋体" w:cs="宋体"/>
          <w:highlight w:val="none"/>
        </w:rPr>
        <w:t>六、本项目拟投入的人员配置情况表</w:t>
      </w:r>
      <w:bookmarkEnd w:id="69"/>
      <w:bookmarkEnd w:id="70"/>
    </w:p>
    <w:p>
      <w:pPr>
        <w:pStyle w:val="44"/>
        <w:ind w:left="0" w:leftChars="0" w:firstLine="0" w:firstLineChars="0"/>
        <w:rPr>
          <w:rFonts w:hint="eastAsia" w:ascii="宋体" w:hAnsi="宋体" w:eastAsia="宋体" w:cs="宋体"/>
          <w:sz w:val="24"/>
          <w:highlight w:val="none"/>
        </w:rPr>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237"/>
        <w:gridCol w:w="1237"/>
        <w:gridCol w:w="1308"/>
        <w:gridCol w:w="1284"/>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714"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714"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755"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741"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1267"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从事本行业</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pct"/>
            <w:vAlign w:val="center"/>
          </w:tcPr>
          <w:p>
            <w:pPr>
              <w:jc w:val="center"/>
              <w:rPr>
                <w:rFonts w:hint="eastAsia" w:ascii="宋体" w:hAnsi="宋体" w:eastAsia="宋体" w:cs="宋体"/>
                <w:sz w:val="24"/>
                <w:szCs w:val="24"/>
                <w:highlight w:val="none"/>
              </w:rPr>
            </w:pPr>
          </w:p>
        </w:tc>
        <w:tc>
          <w:tcPr>
            <w:tcW w:w="714" w:type="pct"/>
            <w:vAlign w:val="center"/>
          </w:tcPr>
          <w:p>
            <w:pPr>
              <w:jc w:val="center"/>
              <w:rPr>
                <w:rFonts w:hint="eastAsia" w:ascii="宋体" w:hAnsi="宋体" w:eastAsia="宋体" w:cs="宋体"/>
                <w:sz w:val="24"/>
                <w:szCs w:val="24"/>
                <w:highlight w:val="none"/>
              </w:rPr>
            </w:pPr>
          </w:p>
        </w:tc>
        <w:tc>
          <w:tcPr>
            <w:tcW w:w="714" w:type="pct"/>
            <w:vAlign w:val="center"/>
          </w:tcPr>
          <w:p>
            <w:pPr>
              <w:jc w:val="center"/>
              <w:rPr>
                <w:rFonts w:hint="eastAsia" w:ascii="宋体" w:hAnsi="宋体" w:eastAsia="宋体" w:cs="宋体"/>
                <w:sz w:val="24"/>
                <w:szCs w:val="24"/>
                <w:highlight w:val="none"/>
              </w:rPr>
            </w:pPr>
          </w:p>
        </w:tc>
        <w:tc>
          <w:tcPr>
            <w:tcW w:w="755" w:type="pct"/>
            <w:vAlign w:val="center"/>
          </w:tcPr>
          <w:p>
            <w:pPr>
              <w:jc w:val="center"/>
              <w:rPr>
                <w:rFonts w:hint="eastAsia" w:ascii="宋体" w:hAnsi="宋体" w:eastAsia="宋体" w:cs="宋体"/>
                <w:sz w:val="24"/>
                <w:szCs w:val="24"/>
                <w:highlight w:val="none"/>
              </w:rPr>
            </w:pPr>
          </w:p>
        </w:tc>
        <w:tc>
          <w:tcPr>
            <w:tcW w:w="741" w:type="pct"/>
            <w:vAlign w:val="center"/>
          </w:tcPr>
          <w:p>
            <w:pPr>
              <w:jc w:val="center"/>
              <w:rPr>
                <w:rFonts w:hint="eastAsia" w:ascii="宋体" w:hAnsi="宋体" w:eastAsia="宋体" w:cs="宋体"/>
                <w:sz w:val="24"/>
                <w:szCs w:val="24"/>
                <w:highlight w:val="none"/>
              </w:rPr>
            </w:pPr>
          </w:p>
        </w:tc>
        <w:tc>
          <w:tcPr>
            <w:tcW w:w="1267" w:type="pct"/>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pct"/>
            <w:vAlign w:val="center"/>
          </w:tcPr>
          <w:p>
            <w:pPr>
              <w:jc w:val="center"/>
              <w:rPr>
                <w:rFonts w:hint="eastAsia" w:ascii="宋体" w:hAnsi="宋体" w:eastAsia="宋体" w:cs="宋体"/>
                <w:sz w:val="24"/>
                <w:szCs w:val="24"/>
                <w:highlight w:val="none"/>
              </w:rPr>
            </w:pPr>
          </w:p>
        </w:tc>
        <w:tc>
          <w:tcPr>
            <w:tcW w:w="714" w:type="pct"/>
            <w:vAlign w:val="center"/>
          </w:tcPr>
          <w:p>
            <w:pPr>
              <w:jc w:val="center"/>
              <w:rPr>
                <w:rFonts w:hint="eastAsia" w:ascii="宋体" w:hAnsi="宋体" w:eastAsia="宋体" w:cs="宋体"/>
                <w:sz w:val="24"/>
                <w:szCs w:val="24"/>
                <w:highlight w:val="none"/>
              </w:rPr>
            </w:pPr>
          </w:p>
        </w:tc>
        <w:tc>
          <w:tcPr>
            <w:tcW w:w="714" w:type="pct"/>
            <w:vAlign w:val="center"/>
          </w:tcPr>
          <w:p>
            <w:pPr>
              <w:jc w:val="center"/>
              <w:rPr>
                <w:rFonts w:hint="eastAsia" w:ascii="宋体" w:hAnsi="宋体" w:eastAsia="宋体" w:cs="宋体"/>
                <w:sz w:val="24"/>
                <w:szCs w:val="24"/>
                <w:highlight w:val="none"/>
              </w:rPr>
            </w:pPr>
          </w:p>
        </w:tc>
        <w:tc>
          <w:tcPr>
            <w:tcW w:w="755" w:type="pct"/>
            <w:vAlign w:val="center"/>
          </w:tcPr>
          <w:p>
            <w:pPr>
              <w:jc w:val="center"/>
              <w:rPr>
                <w:rFonts w:hint="eastAsia" w:ascii="宋体" w:hAnsi="宋体" w:eastAsia="宋体" w:cs="宋体"/>
                <w:sz w:val="24"/>
                <w:szCs w:val="24"/>
                <w:highlight w:val="none"/>
              </w:rPr>
            </w:pPr>
          </w:p>
        </w:tc>
        <w:tc>
          <w:tcPr>
            <w:tcW w:w="741" w:type="pct"/>
            <w:vAlign w:val="center"/>
          </w:tcPr>
          <w:p>
            <w:pPr>
              <w:jc w:val="center"/>
              <w:rPr>
                <w:rFonts w:hint="eastAsia" w:ascii="宋体" w:hAnsi="宋体" w:eastAsia="宋体" w:cs="宋体"/>
                <w:sz w:val="24"/>
                <w:szCs w:val="24"/>
                <w:highlight w:val="none"/>
              </w:rPr>
            </w:pPr>
          </w:p>
        </w:tc>
        <w:tc>
          <w:tcPr>
            <w:tcW w:w="1267" w:type="pct"/>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pct"/>
            <w:vAlign w:val="center"/>
          </w:tcPr>
          <w:p>
            <w:pPr>
              <w:jc w:val="center"/>
              <w:rPr>
                <w:rFonts w:hint="eastAsia" w:ascii="宋体" w:hAnsi="宋体" w:eastAsia="宋体" w:cs="宋体"/>
                <w:sz w:val="24"/>
                <w:szCs w:val="24"/>
                <w:highlight w:val="none"/>
              </w:rPr>
            </w:pPr>
          </w:p>
        </w:tc>
        <w:tc>
          <w:tcPr>
            <w:tcW w:w="714" w:type="pct"/>
            <w:vAlign w:val="center"/>
          </w:tcPr>
          <w:p>
            <w:pPr>
              <w:jc w:val="center"/>
              <w:rPr>
                <w:rFonts w:hint="eastAsia" w:ascii="宋体" w:hAnsi="宋体" w:eastAsia="宋体" w:cs="宋体"/>
                <w:sz w:val="24"/>
                <w:szCs w:val="24"/>
                <w:highlight w:val="none"/>
              </w:rPr>
            </w:pPr>
          </w:p>
        </w:tc>
        <w:tc>
          <w:tcPr>
            <w:tcW w:w="714" w:type="pct"/>
            <w:vAlign w:val="center"/>
          </w:tcPr>
          <w:p>
            <w:pPr>
              <w:jc w:val="center"/>
              <w:rPr>
                <w:rFonts w:hint="eastAsia" w:ascii="宋体" w:hAnsi="宋体" w:eastAsia="宋体" w:cs="宋体"/>
                <w:sz w:val="24"/>
                <w:szCs w:val="24"/>
                <w:highlight w:val="none"/>
              </w:rPr>
            </w:pPr>
          </w:p>
        </w:tc>
        <w:tc>
          <w:tcPr>
            <w:tcW w:w="755" w:type="pct"/>
            <w:vAlign w:val="center"/>
          </w:tcPr>
          <w:p>
            <w:pPr>
              <w:jc w:val="center"/>
              <w:rPr>
                <w:rFonts w:hint="eastAsia" w:ascii="宋体" w:hAnsi="宋体" w:eastAsia="宋体" w:cs="宋体"/>
                <w:sz w:val="24"/>
                <w:szCs w:val="24"/>
                <w:highlight w:val="none"/>
              </w:rPr>
            </w:pPr>
          </w:p>
        </w:tc>
        <w:tc>
          <w:tcPr>
            <w:tcW w:w="741" w:type="pct"/>
            <w:vAlign w:val="center"/>
          </w:tcPr>
          <w:p>
            <w:pPr>
              <w:jc w:val="center"/>
              <w:rPr>
                <w:rFonts w:hint="eastAsia" w:ascii="宋体" w:hAnsi="宋体" w:eastAsia="宋体" w:cs="宋体"/>
                <w:sz w:val="24"/>
                <w:szCs w:val="24"/>
                <w:highlight w:val="none"/>
              </w:rPr>
            </w:pPr>
          </w:p>
        </w:tc>
        <w:tc>
          <w:tcPr>
            <w:tcW w:w="1267" w:type="pct"/>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pct"/>
            <w:vAlign w:val="center"/>
          </w:tcPr>
          <w:p>
            <w:pPr>
              <w:jc w:val="center"/>
              <w:rPr>
                <w:rFonts w:hint="eastAsia" w:ascii="宋体" w:hAnsi="宋体" w:eastAsia="宋体" w:cs="宋体"/>
                <w:sz w:val="24"/>
                <w:szCs w:val="24"/>
                <w:highlight w:val="none"/>
              </w:rPr>
            </w:pPr>
          </w:p>
        </w:tc>
        <w:tc>
          <w:tcPr>
            <w:tcW w:w="714" w:type="pct"/>
            <w:vAlign w:val="center"/>
          </w:tcPr>
          <w:p>
            <w:pPr>
              <w:jc w:val="center"/>
              <w:rPr>
                <w:rFonts w:hint="eastAsia" w:ascii="宋体" w:hAnsi="宋体" w:eastAsia="宋体" w:cs="宋体"/>
                <w:sz w:val="24"/>
                <w:szCs w:val="24"/>
                <w:highlight w:val="none"/>
              </w:rPr>
            </w:pPr>
          </w:p>
        </w:tc>
        <w:tc>
          <w:tcPr>
            <w:tcW w:w="714" w:type="pct"/>
            <w:vAlign w:val="center"/>
          </w:tcPr>
          <w:p>
            <w:pPr>
              <w:jc w:val="center"/>
              <w:rPr>
                <w:rFonts w:hint="eastAsia" w:ascii="宋体" w:hAnsi="宋体" w:eastAsia="宋体" w:cs="宋体"/>
                <w:sz w:val="24"/>
                <w:szCs w:val="24"/>
                <w:highlight w:val="none"/>
              </w:rPr>
            </w:pPr>
          </w:p>
        </w:tc>
        <w:tc>
          <w:tcPr>
            <w:tcW w:w="755" w:type="pct"/>
            <w:vAlign w:val="center"/>
          </w:tcPr>
          <w:p>
            <w:pPr>
              <w:jc w:val="center"/>
              <w:rPr>
                <w:rFonts w:hint="eastAsia" w:ascii="宋体" w:hAnsi="宋体" w:eastAsia="宋体" w:cs="宋体"/>
                <w:sz w:val="24"/>
                <w:szCs w:val="24"/>
                <w:highlight w:val="none"/>
              </w:rPr>
            </w:pPr>
          </w:p>
        </w:tc>
        <w:tc>
          <w:tcPr>
            <w:tcW w:w="741" w:type="pct"/>
            <w:vAlign w:val="center"/>
          </w:tcPr>
          <w:p>
            <w:pPr>
              <w:jc w:val="center"/>
              <w:rPr>
                <w:rFonts w:hint="eastAsia" w:ascii="宋体" w:hAnsi="宋体" w:eastAsia="宋体" w:cs="宋体"/>
                <w:sz w:val="24"/>
                <w:szCs w:val="24"/>
                <w:highlight w:val="none"/>
              </w:rPr>
            </w:pPr>
          </w:p>
        </w:tc>
        <w:tc>
          <w:tcPr>
            <w:tcW w:w="1267" w:type="pct"/>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pct"/>
            <w:vAlign w:val="center"/>
          </w:tcPr>
          <w:p>
            <w:pPr>
              <w:jc w:val="center"/>
              <w:rPr>
                <w:rFonts w:hint="eastAsia" w:ascii="宋体" w:hAnsi="宋体" w:eastAsia="宋体" w:cs="宋体"/>
                <w:sz w:val="24"/>
                <w:szCs w:val="24"/>
                <w:highlight w:val="none"/>
              </w:rPr>
            </w:pPr>
          </w:p>
        </w:tc>
        <w:tc>
          <w:tcPr>
            <w:tcW w:w="714" w:type="pct"/>
            <w:vAlign w:val="center"/>
          </w:tcPr>
          <w:p>
            <w:pPr>
              <w:jc w:val="center"/>
              <w:rPr>
                <w:rFonts w:hint="eastAsia" w:ascii="宋体" w:hAnsi="宋体" w:eastAsia="宋体" w:cs="宋体"/>
                <w:sz w:val="24"/>
                <w:szCs w:val="24"/>
                <w:highlight w:val="none"/>
              </w:rPr>
            </w:pPr>
          </w:p>
        </w:tc>
        <w:tc>
          <w:tcPr>
            <w:tcW w:w="714" w:type="pct"/>
            <w:vAlign w:val="center"/>
          </w:tcPr>
          <w:p>
            <w:pPr>
              <w:jc w:val="center"/>
              <w:rPr>
                <w:rFonts w:hint="eastAsia" w:ascii="宋体" w:hAnsi="宋体" w:eastAsia="宋体" w:cs="宋体"/>
                <w:sz w:val="24"/>
                <w:szCs w:val="24"/>
                <w:highlight w:val="none"/>
              </w:rPr>
            </w:pPr>
          </w:p>
        </w:tc>
        <w:tc>
          <w:tcPr>
            <w:tcW w:w="755" w:type="pct"/>
            <w:vAlign w:val="center"/>
          </w:tcPr>
          <w:p>
            <w:pPr>
              <w:jc w:val="center"/>
              <w:rPr>
                <w:rFonts w:hint="eastAsia" w:ascii="宋体" w:hAnsi="宋体" w:eastAsia="宋体" w:cs="宋体"/>
                <w:sz w:val="24"/>
                <w:szCs w:val="24"/>
                <w:highlight w:val="none"/>
              </w:rPr>
            </w:pPr>
          </w:p>
        </w:tc>
        <w:tc>
          <w:tcPr>
            <w:tcW w:w="741" w:type="pct"/>
            <w:vAlign w:val="center"/>
          </w:tcPr>
          <w:p>
            <w:pPr>
              <w:jc w:val="center"/>
              <w:rPr>
                <w:rFonts w:hint="eastAsia" w:ascii="宋体" w:hAnsi="宋体" w:eastAsia="宋体" w:cs="宋体"/>
                <w:sz w:val="24"/>
                <w:szCs w:val="24"/>
                <w:highlight w:val="none"/>
              </w:rPr>
            </w:pPr>
          </w:p>
        </w:tc>
        <w:tc>
          <w:tcPr>
            <w:tcW w:w="1267" w:type="pct"/>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pct"/>
            <w:vAlign w:val="center"/>
          </w:tcPr>
          <w:p>
            <w:pPr>
              <w:jc w:val="center"/>
              <w:rPr>
                <w:rFonts w:hint="eastAsia" w:ascii="宋体" w:hAnsi="宋体" w:eastAsia="宋体" w:cs="宋体"/>
                <w:sz w:val="24"/>
                <w:szCs w:val="24"/>
                <w:highlight w:val="none"/>
              </w:rPr>
            </w:pPr>
          </w:p>
        </w:tc>
        <w:tc>
          <w:tcPr>
            <w:tcW w:w="714" w:type="pct"/>
            <w:vAlign w:val="center"/>
          </w:tcPr>
          <w:p>
            <w:pPr>
              <w:jc w:val="center"/>
              <w:rPr>
                <w:rFonts w:hint="eastAsia" w:ascii="宋体" w:hAnsi="宋体" w:eastAsia="宋体" w:cs="宋体"/>
                <w:sz w:val="24"/>
                <w:szCs w:val="24"/>
                <w:highlight w:val="none"/>
              </w:rPr>
            </w:pPr>
          </w:p>
        </w:tc>
        <w:tc>
          <w:tcPr>
            <w:tcW w:w="714" w:type="pct"/>
            <w:vAlign w:val="center"/>
          </w:tcPr>
          <w:p>
            <w:pPr>
              <w:jc w:val="center"/>
              <w:rPr>
                <w:rFonts w:hint="eastAsia" w:ascii="宋体" w:hAnsi="宋体" w:eastAsia="宋体" w:cs="宋体"/>
                <w:sz w:val="24"/>
                <w:szCs w:val="24"/>
                <w:highlight w:val="none"/>
              </w:rPr>
            </w:pPr>
          </w:p>
        </w:tc>
        <w:tc>
          <w:tcPr>
            <w:tcW w:w="755" w:type="pct"/>
            <w:vAlign w:val="center"/>
          </w:tcPr>
          <w:p>
            <w:pPr>
              <w:jc w:val="center"/>
              <w:rPr>
                <w:rFonts w:hint="eastAsia" w:ascii="宋体" w:hAnsi="宋体" w:eastAsia="宋体" w:cs="宋体"/>
                <w:sz w:val="24"/>
                <w:szCs w:val="24"/>
                <w:highlight w:val="none"/>
              </w:rPr>
            </w:pPr>
          </w:p>
        </w:tc>
        <w:tc>
          <w:tcPr>
            <w:tcW w:w="741" w:type="pct"/>
            <w:vAlign w:val="center"/>
          </w:tcPr>
          <w:p>
            <w:pPr>
              <w:jc w:val="center"/>
              <w:rPr>
                <w:rFonts w:hint="eastAsia" w:ascii="宋体" w:hAnsi="宋体" w:eastAsia="宋体" w:cs="宋体"/>
                <w:sz w:val="24"/>
                <w:szCs w:val="24"/>
                <w:highlight w:val="none"/>
              </w:rPr>
            </w:pPr>
          </w:p>
        </w:tc>
        <w:tc>
          <w:tcPr>
            <w:tcW w:w="1267" w:type="pct"/>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pct"/>
            <w:vAlign w:val="center"/>
          </w:tcPr>
          <w:p>
            <w:pPr>
              <w:jc w:val="center"/>
              <w:rPr>
                <w:rFonts w:hint="eastAsia" w:ascii="宋体" w:hAnsi="宋体" w:eastAsia="宋体" w:cs="宋体"/>
                <w:sz w:val="24"/>
                <w:szCs w:val="24"/>
                <w:highlight w:val="none"/>
              </w:rPr>
            </w:pPr>
          </w:p>
        </w:tc>
        <w:tc>
          <w:tcPr>
            <w:tcW w:w="714" w:type="pct"/>
            <w:vAlign w:val="center"/>
          </w:tcPr>
          <w:p>
            <w:pPr>
              <w:jc w:val="center"/>
              <w:rPr>
                <w:rFonts w:hint="eastAsia" w:ascii="宋体" w:hAnsi="宋体" w:eastAsia="宋体" w:cs="宋体"/>
                <w:sz w:val="24"/>
                <w:szCs w:val="24"/>
                <w:highlight w:val="none"/>
              </w:rPr>
            </w:pPr>
          </w:p>
        </w:tc>
        <w:tc>
          <w:tcPr>
            <w:tcW w:w="714" w:type="pct"/>
            <w:vAlign w:val="center"/>
          </w:tcPr>
          <w:p>
            <w:pPr>
              <w:jc w:val="center"/>
              <w:rPr>
                <w:rFonts w:hint="eastAsia" w:ascii="宋体" w:hAnsi="宋体" w:eastAsia="宋体" w:cs="宋体"/>
                <w:sz w:val="24"/>
                <w:szCs w:val="24"/>
                <w:highlight w:val="none"/>
              </w:rPr>
            </w:pPr>
          </w:p>
        </w:tc>
        <w:tc>
          <w:tcPr>
            <w:tcW w:w="755" w:type="pct"/>
            <w:vAlign w:val="center"/>
          </w:tcPr>
          <w:p>
            <w:pPr>
              <w:jc w:val="center"/>
              <w:rPr>
                <w:rFonts w:hint="eastAsia" w:ascii="宋体" w:hAnsi="宋体" w:eastAsia="宋体" w:cs="宋体"/>
                <w:sz w:val="24"/>
                <w:szCs w:val="24"/>
                <w:highlight w:val="none"/>
              </w:rPr>
            </w:pPr>
          </w:p>
        </w:tc>
        <w:tc>
          <w:tcPr>
            <w:tcW w:w="741" w:type="pct"/>
            <w:vAlign w:val="center"/>
          </w:tcPr>
          <w:p>
            <w:pPr>
              <w:jc w:val="center"/>
              <w:rPr>
                <w:rFonts w:hint="eastAsia" w:ascii="宋体" w:hAnsi="宋体" w:eastAsia="宋体" w:cs="宋体"/>
                <w:sz w:val="24"/>
                <w:szCs w:val="24"/>
                <w:highlight w:val="none"/>
              </w:rPr>
            </w:pPr>
          </w:p>
        </w:tc>
        <w:tc>
          <w:tcPr>
            <w:tcW w:w="1267" w:type="pct"/>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9" w:type="pct"/>
            <w:vAlign w:val="center"/>
          </w:tcPr>
          <w:p>
            <w:pPr>
              <w:jc w:val="center"/>
              <w:rPr>
                <w:rFonts w:hint="eastAsia" w:ascii="宋体" w:hAnsi="宋体" w:eastAsia="宋体" w:cs="宋体"/>
                <w:sz w:val="24"/>
                <w:szCs w:val="24"/>
                <w:highlight w:val="none"/>
              </w:rPr>
            </w:pPr>
          </w:p>
        </w:tc>
        <w:tc>
          <w:tcPr>
            <w:tcW w:w="714" w:type="pct"/>
            <w:vAlign w:val="center"/>
          </w:tcPr>
          <w:p>
            <w:pPr>
              <w:jc w:val="center"/>
              <w:rPr>
                <w:rFonts w:hint="eastAsia" w:ascii="宋体" w:hAnsi="宋体" w:eastAsia="宋体" w:cs="宋体"/>
                <w:sz w:val="24"/>
                <w:szCs w:val="24"/>
                <w:highlight w:val="none"/>
              </w:rPr>
            </w:pPr>
          </w:p>
        </w:tc>
        <w:tc>
          <w:tcPr>
            <w:tcW w:w="714" w:type="pct"/>
            <w:vAlign w:val="center"/>
          </w:tcPr>
          <w:p>
            <w:pPr>
              <w:jc w:val="center"/>
              <w:rPr>
                <w:rFonts w:hint="eastAsia" w:ascii="宋体" w:hAnsi="宋体" w:eastAsia="宋体" w:cs="宋体"/>
                <w:sz w:val="24"/>
                <w:szCs w:val="24"/>
                <w:highlight w:val="none"/>
              </w:rPr>
            </w:pPr>
          </w:p>
        </w:tc>
        <w:tc>
          <w:tcPr>
            <w:tcW w:w="755" w:type="pct"/>
            <w:vAlign w:val="center"/>
          </w:tcPr>
          <w:p>
            <w:pPr>
              <w:jc w:val="center"/>
              <w:rPr>
                <w:rFonts w:hint="eastAsia" w:ascii="宋体" w:hAnsi="宋体" w:eastAsia="宋体" w:cs="宋体"/>
                <w:sz w:val="24"/>
                <w:szCs w:val="24"/>
                <w:highlight w:val="none"/>
              </w:rPr>
            </w:pPr>
          </w:p>
        </w:tc>
        <w:tc>
          <w:tcPr>
            <w:tcW w:w="741" w:type="pct"/>
            <w:vAlign w:val="center"/>
          </w:tcPr>
          <w:p>
            <w:pPr>
              <w:jc w:val="center"/>
              <w:rPr>
                <w:rFonts w:hint="eastAsia" w:ascii="宋体" w:hAnsi="宋体" w:eastAsia="宋体" w:cs="宋体"/>
                <w:sz w:val="24"/>
                <w:szCs w:val="24"/>
                <w:highlight w:val="none"/>
              </w:rPr>
            </w:pPr>
          </w:p>
        </w:tc>
        <w:tc>
          <w:tcPr>
            <w:tcW w:w="1267" w:type="pct"/>
            <w:vAlign w:val="center"/>
          </w:tcPr>
          <w:p>
            <w:pPr>
              <w:jc w:val="center"/>
              <w:rPr>
                <w:rFonts w:hint="eastAsia" w:ascii="宋体" w:hAnsi="宋体" w:eastAsia="宋体" w:cs="宋体"/>
                <w:sz w:val="24"/>
                <w:szCs w:val="24"/>
                <w:highlight w:val="none"/>
              </w:rPr>
            </w:pPr>
          </w:p>
        </w:tc>
      </w:tr>
    </w:tbl>
    <w:p>
      <w:pPr>
        <w:pStyle w:val="44"/>
        <w:ind w:left="0" w:leftChars="0" w:firstLine="0" w:firstLineChars="0"/>
        <w:rPr>
          <w:rFonts w:hint="eastAsia" w:ascii="宋体" w:hAnsi="宋体" w:eastAsia="宋体" w:cs="宋体"/>
          <w:sz w:val="24"/>
          <w:highlight w:val="none"/>
        </w:rPr>
      </w:pPr>
    </w:p>
    <w:p>
      <w:pPr>
        <w:spacing w:line="480" w:lineRule="exact"/>
        <w:ind w:firstLine="240" w:firstLineChars="100"/>
        <w:rPr>
          <w:rFonts w:hint="eastAsia" w:ascii="宋体" w:hAnsi="宋体" w:eastAsia="宋体" w:cs="宋体"/>
          <w:sz w:val="24"/>
          <w:highlight w:val="none"/>
        </w:rPr>
      </w:pPr>
    </w:p>
    <w:p>
      <w:pPr>
        <w:spacing w:line="480" w:lineRule="exact"/>
        <w:rPr>
          <w:rFonts w:hint="eastAsia" w:ascii="宋体" w:hAnsi="宋体" w:eastAsia="宋体" w:cs="宋体"/>
          <w:sz w:val="24"/>
          <w:highlight w:val="none"/>
          <w:u w:val="single"/>
        </w:rPr>
      </w:pPr>
      <w:r>
        <w:rPr>
          <w:rFonts w:hint="eastAsia" w:ascii="宋体" w:hAnsi="宋体" w:eastAsia="宋体" w:cs="宋体"/>
          <w:sz w:val="24"/>
          <w:highlight w:val="none"/>
        </w:rPr>
        <w:t>供应商：（公章）</w:t>
      </w:r>
    </w:p>
    <w:p>
      <w:pPr>
        <w:spacing w:line="480" w:lineRule="exact"/>
        <w:ind w:firstLine="480" w:firstLineChars="200"/>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法定代表人或代理人：（签字或盖章）</w:t>
      </w:r>
    </w:p>
    <w:p>
      <w:pPr>
        <w:spacing w:line="480" w:lineRule="exact"/>
        <w:ind w:firstLine="480"/>
        <w:rPr>
          <w:rFonts w:hint="eastAsia" w:ascii="宋体" w:hAnsi="宋体" w:eastAsia="宋体" w:cs="宋体"/>
          <w:sz w:val="24"/>
          <w:highlight w:val="none"/>
        </w:rPr>
      </w:pPr>
    </w:p>
    <w:p>
      <w:pPr>
        <w:spacing w:line="480" w:lineRule="exact"/>
        <w:rPr>
          <w:rFonts w:hint="eastAsia" w:ascii="宋体" w:hAnsi="宋体" w:eastAsia="宋体" w:cs="宋体"/>
          <w:sz w:val="24"/>
          <w:highlight w:val="none"/>
        </w:rPr>
      </w:pPr>
      <w:r>
        <w:rPr>
          <w:rFonts w:hint="eastAsia" w:ascii="宋体" w:hAnsi="宋体" w:eastAsia="宋体" w:cs="宋体"/>
          <w:sz w:val="24"/>
          <w:highlight w:val="none"/>
        </w:rPr>
        <w:t>日期：</w:t>
      </w:r>
    </w:p>
    <w:p>
      <w:pPr>
        <w:rPr>
          <w:rFonts w:hint="eastAsia" w:ascii="宋体" w:hAnsi="宋体" w:eastAsia="宋体" w:cs="宋体"/>
          <w:sz w:val="24"/>
          <w:highlight w:val="none"/>
        </w:rPr>
      </w:pPr>
      <w:r>
        <w:rPr>
          <w:rFonts w:hint="eastAsia" w:ascii="宋体" w:hAnsi="宋体" w:eastAsia="宋体" w:cs="宋体"/>
          <w:sz w:val="24"/>
          <w:highlight w:val="none"/>
        </w:rPr>
        <w:br w:type="page"/>
      </w:r>
    </w:p>
    <w:p>
      <w:pPr>
        <w:pStyle w:val="4"/>
        <w:rPr>
          <w:rFonts w:hint="eastAsia" w:ascii="宋体" w:hAnsi="宋体" w:eastAsia="宋体" w:cs="宋体"/>
          <w:highlight w:val="none"/>
        </w:rPr>
      </w:pPr>
      <w:bookmarkStart w:id="71" w:name="_Toc81475581"/>
      <w:bookmarkStart w:id="72" w:name="_Toc23349"/>
      <w:r>
        <w:rPr>
          <w:rFonts w:hint="eastAsia" w:ascii="宋体" w:hAnsi="宋体" w:eastAsia="宋体" w:cs="宋体"/>
          <w:highlight w:val="none"/>
        </w:rPr>
        <w:t>七、类似项目业绩</w:t>
      </w:r>
      <w:bookmarkEnd w:id="71"/>
      <w:bookmarkEnd w:id="72"/>
    </w:p>
    <w:tbl>
      <w:tblPr>
        <w:tblStyle w:val="45"/>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723"/>
        <w:gridCol w:w="187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019" w:type="dxa"/>
            <w:vAlign w:val="center"/>
          </w:tcPr>
          <w:p>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723" w:type="dxa"/>
            <w:vAlign w:val="center"/>
          </w:tcPr>
          <w:p>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871" w:type="dxa"/>
            <w:vAlign w:val="center"/>
          </w:tcPr>
          <w:p>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业主名称</w:t>
            </w:r>
          </w:p>
        </w:tc>
        <w:tc>
          <w:tcPr>
            <w:tcW w:w="1871" w:type="dxa"/>
            <w:vAlign w:val="center"/>
          </w:tcPr>
          <w:p>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合同金额</w:t>
            </w:r>
          </w:p>
        </w:tc>
        <w:tc>
          <w:tcPr>
            <w:tcW w:w="1871" w:type="dxa"/>
            <w:vAlign w:val="center"/>
          </w:tcPr>
          <w:p>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业主联系电话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9" w:type="dxa"/>
            <w:vAlign w:val="center"/>
          </w:tcPr>
          <w:p>
            <w:pPr>
              <w:spacing w:line="480" w:lineRule="exact"/>
              <w:jc w:val="center"/>
              <w:rPr>
                <w:rFonts w:hint="eastAsia" w:ascii="宋体" w:hAnsi="宋体" w:eastAsia="宋体" w:cs="宋体"/>
                <w:sz w:val="24"/>
                <w:szCs w:val="24"/>
                <w:highlight w:val="none"/>
              </w:rPr>
            </w:pPr>
          </w:p>
        </w:tc>
        <w:tc>
          <w:tcPr>
            <w:tcW w:w="2723"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9" w:type="dxa"/>
            <w:vAlign w:val="center"/>
          </w:tcPr>
          <w:p>
            <w:pPr>
              <w:spacing w:line="480" w:lineRule="exact"/>
              <w:jc w:val="center"/>
              <w:rPr>
                <w:rFonts w:hint="eastAsia" w:ascii="宋体" w:hAnsi="宋体" w:eastAsia="宋体" w:cs="宋体"/>
                <w:sz w:val="24"/>
                <w:szCs w:val="24"/>
                <w:highlight w:val="none"/>
              </w:rPr>
            </w:pPr>
          </w:p>
        </w:tc>
        <w:tc>
          <w:tcPr>
            <w:tcW w:w="2723"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9" w:type="dxa"/>
            <w:vAlign w:val="center"/>
          </w:tcPr>
          <w:p>
            <w:pPr>
              <w:spacing w:line="480" w:lineRule="exact"/>
              <w:jc w:val="center"/>
              <w:rPr>
                <w:rFonts w:hint="eastAsia" w:ascii="宋体" w:hAnsi="宋体" w:eastAsia="宋体" w:cs="宋体"/>
                <w:sz w:val="24"/>
                <w:szCs w:val="24"/>
                <w:highlight w:val="none"/>
              </w:rPr>
            </w:pPr>
          </w:p>
        </w:tc>
        <w:tc>
          <w:tcPr>
            <w:tcW w:w="2723"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9" w:type="dxa"/>
            <w:vAlign w:val="center"/>
          </w:tcPr>
          <w:p>
            <w:pPr>
              <w:spacing w:line="480" w:lineRule="exact"/>
              <w:jc w:val="center"/>
              <w:rPr>
                <w:rFonts w:hint="eastAsia" w:ascii="宋体" w:hAnsi="宋体" w:eastAsia="宋体" w:cs="宋体"/>
                <w:sz w:val="24"/>
                <w:szCs w:val="24"/>
                <w:highlight w:val="none"/>
              </w:rPr>
            </w:pPr>
          </w:p>
        </w:tc>
        <w:tc>
          <w:tcPr>
            <w:tcW w:w="2723"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9" w:type="dxa"/>
            <w:vAlign w:val="center"/>
          </w:tcPr>
          <w:p>
            <w:pPr>
              <w:spacing w:line="480" w:lineRule="exact"/>
              <w:jc w:val="center"/>
              <w:rPr>
                <w:rFonts w:hint="eastAsia" w:ascii="宋体" w:hAnsi="宋体" w:eastAsia="宋体" w:cs="宋体"/>
                <w:sz w:val="24"/>
                <w:szCs w:val="24"/>
                <w:highlight w:val="none"/>
              </w:rPr>
            </w:pPr>
          </w:p>
        </w:tc>
        <w:tc>
          <w:tcPr>
            <w:tcW w:w="2723"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9" w:type="dxa"/>
            <w:vAlign w:val="center"/>
          </w:tcPr>
          <w:p>
            <w:pPr>
              <w:spacing w:line="480" w:lineRule="exact"/>
              <w:jc w:val="center"/>
              <w:rPr>
                <w:rFonts w:hint="eastAsia" w:ascii="宋体" w:hAnsi="宋体" w:eastAsia="宋体" w:cs="宋体"/>
                <w:sz w:val="24"/>
                <w:szCs w:val="24"/>
                <w:highlight w:val="none"/>
              </w:rPr>
            </w:pPr>
          </w:p>
        </w:tc>
        <w:tc>
          <w:tcPr>
            <w:tcW w:w="2723"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9" w:type="dxa"/>
            <w:vAlign w:val="center"/>
          </w:tcPr>
          <w:p>
            <w:pPr>
              <w:spacing w:line="480" w:lineRule="exact"/>
              <w:jc w:val="center"/>
              <w:rPr>
                <w:rFonts w:hint="eastAsia" w:ascii="宋体" w:hAnsi="宋体" w:eastAsia="宋体" w:cs="宋体"/>
                <w:sz w:val="24"/>
                <w:szCs w:val="24"/>
                <w:highlight w:val="none"/>
              </w:rPr>
            </w:pPr>
          </w:p>
        </w:tc>
        <w:tc>
          <w:tcPr>
            <w:tcW w:w="2723"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9" w:type="dxa"/>
            <w:vAlign w:val="center"/>
          </w:tcPr>
          <w:p>
            <w:pPr>
              <w:spacing w:line="480" w:lineRule="exact"/>
              <w:jc w:val="center"/>
              <w:rPr>
                <w:rFonts w:hint="eastAsia" w:ascii="宋体" w:hAnsi="宋体" w:eastAsia="宋体" w:cs="宋体"/>
                <w:sz w:val="24"/>
                <w:szCs w:val="24"/>
                <w:highlight w:val="none"/>
              </w:rPr>
            </w:pPr>
          </w:p>
        </w:tc>
        <w:tc>
          <w:tcPr>
            <w:tcW w:w="2723"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9" w:type="dxa"/>
            <w:vAlign w:val="center"/>
          </w:tcPr>
          <w:p>
            <w:pPr>
              <w:spacing w:line="480" w:lineRule="exact"/>
              <w:jc w:val="center"/>
              <w:rPr>
                <w:rFonts w:hint="eastAsia" w:ascii="宋体" w:hAnsi="宋体" w:eastAsia="宋体" w:cs="宋体"/>
                <w:sz w:val="24"/>
                <w:szCs w:val="24"/>
                <w:highlight w:val="none"/>
              </w:rPr>
            </w:pPr>
          </w:p>
        </w:tc>
        <w:tc>
          <w:tcPr>
            <w:tcW w:w="2723"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rPr>
                <w:rFonts w:hint="eastAsia" w:ascii="宋体" w:hAnsi="宋体" w:eastAsia="宋体" w:cs="宋体"/>
                <w:sz w:val="24"/>
                <w:szCs w:val="24"/>
                <w:highlight w:val="none"/>
              </w:rPr>
            </w:pPr>
          </w:p>
        </w:tc>
        <w:tc>
          <w:tcPr>
            <w:tcW w:w="1871" w:type="dxa"/>
            <w:vAlign w:val="center"/>
          </w:tcPr>
          <w:p>
            <w:pPr>
              <w:spacing w:line="480" w:lineRule="exact"/>
              <w:jc w:val="center"/>
              <w:rPr>
                <w:rFonts w:hint="eastAsia" w:ascii="宋体" w:hAnsi="宋体" w:eastAsia="宋体" w:cs="宋体"/>
                <w:sz w:val="24"/>
                <w:szCs w:val="24"/>
                <w:highlight w:val="none"/>
              </w:rPr>
            </w:pPr>
          </w:p>
        </w:tc>
      </w:tr>
    </w:tbl>
    <w:p>
      <w:pPr>
        <w:spacing w:line="520" w:lineRule="exact"/>
        <w:rPr>
          <w:rFonts w:hint="eastAsia" w:ascii="宋体" w:hAnsi="宋体" w:eastAsia="宋体" w:cs="宋体"/>
          <w:szCs w:val="21"/>
          <w:highlight w:val="none"/>
        </w:rPr>
      </w:pPr>
    </w:p>
    <w:p>
      <w:pPr>
        <w:spacing w:line="520" w:lineRule="exact"/>
        <w:rPr>
          <w:rFonts w:hint="eastAsia" w:ascii="宋体" w:hAnsi="宋体" w:eastAsia="宋体" w:cs="宋体"/>
          <w:szCs w:val="21"/>
          <w:highlight w:val="none"/>
        </w:rPr>
      </w:pPr>
    </w:p>
    <w:p>
      <w:pPr>
        <w:pStyle w:val="44"/>
        <w:ind w:firstLine="422"/>
        <w:rPr>
          <w:rFonts w:hint="eastAsia" w:ascii="宋体" w:hAnsi="宋体" w:eastAsia="宋体" w:cs="宋体"/>
          <w:highlight w:val="none"/>
        </w:rPr>
      </w:pPr>
    </w:p>
    <w:p>
      <w:pPr>
        <w:spacing w:line="520" w:lineRule="exact"/>
        <w:rPr>
          <w:rFonts w:hint="eastAsia" w:ascii="宋体" w:hAnsi="宋体" w:eastAsia="宋体" w:cs="宋体"/>
          <w:szCs w:val="21"/>
          <w:highlight w:val="none"/>
        </w:rPr>
      </w:pPr>
    </w:p>
    <w:p>
      <w:pPr>
        <w:spacing w:line="480" w:lineRule="exact"/>
        <w:ind w:firstLine="240" w:firstLineChars="100"/>
        <w:rPr>
          <w:rFonts w:hint="eastAsia" w:ascii="宋体" w:hAnsi="宋体" w:eastAsia="宋体" w:cs="宋体"/>
          <w:sz w:val="24"/>
          <w:highlight w:val="none"/>
          <w:u w:val="single"/>
        </w:rPr>
      </w:pPr>
      <w:r>
        <w:rPr>
          <w:rFonts w:hint="eastAsia" w:ascii="宋体" w:hAnsi="宋体" w:eastAsia="宋体" w:cs="宋体"/>
          <w:sz w:val="24"/>
          <w:highlight w:val="none"/>
        </w:rPr>
        <w:t>供应商：（公章）</w:t>
      </w:r>
    </w:p>
    <w:p>
      <w:pPr>
        <w:spacing w:line="480" w:lineRule="exact"/>
        <w:ind w:firstLine="480" w:firstLineChars="200"/>
        <w:rPr>
          <w:rFonts w:hint="eastAsia" w:ascii="宋体" w:hAnsi="宋体" w:eastAsia="宋体" w:cs="宋体"/>
          <w:sz w:val="24"/>
          <w:highlight w:val="none"/>
        </w:rPr>
      </w:pPr>
    </w:p>
    <w:p>
      <w:pPr>
        <w:spacing w:line="48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法定代表人或代理人：（签字或盖章）</w:t>
      </w:r>
    </w:p>
    <w:p>
      <w:pPr>
        <w:spacing w:line="480" w:lineRule="exact"/>
        <w:ind w:firstLine="480"/>
        <w:rPr>
          <w:rFonts w:hint="eastAsia" w:ascii="宋体" w:hAnsi="宋体" w:eastAsia="宋体" w:cs="宋体"/>
          <w:sz w:val="24"/>
          <w:highlight w:val="none"/>
        </w:rPr>
      </w:pPr>
    </w:p>
    <w:p>
      <w:pPr>
        <w:spacing w:line="520" w:lineRule="exact"/>
        <w:ind w:firstLine="240" w:firstLineChars="100"/>
        <w:rPr>
          <w:rFonts w:hint="eastAsia" w:ascii="宋体" w:hAnsi="宋体" w:eastAsia="宋体" w:cs="宋体"/>
          <w:szCs w:val="21"/>
          <w:highlight w:val="none"/>
        </w:rPr>
      </w:pPr>
      <w:r>
        <w:rPr>
          <w:rFonts w:hint="eastAsia" w:ascii="宋体" w:hAnsi="宋体" w:eastAsia="宋体" w:cs="宋体"/>
          <w:sz w:val="24"/>
          <w:highlight w:val="none"/>
        </w:rPr>
        <w:t>日  期：</w:t>
      </w:r>
    </w:p>
    <w:p>
      <w:pPr>
        <w:spacing w:line="520" w:lineRule="exact"/>
        <w:rPr>
          <w:rFonts w:hint="eastAsia" w:ascii="宋体" w:hAnsi="宋体" w:eastAsia="宋体" w:cs="宋体"/>
          <w:sz w:val="28"/>
          <w:szCs w:val="28"/>
          <w:highlight w:val="none"/>
          <w:u w:val="single"/>
        </w:rPr>
      </w:pPr>
      <w:r>
        <w:rPr>
          <w:rFonts w:hint="eastAsia" w:ascii="宋体" w:hAnsi="宋体" w:eastAsia="宋体" w:cs="宋体"/>
          <w:szCs w:val="21"/>
          <w:highlight w:val="none"/>
        </w:rPr>
        <w:br w:type="page"/>
      </w:r>
    </w:p>
    <w:p>
      <w:pPr>
        <w:pStyle w:val="4"/>
        <w:rPr>
          <w:rFonts w:hint="eastAsia" w:ascii="宋体" w:hAnsi="宋体" w:eastAsia="宋体" w:cs="宋体"/>
          <w:highlight w:val="none"/>
        </w:rPr>
      </w:pPr>
      <w:bookmarkStart w:id="73" w:name="_Toc81475582"/>
      <w:bookmarkStart w:id="74" w:name="_Toc226"/>
      <w:r>
        <w:rPr>
          <w:rFonts w:hint="eastAsia" w:ascii="宋体" w:hAnsi="宋体" w:eastAsia="宋体" w:cs="宋体"/>
          <w:highlight w:val="none"/>
        </w:rPr>
        <w:t>八、供应商认为需提供的其它相关资料</w:t>
      </w:r>
      <w:bookmarkEnd w:id="73"/>
      <w:bookmarkEnd w:id="74"/>
    </w:p>
    <w:p>
      <w:pPr>
        <w:rPr>
          <w:rFonts w:hint="eastAsia" w:ascii="宋体" w:hAnsi="宋体" w:eastAsia="宋体" w:cs="宋体"/>
          <w:sz w:val="28"/>
          <w:szCs w:val="24"/>
          <w:highlight w:val="none"/>
        </w:rPr>
      </w:pPr>
      <w:r>
        <w:rPr>
          <w:rFonts w:hint="eastAsia" w:ascii="宋体" w:hAnsi="宋体" w:eastAsia="宋体" w:cs="宋体"/>
          <w:sz w:val="28"/>
          <w:szCs w:val="24"/>
          <w:highlight w:val="none"/>
        </w:rPr>
        <w:t>格式自拟</w:t>
      </w: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pStyle w:val="18"/>
        <w:kinsoku w:val="0"/>
        <w:overflowPunct w:val="0"/>
        <w:spacing w:before="145"/>
        <w:ind w:left="212"/>
        <w:rPr>
          <w:rFonts w:hint="eastAsia" w:ascii="宋体" w:hAnsi="宋体" w:eastAsia="宋体" w:cs="宋体"/>
          <w:b/>
          <w:sz w:val="28"/>
          <w:szCs w:val="28"/>
          <w:highlight w:val="none"/>
        </w:rPr>
      </w:pPr>
      <w:r>
        <w:rPr>
          <w:rFonts w:hint="eastAsia" w:ascii="宋体" w:hAnsi="宋体" w:eastAsia="宋体" w:cs="宋体"/>
          <w:b/>
          <w:sz w:val="28"/>
          <w:szCs w:val="28"/>
          <w:highlight w:val="none"/>
        </w:rPr>
        <w:t>附件一：</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中小企业声明函（货物）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本公司</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郑重声明，根据《政府采购促进中小企业发展管理办法》（财库﹝2020﹞46 号）的规定，本公司</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参加（单位名称）的（项目名称）采购活动，提供的货物全部由符合政策要求的中小企业制造。相关企业（含联合体中的中小企业、签订分包意向协议的中小企业）的具体情况如下：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1.（标的名称），属于（</w:t>
      </w:r>
      <w:r>
        <w:rPr>
          <w:rFonts w:hint="eastAsia" w:ascii="宋体" w:hAnsi="宋体" w:cs="宋体"/>
          <w:color w:val="000000"/>
          <w:kern w:val="0"/>
          <w:sz w:val="24"/>
          <w:szCs w:val="24"/>
          <w:highlight w:val="none"/>
          <w:lang w:val="en-US" w:eastAsia="zh-CN" w:bidi="ar"/>
        </w:rPr>
        <w:t>磋商</w:t>
      </w:r>
      <w:r>
        <w:rPr>
          <w:rFonts w:hint="eastAsia" w:ascii="宋体" w:hAnsi="宋体" w:eastAsia="宋体" w:cs="宋体"/>
          <w:color w:val="000000"/>
          <w:kern w:val="0"/>
          <w:sz w:val="24"/>
          <w:szCs w:val="24"/>
          <w:highlight w:val="none"/>
          <w:lang w:val="en-US" w:eastAsia="zh-CN" w:bidi="ar"/>
        </w:rPr>
        <w:t>文件中明确的所属行业）行业；制造商为（企业名称），从业人员</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人，营业收入为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万元，资产总额为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万元，属于（中型企业、小型企业、微型企业）；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2.（标的名称），属于（</w:t>
      </w:r>
      <w:r>
        <w:rPr>
          <w:rFonts w:hint="eastAsia" w:ascii="宋体" w:hAnsi="宋体" w:cs="宋体"/>
          <w:color w:val="000000"/>
          <w:kern w:val="0"/>
          <w:sz w:val="24"/>
          <w:szCs w:val="24"/>
          <w:highlight w:val="none"/>
          <w:lang w:val="en-US" w:eastAsia="zh-CN" w:bidi="ar"/>
        </w:rPr>
        <w:t>磋商</w:t>
      </w:r>
      <w:r>
        <w:rPr>
          <w:rFonts w:hint="eastAsia" w:ascii="宋体" w:hAnsi="宋体" w:eastAsia="宋体" w:cs="宋体"/>
          <w:color w:val="000000"/>
          <w:kern w:val="0"/>
          <w:sz w:val="24"/>
          <w:szCs w:val="24"/>
          <w:highlight w:val="none"/>
          <w:lang w:val="en-US" w:eastAsia="zh-CN" w:bidi="ar"/>
        </w:rPr>
        <w:t>文件中明确的所属行业）行业；制造商为（企业名称），从业人员</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人，营业收入为</w:t>
      </w:r>
      <w:r>
        <w:rPr>
          <w:rFonts w:hint="eastAsia" w:ascii="宋体" w:hAnsi="宋体" w:cs="宋体"/>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万元，资产总额为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万元，属于（中型企业、小型企业、微型企业）； …… ……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以上企业，不属于大企业的分支机构，不存在控股股东为大企业的情形，也不存在与大企业的负责人为同一人的情形。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日 期： </w:t>
      </w:r>
    </w:p>
    <w:p>
      <w:pPr>
        <w:rPr>
          <w:rFonts w:hint="eastAsia" w:ascii="宋体" w:hAnsi="宋体" w:eastAsia="宋体" w:cs="宋体"/>
          <w:b/>
          <w:sz w:val="24"/>
          <w:szCs w:val="22"/>
          <w:highlight w:val="none"/>
        </w:rPr>
      </w:pPr>
      <w:r>
        <w:rPr>
          <w:rFonts w:hint="eastAsia" w:ascii="宋体" w:hAnsi="宋体" w:eastAsia="宋体" w:cs="宋体"/>
          <w:b/>
          <w:sz w:val="24"/>
          <w:szCs w:val="22"/>
          <w:highlight w:val="none"/>
        </w:rPr>
        <w:br w:type="page"/>
      </w:r>
    </w:p>
    <w:p>
      <w:pPr>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eastAsia="zh-CN"/>
        </w:rPr>
        <w:t>二</w:t>
      </w:r>
      <w:r>
        <w:rPr>
          <w:rFonts w:hint="eastAsia" w:ascii="宋体" w:hAnsi="宋体" w:eastAsia="宋体" w:cs="宋体"/>
          <w:b/>
          <w:sz w:val="28"/>
          <w:szCs w:val="28"/>
          <w:highlight w:val="none"/>
        </w:rPr>
        <w:t>：</w:t>
      </w:r>
    </w:p>
    <w:p>
      <w:pPr>
        <w:spacing w:line="360" w:lineRule="auto"/>
        <w:ind w:firstLine="482" w:firstLineChars="200"/>
        <w:jc w:val="center"/>
        <w:rPr>
          <w:rFonts w:hint="eastAsia" w:ascii="宋体" w:hAnsi="宋体" w:eastAsia="宋体" w:cs="宋体"/>
          <w:b/>
          <w:sz w:val="24"/>
          <w:szCs w:val="22"/>
          <w:highlight w:val="none"/>
        </w:rPr>
      </w:pPr>
      <w:r>
        <w:rPr>
          <w:rFonts w:hint="eastAsia" w:ascii="宋体" w:hAnsi="宋体" w:eastAsia="宋体" w:cs="宋体"/>
          <w:b/>
          <w:sz w:val="24"/>
          <w:szCs w:val="22"/>
          <w:highlight w:val="none"/>
        </w:rPr>
        <w:t>政府采购响应担保函格式</w:t>
      </w:r>
    </w:p>
    <w:p>
      <w:pPr>
        <w:rPr>
          <w:rFonts w:hint="eastAsia" w:ascii="宋体" w:hAnsi="宋体" w:eastAsia="宋体" w:cs="宋体"/>
          <w:highlight w:val="none"/>
        </w:rPr>
      </w:pP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（采购人或采购代理机构）：</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鉴于（以下简称“响应供应商”）拟参加</w:t>
      </w:r>
      <w:r>
        <w:rPr>
          <w:rFonts w:hint="eastAsia" w:ascii="宋体" w:hAnsi="宋体" w:eastAsia="宋体" w:cs="宋体"/>
          <w:spacing w:val="-4"/>
          <w:sz w:val="24"/>
          <w:szCs w:val="24"/>
          <w:highlight w:val="none"/>
          <w:u w:val="single"/>
        </w:rPr>
        <w:t>项目名称：</w:t>
      </w:r>
      <w:r>
        <w:rPr>
          <w:rFonts w:hint="eastAsia" w:hAnsi="宋体" w:cs="宋体"/>
          <w:spacing w:val="-4"/>
          <w:sz w:val="24"/>
          <w:szCs w:val="24"/>
          <w:highlight w:val="none"/>
          <w:u w:val="single"/>
          <w:lang w:eastAsia="zh-CN"/>
        </w:rPr>
        <w:t>内蒙古自治区公安厅特勤局2022年度执勤化装服采购项目（二次）</w:t>
      </w:r>
      <w:r>
        <w:rPr>
          <w:rFonts w:hint="eastAsia" w:ascii="宋体" w:hAnsi="宋体" w:eastAsia="宋体" w:cs="宋体"/>
          <w:spacing w:val="-4"/>
          <w:sz w:val="24"/>
          <w:szCs w:val="24"/>
          <w:highlight w:val="none"/>
          <w:u w:val="single"/>
        </w:rPr>
        <w:t>，项目编号：WSDH-YWCG-220602</w:t>
      </w:r>
      <w:r>
        <w:rPr>
          <w:rFonts w:hint="eastAsia" w:ascii="宋体" w:hAnsi="宋体" w:eastAsia="宋体" w:cs="宋体"/>
          <w:spacing w:val="-4"/>
          <w:sz w:val="24"/>
          <w:szCs w:val="24"/>
          <w:highlight w:val="none"/>
        </w:rPr>
        <w:t>（以下简称“本项目”）</w:t>
      </w:r>
      <w:r>
        <w:rPr>
          <w:rFonts w:hint="eastAsia" w:ascii="宋体" w:hAnsi="宋体" w:eastAsia="宋体" w:cs="宋体"/>
          <w:sz w:val="24"/>
          <w:szCs w:val="24"/>
          <w:highlight w:val="none"/>
        </w:rPr>
        <w:t>响应</w:t>
      </w:r>
      <w:r>
        <w:rPr>
          <w:rFonts w:hint="eastAsia" w:ascii="宋体" w:hAnsi="宋体" w:eastAsia="宋体" w:cs="宋体"/>
          <w:spacing w:val="-4"/>
          <w:sz w:val="24"/>
          <w:szCs w:val="24"/>
          <w:highlight w:val="none"/>
        </w:rPr>
        <w:t>，根据本项目磋商文件，响应供应商参加磋商时应向你方交纳磋商保证金，且可以</w:t>
      </w:r>
      <w:r>
        <w:rPr>
          <w:rFonts w:hint="eastAsia" w:ascii="宋体" w:hAnsi="宋体" w:eastAsia="宋体" w:cs="宋体"/>
          <w:sz w:val="24"/>
          <w:szCs w:val="24"/>
          <w:highlight w:val="none"/>
        </w:rPr>
        <w:t>响应</w:t>
      </w:r>
      <w:r>
        <w:rPr>
          <w:rFonts w:hint="eastAsia" w:ascii="宋体" w:hAnsi="宋体" w:eastAsia="宋体" w:cs="宋体"/>
          <w:spacing w:val="-4"/>
          <w:sz w:val="24"/>
          <w:szCs w:val="24"/>
          <w:highlight w:val="none"/>
        </w:rPr>
        <w:t>担保函的形式交纳磋商保证金。应响应供应商的申请，我方以保证的方式向你方提供如下磋商保证金担保：</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一、保证责任的情形及保证金额</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（一）在响应供应商出现下列情形之一时，我方承担保证责任：</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1、成交后响应供应商无正当理由不与采购人或者采购代理机构签订《政府采购合同》；</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2、磋商文件规定的响应供应商应当缴纳保证金的其他情形。</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（二）我方承担保证责任的最高金额为人民币元（大写），即本项目的磋商保证金金额。</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二、保证的方式及保证期间</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我方保证的方式为：连带责任保证。</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我方的保证期间为：自本保函生效之日起个</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pacing w:val="-4"/>
          <w:sz w:val="24"/>
          <w:szCs w:val="24"/>
          <w:highlight w:val="none"/>
        </w:rPr>
        <w:t>月止。</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三、承担保证责任的程序</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1、你方要求我方承担保证责任的，应在本保函保证期间内向我方发出书面索赔通知。索赔通知应写明要求索赔的金额，支付款项应到达的账号，并附有证明响应供应商发生我方应承担保证责任情形的事实材料。</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2、我方在收到索赔通知及相关证明材料后，在个工作日内进行审查，符合应承担保证责任情形的，我方应按照你方的要求代响应供应商向你方支付磋商保证金。</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四、保证责任的终止</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1、保证期间届满你方未向我方书面主张保证责任的，自保证期间届满次日起，我方保证责任自动终止。</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2、我方按照本保函向你贵方履行了保证责任后，自我方向你贵方支付款项</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（支付款项从我方账户划出）之日起，保证责任终止。</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3、按照法律法规的规定或出现我方保证责任终止的其它情形的，我方在本保函项下的保证责任亦终止。</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五、免责条款</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1、依照法律规定或你方与响应供应商的另行约定，全部或者部分免除响应供应商磋商保证金义务时，我方亦免除相应的保证责任。</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2、因你方原因致使响应供应商发生本保函第一条第（一）款约定情形的， 我方不承担保证责任。</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3、因不可抗力造成响应供应商发生本保函第一条约定情形的，我方不承担保证责任。</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4、你方或其他有权机关对磋商文件进行任何澄清或修改，加重我方保证责任的，我方对加重部分不承担保证责任，但该澄清或修改经我方事先书面同意的除外。</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六、争议的解决</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因本保函发生的纠纷，由你我双方协商解决，协商不成的，通过诉讼程序解决，诉讼管辖地法院为呼和浩特市中级人民法院。</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七、保函的生效</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本保函自我方加盖公章之日起生效。</w:t>
      </w:r>
    </w:p>
    <w:p>
      <w:pPr>
        <w:pStyle w:val="22"/>
        <w:adjustRightInd w:val="0"/>
        <w:snapToGrid w:val="0"/>
        <w:spacing w:line="360" w:lineRule="auto"/>
        <w:ind w:firstLine="465"/>
        <w:rPr>
          <w:rFonts w:hint="eastAsia" w:ascii="宋体" w:hAnsi="宋体" w:eastAsia="宋体" w:cs="宋体"/>
          <w:spacing w:val="-4"/>
          <w:sz w:val="24"/>
          <w:szCs w:val="24"/>
          <w:highlight w:val="none"/>
        </w:rPr>
      </w:pPr>
    </w:p>
    <w:p>
      <w:pPr>
        <w:pStyle w:val="22"/>
        <w:adjustRightInd w:val="0"/>
        <w:snapToGrid w:val="0"/>
        <w:spacing w:line="360" w:lineRule="auto"/>
        <w:ind w:firstLine="465"/>
        <w:rPr>
          <w:rFonts w:hint="eastAsia" w:ascii="宋体" w:hAnsi="宋体" w:eastAsia="宋体" w:cs="宋体"/>
          <w:spacing w:val="-4"/>
          <w:sz w:val="24"/>
          <w:szCs w:val="24"/>
          <w:highlight w:val="none"/>
        </w:rPr>
      </w:pPr>
    </w:p>
    <w:p>
      <w:pPr>
        <w:pStyle w:val="22"/>
        <w:adjustRightInd w:val="0"/>
        <w:snapToGrid w:val="0"/>
        <w:spacing w:line="360" w:lineRule="auto"/>
        <w:rPr>
          <w:rFonts w:hint="eastAsia" w:ascii="宋体" w:hAnsi="宋体" w:eastAsia="宋体" w:cs="宋体"/>
          <w:spacing w:val="-4"/>
          <w:sz w:val="24"/>
          <w:szCs w:val="24"/>
          <w:highlight w:val="none"/>
        </w:rPr>
      </w:pPr>
    </w:p>
    <w:p>
      <w:pPr>
        <w:pStyle w:val="22"/>
        <w:adjustRightInd w:val="0"/>
        <w:snapToGrid w:val="0"/>
        <w:spacing w:line="360" w:lineRule="auto"/>
        <w:ind w:firstLine="465"/>
        <w:rPr>
          <w:rFonts w:hint="eastAsia" w:ascii="宋体" w:hAnsi="宋体" w:eastAsia="宋体" w:cs="宋体"/>
          <w:spacing w:val="-4"/>
          <w:sz w:val="24"/>
          <w:szCs w:val="24"/>
          <w:highlight w:val="none"/>
        </w:rPr>
      </w:pP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保证人：（公章）</w:t>
      </w:r>
    </w:p>
    <w:p>
      <w:pPr>
        <w:pStyle w:val="22"/>
        <w:adjustRightInd w:val="0"/>
        <w:snapToGrid w:val="0"/>
        <w:spacing w:line="360" w:lineRule="auto"/>
        <w:ind w:firstLine="465"/>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日</w:t>
      </w:r>
      <w:r>
        <w:rPr>
          <w:rFonts w:hint="eastAsia" w:ascii="宋体" w:hAnsi="宋体" w:eastAsia="宋体" w:cs="宋体"/>
          <w:spacing w:val="-4"/>
          <w:sz w:val="24"/>
          <w:szCs w:val="24"/>
          <w:highlight w:val="none"/>
        </w:rPr>
        <w:tab/>
      </w:r>
      <w:r>
        <w:rPr>
          <w:rFonts w:hint="eastAsia" w:ascii="宋体" w:hAnsi="宋体" w:eastAsia="宋体" w:cs="宋体"/>
          <w:spacing w:val="-4"/>
          <w:sz w:val="24"/>
          <w:szCs w:val="24"/>
          <w:highlight w:val="none"/>
        </w:rPr>
        <w:t>期： 年  月  日</w:t>
      </w:r>
    </w:p>
    <w:p>
      <w:pPr>
        <w:rPr>
          <w:rFonts w:hint="eastAsia" w:ascii="宋体" w:hAnsi="宋体" w:eastAsia="宋体" w:cs="宋体"/>
          <w:highlight w:val="none"/>
        </w:rPr>
      </w:pP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eastAsia="zh-CN"/>
        </w:rPr>
        <w:t>三</w:t>
      </w:r>
      <w:r>
        <w:rPr>
          <w:rFonts w:hint="eastAsia" w:ascii="宋体" w:hAnsi="宋体" w:eastAsia="宋体" w:cs="宋体"/>
          <w:b/>
          <w:sz w:val="28"/>
          <w:szCs w:val="28"/>
          <w:highlight w:val="none"/>
        </w:rPr>
        <w:t>：</w:t>
      </w:r>
    </w:p>
    <w:p>
      <w:pPr>
        <w:spacing w:line="360" w:lineRule="auto"/>
        <w:ind w:firstLine="482" w:firstLineChars="200"/>
        <w:jc w:val="center"/>
        <w:rPr>
          <w:rFonts w:hint="eastAsia" w:ascii="宋体" w:hAnsi="宋体" w:eastAsia="宋体" w:cs="宋体"/>
          <w:kern w:val="0"/>
          <w:sz w:val="32"/>
          <w:szCs w:val="32"/>
          <w:highlight w:val="none"/>
        </w:rPr>
      </w:pPr>
      <w:r>
        <w:rPr>
          <w:rFonts w:hint="eastAsia" w:ascii="宋体" w:hAnsi="宋体" w:eastAsia="宋体" w:cs="宋体"/>
          <w:b/>
          <w:sz w:val="24"/>
          <w:szCs w:val="22"/>
          <w:highlight w:val="none"/>
        </w:rPr>
        <w:t>具备良好的商业信誉和健全的财务会计制度声明函</w:t>
      </w:r>
    </w:p>
    <w:p>
      <w:pPr>
        <w:autoSpaceDE w:val="0"/>
        <w:autoSpaceDN w:val="0"/>
        <w:spacing w:line="360" w:lineRule="auto"/>
        <w:jc w:val="left"/>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内蒙古自治区公安厅特勤局：</w:t>
      </w:r>
    </w:p>
    <w:p>
      <w:pPr>
        <w:tabs>
          <w:tab w:val="left" w:pos="8820"/>
        </w:tabs>
        <w:autoSpaceDE w:val="0"/>
        <w:autoSpaceDN w:val="0"/>
        <w:spacing w:line="360" w:lineRule="auto"/>
        <w:ind w:firstLine="56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我公司自愿参加本次采购活动（项目名称：</w:t>
      </w:r>
      <w:r>
        <w:rPr>
          <w:rFonts w:hint="eastAsia" w:ascii="宋体" w:hAnsi="宋体" w:cs="宋体"/>
          <w:spacing w:val="-4"/>
          <w:sz w:val="24"/>
          <w:szCs w:val="24"/>
          <w:highlight w:val="none"/>
          <w:u w:val="single"/>
          <w:lang w:eastAsia="zh-CN"/>
        </w:rPr>
        <w:t>内蒙古自治区公安厅特勤局2022年度执勤化装服采购项目（二次）</w:t>
      </w:r>
      <w:r>
        <w:rPr>
          <w:rFonts w:hint="eastAsia" w:ascii="宋体" w:hAnsi="宋体" w:eastAsia="宋体" w:cs="宋体"/>
          <w:spacing w:val="-4"/>
          <w:sz w:val="24"/>
          <w:szCs w:val="24"/>
          <w:highlight w:val="none"/>
          <w:u w:val="single"/>
        </w:rPr>
        <w:t>，项目编号：WSDH-YWCG-220602</w:t>
      </w:r>
      <w:r>
        <w:rPr>
          <w:rFonts w:hint="eastAsia" w:ascii="宋体" w:hAnsi="宋体" w:eastAsia="宋体" w:cs="宋体"/>
          <w:spacing w:val="-4"/>
          <w:sz w:val="24"/>
          <w:szCs w:val="24"/>
          <w:highlight w:val="none"/>
        </w:rPr>
        <w:t>），严格遵守《中华人民共和国政府采购法》、《政府采购法实施条例》及所有相关法律、法规和规定，同时郑重声明：</w:t>
      </w:r>
    </w:p>
    <w:p>
      <w:pPr>
        <w:tabs>
          <w:tab w:val="left" w:pos="8820"/>
        </w:tabs>
        <w:autoSpaceDE w:val="0"/>
        <w:autoSpaceDN w:val="0"/>
        <w:spacing w:line="360" w:lineRule="auto"/>
        <w:ind w:firstLine="560"/>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本公司具备良好的商业信誉和健全的财务会计制度。</w:t>
      </w:r>
    </w:p>
    <w:p>
      <w:pPr>
        <w:spacing w:line="360" w:lineRule="auto"/>
        <w:ind w:firstLine="466" w:firstLineChars="201"/>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本公司对上述声明的真实性负责。如有虚假，将依法承担相应责任。</w:t>
      </w:r>
    </w:p>
    <w:p>
      <w:pPr>
        <w:tabs>
          <w:tab w:val="left" w:pos="8820"/>
        </w:tabs>
        <w:autoSpaceDE w:val="0"/>
        <w:autoSpaceDN w:val="0"/>
        <w:spacing w:line="360" w:lineRule="auto"/>
        <w:ind w:firstLine="560"/>
        <w:rPr>
          <w:rFonts w:hint="eastAsia" w:ascii="宋体" w:hAnsi="宋体" w:eastAsia="宋体" w:cs="宋体"/>
          <w:sz w:val="28"/>
          <w:szCs w:val="28"/>
          <w:highlight w:val="none"/>
        </w:rPr>
      </w:pPr>
    </w:p>
    <w:p>
      <w:pPr>
        <w:tabs>
          <w:tab w:val="left" w:pos="8820"/>
        </w:tabs>
        <w:autoSpaceDE w:val="0"/>
        <w:autoSpaceDN w:val="0"/>
        <w:spacing w:line="360" w:lineRule="auto"/>
        <w:ind w:firstLine="560"/>
        <w:jc w:val="center"/>
        <w:rPr>
          <w:rFonts w:hint="eastAsia" w:ascii="宋体" w:hAnsi="宋体" w:eastAsia="宋体" w:cs="宋体"/>
          <w:sz w:val="28"/>
          <w:szCs w:val="28"/>
          <w:highlight w:val="none"/>
        </w:rPr>
      </w:pPr>
    </w:p>
    <w:p>
      <w:pPr>
        <w:spacing w:line="480" w:lineRule="exact"/>
        <w:ind w:firstLine="240" w:firstLineChars="100"/>
        <w:rPr>
          <w:rFonts w:hint="eastAsia" w:ascii="宋体" w:hAnsi="宋体" w:eastAsia="宋体" w:cs="宋体"/>
          <w:sz w:val="24"/>
          <w:highlight w:val="none"/>
          <w:u w:val="single"/>
        </w:rPr>
      </w:pPr>
      <w:r>
        <w:rPr>
          <w:rFonts w:hint="eastAsia" w:ascii="宋体" w:hAnsi="宋体" w:eastAsia="宋体" w:cs="宋体"/>
          <w:sz w:val="24"/>
          <w:highlight w:val="none"/>
        </w:rPr>
        <w:t xml:space="preserve">                 供应商：（公章）</w:t>
      </w:r>
    </w:p>
    <w:p>
      <w:pPr>
        <w:spacing w:line="480" w:lineRule="exact"/>
        <w:ind w:firstLine="480" w:firstLineChars="200"/>
        <w:rPr>
          <w:rFonts w:hint="eastAsia" w:ascii="宋体" w:hAnsi="宋体" w:eastAsia="宋体" w:cs="宋体"/>
          <w:sz w:val="24"/>
          <w:highlight w:val="none"/>
        </w:rPr>
      </w:pPr>
    </w:p>
    <w:p>
      <w:pPr>
        <w:spacing w:line="48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法定代表人或代理人：（签字或盖章）</w:t>
      </w:r>
    </w:p>
    <w:p>
      <w:pPr>
        <w:spacing w:line="480" w:lineRule="exact"/>
        <w:ind w:firstLine="480"/>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日  期：</w:t>
      </w: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eastAsia="zh-CN"/>
        </w:rPr>
        <w:t>四</w:t>
      </w:r>
      <w:r>
        <w:rPr>
          <w:rFonts w:hint="eastAsia" w:ascii="宋体" w:hAnsi="宋体" w:eastAsia="宋体" w:cs="宋体"/>
          <w:b/>
          <w:sz w:val="28"/>
          <w:szCs w:val="28"/>
          <w:highlight w:val="none"/>
        </w:rPr>
        <w:t>：</w:t>
      </w:r>
    </w:p>
    <w:p>
      <w:pPr>
        <w:spacing w:line="360" w:lineRule="auto"/>
        <w:ind w:firstLine="482" w:firstLineChars="200"/>
        <w:jc w:val="center"/>
        <w:rPr>
          <w:rFonts w:hint="eastAsia" w:ascii="宋体" w:hAnsi="宋体" w:eastAsia="宋体" w:cs="宋体"/>
          <w:b/>
          <w:sz w:val="24"/>
          <w:szCs w:val="22"/>
          <w:highlight w:val="none"/>
        </w:rPr>
      </w:pPr>
      <w:r>
        <w:rPr>
          <w:rFonts w:hint="eastAsia" w:ascii="宋体" w:hAnsi="宋体" w:eastAsia="宋体" w:cs="宋体"/>
          <w:b/>
          <w:sz w:val="24"/>
          <w:szCs w:val="22"/>
          <w:highlight w:val="none"/>
        </w:rPr>
        <w:t>具备履行合同所必须的设备和专业技术能力声明函</w:t>
      </w:r>
    </w:p>
    <w:p>
      <w:pPr>
        <w:autoSpaceDE w:val="0"/>
        <w:autoSpaceDN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内蒙古自治区公安厅特勤局：</w:t>
      </w:r>
    </w:p>
    <w:p>
      <w:pPr>
        <w:autoSpaceDE w:val="0"/>
        <w:autoSpaceDN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我公司自愿参加本次采购活动（项目名称：</w:t>
      </w:r>
      <w:r>
        <w:rPr>
          <w:rFonts w:hint="eastAsia" w:ascii="宋体" w:hAnsi="宋体" w:cs="宋体"/>
          <w:kern w:val="0"/>
          <w:sz w:val="24"/>
          <w:szCs w:val="24"/>
          <w:highlight w:val="none"/>
          <w:u w:val="single"/>
          <w:lang w:eastAsia="zh-CN"/>
        </w:rPr>
        <w:t>内蒙古自治区公安厅特勤局2022年度执勤化装服采购项目（二次）</w:t>
      </w:r>
      <w:r>
        <w:rPr>
          <w:rFonts w:hint="eastAsia" w:ascii="宋体" w:hAnsi="宋体" w:eastAsia="宋体" w:cs="宋体"/>
          <w:kern w:val="0"/>
          <w:sz w:val="24"/>
          <w:szCs w:val="24"/>
          <w:highlight w:val="none"/>
          <w:u w:val="single"/>
        </w:rPr>
        <w:t>，项目编号：WSDH-YWCG-220602</w:t>
      </w:r>
      <w:r>
        <w:rPr>
          <w:rFonts w:hint="eastAsia" w:ascii="宋体" w:hAnsi="宋体" w:eastAsia="宋体" w:cs="宋体"/>
          <w:kern w:val="0"/>
          <w:sz w:val="24"/>
          <w:szCs w:val="24"/>
          <w:highlight w:val="none"/>
        </w:rPr>
        <w:t>），严格遵守《中华人民共和国政府采购法》、《政府采购法实施条例》及所有相关法律、法规和规定，同时郑重声明：</w:t>
      </w:r>
    </w:p>
    <w:p>
      <w:pPr>
        <w:autoSpaceDE w:val="0"/>
        <w:autoSpaceDN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本公司具备履行合同所必须的设备和专业技术能力。</w:t>
      </w:r>
    </w:p>
    <w:p>
      <w:pPr>
        <w:spacing w:line="360" w:lineRule="auto"/>
        <w:ind w:firstLine="466" w:firstLineChars="201"/>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本公司对上述声明的真实性负责。如有虚假，将依法承担相应责任。</w:t>
      </w:r>
    </w:p>
    <w:p>
      <w:pPr>
        <w:autoSpaceDE w:val="0"/>
        <w:autoSpaceDN w:val="0"/>
        <w:spacing w:line="360" w:lineRule="auto"/>
        <w:jc w:val="left"/>
        <w:rPr>
          <w:rFonts w:hint="eastAsia" w:ascii="宋体" w:hAnsi="宋体" w:eastAsia="宋体" w:cs="宋体"/>
          <w:kern w:val="0"/>
          <w:sz w:val="24"/>
          <w:szCs w:val="24"/>
          <w:highlight w:val="none"/>
        </w:rPr>
      </w:pPr>
    </w:p>
    <w:p>
      <w:pPr>
        <w:spacing w:line="480" w:lineRule="exact"/>
        <w:ind w:firstLine="240" w:firstLineChars="100"/>
        <w:rPr>
          <w:rFonts w:hint="eastAsia" w:ascii="宋体" w:hAnsi="宋体" w:eastAsia="宋体" w:cs="宋体"/>
          <w:sz w:val="24"/>
          <w:highlight w:val="none"/>
        </w:rPr>
      </w:pPr>
    </w:p>
    <w:p>
      <w:pPr>
        <w:spacing w:line="480" w:lineRule="exact"/>
        <w:ind w:firstLine="240" w:firstLineChars="100"/>
        <w:rPr>
          <w:rFonts w:hint="eastAsia" w:ascii="宋体" w:hAnsi="宋体" w:eastAsia="宋体" w:cs="宋体"/>
          <w:sz w:val="24"/>
          <w:highlight w:val="none"/>
        </w:rPr>
      </w:pPr>
    </w:p>
    <w:p>
      <w:pPr>
        <w:spacing w:line="480" w:lineRule="exact"/>
        <w:ind w:firstLine="240" w:firstLineChars="100"/>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供应商：（公章）</w:t>
      </w:r>
    </w:p>
    <w:p>
      <w:pPr>
        <w:spacing w:line="480" w:lineRule="exact"/>
        <w:ind w:firstLine="480" w:firstLineChars="200"/>
        <w:rPr>
          <w:rFonts w:hint="eastAsia" w:ascii="宋体" w:hAnsi="宋体" w:eastAsia="宋体" w:cs="宋体"/>
          <w:sz w:val="24"/>
          <w:highlight w:val="none"/>
        </w:rPr>
      </w:pPr>
    </w:p>
    <w:p>
      <w:pPr>
        <w:spacing w:line="48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法定代表人或代理人：（签字或盖章）</w:t>
      </w:r>
    </w:p>
    <w:p>
      <w:pPr>
        <w:spacing w:line="480" w:lineRule="exact"/>
        <w:ind w:firstLine="240" w:firstLineChars="100"/>
        <w:rPr>
          <w:rFonts w:hint="eastAsia" w:ascii="宋体" w:hAnsi="宋体" w:eastAsia="宋体" w:cs="宋体"/>
          <w:b w:val="0"/>
          <w:sz w:val="24"/>
          <w:highlight w:val="none"/>
        </w:rPr>
      </w:pPr>
    </w:p>
    <w:p>
      <w:pPr>
        <w:spacing w:line="480" w:lineRule="exact"/>
        <w:ind w:firstLine="2400" w:firstLineChars="1000"/>
        <w:rPr>
          <w:rFonts w:hint="eastAsia" w:ascii="宋体" w:hAnsi="宋体" w:eastAsia="宋体" w:cs="宋体"/>
          <w:b w:val="0"/>
          <w:highlight w:val="none"/>
        </w:rPr>
      </w:pPr>
      <w:r>
        <w:rPr>
          <w:rFonts w:hint="eastAsia" w:ascii="宋体" w:hAnsi="宋体" w:eastAsia="宋体" w:cs="宋体"/>
          <w:b w:val="0"/>
          <w:sz w:val="24"/>
          <w:highlight w:val="none"/>
        </w:rPr>
        <w:t>日  期：</w:t>
      </w:r>
    </w:p>
    <w:p>
      <w:pPr>
        <w:widowControl/>
        <w:jc w:val="left"/>
        <w:rPr>
          <w:rFonts w:hint="eastAsia" w:ascii="宋体" w:hAnsi="宋体" w:eastAsia="宋体" w:cs="宋体"/>
          <w:highlight w:val="none"/>
        </w:rPr>
      </w:pPr>
      <w:r>
        <w:rPr>
          <w:rFonts w:hint="eastAsia" w:ascii="宋体" w:hAnsi="宋体" w:eastAsia="宋体" w:cs="宋体"/>
          <w:highlight w:val="none"/>
        </w:rPr>
        <w:br w:type="page"/>
      </w:r>
    </w:p>
    <w:p>
      <w:pPr>
        <w:pStyle w:val="44"/>
        <w:ind w:firstLine="422"/>
        <w:rPr>
          <w:rFonts w:hint="eastAsia" w:ascii="宋体" w:hAnsi="宋体" w:eastAsia="宋体" w:cs="宋体"/>
          <w:highlight w:val="none"/>
        </w:rPr>
      </w:pPr>
    </w:p>
    <w:p>
      <w:pPr>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eastAsia="zh-CN"/>
        </w:rPr>
        <w:t>五</w:t>
      </w:r>
      <w:r>
        <w:rPr>
          <w:rFonts w:hint="eastAsia" w:ascii="宋体" w:hAnsi="宋体" w:eastAsia="宋体" w:cs="宋体"/>
          <w:b/>
          <w:sz w:val="28"/>
          <w:szCs w:val="28"/>
          <w:highlight w:val="none"/>
        </w:rPr>
        <w:t>：</w:t>
      </w:r>
    </w:p>
    <w:p>
      <w:pPr>
        <w:spacing w:line="360" w:lineRule="auto"/>
        <w:ind w:firstLine="482" w:firstLineChars="200"/>
        <w:jc w:val="center"/>
        <w:rPr>
          <w:rFonts w:hint="eastAsia" w:ascii="宋体" w:hAnsi="宋体" w:eastAsia="宋体" w:cs="宋体"/>
          <w:kern w:val="0"/>
          <w:sz w:val="32"/>
          <w:szCs w:val="32"/>
          <w:highlight w:val="none"/>
        </w:rPr>
      </w:pPr>
      <w:r>
        <w:rPr>
          <w:rFonts w:hint="eastAsia" w:ascii="宋体" w:hAnsi="宋体" w:eastAsia="宋体" w:cs="宋体"/>
          <w:b/>
          <w:sz w:val="24"/>
          <w:szCs w:val="22"/>
          <w:highlight w:val="none"/>
        </w:rPr>
        <w:t>依法缴纳税收和社会保障资金声明函</w:t>
      </w:r>
    </w:p>
    <w:p>
      <w:pPr>
        <w:autoSpaceDE w:val="0"/>
        <w:autoSpaceDN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内蒙古自治区公安厅特勤局：</w:t>
      </w:r>
    </w:p>
    <w:p>
      <w:pPr>
        <w:tabs>
          <w:tab w:val="left" w:pos="8820"/>
        </w:tabs>
        <w:autoSpaceDE w:val="0"/>
        <w:autoSpaceDN w:val="0"/>
        <w:spacing w:line="360" w:lineRule="auto"/>
        <w:ind w:firstLine="56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我公司自愿参加本次采购活动（项目名称：</w:t>
      </w:r>
      <w:r>
        <w:rPr>
          <w:rFonts w:hint="eastAsia" w:ascii="宋体" w:hAnsi="宋体" w:cs="宋体"/>
          <w:kern w:val="0"/>
          <w:sz w:val="24"/>
          <w:szCs w:val="24"/>
          <w:highlight w:val="none"/>
          <w:u w:val="single"/>
          <w:lang w:eastAsia="zh-CN"/>
        </w:rPr>
        <w:t>内蒙古自治区公安厅特勤局2022年度执勤化装服采购项目（二次）</w:t>
      </w:r>
      <w:r>
        <w:rPr>
          <w:rFonts w:hint="eastAsia" w:ascii="宋体" w:hAnsi="宋体" w:eastAsia="宋体" w:cs="宋体"/>
          <w:kern w:val="0"/>
          <w:sz w:val="24"/>
          <w:szCs w:val="24"/>
          <w:highlight w:val="none"/>
          <w:u w:val="single"/>
        </w:rPr>
        <w:t>，项目编号：WSDH-YWCG-220602</w:t>
      </w:r>
      <w:r>
        <w:rPr>
          <w:rFonts w:hint="eastAsia" w:ascii="宋体" w:hAnsi="宋体" w:eastAsia="宋体" w:cs="宋体"/>
          <w:kern w:val="0"/>
          <w:sz w:val="24"/>
          <w:szCs w:val="24"/>
          <w:highlight w:val="none"/>
        </w:rPr>
        <w:t>），严格遵守《中华人民共和国政府采购法》、《政府采购法实施条例》及所有相关法律、法规和规定，同时郑重声明：</w:t>
      </w:r>
    </w:p>
    <w:p>
      <w:pPr>
        <w:tabs>
          <w:tab w:val="left" w:pos="8820"/>
        </w:tabs>
        <w:autoSpaceDE w:val="0"/>
        <w:autoSpaceDN w:val="0"/>
        <w:spacing w:line="360" w:lineRule="auto"/>
        <w:ind w:firstLine="56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本公司依法缴纳税收和社会保障资金</w:t>
      </w:r>
      <w:r>
        <w:rPr>
          <w:rFonts w:hint="eastAsia" w:ascii="宋体" w:hAnsi="宋体" w:eastAsia="宋体" w:cs="宋体"/>
          <w:sz w:val="24"/>
          <w:szCs w:val="24"/>
          <w:highlight w:val="none"/>
        </w:rPr>
        <w:t>。</w:t>
      </w:r>
    </w:p>
    <w:p>
      <w:pPr>
        <w:spacing w:line="360" w:lineRule="auto"/>
        <w:ind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本公司对上述声明的真实性负责。如有虚假，将依法承担相应责任。</w:t>
      </w:r>
    </w:p>
    <w:p>
      <w:pPr>
        <w:tabs>
          <w:tab w:val="left" w:pos="8820"/>
        </w:tabs>
        <w:autoSpaceDE w:val="0"/>
        <w:autoSpaceDN w:val="0"/>
        <w:spacing w:line="360" w:lineRule="auto"/>
        <w:ind w:firstLine="560"/>
        <w:rPr>
          <w:rFonts w:hint="eastAsia" w:ascii="宋体" w:hAnsi="宋体" w:eastAsia="宋体" w:cs="宋体"/>
          <w:sz w:val="28"/>
          <w:szCs w:val="28"/>
          <w:highlight w:val="none"/>
        </w:rPr>
      </w:pPr>
    </w:p>
    <w:p>
      <w:pPr>
        <w:tabs>
          <w:tab w:val="left" w:pos="8820"/>
        </w:tabs>
        <w:autoSpaceDE w:val="0"/>
        <w:autoSpaceDN w:val="0"/>
        <w:spacing w:line="360" w:lineRule="auto"/>
        <w:ind w:firstLine="560"/>
        <w:jc w:val="center"/>
        <w:rPr>
          <w:rFonts w:hint="eastAsia" w:ascii="宋体" w:hAnsi="宋体" w:eastAsia="宋体" w:cs="宋体"/>
          <w:sz w:val="28"/>
          <w:szCs w:val="28"/>
          <w:highlight w:val="none"/>
        </w:rPr>
      </w:pPr>
    </w:p>
    <w:p>
      <w:pPr>
        <w:spacing w:line="480" w:lineRule="exact"/>
        <w:ind w:firstLine="240" w:firstLineChars="100"/>
        <w:rPr>
          <w:rFonts w:hint="eastAsia" w:ascii="宋体" w:hAnsi="宋体" w:eastAsia="宋体" w:cs="宋体"/>
          <w:sz w:val="24"/>
          <w:highlight w:val="none"/>
          <w:u w:val="single"/>
        </w:rPr>
      </w:pPr>
      <w:r>
        <w:rPr>
          <w:rFonts w:hint="eastAsia" w:ascii="宋体" w:hAnsi="宋体" w:eastAsia="宋体" w:cs="宋体"/>
          <w:sz w:val="24"/>
          <w:highlight w:val="none"/>
        </w:rPr>
        <w:t xml:space="preserve">                 供应商：（公章）</w:t>
      </w:r>
    </w:p>
    <w:p>
      <w:pPr>
        <w:spacing w:line="480" w:lineRule="exact"/>
        <w:ind w:firstLine="480" w:firstLineChars="200"/>
        <w:rPr>
          <w:rFonts w:hint="eastAsia" w:ascii="宋体" w:hAnsi="宋体" w:eastAsia="宋体" w:cs="宋体"/>
          <w:sz w:val="24"/>
          <w:highlight w:val="none"/>
        </w:rPr>
      </w:pPr>
    </w:p>
    <w:p>
      <w:pPr>
        <w:spacing w:line="48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法定代表人或代理人：（签字或盖章）</w:t>
      </w:r>
    </w:p>
    <w:p>
      <w:pPr>
        <w:spacing w:line="480" w:lineRule="exact"/>
        <w:ind w:firstLine="480"/>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日  期：</w:t>
      </w:r>
    </w:p>
    <w:p>
      <w:pPr>
        <w:rPr>
          <w:rFonts w:hint="eastAsia" w:ascii="宋体" w:hAnsi="宋体" w:eastAsia="宋体" w:cs="宋体"/>
          <w:highlight w:val="none"/>
        </w:rPr>
      </w:pPr>
      <w:r>
        <w:rPr>
          <w:rFonts w:hint="eastAsia" w:ascii="宋体" w:hAnsi="宋体" w:eastAsia="宋体" w:cs="宋体"/>
          <w:highlight w:val="none"/>
        </w:rPr>
        <w:br w:type="page"/>
      </w:r>
    </w:p>
    <w:p>
      <w:pPr>
        <w:spacing w:line="500" w:lineRule="exact"/>
        <w:ind w:firstLine="560" w:firstLine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附件：</w:t>
      </w:r>
    </w:p>
    <w:p>
      <w:pPr>
        <w:spacing w:line="500" w:lineRule="exact"/>
        <w:ind w:firstLine="560" w:firstLineChars="200"/>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《健康信息登记表》</w:t>
      </w:r>
    </w:p>
    <w:tbl>
      <w:tblPr>
        <w:tblStyle w:val="45"/>
        <w:tblW w:w="9972"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1756"/>
        <w:gridCol w:w="707"/>
        <w:gridCol w:w="1419"/>
        <w:gridCol w:w="1045"/>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姓名</w:t>
            </w:r>
          </w:p>
        </w:tc>
        <w:tc>
          <w:tcPr>
            <w:tcW w:w="1756" w:type="dxa"/>
          </w:tcPr>
          <w:p>
            <w:pPr>
              <w:spacing w:line="500" w:lineRule="exact"/>
              <w:jc w:val="center"/>
              <w:rPr>
                <w:rFonts w:hint="eastAsia" w:ascii="宋体" w:hAnsi="宋体" w:eastAsia="宋体" w:cs="宋体"/>
                <w:bCs/>
                <w:sz w:val="24"/>
                <w:highlight w:val="none"/>
              </w:rPr>
            </w:pPr>
          </w:p>
        </w:tc>
        <w:tc>
          <w:tcPr>
            <w:tcW w:w="2126" w:type="dxa"/>
            <w:gridSpan w:val="2"/>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身份证号码</w:t>
            </w:r>
          </w:p>
        </w:tc>
        <w:tc>
          <w:tcPr>
            <w:tcW w:w="3627" w:type="dxa"/>
            <w:gridSpan w:val="2"/>
          </w:tcPr>
          <w:p>
            <w:pPr>
              <w:spacing w:line="500" w:lineRule="exact"/>
              <w:jc w:val="center"/>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单位名称</w:t>
            </w:r>
          </w:p>
        </w:tc>
        <w:tc>
          <w:tcPr>
            <w:tcW w:w="7509" w:type="dxa"/>
            <w:gridSpan w:val="5"/>
          </w:tcPr>
          <w:p>
            <w:pPr>
              <w:spacing w:line="500" w:lineRule="exact"/>
              <w:jc w:val="center"/>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单位地址</w:t>
            </w:r>
          </w:p>
        </w:tc>
        <w:tc>
          <w:tcPr>
            <w:tcW w:w="7509" w:type="dxa"/>
            <w:gridSpan w:val="5"/>
          </w:tcPr>
          <w:p>
            <w:pPr>
              <w:spacing w:line="500" w:lineRule="exact"/>
              <w:jc w:val="center"/>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个人住址</w:t>
            </w:r>
          </w:p>
        </w:tc>
        <w:tc>
          <w:tcPr>
            <w:tcW w:w="7509" w:type="dxa"/>
            <w:gridSpan w:val="5"/>
          </w:tcPr>
          <w:p>
            <w:pPr>
              <w:spacing w:line="500" w:lineRule="exact"/>
              <w:jc w:val="center"/>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单位电话</w:t>
            </w:r>
          </w:p>
        </w:tc>
        <w:tc>
          <w:tcPr>
            <w:tcW w:w="2463" w:type="dxa"/>
            <w:gridSpan w:val="2"/>
          </w:tcPr>
          <w:p>
            <w:pPr>
              <w:spacing w:line="500" w:lineRule="exact"/>
              <w:jc w:val="center"/>
              <w:rPr>
                <w:rFonts w:hint="eastAsia" w:ascii="宋体" w:hAnsi="宋体" w:eastAsia="宋体" w:cs="宋体"/>
                <w:bCs/>
                <w:sz w:val="24"/>
                <w:highlight w:val="none"/>
              </w:rPr>
            </w:pPr>
          </w:p>
        </w:tc>
        <w:tc>
          <w:tcPr>
            <w:tcW w:w="2464" w:type="dxa"/>
            <w:gridSpan w:val="2"/>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个人手机</w:t>
            </w:r>
          </w:p>
        </w:tc>
        <w:tc>
          <w:tcPr>
            <w:tcW w:w="2582" w:type="dxa"/>
          </w:tcPr>
          <w:p>
            <w:pPr>
              <w:spacing w:line="500" w:lineRule="exact"/>
              <w:jc w:val="center"/>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人员身份</w:t>
            </w:r>
          </w:p>
        </w:tc>
        <w:tc>
          <w:tcPr>
            <w:tcW w:w="7509" w:type="dxa"/>
            <w:gridSpan w:val="5"/>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□采购人代表□采购代理□供应商代表</w:t>
            </w:r>
          </w:p>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□监督人员□评审专家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2" w:type="dxa"/>
            <w:gridSpan w:val="6"/>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参加：□磋商□评审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3" w:type="dxa"/>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项目名称</w:t>
            </w:r>
          </w:p>
        </w:tc>
        <w:tc>
          <w:tcPr>
            <w:tcW w:w="7509" w:type="dxa"/>
            <w:gridSpan w:val="5"/>
          </w:tcPr>
          <w:p>
            <w:pPr>
              <w:spacing w:line="500" w:lineRule="exact"/>
              <w:jc w:val="center"/>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2" w:type="dxa"/>
            <w:gridSpan w:val="6"/>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2" w:type="dxa"/>
            <w:gridSpan w:val="6"/>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有无发热、乏力、干咳、气促情况□有□无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2" w:type="dxa"/>
            <w:gridSpan w:val="6"/>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是否在 2022 年  月  日后来自（或途径）疫情重点地区</w:t>
            </w:r>
          </w:p>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□否□是，到达时间为：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72" w:type="dxa"/>
            <w:gridSpan w:val="6"/>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2022年  月  日至今是否离开过内蒙古□否□是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2" w:type="dxa"/>
            <w:gridSpan w:val="6"/>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2022年  月  日至今是否有与来自疫情重点地区人员接触情况□否□是</w:t>
            </w:r>
          </w:p>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接触时间为：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9972" w:type="dxa"/>
            <w:gridSpan w:val="6"/>
          </w:tcPr>
          <w:p>
            <w:pPr>
              <w:spacing w:line="5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本人承诺以上信息真实准确。如有不实，愿承担由此引起的一切后果及法律责任。</w:t>
            </w:r>
          </w:p>
          <w:p>
            <w:pPr>
              <w:spacing w:line="500" w:lineRule="exact"/>
              <w:rPr>
                <w:rFonts w:hint="eastAsia" w:ascii="宋体" w:hAnsi="宋体" w:eastAsia="宋体" w:cs="宋体"/>
                <w:bCs/>
                <w:sz w:val="24"/>
                <w:highlight w:val="none"/>
              </w:rPr>
            </w:pPr>
            <w:r>
              <w:rPr>
                <w:rFonts w:hint="eastAsia" w:ascii="宋体" w:hAnsi="宋体" w:eastAsia="宋体" w:cs="宋体"/>
                <w:bCs/>
                <w:sz w:val="24"/>
                <w:highlight w:val="none"/>
              </w:rPr>
              <w:t>申报人（签名）：</w:t>
            </w:r>
          </w:p>
          <w:p>
            <w:pPr>
              <w:pStyle w:val="18"/>
              <w:rPr>
                <w:rFonts w:hint="eastAsia" w:ascii="宋体" w:hAnsi="宋体" w:eastAsia="宋体" w:cs="宋体"/>
                <w:highlight w:val="none"/>
              </w:rPr>
            </w:pPr>
          </w:p>
          <w:p>
            <w:pPr>
              <w:spacing w:line="500" w:lineRule="exact"/>
              <w:ind w:firstLine="6480" w:firstLineChars="2700"/>
              <w:rPr>
                <w:rFonts w:hint="eastAsia" w:ascii="宋体" w:hAnsi="宋体" w:eastAsia="宋体" w:cs="宋体"/>
                <w:bCs/>
                <w:sz w:val="24"/>
                <w:highlight w:val="none"/>
              </w:rPr>
            </w:pPr>
            <w:r>
              <w:rPr>
                <w:rFonts w:hint="eastAsia" w:ascii="宋体" w:hAnsi="宋体" w:eastAsia="宋体" w:cs="宋体"/>
                <w:bCs/>
                <w:sz w:val="24"/>
                <w:highlight w:val="none"/>
              </w:rPr>
              <w:t>日期：</w:t>
            </w:r>
          </w:p>
          <w:p>
            <w:pPr>
              <w:spacing w:line="500" w:lineRule="exact"/>
              <w:ind w:firstLine="6480" w:firstLineChars="2700"/>
              <w:rPr>
                <w:rFonts w:hint="eastAsia" w:ascii="宋体" w:hAnsi="宋体" w:eastAsia="宋体" w:cs="宋体"/>
                <w:bCs/>
                <w:sz w:val="24"/>
                <w:highlight w:val="none"/>
              </w:rPr>
            </w:pPr>
            <w:r>
              <w:rPr>
                <w:rFonts w:hint="eastAsia" w:ascii="宋体" w:hAnsi="宋体" w:eastAsia="宋体" w:cs="宋体"/>
                <w:bCs/>
                <w:sz w:val="24"/>
                <w:highlight w:val="none"/>
              </w:rPr>
              <w:t>所在单位（公章）：</w:t>
            </w:r>
          </w:p>
        </w:tc>
      </w:tr>
    </w:tbl>
    <w:p>
      <w:pPr>
        <w:spacing w:line="500" w:lineRule="exact"/>
        <w:rPr>
          <w:rFonts w:hint="eastAsia" w:ascii="宋体" w:hAnsi="宋体" w:eastAsia="宋体" w:cs="宋体"/>
          <w:bCs/>
          <w:szCs w:val="21"/>
          <w:highlight w:val="none"/>
        </w:rPr>
      </w:pPr>
      <w:r>
        <w:rPr>
          <w:rFonts w:hint="eastAsia" w:ascii="宋体" w:hAnsi="宋体" w:eastAsia="宋体" w:cs="宋体"/>
          <w:bCs/>
          <w:szCs w:val="21"/>
          <w:highlight w:val="none"/>
        </w:rPr>
        <w:t>注：存在瞒报或审查不严的，一经发现将严肃处理，并报有关部门依法追究责任。</w:t>
      </w:r>
    </w:p>
    <w:p>
      <w:pPr>
        <w:spacing w:line="360" w:lineRule="auto"/>
        <w:rPr>
          <w:rFonts w:hint="eastAsia" w:ascii="宋体" w:hAnsi="宋体" w:eastAsia="宋体" w:cs="宋体"/>
          <w:sz w:val="24"/>
          <w:highlight w:val="none"/>
        </w:rPr>
      </w:pPr>
    </w:p>
    <w:sectPr>
      <w:headerReference r:id="rId5" w:type="default"/>
      <w:footerReference r:id="rId6" w:type="default"/>
      <w:pgSz w:w="11850" w:h="16783"/>
      <w:pgMar w:top="1366" w:right="1701" w:bottom="1366" w:left="1701" w:header="851" w:footer="992" w:gutter="0"/>
      <w:pgNumType w:start="1"/>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6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7"/>
                          </w:pPr>
                          <w:r>
                            <w:fldChar w:fldCharType="begin"/>
                          </w:r>
                          <w:r>
                            <w:instrText xml:space="preserve"> PAGE  \* MERGEFORMAT </w:instrText>
                          </w:r>
                          <w:r>
                            <w:fldChar w:fldCharType="separate"/>
                          </w:r>
                          <w:r>
                            <w:t>86</w:t>
                          </w:r>
                          <w:r>
                            <w:fldChar w:fldCharType="end"/>
                          </w:r>
                        </w:p>
                      </w:txbxContent>
                    </wps:txbx>
                    <wps:bodyPr wrap="none" lIns="0" tIns="0" rIns="0" bIns="0" upright="1">
                      <a:spAutoFit/>
                    </wps:bodyPr>
                  </wps:wsp>
                </a:graphicData>
              </a:graphic>
            </wp:anchor>
          </w:drawing>
        </mc:Choice>
        <mc:Fallback>
          <w:pict>
            <v:shape id="文本框 65"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5X5J0AAAAAMBAAAPAAAAAAAAAAEAIAAAACIAAABk&#10;cnMvZG93bnJldi54bWxQSwECFAAUAAAACACHTuJAKZZtK9UBAACmAwAADgAAAAAAAAABACAAAAAf&#10;AQAAZHJzL2Uyb0RvYy54bWxQSwUGAAAAAAYABgBZAQAAZg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86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distribu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FDED3"/>
    <w:multiLevelType w:val="singleLevel"/>
    <w:tmpl w:val="CF6FDED3"/>
    <w:lvl w:ilvl="0" w:tentative="0">
      <w:start w:val="1"/>
      <w:numFmt w:val="decimal"/>
      <w:suff w:val="nothing"/>
      <w:lvlText w:val="%1"/>
      <w:lvlJc w:val="left"/>
      <w:pPr>
        <w:tabs>
          <w:tab w:val="left" w:pos="0"/>
        </w:tabs>
      </w:pPr>
      <w:rPr>
        <w:rFonts w:hint="default" w:ascii="宋体" w:hAnsi="宋体" w:eastAsia="宋体" w:cs="宋体"/>
      </w:rPr>
    </w:lvl>
  </w:abstractNum>
  <w:abstractNum w:abstractNumId="1">
    <w:nsid w:val="DDC49B23"/>
    <w:multiLevelType w:val="singleLevel"/>
    <w:tmpl w:val="DDC49B23"/>
    <w:lvl w:ilvl="0" w:tentative="0">
      <w:start w:val="1"/>
      <w:numFmt w:val="decimal"/>
      <w:suff w:val="nothing"/>
      <w:lvlText w:val="%1"/>
      <w:lvlJc w:val="left"/>
      <w:pPr>
        <w:tabs>
          <w:tab w:val="left" w:pos="0"/>
        </w:tabs>
      </w:pPr>
      <w:rPr>
        <w:rFonts w:hint="default" w:ascii="宋体" w:hAnsi="宋体" w:eastAsia="宋体" w:cs="宋体"/>
      </w:rPr>
    </w:lvl>
  </w:abstractNum>
  <w:abstractNum w:abstractNumId="2">
    <w:nsid w:val="0B783161"/>
    <w:multiLevelType w:val="singleLevel"/>
    <w:tmpl w:val="0B783161"/>
    <w:lvl w:ilvl="0" w:tentative="0">
      <w:start w:val="1"/>
      <w:numFmt w:val="decimal"/>
      <w:suff w:val="nothing"/>
      <w:lvlText w:val="%1"/>
      <w:lvlJc w:val="left"/>
      <w:pPr>
        <w:tabs>
          <w:tab w:val="left" w:pos="0"/>
        </w:tabs>
      </w:pPr>
      <w:rPr>
        <w:rFonts w:hint="default" w:ascii="宋体" w:hAnsi="宋体" w:eastAsia="宋体" w:cs="宋体"/>
      </w:rPr>
    </w:lvl>
  </w:abstractNum>
  <w:abstractNum w:abstractNumId="3">
    <w:nsid w:val="5655E24C"/>
    <w:multiLevelType w:val="singleLevel"/>
    <w:tmpl w:val="5655E24C"/>
    <w:lvl w:ilvl="0" w:tentative="0">
      <w:start w:val="1"/>
      <w:numFmt w:val="decimal"/>
      <w:suff w:val="nothing"/>
      <w:lvlText w:val="%1、"/>
      <w:lvlJc w:val="left"/>
    </w:lvl>
  </w:abstractNum>
  <w:abstractNum w:abstractNumId="4">
    <w:nsid w:val="597B8E0F"/>
    <w:multiLevelType w:val="singleLevel"/>
    <w:tmpl w:val="597B8E0F"/>
    <w:lvl w:ilvl="0" w:tentative="0">
      <w:start w:val="7"/>
      <w:numFmt w:val="chineseCounting"/>
      <w:suff w:val="nothing"/>
      <w:lvlText w:val="%1、"/>
      <w:lvlJc w:val="left"/>
      <w:rPr>
        <w:rFonts w:hint="eastAsia"/>
      </w:rPr>
    </w:lvl>
  </w:abstractNum>
  <w:abstractNum w:abstractNumId="5">
    <w:nsid w:val="78693A0E"/>
    <w:multiLevelType w:val="singleLevel"/>
    <w:tmpl w:val="78693A0E"/>
    <w:lvl w:ilvl="0" w:tentative="0">
      <w:start w:val="1"/>
      <w:numFmt w:val="decimal"/>
      <w:suff w:val="nothing"/>
      <w:lvlText w:val="%1"/>
      <w:lvlJc w:val="left"/>
      <w:pPr>
        <w:tabs>
          <w:tab w:val="left" w:pos="0"/>
        </w:tabs>
      </w:pPr>
      <w:rPr>
        <w:rFonts w:hint="default" w:ascii="宋体" w:hAnsi="宋体" w:eastAsia="宋体" w:cs="宋体"/>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OGI1NTlmN2Y5OWZjMWYyOTNmMzZkNWEwZGIyZjQifQ=="/>
  </w:docVars>
  <w:rsids>
    <w:rsidRoot w:val="00500281"/>
    <w:rsid w:val="00000206"/>
    <w:rsid w:val="0000090B"/>
    <w:rsid w:val="00001873"/>
    <w:rsid w:val="00003E6C"/>
    <w:rsid w:val="00004098"/>
    <w:rsid w:val="00004944"/>
    <w:rsid w:val="00004DC4"/>
    <w:rsid w:val="00005D10"/>
    <w:rsid w:val="0000691F"/>
    <w:rsid w:val="00006BFD"/>
    <w:rsid w:val="000071C5"/>
    <w:rsid w:val="000075B5"/>
    <w:rsid w:val="000076D7"/>
    <w:rsid w:val="0001103F"/>
    <w:rsid w:val="00011242"/>
    <w:rsid w:val="000139DF"/>
    <w:rsid w:val="000142CD"/>
    <w:rsid w:val="00015248"/>
    <w:rsid w:val="00015C72"/>
    <w:rsid w:val="00016792"/>
    <w:rsid w:val="000175DE"/>
    <w:rsid w:val="00020D80"/>
    <w:rsid w:val="00021F2D"/>
    <w:rsid w:val="00024325"/>
    <w:rsid w:val="00024639"/>
    <w:rsid w:val="00024D27"/>
    <w:rsid w:val="00026E3B"/>
    <w:rsid w:val="00026F2F"/>
    <w:rsid w:val="00027F9F"/>
    <w:rsid w:val="000313C2"/>
    <w:rsid w:val="00032282"/>
    <w:rsid w:val="000328F7"/>
    <w:rsid w:val="00034250"/>
    <w:rsid w:val="000370C5"/>
    <w:rsid w:val="0003776A"/>
    <w:rsid w:val="00037A9C"/>
    <w:rsid w:val="000403E8"/>
    <w:rsid w:val="00040F33"/>
    <w:rsid w:val="00042793"/>
    <w:rsid w:val="000429F2"/>
    <w:rsid w:val="00043C3E"/>
    <w:rsid w:val="00044015"/>
    <w:rsid w:val="00044D2C"/>
    <w:rsid w:val="00044F2B"/>
    <w:rsid w:val="0004733D"/>
    <w:rsid w:val="00047EFE"/>
    <w:rsid w:val="000501DC"/>
    <w:rsid w:val="000504D9"/>
    <w:rsid w:val="00051A1C"/>
    <w:rsid w:val="00052343"/>
    <w:rsid w:val="000527A1"/>
    <w:rsid w:val="000528D8"/>
    <w:rsid w:val="00052A05"/>
    <w:rsid w:val="00053FE0"/>
    <w:rsid w:val="000547D8"/>
    <w:rsid w:val="00055D49"/>
    <w:rsid w:val="0005651E"/>
    <w:rsid w:val="00056FEE"/>
    <w:rsid w:val="000573BA"/>
    <w:rsid w:val="00057E33"/>
    <w:rsid w:val="0006144D"/>
    <w:rsid w:val="00062B34"/>
    <w:rsid w:val="00063CF6"/>
    <w:rsid w:val="00065D69"/>
    <w:rsid w:val="000666D9"/>
    <w:rsid w:val="00067F5C"/>
    <w:rsid w:val="00067FED"/>
    <w:rsid w:val="0007049D"/>
    <w:rsid w:val="00072D57"/>
    <w:rsid w:val="00072DD0"/>
    <w:rsid w:val="000736F5"/>
    <w:rsid w:val="00074ABE"/>
    <w:rsid w:val="00075732"/>
    <w:rsid w:val="000773E9"/>
    <w:rsid w:val="00077B76"/>
    <w:rsid w:val="00080719"/>
    <w:rsid w:val="00080C0B"/>
    <w:rsid w:val="0008101F"/>
    <w:rsid w:val="0008118A"/>
    <w:rsid w:val="00081D9E"/>
    <w:rsid w:val="0008232B"/>
    <w:rsid w:val="0008370F"/>
    <w:rsid w:val="00084F86"/>
    <w:rsid w:val="00085149"/>
    <w:rsid w:val="000854E0"/>
    <w:rsid w:val="00086130"/>
    <w:rsid w:val="00086516"/>
    <w:rsid w:val="00090E2B"/>
    <w:rsid w:val="00092344"/>
    <w:rsid w:val="000931F8"/>
    <w:rsid w:val="0009373D"/>
    <w:rsid w:val="000943CC"/>
    <w:rsid w:val="00095275"/>
    <w:rsid w:val="00096002"/>
    <w:rsid w:val="00096131"/>
    <w:rsid w:val="0009635D"/>
    <w:rsid w:val="00096A98"/>
    <w:rsid w:val="00097151"/>
    <w:rsid w:val="0009720E"/>
    <w:rsid w:val="00097DEF"/>
    <w:rsid w:val="000A3058"/>
    <w:rsid w:val="000A3686"/>
    <w:rsid w:val="000A3A4B"/>
    <w:rsid w:val="000A3DA2"/>
    <w:rsid w:val="000A4D4E"/>
    <w:rsid w:val="000A4EE7"/>
    <w:rsid w:val="000A5270"/>
    <w:rsid w:val="000A6375"/>
    <w:rsid w:val="000B1098"/>
    <w:rsid w:val="000B21B5"/>
    <w:rsid w:val="000B2290"/>
    <w:rsid w:val="000B2734"/>
    <w:rsid w:val="000B3996"/>
    <w:rsid w:val="000B3B2D"/>
    <w:rsid w:val="000B3F23"/>
    <w:rsid w:val="000B429E"/>
    <w:rsid w:val="000B4673"/>
    <w:rsid w:val="000B48B9"/>
    <w:rsid w:val="000B6441"/>
    <w:rsid w:val="000B72DE"/>
    <w:rsid w:val="000B7443"/>
    <w:rsid w:val="000C0530"/>
    <w:rsid w:val="000C16F4"/>
    <w:rsid w:val="000C1988"/>
    <w:rsid w:val="000C1EF1"/>
    <w:rsid w:val="000C270D"/>
    <w:rsid w:val="000C3045"/>
    <w:rsid w:val="000C36F3"/>
    <w:rsid w:val="000C665B"/>
    <w:rsid w:val="000C674D"/>
    <w:rsid w:val="000C686A"/>
    <w:rsid w:val="000C687F"/>
    <w:rsid w:val="000C757D"/>
    <w:rsid w:val="000C7E7D"/>
    <w:rsid w:val="000D0CD2"/>
    <w:rsid w:val="000D129A"/>
    <w:rsid w:val="000D22D2"/>
    <w:rsid w:val="000D24BE"/>
    <w:rsid w:val="000D2C8E"/>
    <w:rsid w:val="000D4E6E"/>
    <w:rsid w:val="000D75ED"/>
    <w:rsid w:val="000D7879"/>
    <w:rsid w:val="000E0489"/>
    <w:rsid w:val="000E07C7"/>
    <w:rsid w:val="000E0CE9"/>
    <w:rsid w:val="000E121F"/>
    <w:rsid w:val="000E29ED"/>
    <w:rsid w:val="000E3309"/>
    <w:rsid w:val="000E383D"/>
    <w:rsid w:val="000E3C75"/>
    <w:rsid w:val="000E5F95"/>
    <w:rsid w:val="000E7932"/>
    <w:rsid w:val="000E7F13"/>
    <w:rsid w:val="000F031E"/>
    <w:rsid w:val="000F134C"/>
    <w:rsid w:val="000F2B93"/>
    <w:rsid w:val="000F3033"/>
    <w:rsid w:val="000F44B3"/>
    <w:rsid w:val="000F4608"/>
    <w:rsid w:val="000F4D6A"/>
    <w:rsid w:val="000F55F0"/>
    <w:rsid w:val="000F7535"/>
    <w:rsid w:val="000F77ED"/>
    <w:rsid w:val="000F79C8"/>
    <w:rsid w:val="001004B0"/>
    <w:rsid w:val="00100CD7"/>
    <w:rsid w:val="001014F6"/>
    <w:rsid w:val="0010375D"/>
    <w:rsid w:val="001039B9"/>
    <w:rsid w:val="00103F78"/>
    <w:rsid w:val="0010467B"/>
    <w:rsid w:val="00104BCC"/>
    <w:rsid w:val="001056E2"/>
    <w:rsid w:val="0010603D"/>
    <w:rsid w:val="00106DF9"/>
    <w:rsid w:val="00107BBA"/>
    <w:rsid w:val="00110AE0"/>
    <w:rsid w:val="00111984"/>
    <w:rsid w:val="00112659"/>
    <w:rsid w:val="0011302F"/>
    <w:rsid w:val="0011378A"/>
    <w:rsid w:val="001170F0"/>
    <w:rsid w:val="0011737E"/>
    <w:rsid w:val="00117A3C"/>
    <w:rsid w:val="00117B82"/>
    <w:rsid w:val="00122548"/>
    <w:rsid w:val="0012321D"/>
    <w:rsid w:val="00123B77"/>
    <w:rsid w:val="00124FCA"/>
    <w:rsid w:val="00126720"/>
    <w:rsid w:val="0013025F"/>
    <w:rsid w:val="00131395"/>
    <w:rsid w:val="00132B31"/>
    <w:rsid w:val="00133A28"/>
    <w:rsid w:val="00133BF3"/>
    <w:rsid w:val="00134142"/>
    <w:rsid w:val="00134431"/>
    <w:rsid w:val="001352ED"/>
    <w:rsid w:val="00135AFD"/>
    <w:rsid w:val="00136DAC"/>
    <w:rsid w:val="0013753E"/>
    <w:rsid w:val="00137971"/>
    <w:rsid w:val="00137F4F"/>
    <w:rsid w:val="00140382"/>
    <w:rsid w:val="00140C5F"/>
    <w:rsid w:val="00140DF6"/>
    <w:rsid w:val="00140E80"/>
    <w:rsid w:val="001419F5"/>
    <w:rsid w:val="00141E7C"/>
    <w:rsid w:val="00142E13"/>
    <w:rsid w:val="00144048"/>
    <w:rsid w:val="00144A41"/>
    <w:rsid w:val="00144A52"/>
    <w:rsid w:val="00145276"/>
    <w:rsid w:val="001456A3"/>
    <w:rsid w:val="00145F3E"/>
    <w:rsid w:val="001463D2"/>
    <w:rsid w:val="00147197"/>
    <w:rsid w:val="00147D15"/>
    <w:rsid w:val="001505B1"/>
    <w:rsid w:val="00150A1F"/>
    <w:rsid w:val="00151101"/>
    <w:rsid w:val="0015160E"/>
    <w:rsid w:val="00151B8D"/>
    <w:rsid w:val="00151E14"/>
    <w:rsid w:val="00151F59"/>
    <w:rsid w:val="001539B5"/>
    <w:rsid w:val="00155CA8"/>
    <w:rsid w:val="00156BD8"/>
    <w:rsid w:val="0015754A"/>
    <w:rsid w:val="00157886"/>
    <w:rsid w:val="00157AC3"/>
    <w:rsid w:val="00157DD0"/>
    <w:rsid w:val="00160433"/>
    <w:rsid w:val="001608CD"/>
    <w:rsid w:val="001610BA"/>
    <w:rsid w:val="001612B1"/>
    <w:rsid w:val="00163520"/>
    <w:rsid w:val="00163587"/>
    <w:rsid w:val="0016582A"/>
    <w:rsid w:val="001659E8"/>
    <w:rsid w:val="00167384"/>
    <w:rsid w:val="00170AB5"/>
    <w:rsid w:val="001767AA"/>
    <w:rsid w:val="0018029B"/>
    <w:rsid w:val="00180359"/>
    <w:rsid w:val="001813CF"/>
    <w:rsid w:val="001829C1"/>
    <w:rsid w:val="00183CDA"/>
    <w:rsid w:val="001844D0"/>
    <w:rsid w:val="00185183"/>
    <w:rsid w:val="00185D2B"/>
    <w:rsid w:val="00185DF9"/>
    <w:rsid w:val="0018772F"/>
    <w:rsid w:val="00187DED"/>
    <w:rsid w:val="00187F64"/>
    <w:rsid w:val="00191030"/>
    <w:rsid w:val="0019118E"/>
    <w:rsid w:val="00192211"/>
    <w:rsid w:val="00192608"/>
    <w:rsid w:val="00193785"/>
    <w:rsid w:val="001955E3"/>
    <w:rsid w:val="00196160"/>
    <w:rsid w:val="0019664F"/>
    <w:rsid w:val="001968DF"/>
    <w:rsid w:val="00196C28"/>
    <w:rsid w:val="00196C93"/>
    <w:rsid w:val="00197C04"/>
    <w:rsid w:val="001A035B"/>
    <w:rsid w:val="001A1C55"/>
    <w:rsid w:val="001A3ECB"/>
    <w:rsid w:val="001A4B6D"/>
    <w:rsid w:val="001A536C"/>
    <w:rsid w:val="001A5399"/>
    <w:rsid w:val="001A650C"/>
    <w:rsid w:val="001B01A4"/>
    <w:rsid w:val="001B022C"/>
    <w:rsid w:val="001B0285"/>
    <w:rsid w:val="001B0820"/>
    <w:rsid w:val="001B37C3"/>
    <w:rsid w:val="001B41EF"/>
    <w:rsid w:val="001B420C"/>
    <w:rsid w:val="001B43B3"/>
    <w:rsid w:val="001B6E89"/>
    <w:rsid w:val="001B71BB"/>
    <w:rsid w:val="001B767A"/>
    <w:rsid w:val="001C0400"/>
    <w:rsid w:val="001C109B"/>
    <w:rsid w:val="001C16B8"/>
    <w:rsid w:val="001C1A4F"/>
    <w:rsid w:val="001C2805"/>
    <w:rsid w:val="001C2A9E"/>
    <w:rsid w:val="001C2AEA"/>
    <w:rsid w:val="001C6E9C"/>
    <w:rsid w:val="001C7AA6"/>
    <w:rsid w:val="001C7CA2"/>
    <w:rsid w:val="001D183A"/>
    <w:rsid w:val="001D301F"/>
    <w:rsid w:val="001D4508"/>
    <w:rsid w:val="001D46B1"/>
    <w:rsid w:val="001D58EC"/>
    <w:rsid w:val="001D600E"/>
    <w:rsid w:val="001D61BC"/>
    <w:rsid w:val="001D68DF"/>
    <w:rsid w:val="001D7F0F"/>
    <w:rsid w:val="001E017E"/>
    <w:rsid w:val="001E0192"/>
    <w:rsid w:val="001E08F4"/>
    <w:rsid w:val="001E11BC"/>
    <w:rsid w:val="001E178C"/>
    <w:rsid w:val="001E20B5"/>
    <w:rsid w:val="001E377D"/>
    <w:rsid w:val="001E3ED3"/>
    <w:rsid w:val="001E461F"/>
    <w:rsid w:val="001E49F0"/>
    <w:rsid w:val="001E4E38"/>
    <w:rsid w:val="001E5A95"/>
    <w:rsid w:val="001E60D7"/>
    <w:rsid w:val="001E619A"/>
    <w:rsid w:val="001F0AB8"/>
    <w:rsid w:val="001F1301"/>
    <w:rsid w:val="001F14CD"/>
    <w:rsid w:val="001F1E75"/>
    <w:rsid w:val="001F21D4"/>
    <w:rsid w:val="001F2628"/>
    <w:rsid w:val="001F2A07"/>
    <w:rsid w:val="001F2B19"/>
    <w:rsid w:val="001F2B63"/>
    <w:rsid w:val="001F4043"/>
    <w:rsid w:val="001F419A"/>
    <w:rsid w:val="001F41EF"/>
    <w:rsid w:val="001F4670"/>
    <w:rsid w:val="001F4D92"/>
    <w:rsid w:val="001F5D49"/>
    <w:rsid w:val="001F60F2"/>
    <w:rsid w:val="001F6EF0"/>
    <w:rsid w:val="001F75C3"/>
    <w:rsid w:val="001F7A3D"/>
    <w:rsid w:val="001F7B7E"/>
    <w:rsid w:val="001F7D4E"/>
    <w:rsid w:val="0020152B"/>
    <w:rsid w:val="00201E0E"/>
    <w:rsid w:val="00201F86"/>
    <w:rsid w:val="00206C33"/>
    <w:rsid w:val="00207090"/>
    <w:rsid w:val="0020734A"/>
    <w:rsid w:val="00207352"/>
    <w:rsid w:val="00207ECF"/>
    <w:rsid w:val="00210829"/>
    <w:rsid w:val="00212E20"/>
    <w:rsid w:val="00213297"/>
    <w:rsid w:val="00214968"/>
    <w:rsid w:val="00215507"/>
    <w:rsid w:val="00216406"/>
    <w:rsid w:val="00216563"/>
    <w:rsid w:val="00216979"/>
    <w:rsid w:val="00216C03"/>
    <w:rsid w:val="00216D7B"/>
    <w:rsid w:val="0021777B"/>
    <w:rsid w:val="00217B27"/>
    <w:rsid w:val="00222065"/>
    <w:rsid w:val="0022221E"/>
    <w:rsid w:val="002223BC"/>
    <w:rsid w:val="00223874"/>
    <w:rsid w:val="002241F2"/>
    <w:rsid w:val="00224C19"/>
    <w:rsid w:val="00226369"/>
    <w:rsid w:val="002278B3"/>
    <w:rsid w:val="002279EA"/>
    <w:rsid w:val="00227CB8"/>
    <w:rsid w:val="00227ED2"/>
    <w:rsid w:val="0023082A"/>
    <w:rsid w:val="00231398"/>
    <w:rsid w:val="002313CC"/>
    <w:rsid w:val="00231A19"/>
    <w:rsid w:val="002320B4"/>
    <w:rsid w:val="0023217A"/>
    <w:rsid w:val="00232B76"/>
    <w:rsid w:val="00233CD6"/>
    <w:rsid w:val="00234DFA"/>
    <w:rsid w:val="00234EC4"/>
    <w:rsid w:val="0023661A"/>
    <w:rsid w:val="00240FA6"/>
    <w:rsid w:val="002418BC"/>
    <w:rsid w:val="00241E59"/>
    <w:rsid w:val="00242420"/>
    <w:rsid w:val="00243FA4"/>
    <w:rsid w:val="0024420E"/>
    <w:rsid w:val="002454F7"/>
    <w:rsid w:val="00245B46"/>
    <w:rsid w:val="00245CA0"/>
    <w:rsid w:val="00245D2A"/>
    <w:rsid w:val="00245E2B"/>
    <w:rsid w:val="00245FB9"/>
    <w:rsid w:val="00246C7C"/>
    <w:rsid w:val="00246E7A"/>
    <w:rsid w:val="00250CEA"/>
    <w:rsid w:val="0025167C"/>
    <w:rsid w:val="00251A33"/>
    <w:rsid w:val="00252C85"/>
    <w:rsid w:val="00253F30"/>
    <w:rsid w:val="00254769"/>
    <w:rsid w:val="00255A02"/>
    <w:rsid w:val="002615D7"/>
    <w:rsid w:val="00263246"/>
    <w:rsid w:val="00263EE9"/>
    <w:rsid w:val="002641BC"/>
    <w:rsid w:val="002653BF"/>
    <w:rsid w:val="002666FB"/>
    <w:rsid w:val="00266BFA"/>
    <w:rsid w:val="00266FDD"/>
    <w:rsid w:val="002671E6"/>
    <w:rsid w:val="00267DA6"/>
    <w:rsid w:val="00267E5D"/>
    <w:rsid w:val="002708FD"/>
    <w:rsid w:val="002710AC"/>
    <w:rsid w:val="002711C7"/>
    <w:rsid w:val="00272B0D"/>
    <w:rsid w:val="002734A0"/>
    <w:rsid w:val="00274056"/>
    <w:rsid w:val="002740CD"/>
    <w:rsid w:val="002741FF"/>
    <w:rsid w:val="0027613E"/>
    <w:rsid w:val="00276E91"/>
    <w:rsid w:val="00280AED"/>
    <w:rsid w:val="0028271F"/>
    <w:rsid w:val="00282A03"/>
    <w:rsid w:val="002842B9"/>
    <w:rsid w:val="00286C91"/>
    <w:rsid w:val="00287E10"/>
    <w:rsid w:val="00287E4C"/>
    <w:rsid w:val="002903C9"/>
    <w:rsid w:val="002904A2"/>
    <w:rsid w:val="00291513"/>
    <w:rsid w:val="00292E7C"/>
    <w:rsid w:val="00293160"/>
    <w:rsid w:val="0029382C"/>
    <w:rsid w:val="002941A7"/>
    <w:rsid w:val="00294296"/>
    <w:rsid w:val="002947AA"/>
    <w:rsid w:val="00295249"/>
    <w:rsid w:val="00296F29"/>
    <w:rsid w:val="002A0763"/>
    <w:rsid w:val="002A132F"/>
    <w:rsid w:val="002A1E87"/>
    <w:rsid w:val="002A3272"/>
    <w:rsid w:val="002A346D"/>
    <w:rsid w:val="002A4441"/>
    <w:rsid w:val="002A55AE"/>
    <w:rsid w:val="002A56B7"/>
    <w:rsid w:val="002A6675"/>
    <w:rsid w:val="002A707F"/>
    <w:rsid w:val="002A74D9"/>
    <w:rsid w:val="002A7BF2"/>
    <w:rsid w:val="002A7E32"/>
    <w:rsid w:val="002A7FD0"/>
    <w:rsid w:val="002B0680"/>
    <w:rsid w:val="002B0FBB"/>
    <w:rsid w:val="002B1472"/>
    <w:rsid w:val="002B2178"/>
    <w:rsid w:val="002B21EE"/>
    <w:rsid w:val="002B25D3"/>
    <w:rsid w:val="002B2900"/>
    <w:rsid w:val="002B30A2"/>
    <w:rsid w:val="002B3385"/>
    <w:rsid w:val="002B3BDE"/>
    <w:rsid w:val="002B3D0F"/>
    <w:rsid w:val="002B3EF2"/>
    <w:rsid w:val="002B521C"/>
    <w:rsid w:val="002B5331"/>
    <w:rsid w:val="002B5AA3"/>
    <w:rsid w:val="002C0ACF"/>
    <w:rsid w:val="002C1E92"/>
    <w:rsid w:val="002C1EC3"/>
    <w:rsid w:val="002C25F5"/>
    <w:rsid w:val="002C2EB7"/>
    <w:rsid w:val="002C32D4"/>
    <w:rsid w:val="002C3DE4"/>
    <w:rsid w:val="002C4354"/>
    <w:rsid w:val="002C4B4B"/>
    <w:rsid w:val="002C569F"/>
    <w:rsid w:val="002C6A1C"/>
    <w:rsid w:val="002C6AB4"/>
    <w:rsid w:val="002D0656"/>
    <w:rsid w:val="002D0FDE"/>
    <w:rsid w:val="002D107A"/>
    <w:rsid w:val="002D13D9"/>
    <w:rsid w:val="002D18A4"/>
    <w:rsid w:val="002D26DC"/>
    <w:rsid w:val="002D2FD4"/>
    <w:rsid w:val="002D3372"/>
    <w:rsid w:val="002D38B2"/>
    <w:rsid w:val="002D3F47"/>
    <w:rsid w:val="002D57A1"/>
    <w:rsid w:val="002D631E"/>
    <w:rsid w:val="002D6F81"/>
    <w:rsid w:val="002D73F5"/>
    <w:rsid w:val="002D7B18"/>
    <w:rsid w:val="002E0469"/>
    <w:rsid w:val="002E174D"/>
    <w:rsid w:val="002E21BF"/>
    <w:rsid w:val="002E2A4E"/>
    <w:rsid w:val="002E30CD"/>
    <w:rsid w:val="002E33F4"/>
    <w:rsid w:val="002E39E5"/>
    <w:rsid w:val="002E4BCB"/>
    <w:rsid w:val="002E4D37"/>
    <w:rsid w:val="002E581E"/>
    <w:rsid w:val="002E5DBF"/>
    <w:rsid w:val="002E6796"/>
    <w:rsid w:val="002E6EB5"/>
    <w:rsid w:val="002F06EA"/>
    <w:rsid w:val="002F0F1E"/>
    <w:rsid w:val="002F1150"/>
    <w:rsid w:val="002F1D2E"/>
    <w:rsid w:val="002F2066"/>
    <w:rsid w:val="002F21CD"/>
    <w:rsid w:val="002F5723"/>
    <w:rsid w:val="002F5801"/>
    <w:rsid w:val="002F62AD"/>
    <w:rsid w:val="002F6930"/>
    <w:rsid w:val="002F71F2"/>
    <w:rsid w:val="002F7D74"/>
    <w:rsid w:val="00300671"/>
    <w:rsid w:val="00300829"/>
    <w:rsid w:val="003008A0"/>
    <w:rsid w:val="003009C3"/>
    <w:rsid w:val="0030121F"/>
    <w:rsid w:val="003021E5"/>
    <w:rsid w:val="0030292D"/>
    <w:rsid w:val="00302A1B"/>
    <w:rsid w:val="0030330F"/>
    <w:rsid w:val="00304E18"/>
    <w:rsid w:val="003050D2"/>
    <w:rsid w:val="00307689"/>
    <w:rsid w:val="00310250"/>
    <w:rsid w:val="003104BC"/>
    <w:rsid w:val="00311463"/>
    <w:rsid w:val="00313991"/>
    <w:rsid w:val="00314D00"/>
    <w:rsid w:val="00315E22"/>
    <w:rsid w:val="0031633A"/>
    <w:rsid w:val="00320BEA"/>
    <w:rsid w:val="00321698"/>
    <w:rsid w:val="00322113"/>
    <w:rsid w:val="0032243E"/>
    <w:rsid w:val="00322888"/>
    <w:rsid w:val="003238E7"/>
    <w:rsid w:val="00323C42"/>
    <w:rsid w:val="00324633"/>
    <w:rsid w:val="0032546D"/>
    <w:rsid w:val="00326E3E"/>
    <w:rsid w:val="00331555"/>
    <w:rsid w:val="00332322"/>
    <w:rsid w:val="00334138"/>
    <w:rsid w:val="00336CBC"/>
    <w:rsid w:val="00337407"/>
    <w:rsid w:val="00337439"/>
    <w:rsid w:val="00340ED0"/>
    <w:rsid w:val="0034162B"/>
    <w:rsid w:val="0034264D"/>
    <w:rsid w:val="0034374D"/>
    <w:rsid w:val="00344498"/>
    <w:rsid w:val="003448E3"/>
    <w:rsid w:val="00345CE2"/>
    <w:rsid w:val="00346299"/>
    <w:rsid w:val="0034665B"/>
    <w:rsid w:val="00346BD3"/>
    <w:rsid w:val="00347284"/>
    <w:rsid w:val="00347B2E"/>
    <w:rsid w:val="0035080F"/>
    <w:rsid w:val="0035105A"/>
    <w:rsid w:val="00351697"/>
    <w:rsid w:val="00351B25"/>
    <w:rsid w:val="00354049"/>
    <w:rsid w:val="003541CB"/>
    <w:rsid w:val="003543ED"/>
    <w:rsid w:val="003543F5"/>
    <w:rsid w:val="003566E9"/>
    <w:rsid w:val="00357D10"/>
    <w:rsid w:val="00360CAA"/>
    <w:rsid w:val="00362D09"/>
    <w:rsid w:val="003640F3"/>
    <w:rsid w:val="00364D5D"/>
    <w:rsid w:val="00364E54"/>
    <w:rsid w:val="00366251"/>
    <w:rsid w:val="003665BD"/>
    <w:rsid w:val="00366720"/>
    <w:rsid w:val="00367170"/>
    <w:rsid w:val="003672CD"/>
    <w:rsid w:val="00367BDF"/>
    <w:rsid w:val="00367EDE"/>
    <w:rsid w:val="003707C9"/>
    <w:rsid w:val="00370C98"/>
    <w:rsid w:val="00371F04"/>
    <w:rsid w:val="00373264"/>
    <w:rsid w:val="0037453B"/>
    <w:rsid w:val="00376BD8"/>
    <w:rsid w:val="003771D5"/>
    <w:rsid w:val="00380723"/>
    <w:rsid w:val="003809AA"/>
    <w:rsid w:val="00380B48"/>
    <w:rsid w:val="00382D79"/>
    <w:rsid w:val="0038406F"/>
    <w:rsid w:val="003848EC"/>
    <w:rsid w:val="003852B1"/>
    <w:rsid w:val="00385564"/>
    <w:rsid w:val="003858E1"/>
    <w:rsid w:val="00386650"/>
    <w:rsid w:val="00386838"/>
    <w:rsid w:val="00390561"/>
    <w:rsid w:val="00391110"/>
    <w:rsid w:val="0039131A"/>
    <w:rsid w:val="003915E1"/>
    <w:rsid w:val="0039261D"/>
    <w:rsid w:val="003929B5"/>
    <w:rsid w:val="00393463"/>
    <w:rsid w:val="00394473"/>
    <w:rsid w:val="003959A7"/>
    <w:rsid w:val="00395FEF"/>
    <w:rsid w:val="00396D5D"/>
    <w:rsid w:val="00397B42"/>
    <w:rsid w:val="003A05AF"/>
    <w:rsid w:val="003A1D11"/>
    <w:rsid w:val="003A2545"/>
    <w:rsid w:val="003A289A"/>
    <w:rsid w:val="003A30F6"/>
    <w:rsid w:val="003A3464"/>
    <w:rsid w:val="003A4399"/>
    <w:rsid w:val="003A44F5"/>
    <w:rsid w:val="003A450F"/>
    <w:rsid w:val="003A4E0E"/>
    <w:rsid w:val="003A5F94"/>
    <w:rsid w:val="003A63CD"/>
    <w:rsid w:val="003A65E3"/>
    <w:rsid w:val="003A6A09"/>
    <w:rsid w:val="003A6D62"/>
    <w:rsid w:val="003A722C"/>
    <w:rsid w:val="003B1434"/>
    <w:rsid w:val="003B159A"/>
    <w:rsid w:val="003B2207"/>
    <w:rsid w:val="003B2393"/>
    <w:rsid w:val="003B2550"/>
    <w:rsid w:val="003B25B2"/>
    <w:rsid w:val="003B27A5"/>
    <w:rsid w:val="003B3494"/>
    <w:rsid w:val="003B3A65"/>
    <w:rsid w:val="003B4DA7"/>
    <w:rsid w:val="003B5C48"/>
    <w:rsid w:val="003B65F8"/>
    <w:rsid w:val="003B6C5E"/>
    <w:rsid w:val="003C1801"/>
    <w:rsid w:val="003C1A79"/>
    <w:rsid w:val="003C2A4B"/>
    <w:rsid w:val="003C30ED"/>
    <w:rsid w:val="003C3782"/>
    <w:rsid w:val="003C3F08"/>
    <w:rsid w:val="003C437C"/>
    <w:rsid w:val="003C621A"/>
    <w:rsid w:val="003C675F"/>
    <w:rsid w:val="003D043E"/>
    <w:rsid w:val="003D0ACC"/>
    <w:rsid w:val="003D157E"/>
    <w:rsid w:val="003D15C7"/>
    <w:rsid w:val="003D36A6"/>
    <w:rsid w:val="003D384A"/>
    <w:rsid w:val="003D4618"/>
    <w:rsid w:val="003D465D"/>
    <w:rsid w:val="003D50E8"/>
    <w:rsid w:val="003D59DF"/>
    <w:rsid w:val="003D7B83"/>
    <w:rsid w:val="003E0BCB"/>
    <w:rsid w:val="003E0E51"/>
    <w:rsid w:val="003E1856"/>
    <w:rsid w:val="003E21B5"/>
    <w:rsid w:val="003E312C"/>
    <w:rsid w:val="003E4A27"/>
    <w:rsid w:val="003E52BC"/>
    <w:rsid w:val="003E674E"/>
    <w:rsid w:val="003E7666"/>
    <w:rsid w:val="003E7DAF"/>
    <w:rsid w:val="003E7F08"/>
    <w:rsid w:val="003E7FD9"/>
    <w:rsid w:val="003F057B"/>
    <w:rsid w:val="003F0A55"/>
    <w:rsid w:val="003F1B83"/>
    <w:rsid w:val="003F1ED7"/>
    <w:rsid w:val="003F2115"/>
    <w:rsid w:val="003F2ADE"/>
    <w:rsid w:val="003F2B59"/>
    <w:rsid w:val="003F5470"/>
    <w:rsid w:val="003F6DA7"/>
    <w:rsid w:val="00400AC1"/>
    <w:rsid w:val="00402F54"/>
    <w:rsid w:val="00403A08"/>
    <w:rsid w:val="00403BF9"/>
    <w:rsid w:val="00403CCC"/>
    <w:rsid w:val="00403F1F"/>
    <w:rsid w:val="0040482F"/>
    <w:rsid w:val="0040504D"/>
    <w:rsid w:val="00405CBC"/>
    <w:rsid w:val="004062B6"/>
    <w:rsid w:val="0040638A"/>
    <w:rsid w:val="0040686D"/>
    <w:rsid w:val="00406F11"/>
    <w:rsid w:val="004073AF"/>
    <w:rsid w:val="00407442"/>
    <w:rsid w:val="0041015A"/>
    <w:rsid w:val="00410C3E"/>
    <w:rsid w:val="00411BCE"/>
    <w:rsid w:val="00412921"/>
    <w:rsid w:val="00412983"/>
    <w:rsid w:val="00413C1A"/>
    <w:rsid w:val="004157E5"/>
    <w:rsid w:val="004162EA"/>
    <w:rsid w:val="00416350"/>
    <w:rsid w:val="0041635A"/>
    <w:rsid w:val="0041694C"/>
    <w:rsid w:val="0041762F"/>
    <w:rsid w:val="00417697"/>
    <w:rsid w:val="004200D7"/>
    <w:rsid w:val="0042035B"/>
    <w:rsid w:val="004208CA"/>
    <w:rsid w:val="004210EF"/>
    <w:rsid w:val="0042121B"/>
    <w:rsid w:val="00421776"/>
    <w:rsid w:val="004221A4"/>
    <w:rsid w:val="004221A8"/>
    <w:rsid w:val="00422230"/>
    <w:rsid w:val="00422387"/>
    <w:rsid w:val="004228E7"/>
    <w:rsid w:val="00424105"/>
    <w:rsid w:val="004242D4"/>
    <w:rsid w:val="00425FBE"/>
    <w:rsid w:val="00426C56"/>
    <w:rsid w:val="004274B3"/>
    <w:rsid w:val="00427AE6"/>
    <w:rsid w:val="00430004"/>
    <w:rsid w:val="00430777"/>
    <w:rsid w:val="00430DEE"/>
    <w:rsid w:val="0043270A"/>
    <w:rsid w:val="004328C1"/>
    <w:rsid w:val="004328CC"/>
    <w:rsid w:val="00433326"/>
    <w:rsid w:val="00434CD4"/>
    <w:rsid w:val="00434E68"/>
    <w:rsid w:val="00435783"/>
    <w:rsid w:val="0043658B"/>
    <w:rsid w:val="00436A98"/>
    <w:rsid w:val="00437AC4"/>
    <w:rsid w:val="00437F22"/>
    <w:rsid w:val="00440A65"/>
    <w:rsid w:val="0044242F"/>
    <w:rsid w:val="0044303F"/>
    <w:rsid w:val="00443939"/>
    <w:rsid w:val="004449E7"/>
    <w:rsid w:val="00447452"/>
    <w:rsid w:val="004477C6"/>
    <w:rsid w:val="00447BE0"/>
    <w:rsid w:val="004500A5"/>
    <w:rsid w:val="00450367"/>
    <w:rsid w:val="004539C9"/>
    <w:rsid w:val="0045408F"/>
    <w:rsid w:val="00454AD3"/>
    <w:rsid w:val="00455630"/>
    <w:rsid w:val="00455B38"/>
    <w:rsid w:val="00455CC6"/>
    <w:rsid w:val="004571A0"/>
    <w:rsid w:val="00457D95"/>
    <w:rsid w:val="00461147"/>
    <w:rsid w:val="004629EB"/>
    <w:rsid w:val="004637A9"/>
    <w:rsid w:val="00464D13"/>
    <w:rsid w:val="00464E2B"/>
    <w:rsid w:val="004652DB"/>
    <w:rsid w:val="00470977"/>
    <w:rsid w:val="00470E99"/>
    <w:rsid w:val="00471B4A"/>
    <w:rsid w:val="00472808"/>
    <w:rsid w:val="00472CAF"/>
    <w:rsid w:val="00475BF1"/>
    <w:rsid w:val="0047760A"/>
    <w:rsid w:val="00480F13"/>
    <w:rsid w:val="00481968"/>
    <w:rsid w:val="00481FB5"/>
    <w:rsid w:val="00484C13"/>
    <w:rsid w:val="00484DB9"/>
    <w:rsid w:val="004864CC"/>
    <w:rsid w:val="004867CD"/>
    <w:rsid w:val="00486E59"/>
    <w:rsid w:val="0048702E"/>
    <w:rsid w:val="004872A7"/>
    <w:rsid w:val="00487BFE"/>
    <w:rsid w:val="00490C9B"/>
    <w:rsid w:val="00490D6A"/>
    <w:rsid w:val="00490D8B"/>
    <w:rsid w:val="00491916"/>
    <w:rsid w:val="00493F11"/>
    <w:rsid w:val="00493FB6"/>
    <w:rsid w:val="00494045"/>
    <w:rsid w:val="00494118"/>
    <w:rsid w:val="004943AD"/>
    <w:rsid w:val="0049540C"/>
    <w:rsid w:val="004957B3"/>
    <w:rsid w:val="004960A9"/>
    <w:rsid w:val="004966B5"/>
    <w:rsid w:val="004A0033"/>
    <w:rsid w:val="004A07A0"/>
    <w:rsid w:val="004A09F2"/>
    <w:rsid w:val="004A1BFF"/>
    <w:rsid w:val="004A2B8C"/>
    <w:rsid w:val="004A2DF1"/>
    <w:rsid w:val="004A3306"/>
    <w:rsid w:val="004A344A"/>
    <w:rsid w:val="004A3D90"/>
    <w:rsid w:val="004A3EAC"/>
    <w:rsid w:val="004A5430"/>
    <w:rsid w:val="004A548F"/>
    <w:rsid w:val="004A5D9B"/>
    <w:rsid w:val="004A7570"/>
    <w:rsid w:val="004A7BC6"/>
    <w:rsid w:val="004A7E5D"/>
    <w:rsid w:val="004B0923"/>
    <w:rsid w:val="004B0C0D"/>
    <w:rsid w:val="004B1147"/>
    <w:rsid w:val="004B2816"/>
    <w:rsid w:val="004B2B50"/>
    <w:rsid w:val="004B2CC1"/>
    <w:rsid w:val="004B312F"/>
    <w:rsid w:val="004B380F"/>
    <w:rsid w:val="004B3CF7"/>
    <w:rsid w:val="004B4B7D"/>
    <w:rsid w:val="004B5610"/>
    <w:rsid w:val="004B57B4"/>
    <w:rsid w:val="004B63A9"/>
    <w:rsid w:val="004B7BCF"/>
    <w:rsid w:val="004C0C95"/>
    <w:rsid w:val="004C0F10"/>
    <w:rsid w:val="004C1E16"/>
    <w:rsid w:val="004C2874"/>
    <w:rsid w:val="004C52CD"/>
    <w:rsid w:val="004C55F3"/>
    <w:rsid w:val="004C59CF"/>
    <w:rsid w:val="004C6B00"/>
    <w:rsid w:val="004D26F3"/>
    <w:rsid w:val="004D3F71"/>
    <w:rsid w:val="004D50C3"/>
    <w:rsid w:val="004D7247"/>
    <w:rsid w:val="004D783B"/>
    <w:rsid w:val="004E00FE"/>
    <w:rsid w:val="004E1096"/>
    <w:rsid w:val="004E14A7"/>
    <w:rsid w:val="004E26E4"/>
    <w:rsid w:val="004E2804"/>
    <w:rsid w:val="004E2D03"/>
    <w:rsid w:val="004E3CFC"/>
    <w:rsid w:val="004E57C0"/>
    <w:rsid w:val="004E5822"/>
    <w:rsid w:val="004E59C5"/>
    <w:rsid w:val="004E59E9"/>
    <w:rsid w:val="004E783F"/>
    <w:rsid w:val="004E7A1C"/>
    <w:rsid w:val="004E7BAA"/>
    <w:rsid w:val="004F03F1"/>
    <w:rsid w:val="004F07CD"/>
    <w:rsid w:val="004F13C3"/>
    <w:rsid w:val="004F32A3"/>
    <w:rsid w:val="004F342C"/>
    <w:rsid w:val="004F37F6"/>
    <w:rsid w:val="004F391F"/>
    <w:rsid w:val="004F5232"/>
    <w:rsid w:val="004F53FA"/>
    <w:rsid w:val="004F58D6"/>
    <w:rsid w:val="004F5FD1"/>
    <w:rsid w:val="004F62CB"/>
    <w:rsid w:val="004F64CF"/>
    <w:rsid w:val="004F6AB9"/>
    <w:rsid w:val="004F751C"/>
    <w:rsid w:val="004F7A2E"/>
    <w:rsid w:val="004F7D69"/>
    <w:rsid w:val="00500281"/>
    <w:rsid w:val="0050079B"/>
    <w:rsid w:val="00500DCF"/>
    <w:rsid w:val="00500E15"/>
    <w:rsid w:val="00500E7F"/>
    <w:rsid w:val="005022F4"/>
    <w:rsid w:val="00502BA4"/>
    <w:rsid w:val="00502C96"/>
    <w:rsid w:val="005035B4"/>
    <w:rsid w:val="00505FD7"/>
    <w:rsid w:val="00506B39"/>
    <w:rsid w:val="005072D0"/>
    <w:rsid w:val="005103AA"/>
    <w:rsid w:val="00510A1A"/>
    <w:rsid w:val="005113A3"/>
    <w:rsid w:val="00512918"/>
    <w:rsid w:val="00512DC8"/>
    <w:rsid w:val="00512E34"/>
    <w:rsid w:val="00513BA3"/>
    <w:rsid w:val="00513FDD"/>
    <w:rsid w:val="005140E7"/>
    <w:rsid w:val="00515332"/>
    <w:rsid w:val="00515FD7"/>
    <w:rsid w:val="00516D9B"/>
    <w:rsid w:val="0051730F"/>
    <w:rsid w:val="00517880"/>
    <w:rsid w:val="00520EC8"/>
    <w:rsid w:val="00521130"/>
    <w:rsid w:val="005248AD"/>
    <w:rsid w:val="0052535C"/>
    <w:rsid w:val="00526474"/>
    <w:rsid w:val="00530744"/>
    <w:rsid w:val="00530AD9"/>
    <w:rsid w:val="005311A6"/>
    <w:rsid w:val="00532452"/>
    <w:rsid w:val="005336AD"/>
    <w:rsid w:val="00533B84"/>
    <w:rsid w:val="005344A7"/>
    <w:rsid w:val="00534682"/>
    <w:rsid w:val="00534DCA"/>
    <w:rsid w:val="00534DD1"/>
    <w:rsid w:val="00535634"/>
    <w:rsid w:val="00535884"/>
    <w:rsid w:val="005364F8"/>
    <w:rsid w:val="00537644"/>
    <w:rsid w:val="00537AB9"/>
    <w:rsid w:val="005407A8"/>
    <w:rsid w:val="005411F8"/>
    <w:rsid w:val="00541829"/>
    <w:rsid w:val="00541878"/>
    <w:rsid w:val="005458B7"/>
    <w:rsid w:val="00545FC9"/>
    <w:rsid w:val="00545FEF"/>
    <w:rsid w:val="00546B9E"/>
    <w:rsid w:val="00546C84"/>
    <w:rsid w:val="00547330"/>
    <w:rsid w:val="005473DD"/>
    <w:rsid w:val="00550648"/>
    <w:rsid w:val="00551F2C"/>
    <w:rsid w:val="005530C8"/>
    <w:rsid w:val="005531C5"/>
    <w:rsid w:val="00553A43"/>
    <w:rsid w:val="005544E4"/>
    <w:rsid w:val="0055537C"/>
    <w:rsid w:val="005563A6"/>
    <w:rsid w:val="005569FE"/>
    <w:rsid w:val="00556D3F"/>
    <w:rsid w:val="005574A6"/>
    <w:rsid w:val="005576EA"/>
    <w:rsid w:val="00560182"/>
    <w:rsid w:val="00560859"/>
    <w:rsid w:val="00560B01"/>
    <w:rsid w:val="00563109"/>
    <w:rsid w:val="00564CD4"/>
    <w:rsid w:val="0056584F"/>
    <w:rsid w:val="00565997"/>
    <w:rsid w:val="00565F67"/>
    <w:rsid w:val="00566806"/>
    <w:rsid w:val="00566963"/>
    <w:rsid w:val="00566A75"/>
    <w:rsid w:val="00567D94"/>
    <w:rsid w:val="00570B90"/>
    <w:rsid w:val="00571024"/>
    <w:rsid w:val="005715A7"/>
    <w:rsid w:val="00571D3A"/>
    <w:rsid w:val="00571DD4"/>
    <w:rsid w:val="00572245"/>
    <w:rsid w:val="00572466"/>
    <w:rsid w:val="00573225"/>
    <w:rsid w:val="00573882"/>
    <w:rsid w:val="0057513E"/>
    <w:rsid w:val="00575E9D"/>
    <w:rsid w:val="005775EF"/>
    <w:rsid w:val="005818D4"/>
    <w:rsid w:val="00581FD6"/>
    <w:rsid w:val="00582503"/>
    <w:rsid w:val="00583D1B"/>
    <w:rsid w:val="005855A3"/>
    <w:rsid w:val="00585F4E"/>
    <w:rsid w:val="00586CBD"/>
    <w:rsid w:val="00590112"/>
    <w:rsid w:val="00590437"/>
    <w:rsid w:val="0059078C"/>
    <w:rsid w:val="005914B8"/>
    <w:rsid w:val="00591515"/>
    <w:rsid w:val="00591D99"/>
    <w:rsid w:val="0059265A"/>
    <w:rsid w:val="00593EAE"/>
    <w:rsid w:val="005944CD"/>
    <w:rsid w:val="00595B36"/>
    <w:rsid w:val="00596031"/>
    <w:rsid w:val="00596473"/>
    <w:rsid w:val="0059680E"/>
    <w:rsid w:val="00596869"/>
    <w:rsid w:val="005976E6"/>
    <w:rsid w:val="005A1BFB"/>
    <w:rsid w:val="005A35F9"/>
    <w:rsid w:val="005A4B0E"/>
    <w:rsid w:val="005A516B"/>
    <w:rsid w:val="005A5E4E"/>
    <w:rsid w:val="005A6ACD"/>
    <w:rsid w:val="005B07AB"/>
    <w:rsid w:val="005B12AE"/>
    <w:rsid w:val="005B12D9"/>
    <w:rsid w:val="005B2226"/>
    <w:rsid w:val="005B4E4F"/>
    <w:rsid w:val="005B6821"/>
    <w:rsid w:val="005B6D26"/>
    <w:rsid w:val="005B7203"/>
    <w:rsid w:val="005B7283"/>
    <w:rsid w:val="005C0918"/>
    <w:rsid w:val="005C0D81"/>
    <w:rsid w:val="005C1955"/>
    <w:rsid w:val="005C2190"/>
    <w:rsid w:val="005C2B9A"/>
    <w:rsid w:val="005C39C0"/>
    <w:rsid w:val="005C3AEF"/>
    <w:rsid w:val="005C4D37"/>
    <w:rsid w:val="005C503C"/>
    <w:rsid w:val="005C65CD"/>
    <w:rsid w:val="005C696B"/>
    <w:rsid w:val="005C7147"/>
    <w:rsid w:val="005D0C79"/>
    <w:rsid w:val="005D0D86"/>
    <w:rsid w:val="005D1CCF"/>
    <w:rsid w:val="005D2D9C"/>
    <w:rsid w:val="005D32FC"/>
    <w:rsid w:val="005D4793"/>
    <w:rsid w:val="005D4C9D"/>
    <w:rsid w:val="005D543D"/>
    <w:rsid w:val="005D6305"/>
    <w:rsid w:val="005D7782"/>
    <w:rsid w:val="005E0808"/>
    <w:rsid w:val="005E18DB"/>
    <w:rsid w:val="005E1AD9"/>
    <w:rsid w:val="005E5698"/>
    <w:rsid w:val="005E57DA"/>
    <w:rsid w:val="005E6104"/>
    <w:rsid w:val="005F0E65"/>
    <w:rsid w:val="005F20A0"/>
    <w:rsid w:val="005F29CF"/>
    <w:rsid w:val="005F2EAE"/>
    <w:rsid w:val="005F3FEA"/>
    <w:rsid w:val="005F41E2"/>
    <w:rsid w:val="005F4A51"/>
    <w:rsid w:val="005F4AB9"/>
    <w:rsid w:val="005F4B17"/>
    <w:rsid w:val="005F4FFD"/>
    <w:rsid w:val="005F55E5"/>
    <w:rsid w:val="005F6A76"/>
    <w:rsid w:val="005F6B3D"/>
    <w:rsid w:val="005F7D3C"/>
    <w:rsid w:val="00600311"/>
    <w:rsid w:val="00601191"/>
    <w:rsid w:val="006011D9"/>
    <w:rsid w:val="006012BB"/>
    <w:rsid w:val="006025C1"/>
    <w:rsid w:val="006026A3"/>
    <w:rsid w:val="00602AB8"/>
    <w:rsid w:val="00603A8E"/>
    <w:rsid w:val="00604080"/>
    <w:rsid w:val="00604118"/>
    <w:rsid w:val="00604537"/>
    <w:rsid w:val="00604E95"/>
    <w:rsid w:val="006051F8"/>
    <w:rsid w:val="0060614E"/>
    <w:rsid w:val="00606778"/>
    <w:rsid w:val="00606AD5"/>
    <w:rsid w:val="00607123"/>
    <w:rsid w:val="006106E2"/>
    <w:rsid w:val="00610BAF"/>
    <w:rsid w:val="00610FED"/>
    <w:rsid w:val="006114B1"/>
    <w:rsid w:val="006114BA"/>
    <w:rsid w:val="006122B7"/>
    <w:rsid w:val="00612E4A"/>
    <w:rsid w:val="00613443"/>
    <w:rsid w:val="006135B2"/>
    <w:rsid w:val="00613BFE"/>
    <w:rsid w:val="00614263"/>
    <w:rsid w:val="0061433B"/>
    <w:rsid w:val="00614BC5"/>
    <w:rsid w:val="00615AF8"/>
    <w:rsid w:val="006165E6"/>
    <w:rsid w:val="00616C8C"/>
    <w:rsid w:val="006177F7"/>
    <w:rsid w:val="00620593"/>
    <w:rsid w:val="006211A7"/>
    <w:rsid w:val="00621462"/>
    <w:rsid w:val="006214AA"/>
    <w:rsid w:val="0062157E"/>
    <w:rsid w:val="0062201B"/>
    <w:rsid w:val="006228F0"/>
    <w:rsid w:val="00623497"/>
    <w:rsid w:val="00623943"/>
    <w:rsid w:val="00624242"/>
    <w:rsid w:val="00624302"/>
    <w:rsid w:val="00625862"/>
    <w:rsid w:val="00626716"/>
    <w:rsid w:val="0062799C"/>
    <w:rsid w:val="00630DE4"/>
    <w:rsid w:val="00631891"/>
    <w:rsid w:val="00631B27"/>
    <w:rsid w:val="00633F1B"/>
    <w:rsid w:val="00634762"/>
    <w:rsid w:val="00634DD1"/>
    <w:rsid w:val="00635782"/>
    <w:rsid w:val="00635BA8"/>
    <w:rsid w:val="00636376"/>
    <w:rsid w:val="00637547"/>
    <w:rsid w:val="00637B26"/>
    <w:rsid w:val="00642920"/>
    <w:rsid w:val="00643CB8"/>
    <w:rsid w:val="00645318"/>
    <w:rsid w:val="00645AF8"/>
    <w:rsid w:val="00645F37"/>
    <w:rsid w:val="00646B1D"/>
    <w:rsid w:val="00647355"/>
    <w:rsid w:val="00650085"/>
    <w:rsid w:val="00650CCB"/>
    <w:rsid w:val="0065170F"/>
    <w:rsid w:val="00651C92"/>
    <w:rsid w:val="00651E16"/>
    <w:rsid w:val="00652293"/>
    <w:rsid w:val="00653CE8"/>
    <w:rsid w:val="00654B50"/>
    <w:rsid w:val="006556A9"/>
    <w:rsid w:val="006558E3"/>
    <w:rsid w:val="00655FAF"/>
    <w:rsid w:val="006569DF"/>
    <w:rsid w:val="006574CD"/>
    <w:rsid w:val="00657C4C"/>
    <w:rsid w:val="006619B7"/>
    <w:rsid w:val="00663D87"/>
    <w:rsid w:val="006640D4"/>
    <w:rsid w:val="00667A1B"/>
    <w:rsid w:val="00670471"/>
    <w:rsid w:val="00670535"/>
    <w:rsid w:val="0067113E"/>
    <w:rsid w:val="00671664"/>
    <w:rsid w:val="00671C67"/>
    <w:rsid w:val="006724FF"/>
    <w:rsid w:val="0067294C"/>
    <w:rsid w:val="0067577F"/>
    <w:rsid w:val="006761BD"/>
    <w:rsid w:val="006762A1"/>
    <w:rsid w:val="0067757E"/>
    <w:rsid w:val="00677F03"/>
    <w:rsid w:val="00677F0A"/>
    <w:rsid w:val="00680F28"/>
    <w:rsid w:val="006816C9"/>
    <w:rsid w:val="0068179A"/>
    <w:rsid w:val="006818B4"/>
    <w:rsid w:val="00682115"/>
    <w:rsid w:val="00682C04"/>
    <w:rsid w:val="00682F9E"/>
    <w:rsid w:val="00683E84"/>
    <w:rsid w:val="0068642C"/>
    <w:rsid w:val="00686E5D"/>
    <w:rsid w:val="006870C0"/>
    <w:rsid w:val="00687AE1"/>
    <w:rsid w:val="0069092D"/>
    <w:rsid w:val="0069179C"/>
    <w:rsid w:val="006919D1"/>
    <w:rsid w:val="00691BC4"/>
    <w:rsid w:val="00692E6A"/>
    <w:rsid w:val="00694A42"/>
    <w:rsid w:val="0069611F"/>
    <w:rsid w:val="006A1EDF"/>
    <w:rsid w:val="006A2EDB"/>
    <w:rsid w:val="006A3576"/>
    <w:rsid w:val="006A3B43"/>
    <w:rsid w:val="006A4361"/>
    <w:rsid w:val="006A46FE"/>
    <w:rsid w:val="006A56D7"/>
    <w:rsid w:val="006A680B"/>
    <w:rsid w:val="006A6F63"/>
    <w:rsid w:val="006B002E"/>
    <w:rsid w:val="006B0552"/>
    <w:rsid w:val="006B06CD"/>
    <w:rsid w:val="006B0E3E"/>
    <w:rsid w:val="006B13E5"/>
    <w:rsid w:val="006B3130"/>
    <w:rsid w:val="006B4B32"/>
    <w:rsid w:val="006B51BE"/>
    <w:rsid w:val="006B5AAC"/>
    <w:rsid w:val="006B6788"/>
    <w:rsid w:val="006B6BC1"/>
    <w:rsid w:val="006C0B79"/>
    <w:rsid w:val="006C0D3C"/>
    <w:rsid w:val="006C23B6"/>
    <w:rsid w:val="006C23DC"/>
    <w:rsid w:val="006C2620"/>
    <w:rsid w:val="006C28CD"/>
    <w:rsid w:val="006C3000"/>
    <w:rsid w:val="006C4058"/>
    <w:rsid w:val="006C41BA"/>
    <w:rsid w:val="006C5F0F"/>
    <w:rsid w:val="006C655A"/>
    <w:rsid w:val="006C7037"/>
    <w:rsid w:val="006C70A7"/>
    <w:rsid w:val="006D0106"/>
    <w:rsid w:val="006D0612"/>
    <w:rsid w:val="006D07C4"/>
    <w:rsid w:val="006D0D26"/>
    <w:rsid w:val="006D18E1"/>
    <w:rsid w:val="006D1CBA"/>
    <w:rsid w:val="006D2AD9"/>
    <w:rsid w:val="006D3191"/>
    <w:rsid w:val="006D417F"/>
    <w:rsid w:val="006D4EAB"/>
    <w:rsid w:val="006D7896"/>
    <w:rsid w:val="006E0535"/>
    <w:rsid w:val="006E12D1"/>
    <w:rsid w:val="006E2C48"/>
    <w:rsid w:val="006E3174"/>
    <w:rsid w:val="006E5325"/>
    <w:rsid w:val="006E5B6C"/>
    <w:rsid w:val="006E6A26"/>
    <w:rsid w:val="006E6ED8"/>
    <w:rsid w:val="006E7A0B"/>
    <w:rsid w:val="006F0A6B"/>
    <w:rsid w:val="006F121A"/>
    <w:rsid w:val="006F265D"/>
    <w:rsid w:val="006F2C3F"/>
    <w:rsid w:val="006F3B0F"/>
    <w:rsid w:val="006F3BB2"/>
    <w:rsid w:val="006F4484"/>
    <w:rsid w:val="006F4A3A"/>
    <w:rsid w:val="006F4FCE"/>
    <w:rsid w:val="006F51B8"/>
    <w:rsid w:val="006F5D84"/>
    <w:rsid w:val="006F5F8D"/>
    <w:rsid w:val="006F643F"/>
    <w:rsid w:val="006F6B01"/>
    <w:rsid w:val="006F70FB"/>
    <w:rsid w:val="0070002E"/>
    <w:rsid w:val="0070017C"/>
    <w:rsid w:val="00700DC3"/>
    <w:rsid w:val="00701063"/>
    <w:rsid w:val="00701E75"/>
    <w:rsid w:val="00701EC7"/>
    <w:rsid w:val="00702ADB"/>
    <w:rsid w:val="007036C7"/>
    <w:rsid w:val="00704D81"/>
    <w:rsid w:val="00706750"/>
    <w:rsid w:val="007067C9"/>
    <w:rsid w:val="00710CD3"/>
    <w:rsid w:val="00710FE3"/>
    <w:rsid w:val="00711E11"/>
    <w:rsid w:val="007120BD"/>
    <w:rsid w:val="00712869"/>
    <w:rsid w:val="00712AC9"/>
    <w:rsid w:val="00713E98"/>
    <w:rsid w:val="007141DC"/>
    <w:rsid w:val="00716139"/>
    <w:rsid w:val="00717E85"/>
    <w:rsid w:val="007204A1"/>
    <w:rsid w:val="0072085F"/>
    <w:rsid w:val="00722AAD"/>
    <w:rsid w:val="00723BEC"/>
    <w:rsid w:val="00726026"/>
    <w:rsid w:val="00726726"/>
    <w:rsid w:val="00726B8C"/>
    <w:rsid w:val="0072725C"/>
    <w:rsid w:val="007300F4"/>
    <w:rsid w:val="0073014E"/>
    <w:rsid w:val="007302D5"/>
    <w:rsid w:val="00730D53"/>
    <w:rsid w:val="00731093"/>
    <w:rsid w:val="007319A6"/>
    <w:rsid w:val="00731B25"/>
    <w:rsid w:val="00732813"/>
    <w:rsid w:val="007331D5"/>
    <w:rsid w:val="007340A1"/>
    <w:rsid w:val="007340ED"/>
    <w:rsid w:val="007342E5"/>
    <w:rsid w:val="00734CDD"/>
    <w:rsid w:val="00735C34"/>
    <w:rsid w:val="007366D0"/>
    <w:rsid w:val="00737014"/>
    <w:rsid w:val="007372E1"/>
    <w:rsid w:val="007375DF"/>
    <w:rsid w:val="007402A8"/>
    <w:rsid w:val="007405C3"/>
    <w:rsid w:val="0074082E"/>
    <w:rsid w:val="007429FF"/>
    <w:rsid w:val="00742F28"/>
    <w:rsid w:val="0074336B"/>
    <w:rsid w:val="00743513"/>
    <w:rsid w:val="00743F51"/>
    <w:rsid w:val="00745617"/>
    <w:rsid w:val="0074573E"/>
    <w:rsid w:val="007468A2"/>
    <w:rsid w:val="00747C05"/>
    <w:rsid w:val="00747FF7"/>
    <w:rsid w:val="007505C8"/>
    <w:rsid w:val="007519C1"/>
    <w:rsid w:val="00754156"/>
    <w:rsid w:val="007547F5"/>
    <w:rsid w:val="00754938"/>
    <w:rsid w:val="00756C58"/>
    <w:rsid w:val="007633CE"/>
    <w:rsid w:val="0076389F"/>
    <w:rsid w:val="007642FB"/>
    <w:rsid w:val="007649FC"/>
    <w:rsid w:val="00766594"/>
    <w:rsid w:val="0076680C"/>
    <w:rsid w:val="00767B44"/>
    <w:rsid w:val="00772E1F"/>
    <w:rsid w:val="00774156"/>
    <w:rsid w:val="00774492"/>
    <w:rsid w:val="007763F5"/>
    <w:rsid w:val="00776E98"/>
    <w:rsid w:val="00777145"/>
    <w:rsid w:val="007801FB"/>
    <w:rsid w:val="00780D6F"/>
    <w:rsid w:val="0078442F"/>
    <w:rsid w:val="00785713"/>
    <w:rsid w:val="007861CA"/>
    <w:rsid w:val="007873E8"/>
    <w:rsid w:val="00787E40"/>
    <w:rsid w:val="0079139D"/>
    <w:rsid w:val="00791559"/>
    <w:rsid w:val="00791851"/>
    <w:rsid w:val="00792BF1"/>
    <w:rsid w:val="0079314F"/>
    <w:rsid w:val="00794018"/>
    <w:rsid w:val="007950E3"/>
    <w:rsid w:val="00795A8C"/>
    <w:rsid w:val="00796588"/>
    <w:rsid w:val="00796997"/>
    <w:rsid w:val="00797113"/>
    <w:rsid w:val="0079722F"/>
    <w:rsid w:val="00797232"/>
    <w:rsid w:val="007973B0"/>
    <w:rsid w:val="007A2E7C"/>
    <w:rsid w:val="007A2F90"/>
    <w:rsid w:val="007A3CE0"/>
    <w:rsid w:val="007A3D6E"/>
    <w:rsid w:val="007A3FF1"/>
    <w:rsid w:val="007A4310"/>
    <w:rsid w:val="007A438D"/>
    <w:rsid w:val="007A5082"/>
    <w:rsid w:val="007A5CEB"/>
    <w:rsid w:val="007A6B58"/>
    <w:rsid w:val="007A7847"/>
    <w:rsid w:val="007B07CF"/>
    <w:rsid w:val="007B0D4E"/>
    <w:rsid w:val="007B22C0"/>
    <w:rsid w:val="007B3B9A"/>
    <w:rsid w:val="007B6564"/>
    <w:rsid w:val="007B6C2A"/>
    <w:rsid w:val="007B7844"/>
    <w:rsid w:val="007C175B"/>
    <w:rsid w:val="007C1F78"/>
    <w:rsid w:val="007C2139"/>
    <w:rsid w:val="007C3063"/>
    <w:rsid w:val="007C3A39"/>
    <w:rsid w:val="007C43DE"/>
    <w:rsid w:val="007C5330"/>
    <w:rsid w:val="007C5993"/>
    <w:rsid w:val="007C64E2"/>
    <w:rsid w:val="007D0D48"/>
    <w:rsid w:val="007D17E6"/>
    <w:rsid w:val="007D21D4"/>
    <w:rsid w:val="007D4E50"/>
    <w:rsid w:val="007D7DDC"/>
    <w:rsid w:val="007E0BB3"/>
    <w:rsid w:val="007E133A"/>
    <w:rsid w:val="007E1355"/>
    <w:rsid w:val="007E1EB3"/>
    <w:rsid w:val="007E3283"/>
    <w:rsid w:val="007E3A1D"/>
    <w:rsid w:val="007E4EEE"/>
    <w:rsid w:val="007E512F"/>
    <w:rsid w:val="007E6B62"/>
    <w:rsid w:val="007E788C"/>
    <w:rsid w:val="007F0384"/>
    <w:rsid w:val="007F12AF"/>
    <w:rsid w:val="007F1F39"/>
    <w:rsid w:val="007F4AFA"/>
    <w:rsid w:val="007F4D83"/>
    <w:rsid w:val="007F5F9B"/>
    <w:rsid w:val="007F67B8"/>
    <w:rsid w:val="007F6BA8"/>
    <w:rsid w:val="007F748A"/>
    <w:rsid w:val="007F79F6"/>
    <w:rsid w:val="00802043"/>
    <w:rsid w:val="008025A7"/>
    <w:rsid w:val="00803522"/>
    <w:rsid w:val="008037E2"/>
    <w:rsid w:val="00803841"/>
    <w:rsid w:val="00803EB9"/>
    <w:rsid w:val="00803EE7"/>
    <w:rsid w:val="00804653"/>
    <w:rsid w:val="0080581C"/>
    <w:rsid w:val="00806B3B"/>
    <w:rsid w:val="00811888"/>
    <w:rsid w:val="00812429"/>
    <w:rsid w:val="00815AB8"/>
    <w:rsid w:val="008167D7"/>
    <w:rsid w:val="00817E1F"/>
    <w:rsid w:val="00820284"/>
    <w:rsid w:val="008207BF"/>
    <w:rsid w:val="00821021"/>
    <w:rsid w:val="00821B8F"/>
    <w:rsid w:val="00821E46"/>
    <w:rsid w:val="008220B1"/>
    <w:rsid w:val="00823810"/>
    <w:rsid w:val="0082478F"/>
    <w:rsid w:val="008250E5"/>
    <w:rsid w:val="008250FA"/>
    <w:rsid w:val="00825341"/>
    <w:rsid w:val="0082563E"/>
    <w:rsid w:val="00825AD8"/>
    <w:rsid w:val="0082687F"/>
    <w:rsid w:val="00826F6E"/>
    <w:rsid w:val="00827403"/>
    <w:rsid w:val="008302F1"/>
    <w:rsid w:val="00830901"/>
    <w:rsid w:val="00830BDB"/>
    <w:rsid w:val="00830DD0"/>
    <w:rsid w:val="00831501"/>
    <w:rsid w:val="00831A87"/>
    <w:rsid w:val="00831C14"/>
    <w:rsid w:val="00831CA0"/>
    <w:rsid w:val="00832043"/>
    <w:rsid w:val="00832431"/>
    <w:rsid w:val="00832715"/>
    <w:rsid w:val="0083355C"/>
    <w:rsid w:val="00833AA6"/>
    <w:rsid w:val="008341B6"/>
    <w:rsid w:val="00835714"/>
    <w:rsid w:val="0083784A"/>
    <w:rsid w:val="008379BA"/>
    <w:rsid w:val="0084041D"/>
    <w:rsid w:val="00840573"/>
    <w:rsid w:val="008409E5"/>
    <w:rsid w:val="00841755"/>
    <w:rsid w:val="00841CA5"/>
    <w:rsid w:val="00843AC4"/>
    <w:rsid w:val="008441A0"/>
    <w:rsid w:val="00845314"/>
    <w:rsid w:val="00846876"/>
    <w:rsid w:val="00846C0A"/>
    <w:rsid w:val="008501E6"/>
    <w:rsid w:val="008520B7"/>
    <w:rsid w:val="0085290F"/>
    <w:rsid w:val="0085340B"/>
    <w:rsid w:val="008546FA"/>
    <w:rsid w:val="008547BC"/>
    <w:rsid w:val="00854E1C"/>
    <w:rsid w:val="00855755"/>
    <w:rsid w:val="0085601A"/>
    <w:rsid w:val="00856806"/>
    <w:rsid w:val="008569EC"/>
    <w:rsid w:val="00856F42"/>
    <w:rsid w:val="0085770E"/>
    <w:rsid w:val="0086321D"/>
    <w:rsid w:val="008640B1"/>
    <w:rsid w:val="00864A5E"/>
    <w:rsid w:val="00864C39"/>
    <w:rsid w:val="00864DD4"/>
    <w:rsid w:val="00865EB5"/>
    <w:rsid w:val="008663EA"/>
    <w:rsid w:val="00866871"/>
    <w:rsid w:val="008669AC"/>
    <w:rsid w:val="00866A99"/>
    <w:rsid w:val="008674D8"/>
    <w:rsid w:val="00867CC5"/>
    <w:rsid w:val="00867DC3"/>
    <w:rsid w:val="00871FCE"/>
    <w:rsid w:val="00873565"/>
    <w:rsid w:val="00873DB9"/>
    <w:rsid w:val="008747C3"/>
    <w:rsid w:val="00875860"/>
    <w:rsid w:val="008761A7"/>
    <w:rsid w:val="008767AA"/>
    <w:rsid w:val="008769F8"/>
    <w:rsid w:val="00880133"/>
    <w:rsid w:val="00880DD4"/>
    <w:rsid w:val="008825B4"/>
    <w:rsid w:val="008831F4"/>
    <w:rsid w:val="008833B8"/>
    <w:rsid w:val="00883528"/>
    <w:rsid w:val="00883869"/>
    <w:rsid w:val="00884731"/>
    <w:rsid w:val="00884934"/>
    <w:rsid w:val="00884A0E"/>
    <w:rsid w:val="008866AB"/>
    <w:rsid w:val="00886F4B"/>
    <w:rsid w:val="00887067"/>
    <w:rsid w:val="008873C0"/>
    <w:rsid w:val="00890A96"/>
    <w:rsid w:val="00892254"/>
    <w:rsid w:val="00892F7C"/>
    <w:rsid w:val="00894434"/>
    <w:rsid w:val="00894FEC"/>
    <w:rsid w:val="00896713"/>
    <w:rsid w:val="00896C4D"/>
    <w:rsid w:val="00897815"/>
    <w:rsid w:val="00897EC6"/>
    <w:rsid w:val="00897F8B"/>
    <w:rsid w:val="008A0F3D"/>
    <w:rsid w:val="008A2AD0"/>
    <w:rsid w:val="008A2FD1"/>
    <w:rsid w:val="008A30BC"/>
    <w:rsid w:val="008A384C"/>
    <w:rsid w:val="008A38FA"/>
    <w:rsid w:val="008A468C"/>
    <w:rsid w:val="008A4D36"/>
    <w:rsid w:val="008A4E43"/>
    <w:rsid w:val="008A516E"/>
    <w:rsid w:val="008A5B9A"/>
    <w:rsid w:val="008A7957"/>
    <w:rsid w:val="008B0227"/>
    <w:rsid w:val="008B08D4"/>
    <w:rsid w:val="008B106E"/>
    <w:rsid w:val="008B1430"/>
    <w:rsid w:val="008B1EEA"/>
    <w:rsid w:val="008B2863"/>
    <w:rsid w:val="008B2B14"/>
    <w:rsid w:val="008B2BAF"/>
    <w:rsid w:val="008B3174"/>
    <w:rsid w:val="008B34CE"/>
    <w:rsid w:val="008B5291"/>
    <w:rsid w:val="008B65AB"/>
    <w:rsid w:val="008C010D"/>
    <w:rsid w:val="008C0E1B"/>
    <w:rsid w:val="008C1E7C"/>
    <w:rsid w:val="008C344A"/>
    <w:rsid w:val="008C3DAD"/>
    <w:rsid w:val="008C453A"/>
    <w:rsid w:val="008C4CC3"/>
    <w:rsid w:val="008C5454"/>
    <w:rsid w:val="008C5A04"/>
    <w:rsid w:val="008C60D5"/>
    <w:rsid w:val="008C6C29"/>
    <w:rsid w:val="008D0763"/>
    <w:rsid w:val="008D087C"/>
    <w:rsid w:val="008D0CF3"/>
    <w:rsid w:val="008D1E89"/>
    <w:rsid w:val="008D3EF7"/>
    <w:rsid w:val="008D50B2"/>
    <w:rsid w:val="008D6572"/>
    <w:rsid w:val="008D72B7"/>
    <w:rsid w:val="008D7372"/>
    <w:rsid w:val="008D73A6"/>
    <w:rsid w:val="008E15AD"/>
    <w:rsid w:val="008E165D"/>
    <w:rsid w:val="008E18CF"/>
    <w:rsid w:val="008E2B23"/>
    <w:rsid w:val="008E318D"/>
    <w:rsid w:val="008E3903"/>
    <w:rsid w:val="008E62B8"/>
    <w:rsid w:val="008E689F"/>
    <w:rsid w:val="008E6A51"/>
    <w:rsid w:val="008E6B1C"/>
    <w:rsid w:val="008F0520"/>
    <w:rsid w:val="008F0B34"/>
    <w:rsid w:val="008F0C3D"/>
    <w:rsid w:val="008F2AEF"/>
    <w:rsid w:val="008F3896"/>
    <w:rsid w:val="008F39A6"/>
    <w:rsid w:val="008F3FE6"/>
    <w:rsid w:val="008F568E"/>
    <w:rsid w:val="008F66B0"/>
    <w:rsid w:val="00902300"/>
    <w:rsid w:val="00902746"/>
    <w:rsid w:val="009036D9"/>
    <w:rsid w:val="00904670"/>
    <w:rsid w:val="00904957"/>
    <w:rsid w:val="00904A92"/>
    <w:rsid w:val="00904C22"/>
    <w:rsid w:val="00905546"/>
    <w:rsid w:val="009058CE"/>
    <w:rsid w:val="0090608F"/>
    <w:rsid w:val="00906574"/>
    <w:rsid w:val="00906832"/>
    <w:rsid w:val="009071B5"/>
    <w:rsid w:val="009074BB"/>
    <w:rsid w:val="00910842"/>
    <w:rsid w:val="009109B0"/>
    <w:rsid w:val="00912F1A"/>
    <w:rsid w:val="00913130"/>
    <w:rsid w:val="00913216"/>
    <w:rsid w:val="00913479"/>
    <w:rsid w:val="00914008"/>
    <w:rsid w:val="009143B8"/>
    <w:rsid w:val="00914ED6"/>
    <w:rsid w:val="00915130"/>
    <w:rsid w:val="00916379"/>
    <w:rsid w:val="0091643B"/>
    <w:rsid w:val="009166B3"/>
    <w:rsid w:val="009169AF"/>
    <w:rsid w:val="00917508"/>
    <w:rsid w:val="00917E33"/>
    <w:rsid w:val="00923B8C"/>
    <w:rsid w:val="00923F1C"/>
    <w:rsid w:val="009258B9"/>
    <w:rsid w:val="00926F14"/>
    <w:rsid w:val="00930A6A"/>
    <w:rsid w:val="00930C56"/>
    <w:rsid w:val="00931CB0"/>
    <w:rsid w:val="00932163"/>
    <w:rsid w:val="00933EE0"/>
    <w:rsid w:val="00935199"/>
    <w:rsid w:val="00935487"/>
    <w:rsid w:val="009359C9"/>
    <w:rsid w:val="00935A03"/>
    <w:rsid w:val="00935BD0"/>
    <w:rsid w:val="00935BEB"/>
    <w:rsid w:val="00935D92"/>
    <w:rsid w:val="00935E48"/>
    <w:rsid w:val="009366FC"/>
    <w:rsid w:val="0093734C"/>
    <w:rsid w:val="009377BA"/>
    <w:rsid w:val="0094010F"/>
    <w:rsid w:val="00940170"/>
    <w:rsid w:val="00942DEF"/>
    <w:rsid w:val="00943739"/>
    <w:rsid w:val="00944474"/>
    <w:rsid w:val="0094477D"/>
    <w:rsid w:val="00944787"/>
    <w:rsid w:val="009463EA"/>
    <w:rsid w:val="0094714C"/>
    <w:rsid w:val="009475C3"/>
    <w:rsid w:val="00947E88"/>
    <w:rsid w:val="00950AD8"/>
    <w:rsid w:val="00950B96"/>
    <w:rsid w:val="009525E4"/>
    <w:rsid w:val="009527F2"/>
    <w:rsid w:val="00952F56"/>
    <w:rsid w:val="00953972"/>
    <w:rsid w:val="00953D94"/>
    <w:rsid w:val="009545EC"/>
    <w:rsid w:val="009554D4"/>
    <w:rsid w:val="009577F5"/>
    <w:rsid w:val="009618C8"/>
    <w:rsid w:val="00961A9F"/>
    <w:rsid w:val="0096279B"/>
    <w:rsid w:val="009639B2"/>
    <w:rsid w:val="00964078"/>
    <w:rsid w:val="00964D45"/>
    <w:rsid w:val="00965C05"/>
    <w:rsid w:val="00965C83"/>
    <w:rsid w:val="00965F07"/>
    <w:rsid w:val="00966328"/>
    <w:rsid w:val="00967ACB"/>
    <w:rsid w:val="00971F19"/>
    <w:rsid w:val="00974516"/>
    <w:rsid w:val="009755BB"/>
    <w:rsid w:val="00975CA8"/>
    <w:rsid w:val="00980564"/>
    <w:rsid w:val="00980AED"/>
    <w:rsid w:val="00981D3F"/>
    <w:rsid w:val="0098299F"/>
    <w:rsid w:val="00983A83"/>
    <w:rsid w:val="00983D18"/>
    <w:rsid w:val="00985843"/>
    <w:rsid w:val="00986B80"/>
    <w:rsid w:val="00986B8F"/>
    <w:rsid w:val="00987765"/>
    <w:rsid w:val="0098778D"/>
    <w:rsid w:val="00987E30"/>
    <w:rsid w:val="00987FDE"/>
    <w:rsid w:val="00991F72"/>
    <w:rsid w:val="00992117"/>
    <w:rsid w:val="00997F19"/>
    <w:rsid w:val="009A05C4"/>
    <w:rsid w:val="009A0FE8"/>
    <w:rsid w:val="009A1A20"/>
    <w:rsid w:val="009A22EE"/>
    <w:rsid w:val="009A2A84"/>
    <w:rsid w:val="009A3592"/>
    <w:rsid w:val="009A3850"/>
    <w:rsid w:val="009A4576"/>
    <w:rsid w:val="009A47BB"/>
    <w:rsid w:val="009A58A3"/>
    <w:rsid w:val="009A5B49"/>
    <w:rsid w:val="009A5D7D"/>
    <w:rsid w:val="009A7A65"/>
    <w:rsid w:val="009A7ABD"/>
    <w:rsid w:val="009A7D0D"/>
    <w:rsid w:val="009A7DB3"/>
    <w:rsid w:val="009B15DF"/>
    <w:rsid w:val="009B21D0"/>
    <w:rsid w:val="009B2621"/>
    <w:rsid w:val="009B2B93"/>
    <w:rsid w:val="009B3FE8"/>
    <w:rsid w:val="009B43F6"/>
    <w:rsid w:val="009B4D1E"/>
    <w:rsid w:val="009B58D6"/>
    <w:rsid w:val="009B6116"/>
    <w:rsid w:val="009B61C0"/>
    <w:rsid w:val="009B64E7"/>
    <w:rsid w:val="009B6523"/>
    <w:rsid w:val="009B6A06"/>
    <w:rsid w:val="009B7B3F"/>
    <w:rsid w:val="009B7CB5"/>
    <w:rsid w:val="009C1075"/>
    <w:rsid w:val="009C1198"/>
    <w:rsid w:val="009C1319"/>
    <w:rsid w:val="009C1717"/>
    <w:rsid w:val="009C2BAC"/>
    <w:rsid w:val="009C3E1D"/>
    <w:rsid w:val="009C482C"/>
    <w:rsid w:val="009C5CB0"/>
    <w:rsid w:val="009C6A20"/>
    <w:rsid w:val="009C6C38"/>
    <w:rsid w:val="009C6D98"/>
    <w:rsid w:val="009C725F"/>
    <w:rsid w:val="009C7732"/>
    <w:rsid w:val="009C7CA5"/>
    <w:rsid w:val="009D052C"/>
    <w:rsid w:val="009D323C"/>
    <w:rsid w:val="009D3764"/>
    <w:rsid w:val="009D3B78"/>
    <w:rsid w:val="009D47CB"/>
    <w:rsid w:val="009D48E1"/>
    <w:rsid w:val="009D4BA6"/>
    <w:rsid w:val="009D60D8"/>
    <w:rsid w:val="009D6A03"/>
    <w:rsid w:val="009D7A1B"/>
    <w:rsid w:val="009E099A"/>
    <w:rsid w:val="009E4C5E"/>
    <w:rsid w:val="009E72F2"/>
    <w:rsid w:val="009E7509"/>
    <w:rsid w:val="009F1281"/>
    <w:rsid w:val="009F17B5"/>
    <w:rsid w:val="009F1A18"/>
    <w:rsid w:val="009F1B1D"/>
    <w:rsid w:val="009F1FAC"/>
    <w:rsid w:val="009F36C3"/>
    <w:rsid w:val="009F61DD"/>
    <w:rsid w:val="009F65B0"/>
    <w:rsid w:val="009F734E"/>
    <w:rsid w:val="00A01499"/>
    <w:rsid w:val="00A01B7B"/>
    <w:rsid w:val="00A026AF"/>
    <w:rsid w:val="00A04354"/>
    <w:rsid w:val="00A04D18"/>
    <w:rsid w:val="00A04EAB"/>
    <w:rsid w:val="00A10E00"/>
    <w:rsid w:val="00A145C4"/>
    <w:rsid w:val="00A15C66"/>
    <w:rsid w:val="00A160AD"/>
    <w:rsid w:val="00A1684C"/>
    <w:rsid w:val="00A20312"/>
    <w:rsid w:val="00A20E66"/>
    <w:rsid w:val="00A2169D"/>
    <w:rsid w:val="00A21FCC"/>
    <w:rsid w:val="00A22E98"/>
    <w:rsid w:val="00A23493"/>
    <w:rsid w:val="00A246A3"/>
    <w:rsid w:val="00A24F38"/>
    <w:rsid w:val="00A251E5"/>
    <w:rsid w:val="00A25A0F"/>
    <w:rsid w:val="00A25E31"/>
    <w:rsid w:val="00A25F16"/>
    <w:rsid w:val="00A27729"/>
    <w:rsid w:val="00A3028F"/>
    <w:rsid w:val="00A3059A"/>
    <w:rsid w:val="00A306AC"/>
    <w:rsid w:val="00A30C10"/>
    <w:rsid w:val="00A321C9"/>
    <w:rsid w:val="00A325A0"/>
    <w:rsid w:val="00A32806"/>
    <w:rsid w:val="00A3383E"/>
    <w:rsid w:val="00A343FE"/>
    <w:rsid w:val="00A34689"/>
    <w:rsid w:val="00A34A42"/>
    <w:rsid w:val="00A352B9"/>
    <w:rsid w:val="00A355F2"/>
    <w:rsid w:val="00A35DEC"/>
    <w:rsid w:val="00A36EE5"/>
    <w:rsid w:val="00A37A9C"/>
    <w:rsid w:val="00A37AAB"/>
    <w:rsid w:val="00A37EE3"/>
    <w:rsid w:val="00A40040"/>
    <w:rsid w:val="00A40291"/>
    <w:rsid w:val="00A40685"/>
    <w:rsid w:val="00A40B4C"/>
    <w:rsid w:val="00A41024"/>
    <w:rsid w:val="00A427A0"/>
    <w:rsid w:val="00A452B6"/>
    <w:rsid w:val="00A457B9"/>
    <w:rsid w:val="00A47856"/>
    <w:rsid w:val="00A51C2A"/>
    <w:rsid w:val="00A535B6"/>
    <w:rsid w:val="00A540E7"/>
    <w:rsid w:val="00A54240"/>
    <w:rsid w:val="00A54911"/>
    <w:rsid w:val="00A55702"/>
    <w:rsid w:val="00A558CE"/>
    <w:rsid w:val="00A560BC"/>
    <w:rsid w:val="00A573B7"/>
    <w:rsid w:val="00A57834"/>
    <w:rsid w:val="00A60083"/>
    <w:rsid w:val="00A60A7F"/>
    <w:rsid w:val="00A61084"/>
    <w:rsid w:val="00A61C19"/>
    <w:rsid w:val="00A61F40"/>
    <w:rsid w:val="00A61F97"/>
    <w:rsid w:val="00A62D1F"/>
    <w:rsid w:val="00A62FCB"/>
    <w:rsid w:val="00A63D54"/>
    <w:rsid w:val="00A6403A"/>
    <w:rsid w:val="00A64BD0"/>
    <w:rsid w:val="00A653E9"/>
    <w:rsid w:val="00A6594A"/>
    <w:rsid w:val="00A66527"/>
    <w:rsid w:val="00A66664"/>
    <w:rsid w:val="00A67C53"/>
    <w:rsid w:val="00A71283"/>
    <w:rsid w:val="00A71938"/>
    <w:rsid w:val="00A71B4B"/>
    <w:rsid w:val="00A721DD"/>
    <w:rsid w:val="00A724F2"/>
    <w:rsid w:val="00A72B05"/>
    <w:rsid w:val="00A72B80"/>
    <w:rsid w:val="00A73254"/>
    <w:rsid w:val="00A743F5"/>
    <w:rsid w:val="00A74B93"/>
    <w:rsid w:val="00A75196"/>
    <w:rsid w:val="00A75825"/>
    <w:rsid w:val="00A75B43"/>
    <w:rsid w:val="00A8039E"/>
    <w:rsid w:val="00A84D98"/>
    <w:rsid w:val="00A86BE4"/>
    <w:rsid w:val="00A86E11"/>
    <w:rsid w:val="00A87C8F"/>
    <w:rsid w:val="00A87CED"/>
    <w:rsid w:val="00A9020D"/>
    <w:rsid w:val="00A90508"/>
    <w:rsid w:val="00A90EA7"/>
    <w:rsid w:val="00A9183A"/>
    <w:rsid w:val="00A918C8"/>
    <w:rsid w:val="00A91D7D"/>
    <w:rsid w:val="00A92A55"/>
    <w:rsid w:val="00A930DE"/>
    <w:rsid w:val="00A94995"/>
    <w:rsid w:val="00A966CB"/>
    <w:rsid w:val="00A97511"/>
    <w:rsid w:val="00A9785D"/>
    <w:rsid w:val="00A97BF8"/>
    <w:rsid w:val="00A97F42"/>
    <w:rsid w:val="00AA0C2F"/>
    <w:rsid w:val="00AA3570"/>
    <w:rsid w:val="00AA4630"/>
    <w:rsid w:val="00AA4F9B"/>
    <w:rsid w:val="00AA515D"/>
    <w:rsid w:val="00AA5BE7"/>
    <w:rsid w:val="00AA68F2"/>
    <w:rsid w:val="00AA7BBE"/>
    <w:rsid w:val="00AA7CA0"/>
    <w:rsid w:val="00AB00ED"/>
    <w:rsid w:val="00AB0A9F"/>
    <w:rsid w:val="00AB0C99"/>
    <w:rsid w:val="00AB292C"/>
    <w:rsid w:val="00AB50E8"/>
    <w:rsid w:val="00AB671A"/>
    <w:rsid w:val="00AB6873"/>
    <w:rsid w:val="00AB6B03"/>
    <w:rsid w:val="00AB6C08"/>
    <w:rsid w:val="00AB71A4"/>
    <w:rsid w:val="00AB71D4"/>
    <w:rsid w:val="00AB73F9"/>
    <w:rsid w:val="00AB7AD1"/>
    <w:rsid w:val="00AB7BEE"/>
    <w:rsid w:val="00AB7F23"/>
    <w:rsid w:val="00AB7FB4"/>
    <w:rsid w:val="00AC16FA"/>
    <w:rsid w:val="00AC1702"/>
    <w:rsid w:val="00AC17A8"/>
    <w:rsid w:val="00AC2842"/>
    <w:rsid w:val="00AC2887"/>
    <w:rsid w:val="00AC4714"/>
    <w:rsid w:val="00AC5BE5"/>
    <w:rsid w:val="00AC5BE6"/>
    <w:rsid w:val="00AC6269"/>
    <w:rsid w:val="00AC67BE"/>
    <w:rsid w:val="00AC7E1E"/>
    <w:rsid w:val="00AD0129"/>
    <w:rsid w:val="00AD0155"/>
    <w:rsid w:val="00AD072A"/>
    <w:rsid w:val="00AD1753"/>
    <w:rsid w:val="00AD19AE"/>
    <w:rsid w:val="00AD21A2"/>
    <w:rsid w:val="00AD257C"/>
    <w:rsid w:val="00AD2597"/>
    <w:rsid w:val="00AD2B80"/>
    <w:rsid w:val="00AD38F4"/>
    <w:rsid w:val="00AD3E88"/>
    <w:rsid w:val="00AD6E48"/>
    <w:rsid w:val="00AE0603"/>
    <w:rsid w:val="00AE0D3B"/>
    <w:rsid w:val="00AE268D"/>
    <w:rsid w:val="00AE3EF5"/>
    <w:rsid w:val="00AE4E49"/>
    <w:rsid w:val="00AE6F4E"/>
    <w:rsid w:val="00AE7A98"/>
    <w:rsid w:val="00AE7D8A"/>
    <w:rsid w:val="00AF2885"/>
    <w:rsid w:val="00AF2B0B"/>
    <w:rsid w:val="00AF2CBF"/>
    <w:rsid w:val="00AF3691"/>
    <w:rsid w:val="00AF3AAE"/>
    <w:rsid w:val="00AF41EA"/>
    <w:rsid w:val="00AF495B"/>
    <w:rsid w:val="00AF4DB3"/>
    <w:rsid w:val="00AF66A7"/>
    <w:rsid w:val="00AF71F2"/>
    <w:rsid w:val="00AF75E4"/>
    <w:rsid w:val="00AF7A37"/>
    <w:rsid w:val="00B00936"/>
    <w:rsid w:val="00B01368"/>
    <w:rsid w:val="00B02760"/>
    <w:rsid w:val="00B029E5"/>
    <w:rsid w:val="00B041B3"/>
    <w:rsid w:val="00B04820"/>
    <w:rsid w:val="00B05EB2"/>
    <w:rsid w:val="00B06B53"/>
    <w:rsid w:val="00B071A8"/>
    <w:rsid w:val="00B07447"/>
    <w:rsid w:val="00B10DE9"/>
    <w:rsid w:val="00B12D9B"/>
    <w:rsid w:val="00B131CC"/>
    <w:rsid w:val="00B13936"/>
    <w:rsid w:val="00B13971"/>
    <w:rsid w:val="00B15BD2"/>
    <w:rsid w:val="00B1625A"/>
    <w:rsid w:val="00B17B0C"/>
    <w:rsid w:val="00B17B19"/>
    <w:rsid w:val="00B21386"/>
    <w:rsid w:val="00B2484F"/>
    <w:rsid w:val="00B2629B"/>
    <w:rsid w:val="00B275DC"/>
    <w:rsid w:val="00B279E8"/>
    <w:rsid w:val="00B30333"/>
    <w:rsid w:val="00B305C7"/>
    <w:rsid w:val="00B30783"/>
    <w:rsid w:val="00B30D3A"/>
    <w:rsid w:val="00B314FE"/>
    <w:rsid w:val="00B317B0"/>
    <w:rsid w:val="00B32E02"/>
    <w:rsid w:val="00B331DA"/>
    <w:rsid w:val="00B354BB"/>
    <w:rsid w:val="00B364CD"/>
    <w:rsid w:val="00B36B10"/>
    <w:rsid w:val="00B373E4"/>
    <w:rsid w:val="00B37C0D"/>
    <w:rsid w:val="00B40546"/>
    <w:rsid w:val="00B40BCF"/>
    <w:rsid w:val="00B4170C"/>
    <w:rsid w:val="00B418A5"/>
    <w:rsid w:val="00B41E61"/>
    <w:rsid w:val="00B4233A"/>
    <w:rsid w:val="00B440DD"/>
    <w:rsid w:val="00B44AD7"/>
    <w:rsid w:val="00B46EF7"/>
    <w:rsid w:val="00B479A0"/>
    <w:rsid w:val="00B47DEF"/>
    <w:rsid w:val="00B508B1"/>
    <w:rsid w:val="00B52E08"/>
    <w:rsid w:val="00B5331C"/>
    <w:rsid w:val="00B537C5"/>
    <w:rsid w:val="00B545AD"/>
    <w:rsid w:val="00B54BFC"/>
    <w:rsid w:val="00B54F93"/>
    <w:rsid w:val="00B5610B"/>
    <w:rsid w:val="00B57785"/>
    <w:rsid w:val="00B57891"/>
    <w:rsid w:val="00B57CB9"/>
    <w:rsid w:val="00B615EE"/>
    <w:rsid w:val="00B620BB"/>
    <w:rsid w:val="00B62B05"/>
    <w:rsid w:val="00B62FFD"/>
    <w:rsid w:val="00B64D50"/>
    <w:rsid w:val="00B65A97"/>
    <w:rsid w:val="00B65B04"/>
    <w:rsid w:val="00B66486"/>
    <w:rsid w:val="00B67542"/>
    <w:rsid w:val="00B7043C"/>
    <w:rsid w:val="00B71906"/>
    <w:rsid w:val="00B719BE"/>
    <w:rsid w:val="00B7247A"/>
    <w:rsid w:val="00B730CD"/>
    <w:rsid w:val="00B750DA"/>
    <w:rsid w:val="00B75BF1"/>
    <w:rsid w:val="00B767C7"/>
    <w:rsid w:val="00B7717B"/>
    <w:rsid w:val="00B7792C"/>
    <w:rsid w:val="00B805EE"/>
    <w:rsid w:val="00B813AC"/>
    <w:rsid w:val="00B816E9"/>
    <w:rsid w:val="00B81E71"/>
    <w:rsid w:val="00B822B9"/>
    <w:rsid w:val="00B8231D"/>
    <w:rsid w:val="00B82AA9"/>
    <w:rsid w:val="00B82BD0"/>
    <w:rsid w:val="00B8317F"/>
    <w:rsid w:val="00B83BD5"/>
    <w:rsid w:val="00B86C8B"/>
    <w:rsid w:val="00B90749"/>
    <w:rsid w:val="00B910A3"/>
    <w:rsid w:val="00B9262F"/>
    <w:rsid w:val="00B93093"/>
    <w:rsid w:val="00B937F6"/>
    <w:rsid w:val="00B93972"/>
    <w:rsid w:val="00B940CA"/>
    <w:rsid w:val="00B94899"/>
    <w:rsid w:val="00B965BC"/>
    <w:rsid w:val="00B9728D"/>
    <w:rsid w:val="00B97A7A"/>
    <w:rsid w:val="00BA17E5"/>
    <w:rsid w:val="00BA28A6"/>
    <w:rsid w:val="00BA2BEB"/>
    <w:rsid w:val="00BA37E4"/>
    <w:rsid w:val="00BA46AF"/>
    <w:rsid w:val="00BA61FD"/>
    <w:rsid w:val="00BA6323"/>
    <w:rsid w:val="00BA66C8"/>
    <w:rsid w:val="00BB00F7"/>
    <w:rsid w:val="00BB0BB0"/>
    <w:rsid w:val="00BB14D4"/>
    <w:rsid w:val="00BB1E4A"/>
    <w:rsid w:val="00BB2D9B"/>
    <w:rsid w:val="00BB339E"/>
    <w:rsid w:val="00BB5544"/>
    <w:rsid w:val="00BB603A"/>
    <w:rsid w:val="00BB617A"/>
    <w:rsid w:val="00BB6EC7"/>
    <w:rsid w:val="00BC00E4"/>
    <w:rsid w:val="00BC0AF8"/>
    <w:rsid w:val="00BC15EE"/>
    <w:rsid w:val="00BC1A20"/>
    <w:rsid w:val="00BC1A91"/>
    <w:rsid w:val="00BC1F31"/>
    <w:rsid w:val="00BC2015"/>
    <w:rsid w:val="00BC34A7"/>
    <w:rsid w:val="00BC5312"/>
    <w:rsid w:val="00BC543E"/>
    <w:rsid w:val="00BC5582"/>
    <w:rsid w:val="00BC58AA"/>
    <w:rsid w:val="00BC6FF6"/>
    <w:rsid w:val="00BC7E8A"/>
    <w:rsid w:val="00BD02D3"/>
    <w:rsid w:val="00BD2671"/>
    <w:rsid w:val="00BD2728"/>
    <w:rsid w:val="00BD29B1"/>
    <w:rsid w:val="00BD43E1"/>
    <w:rsid w:val="00BD4D39"/>
    <w:rsid w:val="00BD4D83"/>
    <w:rsid w:val="00BD619C"/>
    <w:rsid w:val="00BE0488"/>
    <w:rsid w:val="00BE092C"/>
    <w:rsid w:val="00BE157A"/>
    <w:rsid w:val="00BE1609"/>
    <w:rsid w:val="00BE1A4B"/>
    <w:rsid w:val="00BE1A4F"/>
    <w:rsid w:val="00BE2221"/>
    <w:rsid w:val="00BE2E4B"/>
    <w:rsid w:val="00BE3907"/>
    <w:rsid w:val="00BE532A"/>
    <w:rsid w:val="00BE6A36"/>
    <w:rsid w:val="00BF019A"/>
    <w:rsid w:val="00BF1263"/>
    <w:rsid w:val="00BF1A80"/>
    <w:rsid w:val="00BF1DE1"/>
    <w:rsid w:val="00BF23CC"/>
    <w:rsid w:val="00BF2DAC"/>
    <w:rsid w:val="00BF3458"/>
    <w:rsid w:val="00BF4807"/>
    <w:rsid w:val="00BF6436"/>
    <w:rsid w:val="00BF64B0"/>
    <w:rsid w:val="00C0052F"/>
    <w:rsid w:val="00C02417"/>
    <w:rsid w:val="00C02AC4"/>
    <w:rsid w:val="00C03AE9"/>
    <w:rsid w:val="00C03D74"/>
    <w:rsid w:val="00C06CCB"/>
    <w:rsid w:val="00C06FD0"/>
    <w:rsid w:val="00C07454"/>
    <w:rsid w:val="00C077C3"/>
    <w:rsid w:val="00C07C1A"/>
    <w:rsid w:val="00C07CCF"/>
    <w:rsid w:val="00C11642"/>
    <w:rsid w:val="00C12DC5"/>
    <w:rsid w:val="00C13491"/>
    <w:rsid w:val="00C14B94"/>
    <w:rsid w:val="00C14BEE"/>
    <w:rsid w:val="00C14CFA"/>
    <w:rsid w:val="00C15446"/>
    <w:rsid w:val="00C15B20"/>
    <w:rsid w:val="00C1638F"/>
    <w:rsid w:val="00C1766C"/>
    <w:rsid w:val="00C17AEF"/>
    <w:rsid w:val="00C17C7A"/>
    <w:rsid w:val="00C2073C"/>
    <w:rsid w:val="00C20BDA"/>
    <w:rsid w:val="00C21121"/>
    <w:rsid w:val="00C2231A"/>
    <w:rsid w:val="00C2349D"/>
    <w:rsid w:val="00C23859"/>
    <w:rsid w:val="00C253E2"/>
    <w:rsid w:val="00C27550"/>
    <w:rsid w:val="00C3101B"/>
    <w:rsid w:val="00C3280D"/>
    <w:rsid w:val="00C32B45"/>
    <w:rsid w:val="00C32EF1"/>
    <w:rsid w:val="00C33B70"/>
    <w:rsid w:val="00C3695C"/>
    <w:rsid w:val="00C36BB9"/>
    <w:rsid w:val="00C36FC0"/>
    <w:rsid w:val="00C377E8"/>
    <w:rsid w:val="00C37B10"/>
    <w:rsid w:val="00C37E88"/>
    <w:rsid w:val="00C4079B"/>
    <w:rsid w:val="00C42181"/>
    <w:rsid w:val="00C441DE"/>
    <w:rsid w:val="00C44B59"/>
    <w:rsid w:val="00C455B8"/>
    <w:rsid w:val="00C4582D"/>
    <w:rsid w:val="00C471E7"/>
    <w:rsid w:val="00C509DA"/>
    <w:rsid w:val="00C52863"/>
    <w:rsid w:val="00C528F9"/>
    <w:rsid w:val="00C52942"/>
    <w:rsid w:val="00C52F1D"/>
    <w:rsid w:val="00C557DC"/>
    <w:rsid w:val="00C567FC"/>
    <w:rsid w:val="00C56D9E"/>
    <w:rsid w:val="00C57562"/>
    <w:rsid w:val="00C57574"/>
    <w:rsid w:val="00C57B61"/>
    <w:rsid w:val="00C62E7E"/>
    <w:rsid w:val="00C63483"/>
    <w:rsid w:val="00C65AA6"/>
    <w:rsid w:val="00C66636"/>
    <w:rsid w:val="00C6687D"/>
    <w:rsid w:val="00C70619"/>
    <w:rsid w:val="00C72325"/>
    <w:rsid w:val="00C72B1A"/>
    <w:rsid w:val="00C73C46"/>
    <w:rsid w:val="00C73FED"/>
    <w:rsid w:val="00C74021"/>
    <w:rsid w:val="00C742DC"/>
    <w:rsid w:val="00C746DF"/>
    <w:rsid w:val="00C755C6"/>
    <w:rsid w:val="00C75747"/>
    <w:rsid w:val="00C766EC"/>
    <w:rsid w:val="00C77183"/>
    <w:rsid w:val="00C77A12"/>
    <w:rsid w:val="00C80C95"/>
    <w:rsid w:val="00C811B4"/>
    <w:rsid w:val="00C819EF"/>
    <w:rsid w:val="00C82108"/>
    <w:rsid w:val="00C82CE9"/>
    <w:rsid w:val="00C8470F"/>
    <w:rsid w:val="00C85865"/>
    <w:rsid w:val="00C86950"/>
    <w:rsid w:val="00C86D41"/>
    <w:rsid w:val="00C87BAE"/>
    <w:rsid w:val="00C87BC1"/>
    <w:rsid w:val="00C90892"/>
    <w:rsid w:val="00C940C7"/>
    <w:rsid w:val="00C9461B"/>
    <w:rsid w:val="00C94F8B"/>
    <w:rsid w:val="00C94FC9"/>
    <w:rsid w:val="00C95590"/>
    <w:rsid w:val="00C95D61"/>
    <w:rsid w:val="00C96538"/>
    <w:rsid w:val="00C96D64"/>
    <w:rsid w:val="00CA032B"/>
    <w:rsid w:val="00CA102D"/>
    <w:rsid w:val="00CA111F"/>
    <w:rsid w:val="00CA15C3"/>
    <w:rsid w:val="00CA186C"/>
    <w:rsid w:val="00CA1E22"/>
    <w:rsid w:val="00CA414A"/>
    <w:rsid w:val="00CA56BE"/>
    <w:rsid w:val="00CA7A60"/>
    <w:rsid w:val="00CB01C0"/>
    <w:rsid w:val="00CB1CE2"/>
    <w:rsid w:val="00CB210F"/>
    <w:rsid w:val="00CB2258"/>
    <w:rsid w:val="00CB320C"/>
    <w:rsid w:val="00CB3AA3"/>
    <w:rsid w:val="00CB3D4C"/>
    <w:rsid w:val="00CB40D8"/>
    <w:rsid w:val="00CB474F"/>
    <w:rsid w:val="00CB4C16"/>
    <w:rsid w:val="00CB7F0E"/>
    <w:rsid w:val="00CC01EB"/>
    <w:rsid w:val="00CC0A55"/>
    <w:rsid w:val="00CC0DF6"/>
    <w:rsid w:val="00CC14D5"/>
    <w:rsid w:val="00CC1783"/>
    <w:rsid w:val="00CC4421"/>
    <w:rsid w:val="00CC4F74"/>
    <w:rsid w:val="00CC5660"/>
    <w:rsid w:val="00CC595E"/>
    <w:rsid w:val="00CC76D0"/>
    <w:rsid w:val="00CC7BC7"/>
    <w:rsid w:val="00CC7E73"/>
    <w:rsid w:val="00CD053D"/>
    <w:rsid w:val="00CD13C6"/>
    <w:rsid w:val="00CD3C29"/>
    <w:rsid w:val="00CD4655"/>
    <w:rsid w:val="00CD4DC0"/>
    <w:rsid w:val="00CD5879"/>
    <w:rsid w:val="00CD5A10"/>
    <w:rsid w:val="00CD5C4B"/>
    <w:rsid w:val="00CD5DD0"/>
    <w:rsid w:val="00CD663D"/>
    <w:rsid w:val="00CD6C2F"/>
    <w:rsid w:val="00CD781C"/>
    <w:rsid w:val="00CE098C"/>
    <w:rsid w:val="00CE1639"/>
    <w:rsid w:val="00CE22E0"/>
    <w:rsid w:val="00CE2606"/>
    <w:rsid w:val="00CE2B92"/>
    <w:rsid w:val="00CE32F1"/>
    <w:rsid w:val="00CE3960"/>
    <w:rsid w:val="00CE3AEB"/>
    <w:rsid w:val="00CE3C0B"/>
    <w:rsid w:val="00CE4DC1"/>
    <w:rsid w:val="00CE64D6"/>
    <w:rsid w:val="00CE6513"/>
    <w:rsid w:val="00CE6B65"/>
    <w:rsid w:val="00CF068F"/>
    <w:rsid w:val="00CF1B62"/>
    <w:rsid w:val="00CF1E50"/>
    <w:rsid w:val="00CF2BF5"/>
    <w:rsid w:val="00CF2F9B"/>
    <w:rsid w:val="00CF3531"/>
    <w:rsid w:val="00CF48D4"/>
    <w:rsid w:val="00CF4A23"/>
    <w:rsid w:val="00CF4D14"/>
    <w:rsid w:val="00CF5691"/>
    <w:rsid w:val="00CF631B"/>
    <w:rsid w:val="00CF69E7"/>
    <w:rsid w:val="00CF6E97"/>
    <w:rsid w:val="00CF7FB2"/>
    <w:rsid w:val="00D00B1F"/>
    <w:rsid w:val="00D0109C"/>
    <w:rsid w:val="00D01976"/>
    <w:rsid w:val="00D04250"/>
    <w:rsid w:val="00D04E2D"/>
    <w:rsid w:val="00D05E4C"/>
    <w:rsid w:val="00D06B75"/>
    <w:rsid w:val="00D07229"/>
    <w:rsid w:val="00D10A57"/>
    <w:rsid w:val="00D10A68"/>
    <w:rsid w:val="00D10F28"/>
    <w:rsid w:val="00D11037"/>
    <w:rsid w:val="00D11679"/>
    <w:rsid w:val="00D11BE0"/>
    <w:rsid w:val="00D136F4"/>
    <w:rsid w:val="00D1450F"/>
    <w:rsid w:val="00D16F8F"/>
    <w:rsid w:val="00D17C7B"/>
    <w:rsid w:val="00D22364"/>
    <w:rsid w:val="00D22DF9"/>
    <w:rsid w:val="00D2468B"/>
    <w:rsid w:val="00D249C4"/>
    <w:rsid w:val="00D24DD0"/>
    <w:rsid w:val="00D2511A"/>
    <w:rsid w:val="00D25F4C"/>
    <w:rsid w:val="00D26952"/>
    <w:rsid w:val="00D26BFA"/>
    <w:rsid w:val="00D3063F"/>
    <w:rsid w:val="00D30862"/>
    <w:rsid w:val="00D30869"/>
    <w:rsid w:val="00D322A0"/>
    <w:rsid w:val="00D32D58"/>
    <w:rsid w:val="00D34EDE"/>
    <w:rsid w:val="00D3538B"/>
    <w:rsid w:val="00D357FB"/>
    <w:rsid w:val="00D35F36"/>
    <w:rsid w:val="00D36691"/>
    <w:rsid w:val="00D36904"/>
    <w:rsid w:val="00D36D26"/>
    <w:rsid w:val="00D40965"/>
    <w:rsid w:val="00D40D83"/>
    <w:rsid w:val="00D41057"/>
    <w:rsid w:val="00D417C8"/>
    <w:rsid w:val="00D417DE"/>
    <w:rsid w:val="00D43F4B"/>
    <w:rsid w:val="00D4473D"/>
    <w:rsid w:val="00D44A25"/>
    <w:rsid w:val="00D4578C"/>
    <w:rsid w:val="00D45EAE"/>
    <w:rsid w:val="00D46041"/>
    <w:rsid w:val="00D46C11"/>
    <w:rsid w:val="00D470DC"/>
    <w:rsid w:val="00D47921"/>
    <w:rsid w:val="00D47A2B"/>
    <w:rsid w:val="00D47C8C"/>
    <w:rsid w:val="00D5000A"/>
    <w:rsid w:val="00D53107"/>
    <w:rsid w:val="00D54892"/>
    <w:rsid w:val="00D55019"/>
    <w:rsid w:val="00D55446"/>
    <w:rsid w:val="00D56230"/>
    <w:rsid w:val="00D566B0"/>
    <w:rsid w:val="00D5686B"/>
    <w:rsid w:val="00D56ACC"/>
    <w:rsid w:val="00D57973"/>
    <w:rsid w:val="00D60FBD"/>
    <w:rsid w:val="00D630ED"/>
    <w:rsid w:val="00D64642"/>
    <w:rsid w:val="00D658A7"/>
    <w:rsid w:val="00D70302"/>
    <w:rsid w:val="00D7073C"/>
    <w:rsid w:val="00D711A2"/>
    <w:rsid w:val="00D715FE"/>
    <w:rsid w:val="00D72D2D"/>
    <w:rsid w:val="00D73CB7"/>
    <w:rsid w:val="00D754BD"/>
    <w:rsid w:val="00D76093"/>
    <w:rsid w:val="00D81079"/>
    <w:rsid w:val="00D824AB"/>
    <w:rsid w:val="00D82C0C"/>
    <w:rsid w:val="00D82F40"/>
    <w:rsid w:val="00D838C5"/>
    <w:rsid w:val="00D852C0"/>
    <w:rsid w:val="00D86EFF"/>
    <w:rsid w:val="00D876E5"/>
    <w:rsid w:val="00D90E69"/>
    <w:rsid w:val="00D9151B"/>
    <w:rsid w:val="00D91698"/>
    <w:rsid w:val="00D928E4"/>
    <w:rsid w:val="00D9291C"/>
    <w:rsid w:val="00D948D0"/>
    <w:rsid w:val="00D94FE5"/>
    <w:rsid w:val="00D958BB"/>
    <w:rsid w:val="00D95F27"/>
    <w:rsid w:val="00D9762A"/>
    <w:rsid w:val="00D97D5F"/>
    <w:rsid w:val="00DA1815"/>
    <w:rsid w:val="00DA1867"/>
    <w:rsid w:val="00DA3B8F"/>
    <w:rsid w:val="00DA4406"/>
    <w:rsid w:val="00DA4C77"/>
    <w:rsid w:val="00DA52E8"/>
    <w:rsid w:val="00DA77E0"/>
    <w:rsid w:val="00DB0988"/>
    <w:rsid w:val="00DB12C0"/>
    <w:rsid w:val="00DB1D21"/>
    <w:rsid w:val="00DB217C"/>
    <w:rsid w:val="00DB25AA"/>
    <w:rsid w:val="00DB377F"/>
    <w:rsid w:val="00DB4A40"/>
    <w:rsid w:val="00DB68EC"/>
    <w:rsid w:val="00DB7F33"/>
    <w:rsid w:val="00DC01B6"/>
    <w:rsid w:val="00DC02C5"/>
    <w:rsid w:val="00DC034B"/>
    <w:rsid w:val="00DC0B6E"/>
    <w:rsid w:val="00DC0C26"/>
    <w:rsid w:val="00DC1A29"/>
    <w:rsid w:val="00DC2070"/>
    <w:rsid w:val="00DC22EC"/>
    <w:rsid w:val="00DC2E4A"/>
    <w:rsid w:val="00DC2E6C"/>
    <w:rsid w:val="00DC300B"/>
    <w:rsid w:val="00DC3276"/>
    <w:rsid w:val="00DC3300"/>
    <w:rsid w:val="00DC3CC5"/>
    <w:rsid w:val="00DC474D"/>
    <w:rsid w:val="00DC6FD6"/>
    <w:rsid w:val="00DD12E3"/>
    <w:rsid w:val="00DD1A9E"/>
    <w:rsid w:val="00DD1B3A"/>
    <w:rsid w:val="00DD1BBC"/>
    <w:rsid w:val="00DD3925"/>
    <w:rsid w:val="00DD53C0"/>
    <w:rsid w:val="00DD5748"/>
    <w:rsid w:val="00DD5ACF"/>
    <w:rsid w:val="00DD5C3E"/>
    <w:rsid w:val="00DD7132"/>
    <w:rsid w:val="00DD757E"/>
    <w:rsid w:val="00DE1807"/>
    <w:rsid w:val="00DE2097"/>
    <w:rsid w:val="00DE22A2"/>
    <w:rsid w:val="00DE2839"/>
    <w:rsid w:val="00DE3306"/>
    <w:rsid w:val="00DE3AA7"/>
    <w:rsid w:val="00DE4176"/>
    <w:rsid w:val="00DE4C6D"/>
    <w:rsid w:val="00DE5493"/>
    <w:rsid w:val="00DE5C07"/>
    <w:rsid w:val="00DE5DD5"/>
    <w:rsid w:val="00DE67FF"/>
    <w:rsid w:val="00DF03E8"/>
    <w:rsid w:val="00DF0D05"/>
    <w:rsid w:val="00DF1C78"/>
    <w:rsid w:val="00DF2126"/>
    <w:rsid w:val="00DF2419"/>
    <w:rsid w:val="00DF2540"/>
    <w:rsid w:val="00DF34D9"/>
    <w:rsid w:val="00DF40A9"/>
    <w:rsid w:val="00DF4412"/>
    <w:rsid w:val="00DF4616"/>
    <w:rsid w:val="00DF5AA0"/>
    <w:rsid w:val="00DF7AE3"/>
    <w:rsid w:val="00E00084"/>
    <w:rsid w:val="00E0030B"/>
    <w:rsid w:val="00E034F7"/>
    <w:rsid w:val="00E04AA4"/>
    <w:rsid w:val="00E050AD"/>
    <w:rsid w:val="00E05CAF"/>
    <w:rsid w:val="00E05D8B"/>
    <w:rsid w:val="00E0734D"/>
    <w:rsid w:val="00E10465"/>
    <w:rsid w:val="00E10D89"/>
    <w:rsid w:val="00E10DAE"/>
    <w:rsid w:val="00E1141A"/>
    <w:rsid w:val="00E1259E"/>
    <w:rsid w:val="00E1365D"/>
    <w:rsid w:val="00E14394"/>
    <w:rsid w:val="00E146E4"/>
    <w:rsid w:val="00E15353"/>
    <w:rsid w:val="00E16C17"/>
    <w:rsid w:val="00E2060C"/>
    <w:rsid w:val="00E21775"/>
    <w:rsid w:val="00E21D5C"/>
    <w:rsid w:val="00E2333F"/>
    <w:rsid w:val="00E237AB"/>
    <w:rsid w:val="00E25A46"/>
    <w:rsid w:val="00E26284"/>
    <w:rsid w:val="00E3208B"/>
    <w:rsid w:val="00E32BD3"/>
    <w:rsid w:val="00E33056"/>
    <w:rsid w:val="00E3321D"/>
    <w:rsid w:val="00E3349F"/>
    <w:rsid w:val="00E34675"/>
    <w:rsid w:val="00E34A29"/>
    <w:rsid w:val="00E3500A"/>
    <w:rsid w:val="00E35616"/>
    <w:rsid w:val="00E3574A"/>
    <w:rsid w:val="00E35819"/>
    <w:rsid w:val="00E37DA2"/>
    <w:rsid w:val="00E40192"/>
    <w:rsid w:val="00E41AA9"/>
    <w:rsid w:val="00E41D1C"/>
    <w:rsid w:val="00E41DA0"/>
    <w:rsid w:val="00E42EF4"/>
    <w:rsid w:val="00E439A8"/>
    <w:rsid w:val="00E43ED5"/>
    <w:rsid w:val="00E44215"/>
    <w:rsid w:val="00E44DC6"/>
    <w:rsid w:val="00E450BE"/>
    <w:rsid w:val="00E47139"/>
    <w:rsid w:val="00E474A0"/>
    <w:rsid w:val="00E50153"/>
    <w:rsid w:val="00E518E7"/>
    <w:rsid w:val="00E5192E"/>
    <w:rsid w:val="00E52EC1"/>
    <w:rsid w:val="00E53C21"/>
    <w:rsid w:val="00E567A9"/>
    <w:rsid w:val="00E56835"/>
    <w:rsid w:val="00E5714E"/>
    <w:rsid w:val="00E6057A"/>
    <w:rsid w:val="00E60DAC"/>
    <w:rsid w:val="00E611B6"/>
    <w:rsid w:val="00E61D88"/>
    <w:rsid w:val="00E61EA9"/>
    <w:rsid w:val="00E62CF9"/>
    <w:rsid w:val="00E634CB"/>
    <w:rsid w:val="00E64248"/>
    <w:rsid w:val="00E64BC6"/>
    <w:rsid w:val="00E70BD0"/>
    <w:rsid w:val="00E70F4E"/>
    <w:rsid w:val="00E719FA"/>
    <w:rsid w:val="00E71A0D"/>
    <w:rsid w:val="00E71BE5"/>
    <w:rsid w:val="00E73084"/>
    <w:rsid w:val="00E73E29"/>
    <w:rsid w:val="00E73EF0"/>
    <w:rsid w:val="00E75F56"/>
    <w:rsid w:val="00E77BFD"/>
    <w:rsid w:val="00E77FC8"/>
    <w:rsid w:val="00E806E7"/>
    <w:rsid w:val="00E80742"/>
    <w:rsid w:val="00E821DE"/>
    <w:rsid w:val="00E82B1C"/>
    <w:rsid w:val="00E83764"/>
    <w:rsid w:val="00E84641"/>
    <w:rsid w:val="00E84FC7"/>
    <w:rsid w:val="00E85537"/>
    <w:rsid w:val="00E86162"/>
    <w:rsid w:val="00E8778E"/>
    <w:rsid w:val="00E92ADE"/>
    <w:rsid w:val="00E942F6"/>
    <w:rsid w:val="00E94E0E"/>
    <w:rsid w:val="00E960BE"/>
    <w:rsid w:val="00E96829"/>
    <w:rsid w:val="00E9717F"/>
    <w:rsid w:val="00E977D2"/>
    <w:rsid w:val="00E978C3"/>
    <w:rsid w:val="00EA13FE"/>
    <w:rsid w:val="00EA3ECA"/>
    <w:rsid w:val="00EA4461"/>
    <w:rsid w:val="00EA506B"/>
    <w:rsid w:val="00EA52B5"/>
    <w:rsid w:val="00EA6E99"/>
    <w:rsid w:val="00EA7EDF"/>
    <w:rsid w:val="00EB3490"/>
    <w:rsid w:val="00EB3AA2"/>
    <w:rsid w:val="00EB4826"/>
    <w:rsid w:val="00EB49F2"/>
    <w:rsid w:val="00EB6F09"/>
    <w:rsid w:val="00EC037F"/>
    <w:rsid w:val="00EC059D"/>
    <w:rsid w:val="00EC0D62"/>
    <w:rsid w:val="00EC1DBC"/>
    <w:rsid w:val="00EC3104"/>
    <w:rsid w:val="00EC37C1"/>
    <w:rsid w:val="00EC4A66"/>
    <w:rsid w:val="00EC4E64"/>
    <w:rsid w:val="00EC6036"/>
    <w:rsid w:val="00EC6FF6"/>
    <w:rsid w:val="00EC7C16"/>
    <w:rsid w:val="00ED257E"/>
    <w:rsid w:val="00ED2FA2"/>
    <w:rsid w:val="00ED3646"/>
    <w:rsid w:val="00ED3E6C"/>
    <w:rsid w:val="00ED6AF5"/>
    <w:rsid w:val="00EE17C9"/>
    <w:rsid w:val="00EE1BA2"/>
    <w:rsid w:val="00EE588D"/>
    <w:rsid w:val="00EE601F"/>
    <w:rsid w:val="00EE68FD"/>
    <w:rsid w:val="00EE6A44"/>
    <w:rsid w:val="00EE71AE"/>
    <w:rsid w:val="00EF0914"/>
    <w:rsid w:val="00EF0D73"/>
    <w:rsid w:val="00EF1995"/>
    <w:rsid w:val="00EF207C"/>
    <w:rsid w:val="00EF2245"/>
    <w:rsid w:val="00EF5C6E"/>
    <w:rsid w:val="00EF6FE9"/>
    <w:rsid w:val="00EF7D58"/>
    <w:rsid w:val="00F00740"/>
    <w:rsid w:val="00F007DF"/>
    <w:rsid w:val="00F0123F"/>
    <w:rsid w:val="00F01776"/>
    <w:rsid w:val="00F029A0"/>
    <w:rsid w:val="00F03E17"/>
    <w:rsid w:val="00F04996"/>
    <w:rsid w:val="00F05DFC"/>
    <w:rsid w:val="00F10465"/>
    <w:rsid w:val="00F112F8"/>
    <w:rsid w:val="00F116F8"/>
    <w:rsid w:val="00F1327C"/>
    <w:rsid w:val="00F1463C"/>
    <w:rsid w:val="00F14CF3"/>
    <w:rsid w:val="00F15778"/>
    <w:rsid w:val="00F15FA6"/>
    <w:rsid w:val="00F1624E"/>
    <w:rsid w:val="00F1793C"/>
    <w:rsid w:val="00F21534"/>
    <w:rsid w:val="00F2192D"/>
    <w:rsid w:val="00F2329D"/>
    <w:rsid w:val="00F23C35"/>
    <w:rsid w:val="00F250FD"/>
    <w:rsid w:val="00F25A39"/>
    <w:rsid w:val="00F261B6"/>
    <w:rsid w:val="00F31920"/>
    <w:rsid w:val="00F31D6A"/>
    <w:rsid w:val="00F334BF"/>
    <w:rsid w:val="00F367F8"/>
    <w:rsid w:val="00F37DB8"/>
    <w:rsid w:val="00F37EED"/>
    <w:rsid w:val="00F413FF"/>
    <w:rsid w:val="00F421E9"/>
    <w:rsid w:val="00F45052"/>
    <w:rsid w:val="00F455DA"/>
    <w:rsid w:val="00F46342"/>
    <w:rsid w:val="00F46EDD"/>
    <w:rsid w:val="00F51112"/>
    <w:rsid w:val="00F51F0C"/>
    <w:rsid w:val="00F52CA6"/>
    <w:rsid w:val="00F52E14"/>
    <w:rsid w:val="00F5330B"/>
    <w:rsid w:val="00F5411B"/>
    <w:rsid w:val="00F54182"/>
    <w:rsid w:val="00F55033"/>
    <w:rsid w:val="00F5582E"/>
    <w:rsid w:val="00F55989"/>
    <w:rsid w:val="00F628EB"/>
    <w:rsid w:val="00F63F8E"/>
    <w:rsid w:val="00F64DC7"/>
    <w:rsid w:val="00F65D99"/>
    <w:rsid w:val="00F6674E"/>
    <w:rsid w:val="00F67052"/>
    <w:rsid w:val="00F6730F"/>
    <w:rsid w:val="00F71262"/>
    <w:rsid w:val="00F718B4"/>
    <w:rsid w:val="00F752BD"/>
    <w:rsid w:val="00F8131E"/>
    <w:rsid w:val="00F8539E"/>
    <w:rsid w:val="00F855DF"/>
    <w:rsid w:val="00F85C6A"/>
    <w:rsid w:val="00F87469"/>
    <w:rsid w:val="00F875DC"/>
    <w:rsid w:val="00F877EC"/>
    <w:rsid w:val="00F90A65"/>
    <w:rsid w:val="00F9118E"/>
    <w:rsid w:val="00F92A82"/>
    <w:rsid w:val="00F94EE6"/>
    <w:rsid w:val="00F9568D"/>
    <w:rsid w:val="00F95A04"/>
    <w:rsid w:val="00F961DA"/>
    <w:rsid w:val="00F974C8"/>
    <w:rsid w:val="00F97AEE"/>
    <w:rsid w:val="00FA03B5"/>
    <w:rsid w:val="00FA0CC9"/>
    <w:rsid w:val="00FA173E"/>
    <w:rsid w:val="00FA1D79"/>
    <w:rsid w:val="00FA20A1"/>
    <w:rsid w:val="00FA2AA1"/>
    <w:rsid w:val="00FA36D9"/>
    <w:rsid w:val="00FA3A3F"/>
    <w:rsid w:val="00FA4502"/>
    <w:rsid w:val="00FA7F42"/>
    <w:rsid w:val="00FB010F"/>
    <w:rsid w:val="00FB07AB"/>
    <w:rsid w:val="00FB08D1"/>
    <w:rsid w:val="00FB2C7E"/>
    <w:rsid w:val="00FB3B0E"/>
    <w:rsid w:val="00FB4C1F"/>
    <w:rsid w:val="00FB4EF4"/>
    <w:rsid w:val="00FB5D7D"/>
    <w:rsid w:val="00FB5E72"/>
    <w:rsid w:val="00FB698B"/>
    <w:rsid w:val="00FB6E41"/>
    <w:rsid w:val="00FB7791"/>
    <w:rsid w:val="00FC0FB5"/>
    <w:rsid w:val="00FC18A4"/>
    <w:rsid w:val="00FC1B6B"/>
    <w:rsid w:val="00FC1B85"/>
    <w:rsid w:val="00FC1DF1"/>
    <w:rsid w:val="00FC26A6"/>
    <w:rsid w:val="00FC45F2"/>
    <w:rsid w:val="00FC484B"/>
    <w:rsid w:val="00FC50A2"/>
    <w:rsid w:val="00FC67D6"/>
    <w:rsid w:val="00FC6B1F"/>
    <w:rsid w:val="00FC6DA3"/>
    <w:rsid w:val="00FC6DAB"/>
    <w:rsid w:val="00FC715D"/>
    <w:rsid w:val="00FC7BEC"/>
    <w:rsid w:val="00FD0866"/>
    <w:rsid w:val="00FD0869"/>
    <w:rsid w:val="00FD16FE"/>
    <w:rsid w:val="00FD1EF7"/>
    <w:rsid w:val="00FD24DC"/>
    <w:rsid w:val="00FD2882"/>
    <w:rsid w:val="00FD2B29"/>
    <w:rsid w:val="00FD3032"/>
    <w:rsid w:val="00FD324E"/>
    <w:rsid w:val="00FD35E6"/>
    <w:rsid w:val="00FD3D60"/>
    <w:rsid w:val="00FD4604"/>
    <w:rsid w:val="00FD549E"/>
    <w:rsid w:val="00FD636F"/>
    <w:rsid w:val="00FD6693"/>
    <w:rsid w:val="00FD7D24"/>
    <w:rsid w:val="00FE01C2"/>
    <w:rsid w:val="00FE08A3"/>
    <w:rsid w:val="00FE0D13"/>
    <w:rsid w:val="00FE0F13"/>
    <w:rsid w:val="00FE11CB"/>
    <w:rsid w:val="00FE1F49"/>
    <w:rsid w:val="00FE2088"/>
    <w:rsid w:val="00FE243F"/>
    <w:rsid w:val="00FE37A7"/>
    <w:rsid w:val="00FE4BFE"/>
    <w:rsid w:val="00FE5C95"/>
    <w:rsid w:val="00FE72A5"/>
    <w:rsid w:val="00FE7B38"/>
    <w:rsid w:val="00FF073E"/>
    <w:rsid w:val="00FF0E0F"/>
    <w:rsid w:val="00FF1EB5"/>
    <w:rsid w:val="00FF20DD"/>
    <w:rsid w:val="00FF4766"/>
    <w:rsid w:val="00FF4A6E"/>
    <w:rsid w:val="00FF4CB0"/>
    <w:rsid w:val="00FF4EB2"/>
    <w:rsid w:val="00FF6158"/>
    <w:rsid w:val="00FF6D62"/>
    <w:rsid w:val="00FF6D7D"/>
    <w:rsid w:val="00FF77D2"/>
    <w:rsid w:val="010D4F6F"/>
    <w:rsid w:val="012C5B89"/>
    <w:rsid w:val="01437220"/>
    <w:rsid w:val="01643005"/>
    <w:rsid w:val="017068A7"/>
    <w:rsid w:val="01755391"/>
    <w:rsid w:val="017B4D10"/>
    <w:rsid w:val="01FB0923"/>
    <w:rsid w:val="025257D2"/>
    <w:rsid w:val="02A55C08"/>
    <w:rsid w:val="036B6F68"/>
    <w:rsid w:val="0409253E"/>
    <w:rsid w:val="0470097E"/>
    <w:rsid w:val="04A041BF"/>
    <w:rsid w:val="04E275FF"/>
    <w:rsid w:val="053A71DF"/>
    <w:rsid w:val="05B84737"/>
    <w:rsid w:val="066B628C"/>
    <w:rsid w:val="069331B4"/>
    <w:rsid w:val="06B03FBC"/>
    <w:rsid w:val="074B14C0"/>
    <w:rsid w:val="079C1816"/>
    <w:rsid w:val="07F044FE"/>
    <w:rsid w:val="07F95DA5"/>
    <w:rsid w:val="084E1E85"/>
    <w:rsid w:val="08B446D3"/>
    <w:rsid w:val="08B61CCF"/>
    <w:rsid w:val="09F745EC"/>
    <w:rsid w:val="0A1044A4"/>
    <w:rsid w:val="0A18319D"/>
    <w:rsid w:val="0ADC19ED"/>
    <w:rsid w:val="0AF142C5"/>
    <w:rsid w:val="0AFD6E73"/>
    <w:rsid w:val="0B584344"/>
    <w:rsid w:val="0B705B32"/>
    <w:rsid w:val="0B934FED"/>
    <w:rsid w:val="0BC55E7E"/>
    <w:rsid w:val="0BCA5088"/>
    <w:rsid w:val="0BF425E2"/>
    <w:rsid w:val="0C120130"/>
    <w:rsid w:val="0C6F3C24"/>
    <w:rsid w:val="0C813E6F"/>
    <w:rsid w:val="0CCE17EE"/>
    <w:rsid w:val="0D764ED8"/>
    <w:rsid w:val="0DB92613"/>
    <w:rsid w:val="0DC33943"/>
    <w:rsid w:val="0E272D67"/>
    <w:rsid w:val="0E625EC7"/>
    <w:rsid w:val="0EF14D0E"/>
    <w:rsid w:val="0F711E78"/>
    <w:rsid w:val="0F951948"/>
    <w:rsid w:val="101B0AF2"/>
    <w:rsid w:val="10BF7A6B"/>
    <w:rsid w:val="11460906"/>
    <w:rsid w:val="123805C1"/>
    <w:rsid w:val="12C86AF6"/>
    <w:rsid w:val="12FE1C75"/>
    <w:rsid w:val="13052CEF"/>
    <w:rsid w:val="1340143E"/>
    <w:rsid w:val="135D6A84"/>
    <w:rsid w:val="140E7208"/>
    <w:rsid w:val="14660162"/>
    <w:rsid w:val="14A36865"/>
    <w:rsid w:val="1578514C"/>
    <w:rsid w:val="15F1067F"/>
    <w:rsid w:val="165A329E"/>
    <w:rsid w:val="168C2DF5"/>
    <w:rsid w:val="16C776E9"/>
    <w:rsid w:val="17552731"/>
    <w:rsid w:val="178F160C"/>
    <w:rsid w:val="17A6778C"/>
    <w:rsid w:val="17DB2818"/>
    <w:rsid w:val="184F36A9"/>
    <w:rsid w:val="18A80485"/>
    <w:rsid w:val="191C4B10"/>
    <w:rsid w:val="193924BC"/>
    <w:rsid w:val="19957A1E"/>
    <w:rsid w:val="19972F9E"/>
    <w:rsid w:val="19A00713"/>
    <w:rsid w:val="1A421CCB"/>
    <w:rsid w:val="1A424265"/>
    <w:rsid w:val="1AAB1E40"/>
    <w:rsid w:val="1AEF42C8"/>
    <w:rsid w:val="1BC35D8B"/>
    <w:rsid w:val="1BC81072"/>
    <w:rsid w:val="1C3A1625"/>
    <w:rsid w:val="1CE922D5"/>
    <w:rsid w:val="1D3532EC"/>
    <w:rsid w:val="1D8A4CBB"/>
    <w:rsid w:val="1DE71666"/>
    <w:rsid w:val="1E0631F7"/>
    <w:rsid w:val="1EA23D81"/>
    <w:rsid w:val="1EA81514"/>
    <w:rsid w:val="1EBA3FED"/>
    <w:rsid w:val="1EDD2853"/>
    <w:rsid w:val="1F437886"/>
    <w:rsid w:val="1FCF190A"/>
    <w:rsid w:val="1FD837FF"/>
    <w:rsid w:val="20450086"/>
    <w:rsid w:val="2048311A"/>
    <w:rsid w:val="2057376F"/>
    <w:rsid w:val="206B60F7"/>
    <w:rsid w:val="20867110"/>
    <w:rsid w:val="20FF72E4"/>
    <w:rsid w:val="21612D19"/>
    <w:rsid w:val="21650DD3"/>
    <w:rsid w:val="21FC2C8E"/>
    <w:rsid w:val="22332929"/>
    <w:rsid w:val="22BC2EFF"/>
    <w:rsid w:val="22D845F6"/>
    <w:rsid w:val="23125179"/>
    <w:rsid w:val="2342294A"/>
    <w:rsid w:val="23AA5C83"/>
    <w:rsid w:val="23FA27CA"/>
    <w:rsid w:val="2482576D"/>
    <w:rsid w:val="2568286A"/>
    <w:rsid w:val="25E635C6"/>
    <w:rsid w:val="27EA35BF"/>
    <w:rsid w:val="27F66993"/>
    <w:rsid w:val="27FA6F48"/>
    <w:rsid w:val="28766B82"/>
    <w:rsid w:val="28CC03F4"/>
    <w:rsid w:val="28DF5C9A"/>
    <w:rsid w:val="294249B3"/>
    <w:rsid w:val="29973688"/>
    <w:rsid w:val="29A02BD1"/>
    <w:rsid w:val="29B15076"/>
    <w:rsid w:val="2A055CF2"/>
    <w:rsid w:val="2A097F1C"/>
    <w:rsid w:val="2A9A6739"/>
    <w:rsid w:val="2AE96671"/>
    <w:rsid w:val="2B7B2C6C"/>
    <w:rsid w:val="2BB26DEF"/>
    <w:rsid w:val="2BB3432D"/>
    <w:rsid w:val="2BF4347B"/>
    <w:rsid w:val="2BFD1B79"/>
    <w:rsid w:val="2C1C2A4F"/>
    <w:rsid w:val="2C1E0074"/>
    <w:rsid w:val="2CB36C04"/>
    <w:rsid w:val="2D591E9F"/>
    <w:rsid w:val="2D8F3929"/>
    <w:rsid w:val="2DAF19A8"/>
    <w:rsid w:val="2DD332D6"/>
    <w:rsid w:val="2E122E6E"/>
    <w:rsid w:val="2E6B7B78"/>
    <w:rsid w:val="2EFD374D"/>
    <w:rsid w:val="302B3546"/>
    <w:rsid w:val="307F7B0B"/>
    <w:rsid w:val="30D54525"/>
    <w:rsid w:val="31187744"/>
    <w:rsid w:val="32BA0DAC"/>
    <w:rsid w:val="32BB1283"/>
    <w:rsid w:val="32E06584"/>
    <w:rsid w:val="33052062"/>
    <w:rsid w:val="3417723A"/>
    <w:rsid w:val="354A3431"/>
    <w:rsid w:val="35F318FF"/>
    <w:rsid w:val="36000C8C"/>
    <w:rsid w:val="365E6403"/>
    <w:rsid w:val="36AA33F6"/>
    <w:rsid w:val="36CC5038"/>
    <w:rsid w:val="36ED2887"/>
    <w:rsid w:val="37777177"/>
    <w:rsid w:val="37A22D7D"/>
    <w:rsid w:val="380618A5"/>
    <w:rsid w:val="386121DB"/>
    <w:rsid w:val="387371E8"/>
    <w:rsid w:val="389F0879"/>
    <w:rsid w:val="39112E4E"/>
    <w:rsid w:val="392110C9"/>
    <w:rsid w:val="394C04FA"/>
    <w:rsid w:val="39B94284"/>
    <w:rsid w:val="3A4A1178"/>
    <w:rsid w:val="3A910095"/>
    <w:rsid w:val="3B025100"/>
    <w:rsid w:val="3B4B3492"/>
    <w:rsid w:val="3B943715"/>
    <w:rsid w:val="3BA532D3"/>
    <w:rsid w:val="3C533664"/>
    <w:rsid w:val="3C552165"/>
    <w:rsid w:val="3D524B13"/>
    <w:rsid w:val="3DA24C61"/>
    <w:rsid w:val="3DC30ABB"/>
    <w:rsid w:val="3DDD0DA5"/>
    <w:rsid w:val="3E0669D3"/>
    <w:rsid w:val="3E0B6090"/>
    <w:rsid w:val="3E647C7F"/>
    <w:rsid w:val="3EAF5746"/>
    <w:rsid w:val="3EC92FAF"/>
    <w:rsid w:val="3F6201F3"/>
    <w:rsid w:val="3F650923"/>
    <w:rsid w:val="3F9B2334"/>
    <w:rsid w:val="3FCB068C"/>
    <w:rsid w:val="3FCD22A5"/>
    <w:rsid w:val="3FFA36DD"/>
    <w:rsid w:val="40125269"/>
    <w:rsid w:val="40455037"/>
    <w:rsid w:val="40507198"/>
    <w:rsid w:val="406C1CB8"/>
    <w:rsid w:val="40B76E3C"/>
    <w:rsid w:val="41162AF5"/>
    <w:rsid w:val="41BF5D28"/>
    <w:rsid w:val="42547337"/>
    <w:rsid w:val="42BD0221"/>
    <w:rsid w:val="42DC7A59"/>
    <w:rsid w:val="42EC1B48"/>
    <w:rsid w:val="4313008B"/>
    <w:rsid w:val="43D47874"/>
    <w:rsid w:val="445F5EC9"/>
    <w:rsid w:val="446E7C5F"/>
    <w:rsid w:val="44EF2F4D"/>
    <w:rsid w:val="453841B1"/>
    <w:rsid w:val="45D72F96"/>
    <w:rsid w:val="464940F6"/>
    <w:rsid w:val="473D0A63"/>
    <w:rsid w:val="47975C19"/>
    <w:rsid w:val="47DC187E"/>
    <w:rsid w:val="480F698B"/>
    <w:rsid w:val="484B393A"/>
    <w:rsid w:val="488F25CE"/>
    <w:rsid w:val="48B07A7C"/>
    <w:rsid w:val="48E80FB9"/>
    <w:rsid w:val="48FB5864"/>
    <w:rsid w:val="497E63B7"/>
    <w:rsid w:val="49990A3E"/>
    <w:rsid w:val="49B107FB"/>
    <w:rsid w:val="49B75CCF"/>
    <w:rsid w:val="49BE09DE"/>
    <w:rsid w:val="4A112065"/>
    <w:rsid w:val="4AAA3004"/>
    <w:rsid w:val="4B1102E0"/>
    <w:rsid w:val="4B8131AC"/>
    <w:rsid w:val="4B854147"/>
    <w:rsid w:val="4BA96A9B"/>
    <w:rsid w:val="4C4B0D80"/>
    <w:rsid w:val="4C965E30"/>
    <w:rsid w:val="4CE9608C"/>
    <w:rsid w:val="4D2B6F1A"/>
    <w:rsid w:val="4D317947"/>
    <w:rsid w:val="4DA85766"/>
    <w:rsid w:val="4DF242B3"/>
    <w:rsid w:val="4E3D6E12"/>
    <w:rsid w:val="4EA1308C"/>
    <w:rsid w:val="4F046846"/>
    <w:rsid w:val="4F0B1BF4"/>
    <w:rsid w:val="4F300CD0"/>
    <w:rsid w:val="4F6D5577"/>
    <w:rsid w:val="4F8359A9"/>
    <w:rsid w:val="4F9811B6"/>
    <w:rsid w:val="4FEB0528"/>
    <w:rsid w:val="4FF97722"/>
    <w:rsid w:val="50BB64D4"/>
    <w:rsid w:val="51B431A2"/>
    <w:rsid w:val="51F33E69"/>
    <w:rsid w:val="52A265EC"/>
    <w:rsid w:val="52E11663"/>
    <w:rsid w:val="532C3FB3"/>
    <w:rsid w:val="53423157"/>
    <w:rsid w:val="534F1565"/>
    <w:rsid w:val="53545CC0"/>
    <w:rsid w:val="536D1BB6"/>
    <w:rsid w:val="53C363FE"/>
    <w:rsid w:val="53CF60ED"/>
    <w:rsid w:val="53FD1D1C"/>
    <w:rsid w:val="54AF52CA"/>
    <w:rsid w:val="54B27D1E"/>
    <w:rsid w:val="55155B52"/>
    <w:rsid w:val="552D3354"/>
    <w:rsid w:val="55A36486"/>
    <w:rsid w:val="55FC5C33"/>
    <w:rsid w:val="56153315"/>
    <w:rsid w:val="562767B0"/>
    <w:rsid w:val="56725728"/>
    <w:rsid w:val="568943E1"/>
    <w:rsid w:val="568C2C2E"/>
    <w:rsid w:val="56A769D3"/>
    <w:rsid w:val="56A82775"/>
    <w:rsid w:val="56CF6995"/>
    <w:rsid w:val="570C4F0C"/>
    <w:rsid w:val="570F33D0"/>
    <w:rsid w:val="577472CD"/>
    <w:rsid w:val="57D372BF"/>
    <w:rsid w:val="58136CA2"/>
    <w:rsid w:val="58180D74"/>
    <w:rsid w:val="581B516B"/>
    <w:rsid w:val="589F25D6"/>
    <w:rsid w:val="58C40CFC"/>
    <w:rsid w:val="59086F9C"/>
    <w:rsid w:val="59EF6A1A"/>
    <w:rsid w:val="5A01773D"/>
    <w:rsid w:val="5AA82E82"/>
    <w:rsid w:val="5ACE07DE"/>
    <w:rsid w:val="5AD35AF8"/>
    <w:rsid w:val="5ADB05C1"/>
    <w:rsid w:val="5B4A6098"/>
    <w:rsid w:val="5B525C87"/>
    <w:rsid w:val="5B7E2995"/>
    <w:rsid w:val="5BF8682E"/>
    <w:rsid w:val="5C861E69"/>
    <w:rsid w:val="5C990253"/>
    <w:rsid w:val="5CA6628A"/>
    <w:rsid w:val="5CE57E3C"/>
    <w:rsid w:val="5D6821A5"/>
    <w:rsid w:val="5E0173E0"/>
    <w:rsid w:val="5E0314BA"/>
    <w:rsid w:val="5E1A6E9C"/>
    <w:rsid w:val="5E9F3C9D"/>
    <w:rsid w:val="5F1C745A"/>
    <w:rsid w:val="5F2E232F"/>
    <w:rsid w:val="5F32457C"/>
    <w:rsid w:val="5FEF5A95"/>
    <w:rsid w:val="60480818"/>
    <w:rsid w:val="61944DA4"/>
    <w:rsid w:val="62186F42"/>
    <w:rsid w:val="623D3FBA"/>
    <w:rsid w:val="628F50A4"/>
    <w:rsid w:val="639037F0"/>
    <w:rsid w:val="639570B0"/>
    <w:rsid w:val="63A54F9A"/>
    <w:rsid w:val="63AE604C"/>
    <w:rsid w:val="64852C29"/>
    <w:rsid w:val="649E1F3D"/>
    <w:rsid w:val="64F52902"/>
    <w:rsid w:val="65035EAD"/>
    <w:rsid w:val="650E348B"/>
    <w:rsid w:val="654900FB"/>
    <w:rsid w:val="654E7414"/>
    <w:rsid w:val="65D06ECB"/>
    <w:rsid w:val="66691DA4"/>
    <w:rsid w:val="66844D25"/>
    <w:rsid w:val="66C976A4"/>
    <w:rsid w:val="66F634CC"/>
    <w:rsid w:val="67694D5A"/>
    <w:rsid w:val="67DB707F"/>
    <w:rsid w:val="680F035A"/>
    <w:rsid w:val="682072DD"/>
    <w:rsid w:val="68586A58"/>
    <w:rsid w:val="686366AF"/>
    <w:rsid w:val="68AC3BAD"/>
    <w:rsid w:val="68AD5030"/>
    <w:rsid w:val="694A529C"/>
    <w:rsid w:val="69857B1E"/>
    <w:rsid w:val="69EE724F"/>
    <w:rsid w:val="6A2B1ED2"/>
    <w:rsid w:val="6A567FF7"/>
    <w:rsid w:val="6A9F07BD"/>
    <w:rsid w:val="6AA40595"/>
    <w:rsid w:val="6ACE3652"/>
    <w:rsid w:val="6AFC4272"/>
    <w:rsid w:val="6B216CA3"/>
    <w:rsid w:val="6B5F23EA"/>
    <w:rsid w:val="6B855C05"/>
    <w:rsid w:val="6C302462"/>
    <w:rsid w:val="6C4F5FC2"/>
    <w:rsid w:val="6C6A7D54"/>
    <w:rsid w:val="6C6F77A9"/>
    <w:rsid w:val="6C9C4317"/>
    <w:rsid w:val="6D4B1938"/>
    <w:rsid w:val="6D7B04EF"/>
    <w:rsid w:val="6DE541BD"/>
    <w:rsid w:val="6DF64353"/>
    <w:rsid w:val="6E045545"/>
    <w:rsid w:val="6E1A4303"/>
    <w:rsid w:val="6E1D5A5A"/>
    <w:rsid w:val="6EB70E84"/>
    <w:rsid w:val="6F0A0EAD"/>
    <w:rsid w:val="703C03E9"/>
    <w:rsid w:val="70B62120"/>
    <w:rsid w:val="70D14907"/>
    <w:rsid w:val="710542A6"/>
    <w:rsid w:val="71120427"/>
    <w:rsid w:val="71381023"/>
    <w:rsid w:val="71EB6448"/>
    <w:rsid w:val="7205184D"/>
    <w:rsid w:val="731B75E3"/>
    <w:rsid w:val="734A1BC2"/>
    <w:rsid w:val="738564EC"/>
    <w:rsid w:val="73AA26AC"/>
    <w:rsid w:val="73AA299C"/>
    <w:rsid w:val="73D45038"/>
    <w:rsid w:val="73E72559"/>
    <w:rsid w:val="75A373B3"/>
    <w:rsid w:val="77340BCC"/>
    <w:rsid w:val="77B126F0"/>
    <w:rsid w:val="77E54B1C"/>
    <w:rsid w:val="78782796"/>
    <w:rsid w:val="78FE771E"/>
    <w:rsid w:val="7911362B"/>
    <w:rsid w:val="7992618D"/>
    <w:rsid w:val="79D4608D"/>
    <w:rsid w:val="7A606695"/>
    <w:rsid w:val="7A725303"/>
    <w:rsid w:val="7B0F077B"/>
    <w:rsid w:val="7B71305D"/>
    <w:rsid w:val="7C2B7201"/>
    <w:rsid w:val="7C603A60"/>
    <w:rsid w:val="7CDC1F54"/>
    <w:rsid w:val="7CEB3D4A"/>
    <w:rsid w:val="7CEF14FC"/>
    <w:rsid w:val="7CF36FBA"/>
    <w:rsid w:val="7D1D7644"/>
    <w:rsid w:val="7D3923AB"/>
    <w:rsid w:val="7D5A0C9F"/>
    <w:rsid w:val="7D6E474B"/>
    <w:rsid w:val="7DBD17C6"/>
    <w:rsid w:val="7DE30207"/>
    <w:rsid w:val="7E10649B"/>
    <w:rsid w:val="7E24505B"/>
    <w:rsid w:val="7E304553"/>
    <w:rsid w:val="7E3943F2"/>
    <w:rsid w:val="7E694C51"/>
    <w:rsid w:val="7EDD48F9"/>
    <w:rsid w:val="7EF82C92"/>
    <w:rsid w:val="7F3B537A"/>
    <w:rsid w:val="7F7A307D"/>
    <w:rsid w:val="7FBF68F5"/>
    <w:rsid w:val="7FCE13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00" w:lineRule="exact"/>
      <w:jc w:val="center"/>
      <w:outlineLvl w:val="1"/>
    </w:pPr>
    <w:rPr>
      <w:rFonts w:ascii="Arial" w:hAnsi="Arial" w:eastAsia="黑体"/>
      <w:b/>
      <w:bCs/>
      <w:sz w:val="28"/>
      <w:szCs w:val="28"/>
    </w:rPr>
  </w:style>
  <w:style w:type="paragraph" w:styleId="5">
    <w:name w:val="heading 3"/>
    <w:basedOn w:val="1"/>
    <w:next w:val="1"/>
    <w:link w:val="73"/>
    <w:qFormat/>
    <w:uiPriority w:val="0"/>
    <w:pPr>
      <w:keepNext/>
      <w:keepLines/>
      <w:spacing w:before="120" w:after="120"/>
      <w:outlineLvl w:val="2"/>
    </w:pPr>
    <w:rPr>
      <w:b/>
      <w:bCs/>
      <w:szCs w:val="32"/>
    </w:rPr>
  </w:style>
  <w:style w:type="paragraph" w:styleId="6">
    <w:name w:val="heading 4"/>
    <w:basedOn w:val="1"/>
    <w:next w:val="1"/>
    <w:link w:val="62"/>
    <w:qFormat/>
    <w:uiPriority w:val="0"/>
    <w:pPr>
      <w:keepNext/>
      <w:keepLines/>
      <w:spacing w:before="280" w:after="290"/>
      <w:outlineLvl w:val="3"/>
    </w:pPr>
    <w:rPr>
      <w:rFonts w:hAnsi="Arial"/>
      <w:b/>
      <w:bCs/>
      <w:sz w:val="24"/>
      <w:szCs w:val="24"/>
    </w:rPr>
  </w:style>
  <w:style w:type="paragraph" w:styleId="7">
    <w:name w:val="heading 5"/>
    <w:basedOn w:val="1"/>
    <w:next w:val="8"/>
    <w:qFormat/>
    <w:uiPriority w:val="0"/>
    <w:pPr>
      <w:tabs>
        <w:tab w:val="left" w:pos="-709"/>
        <w:tab w:val="left" w:pos="284"/>
        <w:tab w:val="left" w:pos="360"/>
        <w:tab w:val="left" w:pos="851"/>
      </w:tabs>
      <w:adjustRightInd w:val="0"/>
      <w:snapToGrid w:val="0"/>
      <w:spacing w:line="300" w:lineRule="auto"/>
      <w:textAlignment w:val="baseline"/>
      <w:outlineLvl w:val="4"/>
    </w:pPr>
    <w:rPr>
      <w:rFonts w:ascii="宋体"/>
      <w:kern w:val="0"/>
      <w:sz w:val="24"/>
    </w:rPr>
  </w:style>
  <w:style w:type="paragraph" w:styleId="9">
    <w:name w:val="heading 6"/>
    <w:basedOn w:val="1"/>
    <w:next w:val="8"/>
    <w:qFormat/>
    <w:uiPriority w:val="0"/>
    <w:pPr>
      <w:keepNext/>
      <w:keepLines/>
      <w:tabs>
        <w:tab w:val="left" w:pos="-709"/>
        <w:tab w:val="left" w:pos="284"/>
        <w:tab w:val="left" w:pos="1152"/>
      </w:tabs>
      <w:adjustRightInd w:val="0"/>
      <w:spacing w:before="240" w:after="64" w:line="320" w:lineRule="atLeast"/>
      <w:ind w:left="1152" w:hanging="1152"/>
      <w:textAlignment w:val="baseline"/>
      <w:outlineLvl w:val="5"/>
    </w:pPr>
    <w:rPr>
      <w:rFonts w:ascii="Arial" w:hAnsi="Arial" w:eastAsia="黑体"/>
      <w:b/>
      <w:kern w:val="0"/>
      <w:sz w:val="24"/>
    </w:rPr>
  </w:style>
  <w:style w:type="paragraph" w:styleId="10">
    <w:name w:val="heading 7"/>
    <w:basedOn w:val="1"/>
    <w:next w:val="8"/>
    <w:qFormat/>
    <w:uiPriority w:val="0"/>
    <w:pPr>
      <w:keepNext/>
      <w:keepLines/>
      <w:tabs>
        <w:tab w:val="left" w:pos="-709"/>
        <w:tab w:val="left" w:pos="284"/>
        <w:tab w:val="left" w:pos="1296"/>
      </w:tabs>
      <w:adjustRightInd w:val="0"/>
      <w:spacing w:before="240" w:after="64" w:line="320" w:lineRule="atLeast"/>
      <w:ind w:left="1296" w:hanging="1296"/>
      <w:textAlignment w:val="baseline"/>
      <w:outlineLvl w:val="6"/>
    </w:pPr>
    <w:rPr>
      <w:rFonts w:ascii="宋体"/>
      <w:b/>
      <w:kern w:val="0"/>
      <w:sz w:val="24"/>
    </w:rPr>
  </w:style>
  <w:style w:type="paragraph" w:styleId="11">
    <w:name w:val="heading 8"/>
    <w:basedOn w:val="1"/>
    <w:next w:val="8"/>
    <w:qFormat/>
    <w:uiPriority w:val="0"/>
    <w:pPr>
      <w:keepNext/>
      <w:keepLines/>
      <w:tabs>
        <w:tab w:val="left" w:pos="-709"/>
        <w:tab w:val="left" w:pos="284"/>
        <w:tab w:val="left" w:pos="1440"/>
      </w:tabs>
      <w:adjustRightInd w:val="0"/>
      <w:spacing w:before="240" w:after="64" w:line="320" w:lineRule="atLeast"/>
      <w:ind w:left="1440" w:hanging="1440"/>
      <w:textAlignment w:val="baseline"/>
      <w:outlineLvl w:val="7"/>
    </w:pPr>
    <w:rPr>
      <w:rFonts w:ascii="Arial" w:hAnsi="Arial" w:eastAsia="黑体"/>
      <w:kern w:val="0"/>
      <w:sz w:val="24"/>
    </w:rPr>
  </w:style>
  <w:style w:type="paragraph" w:styleId="12">
    <w:name w:val="heading 9"/>
    <w:basedOn w:val="1"/>
    <w:next w:val="8"/>
    <w:qFormat/>
    <w:uiPriority w:val="0"/>
    <w:pPr>
      <w:keepNext/>
      <w:keepLines/>
      <w:tabs>
        <w:tab w:val="left" w:pos="-709"/>
        <w:tab w:val="left" w:pos="284"/>
        <w:tab w:val="left" w:pos="1584"/>
      </w:tabs>
      <w:adjustRightInd w:val="0"/>
      <w:spacing w:before="240" w:after="64" w:line="320" w:lineRule="atLeast"/>
      <w:ind w:left="1584" w:hanging="1584"/>
      <w:textAlignment w:val="baseline"/>
      <w:outlineLvl w:val="8"/>
    </w:pPr>
    <w:rPr>
      <w:rFonts w:ascii="Arial" w:hAnsi="Arial" w:eastAsia="黑体"/>
      <w:kern w:val="0"/>
      <w:sz w:val="24"/>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8">
    <w:name w:val="Normal Indent"/>
    <w:basedOn w:val="1"/>
    <w:link w:val="98"/>
    <w:qFormat/>
    <w:uiPriority w:val="0"/>
    <w:pPr>
      <w:ind w:firstLine="420"/>
    </w:pPr>
  </w:style>
  <w:style w:type="paragraph" w:styleId="13">
    <w:name w:val="toc 7"/>
    <w:basedOn w:val="1"/>
    <w:next w:val="1"/>
    <w:semiHidden/>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rPr>
  </w:style>
  <w:style w:type="paragraph" w:styleId="15">
    <w:name w:val="Document Map"/>
    <w:basedOn w:val="1"/>
    <w:semiHidden/>
    <w:qFormat/>
    <w:uiPriority w:val="0"/>
    <w:pPr>
      <w:shd w:val="clear" w:color="auto" w:fill="000080"/>
    </w:pPr>
  </w:style>
  <w:style w:type="paragraph" w:styleId="16">
    <w:name w:val="annotation text"/>
    <w:basedOn w:val="1"/>
    <w:semiHidden/>
    <w:qFormat/>
    <w:uiPriority w:val="0"/>
    <w:pPr>
      <w:jc w:val="left"/>
    </w:pPr>
  </w:style>
  <w:style w:type="paragraph" w:styleId="17">
    <w:name w:val="Body Text 3"/>
    <w:basedOn w:val="1"/>
    <w:qFormat/>
    <w:uiPriority w:val="0"/>
    <w:rPr>
      <w:rFonts w:ascii="宋体"/>
      <w:sz w:val="18"/>
    </w:rPr>
  </w:style>
  <w:style w:type="paragraph" w:styleId="18">
    <w:name w:val="Body Text"/>
    <w:basedOn w:val="1"/>
    <w:link w:val="60"/>
    <w:qFormat/>
    <w:uiPriority w:val="0"/>
    <w:pPr>
      <w:spacing w:line="360" w:lineRule="auto"/>
    </w:pPr>
    <w:rPr>
      <w:sz w:val="24"/>
    </w:rPr>
  </w:style>
  <w:style w:type="paragraph" w:styleId="19">
    <w:name w:val="Body Text Indent"/>
    <w:basedOn w:val="1"/>
    <w:link w:val="67"/>
    <w:qFormat/>
    <w:uiPriority w:val="0"/>
    <w:pPr>
      <w:ind w:firstLine="444"/>
    </w:pPr>
    <w:rPr>
      <w:b/>
      <w:sz w:val="24"/>
    </w:rPr>
  </w:style>
  <w:style w:type="paragraph" w:styleId="20">
    <w:name w:val="toc 5"/>
    <w:basedOn w:val="1"/>
    <w:next w:val="1"/>
    <w:semiHidden/>
    <w:qFormat/>
    <w:uiPriority w:val="0"/>
    <w:pPr>
      <w:ind w:left="1680" w:leftChars="800"/>
    </w:pPr>
  </w:style>
  <w:style w:type="paragraph" w:styleId="21">
    <w:name w:val="toc 3"/>
    <w:basedOn w:val="1"/>
    <w:next w:val="1"/>
    <w:qFormat/>
    <w:uiPriority w:val="39"/>
    <w:pPr>
      <w:tabs>
        <w:tab w:val="right" w:leader="dot" w:pos="9231"/>
      </w:tabs>
      <w:ind w:firstLine="200" w:firstLineChars="200"/>
    </w:pPr>
  </w:style>
  <w:style w:type="paragraph" w:styleId="22">
    <w:name w:val="Plain Text"/>
    <w:basedOn w:val="1"/>
    <w:next w:val="23"/>
    <w:link w:val="61"/>
    <w:qFormat/>
    <w:uiPriority w:val="0"/>
    <w:rPr>
      <w:rFonts w:ascii="宋体" w:hAnsi="Courier New"/>
    </w:rPr>
  </w:style>
  <w:style w:type="paragraph" w:styleId="23">
    <w:name w:val="Body Text Indent 2"/>
    <w:basedOn w:val="1"/>
    <w:next w:val="1"/>
    <w:qFormat/>
    <w:uiPriority w:val="0"/>
    <w:pPr>
      <w:adjustRightInd w:val="0"/>
      <w:spacing w:line="360" w:lineRule="auto"/>
      <w:ind w:firstLine="420" w:firstLineChars="175"/>
    </w:pPr>
    <w:rPr>
      <w:rFonts w:ascii="宋体" w:hAnsi="宋体"/>
      <w:b/>
      <w:bCs/>
      <w:sz w:val="24"/>
    </w:rPr>
  </w:style>
  <w:style w:type="paragraph" w:styleId="24">
    <w:name w:val="toc 8"/>
    <w:basedOn w:val="1"/>
    <w:next w:val="1"/>
    <w:semiHidden/>
    <w:qFormat/>
    <w:uiPriority w:val="0"/>
    <w:pPr>
      <w:ind w:left="2940" w:leftChars="1400"/>
    </w:pPr>
  </w:style>
  <w:style w:type="paragraph" w:styleId="25">
    <w:name w:val="Date"/>
    <w:basedOn w:val="1"/>
    <w:next w:val="1"/>
    <w:link w:val="70"/>
    <w:qFormat/>
    <w:uiPriority w:val="0"/>
  </w:style>
  <w:style w:type="paragraph" w:styleId="26">
    <w:name w:val="Balloon Text"/>
    <w:basedOn w:val="1"/>
    <w:semiHidden/>
    <w:qFormat/>
    <w:uiPriority w:val="0"/>
    <w:rPr>
      <w:sz w:val="18"/>
      <w:szCs w:val="18"/>
    </w:rPr>
  </w:style>
  <w:style w:type="paragraph" w:styleId="27">
    <w:name w:val="footer"/>
    <w:basedOn w:val="1"/>
    <w:link w:val="66"/>
    <w:qFormat/>
    <w:uiPriority w:val="0"/>
    <w:pPr>
      <w:tabs>
        <w:tab w:val="center" w:pos="4153"/>
        <w:tab w:val="right" w:pos="8306"/>
      </w:tabs>
      <w:snapToGrid w:val="0"/>
      <w:jc w:val="left"/>
    </w:pPr>
    <w:rPr>
      <w:sz w:val="18"/>
    </w:rPr>
  </w:style>
  <w:style w:type="paragraph" w:styleId="28">
    <w:name w:val="header"/>
    <w:basedOn w:val="1"/>
    <w:link w:val="57"/>
    <w:qFormat/>
    <w:uiPriority w:val="0"/>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39"/>
  </w:style>
  <w:style w:type="paragraph" w:styleId="30">
    <w:name w:val="toc 4"/>
    <w:basedOn w:val="1"/>
    <w:next w:val="1"/>
    <w:semiHidden/>
    <w:qFormat/>
    <w:uiPriority w:val="0"/>
    <w:pPr>
      <w:ind w:left="1260" w:leftChars="600"/>
    </w:pPr>
  </w:style>
  <w:style w:type="paragraph" w:styleId="31">
    <w:name w:val="Subtitle"/>
    <w:basedOn w:val="1"/>
    <w:qFormat/>
    <w:uiPriority w:val="0"/>
    <w:pPr>
      <w:adjustRightInd w:val="0"/>
      <w:spacing w:after="60" w:line="312" w:lineRule="atLeast"/>
      <w:jc w:val="center"/>
      <w:textAlignment w:val="baseline"/>
    </w:pPr>
    <w:rPr>
      <w:rFonts w:ascii="Arial" w:hAnsi="Arial" w:eastAsia="黑体"/>
      <w:i/>
      <w:kern w:val="0"/>
      <w:sz w:val="24"/>
    </w:rPr>
  </w:style>
  <w:style w:type="paragraph" w:styleId="32">
    <w:name w:val="List"/>
    <w:basedOn w:val="1"/>
    <w:qFormat/>
    <w:uiPriority w:val="0"/>
    <w:pPr>
      <w:spacing w:line="480" w:lineRule="atLeast"/>
    </w:pPr>
  </w:style>
  <w:style w:type="paragraph" w:styleId="33">
    <w:name w:val="toc 6"/>
    <w:basedOn w:val="1"/>
    <w:next w:val="1"/>
    <w:semiHidden/>
    <w:qFormat/>
    <w:uiPriority w:val="0"/>
    <w:pPr>
      <w:ind w:left="2100" w:leftChars="1000"/>
    </w:pPr>
  </w:style>
  <w:style w:type="paragraph" w:styleId="34">
    <w:name w:val="Body Text Indent 3"/>
    <w:basedOn w:val="1"/>
    <w:qFormat/>
    <w:uiPriority w:val="0"/>
    <w:pPr>
      <w:spacing w:afterLines="50"/>
      <w:ind w:firstLine="420" w:firstLineChars="200"/>
    </w:pPr>
    <w:rPr>
      <w:szCs w:val="21"/>
    </w:rPr>
  </w:style>
  <w:style w:type="paragraph" w:styleId="35">
    <w:name w:val="toc 2"/>
    <w:basedOn w:val="1"/>
    <w:next w:val="1"/>
    <w:qFormat/>
    <w:uiPriority w:val="39"/>
    <w:pPr>
      <w:tabs>
        <w:tab w:val="right" w:leader="dot" w:pos="9231"/>
      </w:tabs>
      <w:spacing w:line="360" w:lineRule="auto"/>
    </w:pPr>
  </w:style>
  <w:style w:type="paragraph" w:styleId="36">
    <w:name w:val="toc 9"/>
    <w:basedOn w:val="1"/>
    <w:next w:val="1"/>
    <w:semiHidden/>
    <w:qFormat/>
    <w:uiPriority w:val="0"/>
    <w:pPr>
      <w:ind w:left="3360" w:leftChars="1600"/>
    </w:p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8">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paragraph" w:styleId="39">
    <w:name w:val="index 1"/>
    <w:basedOn w:val="1"/>
    <w:next w:val="1"/>
    <w:semiHidden/>
    <w:qFormat/>
    <w:uiPriority w:val="0"/>
    <w:rPr>
      <w:szCs w:val="24"/>
    </w:rPr>
  </w:style>
  <w:style w:type="paragraph" w:styleId="40">
    <w:name w:val="index 2"/>
    <w:basedOn w:val="1"/>
    <w:next w:val="1"/>
    <w:semiHidden/>
    <w:qFormat/>
    <w:uiPriority w:val="0"/>
    <w:pPr>
      <w:ind w:left="200" w:leftChars="200"/>
    </w:pPr>
    <w:rPr>
      <w:szCs w:val="24"/>
    </w:rPr>
  </w:style>
  <w:style w:type="paragraph" w:styleId="41">
    <w:name w:val="Title"/>
    <w:basedOn w:val="1"/>
    <w:qFormat/>
    <w:uiPriority w:val="0"/>
    <w:pPr>
      <w:autoSpaceDE w:val="0"/>
      <w:autoSpaceDN w:val="0"/>
      <w:adjustRightInd w:val="0"/>
      <w:snapToGrid w:val="0"/>
      <w:spacing w:before="100" w:after="100"/>
      <w:jc w:val="center"/>
      <w:textAlignment w:val="baseline"/>
    </w:pPr>
    <w:rPr>
      <w:rFonts w:ascii="Arial" w:hAnsi="Arial"/>
      <w:kern w:val="0"/>
      <w:sz w:val="32"/>
      <w:szCs w:val="32"/>
    </w:rPr>
  </w:style>
  <w:style w:type="paragraph" w:styleId="42">
    <w:name w:val="annotation subject"/>
    <w:basedOn w:val="16"/>
    <w:next w:val="16"/>
    <w:semiHidden/>
    <w:qFormat/>
    <w:uiPriority w:val="0"/>
    <w:rPr>
      <w:b/>
      <w:bCs/>
    </w:rPr>
  </w:style>
  <w:style w:type="paragraph" w:styleId="43">
    <w:name w:val="Body Text First Indent"/>
    <w:basedOn w:val="18"/>
    <w:qFormat/>
    <w:uiPriority w:val="0"/>
    <w:pPr>
      <w:ind w:firstLine="420" w:firstLineChars="100"/>
    </w:pPr>
  </w:style>
  <w:style w:type="paragraph" w:styleId="44">
    <w:name w:val="Body Text First Indent 2"/>
    <w:basedOn w:val="1"/>
    <w:link w:val="74"/>
    <w:qFormat/>
    <w:uiPriority w:val="0"/>
    <w:pPr>
      <w:spacing w:after="120"/>
      <w:ind w:left="420" w:leftChars="200" w:firstLine="420" w:firstLineChars="200"/>
    </w:pPr>
    <w:rPr>
      <w:b/>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page number"/>
    <w:basedOn w:val="47"/>
    <w:qFormat/>
    <w:uiPriority w:val="0"/>
  </w:style>
  <w:style w:type="character" w:styleId="49">
    <w:name w:val="FollowedHyperlink"/>
    <w:qFormat/>
    <w:uiPriority w:val="0"/>
    <w:rPr>
      <w:color w:val="000000"/>
      <w:u w:val="none"/>
    </w:rPr>
  </w:style>
  <w:style w:type="character" w:styleId="50">
    <w:name w:val="Hyperlink"/>
    <w:qFormat/>
    <w:uiPriority w:val="99"/>
    <w:rPr>
      <w:color w:val="000000"/>
      <w:u w:val="none"/>
    </w:rPr>
  </w:style>
  <w:style w:type="character" w:styleId="51">
    <w:name w:val="annotation reference"/>
    <w:semiHidden/>
    <w:qFormat/>
    <w:uiPriority w:val="0"/>
    <w:rPr>
      <w:sz w:val="21"/>
      <w:szCs w:val="21"/>
    </w:rPr>
  </w:style>
  <w:style w:type="paragraph" w:customStyle="1" w:styleId="5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3">
    <w:name w:val="标题 2 Char"/>
    <w:qFormat/>
    <w:uiPriority w:val="0"/>
    <w:rPr>
      <w:rFonts w:ascii="Arial" w:hAnsi="Arial" w:eastAsia="黑体"/>
      <w:b/>
      <w:bCs/>
      <w:kern w:val="2"/>
      <w:sz w:val="32"/>
      <w:szCs w:val="32"/>
      <w:lang w:val="en-US" w:eastAsia="zh-CN" w:bidi="ar-SA"/>
    </w:rPr>
  </w:style>
  <w:style w:type="paragraph" w:customStyle="1" w:styleId="54">
    <w:name w:val="节1"/>
    <w:basedOn w:val="1"/>
    <w:next w:val="1"/>
    <w:qFormat/>
    <w:uiPriority w:val="99"/>
    <w:pPr>
      <w:adjustRightInd w:val="0"/>
      <w:snapToGrid w:val="0"/>
      <w:spacing w:line="600" w:lineRule="exact"/>
      <w:ind w:firstLine="641"/>
      <w:jc w:val="left"/>
      <w:outlineLvl w:val="2"/>
    </w:pPr>
    <w:rPr>
      <w:rFonts w:ascii="宋体" w:hAnsi="宋体"/>
      <w:b/>
      <w:bCs/>
      <w:color w:val="000000"/>
      <w:szCs w:val="32"/>
    </w:rPr>
  </w:style>
  <w:style w:type="character" w:customStyle="1" w:styleId="55">
    <w:name w:val="hover16"/>
    <w:basedOn w:val="47"/>
    <w:qFormat/>
    <w:uiPriority w:val="0"/>
  </w:style>
  <w:style w:type="character" w:customStyle="1" w:styleId="56">
    <w:name w:val="current"/>
    <w:basedOn w:val="47"/>
    <w:qFormat/>
    <w:uiPriority w:val="0"/>
  </w:style>
  <w:style w:type="character" w:customStyle="1" w:styleId="57">
    <w:name w:val="页眉 Char"/>
    <w:link w:val="28"/>
    <w:semiHidden/>
    <w:qFormat/>
    <w:locked/>
    <w:uiPriority w:val="0"/>
    <w:rPr>
      <w:rFonts w:eastAsia="宋体"/>
      <w:kern w:val="2"/>
      <w:sz w:val="18"/>
      <w:lang w:val="en-US" w:eastAsia="zh-CN" w:bidi="ar-SA"/>
    </w:rPr>
  </w:style>
  <w:style w:type="character" w:customStyle="1" w:styleId="58">
    <w:name w:val="label6"/>
    <w:qFormat/>
    <w:uiPriority w:val="0"/>
    <w:rPr>
      <w:color w:val="0171C8"/>
    </w:rPr>
  </w:style>
  <w:style w:type="character" w:customStyle="1" w:styleId="59">
    <w:name w:val="current14"/>
    <w:basedOn w:val="47"/>
    <w:qFormat/>
    <w:uiPriority w:val="0"/>
  </w:style>
  <w:style w:type="character" w:customStyle="1" w:styleId="60">
    <w:name w:val="正文文本 Char"/>
    <w:link w:val="18"/>
    <w:qFormat/>
    <w:uiPriority w:val="0"/>
    <w:rPr>
      <w:kern w:val="2"/>
      <w:sz w:val="24"/>
    </w:rPr>
  </w:style>
  <w:style w:type="character" w:customStyle="1" w:styleId="61">
    <w:name w:val="纯文本 Char"/>
    <w:link w:val="22"/>
    <w:qFormat/>
    <w:uiPriority w:val="0"/>
    <w:rPr>
      <w:rFonts w:ascii="宋体" w:hAnsi="Courier New"/>
      <w:kern w:val="2"/>
      <w:sz w:val="21"/>
    </w:rPr>
  </w:style>
  <w:style w:type="character" w:customStyle="1" w:styleId="62">
    <w:name w:val="标题 4 Char"/>
    <w:link w:val="6"/>
    <w:qFormat/>
    <w:uiPriority w:val="0"/>
    <w:rPr>
      <w:rFonts w:hAnsi="Arial" w:eastAsia="宋体"/>
      <w:b/>
      <w:bCs/>
      <w:kern w:val="2"/>
      <w:sz w:val="24"/>
      <w:szCs w:val="24"/>
      <w:lang w:val="en-US" w:eastAsia="zh-CN" w:bidi="ar-SA"/>
    </w:rPr>
  </w:style>
  <w:style w:type="character" w:customStyle="1" w:styleId="63">
    <w:name w:val="hover14"/>
    <w:basedOn w:val="47"/>
    <w:qFormat/>
    <w:uiPriority w:val="0"/>
  </w:style>
  <w:style w:type="character" w:customStyle="1" w:styleId="64">
    <w:name w:val="textcontents"/>
    <w:basedOn w:val="47"/>
    <w:qFormat/>
    <w:uiPriority w:val="0"/>
  </w:style>
  <w:style w:type="character" w:customStyle="1" w:styleId="65">
    <w:name w:val="font01"/>
    <w:qFormat/>
    <w:uiPriority w:val="0"/>
    <w:rPr>
      <w:rFonts w:hint="default" w:ascii="仿宋" w:hAnsi="仿宋" w:eastAsia="仿宋" w:cs="仿宋"/>
      <w:color w:val="000000"/>
      <w:sz w:val="21"/>
      <w:szCs w:val="21"/>
      <w:u w:val="none"/>
    </w:rPr>
  </w:style>
  <w:style w:type="character" w:customStyle="1" w:styleId="66">
    <w:name w:val="页脚 Char"/>
    <w:link w:val="27"/>
    <w:semiHidden/>
    <w:qFormat/>
    <w:locked/>
    <w:uiPriority w:val="0"/>
    <w:rPr>
      <w:rFonts w:eastAsia="宋体"/>
      <w:kern w:val="2"/>
      <w:sz w:val="18"/>
      <w:lang w:val="en-US" w:eastAsia="zh-CN" w:bidi="ar-SA"/>
    </w:rPr>
  </w:style>
  <w:style w:type="character" w:customStyle="1" w:styleId="67">
    <w:name w:val="正文文本缩进 Char"/>
    <w:link w:val="19"/>
    <w:qFormat/>
    <w:uiPriority w:val="0"/>
    <w:rPr>
      <w:b/>
      <w:kern w:val="2"/>
      <w:sz w:val="24"/>
    </w:rPr>
  </w:style>
  <w:style w:type="character" w:customStyle="1" w:styleId="68">
    <w:name w:val="font81"/>
    <w:qFormat/>
    <w:uiPriority w:val="0"/>
    <w:rPr>
      <w:rFonts w:hint="eastAsia" w:ascii="宋体" w:hAnsi="宋体" w:eastAsia="宋体" w:cs="宋体"/>
      <w:color w:val="000000"/>
      <w:sz w:val="21"/>
      <w:szCs w:val="21"/>
      <w:u w:val="none"/>
    </w:rPr>
  </w:style>
  <w:style w:type="character" w:customStyle="1" w:styleId="69">
    <w:name w:val="label"/>
    <w:qFormat/>
    <w:uiPriority w:val="0"/>
    <w:rPr>
      <w:color w:val="0171C8"/>
    </w:rPr>
  </w:style>
  <w:style w:type="character" w:customStyle="1" w:styleId="70">
    <w:name w:val="日期 Char"/>
    <w:link w:val="25"/>
    <w:qFormat/>
    <w:uiPriority w:val="0"/>
    <w:rPr>
      <w:rFonts w:eastAsia="宋体"/>
      <w:kern w:val="2"/>
      <w:sz w:val="21"/>
      <w:lang w:val="en-US" w:eastAsia="zh-CN" w:bidi="ar-SA"/>
    </w:rPr>
  </w:style>
  <w:style w:type="character" w:customStyle="1" w:styleId="71">
    <w:name w:val="font112"/>
    <w:qFormat/>
    <w:uiPriority w:val="0"/>
    <w:rPr>
      <w:rFonts w:hint="eastAsia" w:ascii="宋体" w:hAnsi="宋体" w:eastAsia="宋体" w:cs="宋体"/>
      <w:color w:val="000000"/>
      <w:sz w:val="21"/>
      <w:szCs w:val="21"/>
      <w:u w:val="none"/>
    </w:rPr>
  </w:style>
  <w:style w:type="character" w:customStyle="1" w:styleId="72">
    <w:name w:val="apple-converted-space"/>
    <w:basedOn w:val="47"/>
    <w:qFormat/>
    <w:uiPriority w:val="0"/>
  </w:style>
  <w:style w:type="character" w:customStyle="1" w:styleId="73">
    <w:name w:val="标题 3 Char"/>
    <w:link w:val="5"/>
    <w:qFormat/>
    <w:uiPriority w:val="0"/>
    <w:rPr>
      <w:rFonts w:eastAsia="宋体"/>
      <w:b/>
      <w:bCs/>
      <w:kern w:val="2"/>
      <w:sz w:val="21"/>
      <w:szCs w:val="32"/>
      <w:lang w:val="en-US" w:eastAsia="zh-CN" w:bidi="ar-SA"/>
    </w:rPr>
  </w:style>
  <w:style w:type="character" w:customStyle="1" w:styleId="74">
    <w:name w:val="正文首行缩进 2 Char"/>
    <w:basedOn w:val="67"/>
    <w:link w:val="44"/>
    <w:qFormat/>
    <w:uiPriority w:val="0"/>
    <w:rPr>
      <w:kern w:val="2"/>
      <w:sz w:val="24"/>
    </w:rPr>
  </w:style>
  <w:style w:type="character" w:customStyle="1" w:styleId="75">
    <w:name w:val="font101"/>
    <w:qFormat/>
    <w:uiPriority w:val="0"/>
    <w:rPr>
      <w:rFonts w:hint="default" w:ascii="Times New Roman" w:hAnsi="Times New Roman" w:cs="Times New Roman"/>
      <w:color w:val="000000"/>
      <w:sz w:val="21"/>
      <w:szCs w:val="21"/>
      <w:u w:val="none"/>
    </w:rPr>
  </w:style>
  <w:style w:type="paragraph" w:customStyle="1" w:styleId="76">
    <w:name w:val="Char"/>
    <w:basedOn w:val="1"/>
    <w:qFormat/>
    <w:uiPriority w:val="0"/>
    <w:pPr>
      <w:spacing w:beforeLines="100"/>
    </w:pPr>
    <w:rPr>
      <w:szCs w:val="24"/>
    </w:rPr>
  </w:style>
  <w:style w:type="paragraph" w:customStyle="1" w:styleId="77">
    <w:name w:val="样式8"/>
    <w:basedOn w:val="1"/>
    <w:qFormat/>
    <w:uiPriority w:val="0"/>
    <w:pPr>
      <w:tabs>
        <w:tab w:val="left" w:pos="-709"/>
        <w:tab w:val="left" w:pos="284"/>
      </w:tabs>
      <w:adjustRightInd w:val="0"/>
      <w:spacing w:line="300" w:lineRule="auto"/>
      <w:jc w:val="center"/>
      <w:textAlignment w:val="baseline"/>
      <w:outlineLvl w:val="1"/>
    </w:pPr>
    <w:rPr>
      <w:rFonts w:ascii="宋体" w:hAnsi="Arial"/>
      <w:b/>
      <w:kern w:val="0"/>
      <w:sz w:val="36"/>
    </w:rPr>
  </w:style>
  <w:style w:type="paragraph" w:customStyle="1" w:styleId="78">
    <w:name w:val="Table Paragraph"/>
    <w:basedOn w:val="1"/>
    <w:unhideWhenUsed/>
    <w:qFormat/>
    <w:uiPriority w:val="1"/>
    <w:rPr>
      <w:rFonts w:hint="eastAsia"/>
      <w:sz w:val="24"/>
    </w:rPr>
  </w:style>
  <w:style w:type="paragraph" w:customStyle="1" w:styleId="7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0">
    <w:name w:val="样式 标题 6 + 黑色"/>
    <w:basedOn w:val="9"/>
    <w:qFormat/>
    <w:uiPriority w:val="0"/>
    <w:pPr>
      <w:tabs>
        <w:tab w:val="left" w:pos="1134"/>
        <w:tab w:val="clear" w:pos="-709"/>
        <w:tab w:val="clear" w:pos="284"/>
        <w:tab w:val="clear" w:pos="1152"/>
      </w:tabs>
      <w:spacing w:before="120" w:after="60"/>
      <w:ind w:left="1134" w:hanging="1134"/>
      <w:jc w:val="left"/>
    </w:pPr>
    <w:rPr>
      <w:rFonts w:eastAsia="宋体"/>
      <w:bCs/>
      <w:color w:val="000000"/>
      <w:sz w:val="28"/>
      <w:szCs w:val="24"/>
    </w:rPr>
  </w:style>
  <w:style w:type="paragraph" w:customStyle="1" w:styleId="81">
    <w:name w:val="表格，五宋"/>
    <w:qFormat/>
    <w:uiPriority w:val="0"/>
    <w:pPr>
      <w:keepNext/>
      <w:widowControl w:val="0"/>
      <w:adjustRightInd w:val="0"/>
      <w:spacing w:line="360" w:lineRule="exact"/>
      <w:jc w:val="both"/>
    </w:pPr>
    <w:rPr>
      <w:rFonts w:ascii="Times New Roman" w:hAnsi="Times New Roman" w:eastAsia="宋体" w:cs="Times New Roman"/>
      <w:snapToGrid w:val="0"/>
      <w:sz w:val="21"/>
      <w:lang w:val="en-US" w:eastAsia="zh-CN" w:bidi="ar-SA"/>
    </w:rPr>
  </w:style>
  <w:style w:type="paragraph" w:customStyle="1" w:styleId="82">
    <w:name w:val="Zchn Zchn1 Char Char Zchn Zchn Char Char"/>
    <w:basedOn w:val="1"/>
    <w:qFormat/>
    <w:uiPriority w:val="0"/>
    <w:rPr>
      <w:szCs w:val="24"/>
    </w:rPr>
  </w:style>
  <w:style w:type="paragraph" w:customStyle="1" w:styleId="83">
    <w:name w:val="WPSOffice手动目录 1"/>
    <w:qFormat/>
    <w:uiPriority w:val="0"/>
    <w:rPr>
      <w:rFonts w:ascii="Times New Roman" w:hAnsi="Times New Roman" w:eastAsia="宋体" w:cs="Times New Roman"/>
      <w:lang w:val="en-US" w:eastAsia="zh-CN" w:bidi="ar-SA"/>
    </w:rPr>
  </w:style>
  <w:style w:type="paragraph" w:styleId="84">
    <w:name w:val="List Paragraph"/>
    <w:basedOn w:val="1"/>
    <w:qFormat/>
    <w:uiPriority w:val="34"/>
    <w:pPr>
      <w:ind w:firstLine="420" w:firstLineChars="200"/>
    </w:pPr>
  </w:style>
  <w:style w:type="paragraph" w:customStyle="1" w:styleId="85">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86">
    <w:name w:val="样式 正文文本缩进 + 段前: 2 字符"/>
    <w:basedOn w:val="1"/>
    <w:qFormat/>
    <w:uiPriority w:val="0"/>
    <w:pPr>
      <w:ind w:left="420" w:leftChars="200"/>
      <w:jc w:val="left"/>
    </w:pPr>
    <w:rPr>
      <w:sz w:val="28"/>
      <w:szCs w:val="24"/>
      <w:lang w:eastAsia="zh-TW"/>
    </w:rPr>
  </w:style>
  <w:style w:type="paragraph" w:customStyle="1" w:styleId="87">
    <w:name w:val="四号　首行缩进"/>
    <w:basedOn w:val="1"/>
    <w:qFormat/>
    <w:uiPriority w:val="0"/>
    <w:pPr>
      <w:spacing w:line="360" w:lineRule="exact"/>
      <w:ind w:firstLine="420" w:firstLineChars="200"/>
    </w:pPr>
    <w:rPr>
      <w:rFonts w:ascii="宋体" w:hAnsi="宋体"/>
      <w:bCs/>
      <w:szCs w:val="21"/>
    </w:rPr>
  </w:style>
  <w:style w:type="paragraph" w:customStyle="1" w:styleId="88">
    <w:name w:val="Char1"/>
    <w:basedOn w:val="15"/>
    <w:qFormat/>
    <w:uiPriority w:val="0"/>
    <w:rPr>
      <w:rFonts w:ascii="Tahoma" w:hAnsi="Tahoma"/>
      <w:sz w:val="24"/>
      <w:szCs w:val="24"/>
    </w:rPr>
  </w:style>
  <w:style w:type="paragraph" w:customStyle="1" w:styleId="89">
    <w:name w:val="小四文字"/>
    <w:basedOn w:val="1"/>
    <w:qFormat/>
    <w:uiPriority w:val="0"/>
    <w:pPr>
      <w:adjustRightInd w:val="0"/>
      <w:snapToGrid w:val="0"/>
      <w:spacing w:line="240" w:lineRule="atLeast"/>
    </w:pPr>
    <w:rPr>
      <w:sz w:val="24"/>
    </w:rPr>
  </w:style>
  <w:style w:type="paragraph" w:customStyle="1" w:styleId="90">
    <w:name w:val="文档正文"/>
    <w:basedOn w:val="1"/>
    <w:qFormat/>
    <w:uiPriority w:val="0"/>
    <w:pPr>
      <w:spacing w:line="360" w:lineRule="auto"/>
    </w:pPr>
    <w:rPr>
      <w:rFonts w:ascii="宋体" w:hAnsi="宋体" w:cs="Arial"/>
      <w:b/>
      <w:bCs/>
      <w:szCs w:val="21"/>
    </w:rPr>
  </w:style>
  <w:style w:type="paragraph" w:customStyle="1" w:styleId="91">
    <w:name w:val="样式13"/>
    <w:basedOn w:val="1"/>
    <w:qFormat/>
    <w:uiPriority w:val="0"/>
    <w:pPr>
      <w:spacing w:line="440" w:lineRule="exact"/>
    </w:pPr>
    <w:rPr>
      <w:rFonts w:ascii="Arial" w:hAnsi="Arial" w:eastAsia="黑体"/>
      <w:spacing w:val="6"/>
      <w:sz w:val="24"/>
      <w:szCs w:val="24"/>
    </w:rPr>
  </w:style>
  <w:style w:type="paragraph" w:customStyle="1" w:styleId="92">
    <w:name w:val="默认段落字体 Para Char Char Char Char"/>
    <w:basedOn w:val="1"/>
    <w:qFormat/>
    <w:uiPriority w:val="0"/>
    <w:rPr>
      <w:szCs w:val="24"/>
    </w:rPr>
  </w:style>
  <w:style w:type="paragraph" w:customStyle="1" w:styleId="93">
    <w:name w:val="Char2"/>
    <w:basedOn w:val="1"/>
    <w:qFormat/>
    <w:uiPriority w:val="0"/>
    <w:pPr>
      <w:tabs>
        <w:tab w:val="left" w:pos="360"/>
      </w:tabs>
    </w:pPr>
    <w:rPr>
      <w:sz w:val="24"/>
      <w:szCs w:val="24"/>
    </w:rPr>
  </w:style>
  <w:style w:type="paragraph" w:customStyle="1" w:styleId="94">
    <w:name w:val="样式5"/>
    <w:basedOn w:val="1"/>
    <w:qFormat/>
    <w:uiPriority w:val="0"/>
    <w:pPr>
      <w:spacing w:line="360" w:lineRule="auto"/>
      <w:ind w:firstLine="200" w:firstLineChars="200"/>
      <w:jc w:val="left"/>
    </w:pPr>
    <w:rPr>
      <w:sz w:val="24"/>
      <w:szCs w:val="24"/>
    </w:rPr>
  </w:style>
  <w:style w:type="paragraph" w:customStyle="1" w:styleId="95">
    <w:name w:val="xl5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96">
    <w:name w:val="1"/>
    <w:basedOn w:val="1"/>
    <w:qFormat/>
    <w:uiPriority w:val="0"/>
    <w:pPr>
      <w:spacing w:afterLines="50" w:line="360" w:lineRule="auto"/>
      <w:ind w:firstLine="3243" w:firstLineChars="1080"/>
    </w:pPr>
    <w:rPr>
      <w:rFonts w:ascii="宋体" w:hAnsi="宋体"/>
      <w:b/>
      <w:sz w:val="30"/>
      <w:szCs w:val="21"/>
    </w:rPr>
  </w:style>
  <w:style w:type="paragraph" w:customStyle="1" w:styleId="97">
    <w:name w:val="样式1"/>
    <w:basedOn w:val="3"/>
    <w:qFormat/>
    <w:uiPriority w:val="0"/>
    <w:pPr>
      <w:tabs>
        <w:tab w:val="left" w:pos="425"/>
      </w:tabs>
      <w:ind w:left="425" w:hanging="425"/>
    </w:pPr>
  </w:style>
  <w:style w:type="character" w:customStyle="1" w:styleId="98">
    <w:name w:val="正文缩进 Char"/>
    <w:link w:val="8"/>
    <w:qFormat/>
    <w:uiPriority w:val="0"/>
    <w:rPr>
      <w:kern w:val="2"/>
      <w:sz w:val="21"/>
    </w:rPr>
  </w:style>
  <w:style w:type="character" w:customStyle="1" w:styleId="99">
    <w:name w:val="纯文本 Char1"/>
    <w:qFormat/>
    <w:uiPriority w:val="0"/>
    <w:rPr>
      <w:rFonts w:ascii="宋体" w:hAnsi="Courier New" w:eastAsia="宋体"/>
      <w:sz w:val="21"/>
      <w:lang w:bidi="ar-SA"/>
    </w:rPr>
  </w:style>
  <w:style w:type="paragraph" w:customStyle="1" w:styleId="100">
    <w:name w:val="列出段落1"/>
    <w:basedOn w:val="1"/>
    <w:qFormat/>
    <w:uiPriority w:val="34"/>
    <w:pPr>
      <w:ind w:firstLine="420" w:firstLineChars="200"/>
    </w:pPr>
    <w:rPr>
      <w:rFonts w:ascii="Calibri" w:hAnsi="Calibri"/>
      <w:kern w:val="0"/>
      <w:sz w:val="20"/>
    </w:rPr>
  </w:style>
  <w:style w:type="paragraph" w:customStyle="1" w:styleId="101">
    <w:name w:val="目录 11"/>
    <w:basedOn w:val="1"/>
    <w:qFormat/>
    <w:uiPriority w:val="1"/>
    <w:pPr>
      <w:autoSpaceDE w:val="0"/>
      <w:autoSpaceDN w:val="0"/>
      <w:spacing w:before="139"/>
      <w:ind w:right="533"/>
      <w:jc w:val="right"/>
    </w:pPr>
    <w:rPr>
      <w:rFonts w:ascii="宋体" w:hAnsi="宋体" w:cs="宋体"/>
      <w:b/>
      <w:bCs/>
      <w:kern w:val="0"/>
      <w:szCs w:val="21"/>
      <w:lang w:val="zh-CN" w:bidi="zh-CN"/>
    </w:rPr>
  </w:style>
  <w:style w:type="character" w:customStyle="1" w:styleId="102">
    <w:name w:val="redfilefwwh"/>
    <w:basedOn w:val="47"/>
    <w:qFormat/>
    <w:uiPriority w:val="0"/>
    <w:rPr>
      <w:color w:val="BA2636"/>
      <w:sz w:val="18"/>
      <w:szCs w:val="18"/>
    </w:rPr>
  </w:style>
  <w:style w:type="character" w:customStyle="1" w:styleId="103">
    <w:name w:val="qxdate"/>
    <w:basedOn w:val="47"/>
    <w:qFormat/>
    <w:uiPriority w:val="0"/>
    <w:rPr>
      <w:color w:val="333333"/>
      <w:sz w:val="18"/>
      <w:szCs w:val="18"/>
    </w:rPr>
  </w:style>
  <w:style w:type="character" w:customStyle="1" w:styleId="104">
    <w:name w:val="displayarti"/>
    <w:basedOn w:val="47"/>
    <w:qFormat/>
    <w:uiPriority w:val="0"/>
    <w:rPr>
      <w:color w:val="FFFFFF"/>
      <w:shd w:val="clear" w:color="auto" w:fill="A00000"/>
    </w:rPr>
  </w:style>
  <w:style w:type="character" w:customStyle="1" w:styleId="105">
    <w:name w:val="redfilenumber"/>
    <w:basedOn w:val="47"/>
    <w:qFormat/>
    <w:uiPriority w:val="0"/>
    <w:rPr>
      <w:color w:val="BA2636"/>
      <w:sz w:val="18"/>
      <w:szCs w:val="18"/>
    </w:rPr>
  </w:style>
  <w:style w:type="character" w:customStyle="1" w:styleId="106">
    <w:name w:val="prev2"/>
    <w:basedOn w:val="47"/>
    <w:qFormat/>
    <w:uiPriority w:val="0"/>
    <w:rPr>
      <w:rFonts w:ascii="微软雅黑" w:hAnsi="微软雅黑" w:eastAsia="微软雅黑" w:cs="微软雅黑"/>
      <w:sz w:val="21"/>
      <w:szCs w:val="21"/>
    </w:rPr>
  </w:style>
  <w:style w:type="character" w:customStyle="1" w:styleId="107">
    <w:name w:val="prev3"/>
    <w:basedOn w:val="47"/>
    <w:qFormat/>
    <w:uiPriority w:val="0"/>
    <w:rPr>
      <w:color w:val="888888"/>
    </w:rPr>
  </w:style>
  <w:style w:type="character" w:customStyle="1" w:styleId="108">
    <w:name w:val="gjfg"/>
    <w:basedOn w:val="47"/>
    <w:qFormat/>
    <w:uiPriority w:val="0"/>
  </w:style>
  <w:style w:type="character" w:customStyle="1" w:styleId="109">
    <w:name w:val="cfdate"/>
    <w:basedOn w:val="47"/>
    <w:qFormat/>
    <w:uiPriority w:val="0"/>
    <w:rPr>
      <w:color w:val="333333"/>
      <w:sz w:val="18"/>
      <w:szCs w:val="18"/>
    </w:rPr>
  </w:style>
  <w:style w:type="character" w:customStyle="1" w:styleId="110">
    <w:name w:val="next"/>
    <w:basedOn w:val="47"/>
    <w:qFormat/>
    <w:uiPriority w:val="0"/>
    <w:rPr>
      <w:rFonts w:hint="eastAsia" w:ascii="微软雅黑" w:hAnsi="微软雅黑" w:eastAsia="微软雅黑" w:cs="微软雅黑"/>
      <w:sz w:val="21"/>
      <w:szCs w:val="21"/>
    </w:rPr>
  </w:style>
  <w:style w:type="character" w:customStyle="1" w:styleId="111">
    <w:name w:val="next1"/>
    <w:basedOn w:val="47"/>
    <w:qFormat/>
    <w:uiPriority w:val="0"/>
    <w:rPr>
      <w:color w:val="888888"/>
    </w:rPr>
  </w:style>
  <w:style w:type="character" w:customStyle="1" w:styleId="112">
    <w:name w:val="font71"/>
    <w:basedOn w:val="47"/>
    <w:qFormat/>
    <w:uiPriority w:val="0"/>
    <w:rPr>
      <w:rFonts w:hint="eastAsia" w:ascii="宋体" w:hAnsi="宋体" w:eastAsia="宋体" w:cs="宋体"/>
      <w:color w:val="000000"/>
      <w:sz w:val="24"/>
      <w:szCs w:val="24"/>
      <w:u w:val="none"/>
    </w:rPr>
  </w:style>
  <w:style w:type="character" w:customStyle="1" w:styleId="113">
    <w:name w:val="font31"/>
    <w:basedOn w:val="47"/>
    <w:qFormat/>
    <w:uiPriority w:val="0"/>
    <w:rPr>
      <w:rFonts w:hint="eastAsia" w:ascii="宋体" w:hAnsi="宋体" w:eastAsia="宋体" w:cs="宋体"/>
      <w:color w:val="000000"/>
      <w:sz w:val="24"/>
      <w:szCs w:val="24"/>
      <w:u w:val="none"/>
    </w:rPr>
  </w:style>
  <w:style w:type="character" w:customStyle="1" w:styleId="114">
    <w:name w:val="font21"/>
    <w:basedOn w:val="47"/>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F8534-149D-4B2C-903A-9F3F407C1DB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69</Pages>
  <Words>25225</Words>
  <Characters>27024</Characters>
  <Lines>255</Lines>
  <Paragraphs>71</Paragraphs>
  <TotalTime>0</TotalTime>
  <ScaleCrop>false</ScaleCrop>
  <LinksUpToDate>false</LinksUpToDate>
  <CharactersWithSpaces>27973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2021-12-08T01:52:00Z</dcterms:created>
  <dc:creator>SKY</dc:creator>
  <cp:lastModifiedBy>WPS_1503364176</cp:lastModifiedBy>
  <cp:lastPrinted>2021-12-16T12:18:00Z</cp:lastPrinted>
  <dcterms:modified xsi:type="dcterms:W3CDTF">2022-08-18T09:47:02Z</dcterms:modified>
  <dc:title>招 标 文 件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7EF0BABE721443CA8C4FC2DE9507D588</vt:lpwstr>
  </property>
</Properties>
</file>