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baseline"/>
        <w:rPr>
          <w:rFonts w:hint="eastAsia" w:ascii="微软雅黑" w:hAnsi="微软雅黑" w:eastAsia="微软雅黑" w:cs="微软雅黑"/>
          <w:b w:val="0"/>
          <w:bCs w:val="0"/>
          <w:i w:val="0"/>
          <w:iCs w:val="0"/>
          <w:caps w:val="0"/>
          <w:color w:val="auto"/>
          <w:spacing w:val="0"/>
          <w:kern w:val="0"/>
          <w:sz w:val="36"/>
          <w:szCs w:val="36"/>
          <w:shd w:val="clear" w:fill="FFFFFF"/>
          <w:vertAlign w:val="baseline"/>
          <w:lang w:val="en-US" w:eastAsia="zh-CN" w:bidi="ar"/>
        </w:rPr>
      </w:pPr>
      <w:r>
        <w:rPr>
          <w:rFonts w:hint="eastAsia" w:ascii="微软雅黑" w:hAnsi="微软雅黑" w:eastAsia="微软雅黑" w:cs="微软雅黑"/>
          <w:b w:val="0"/>
          <w:bCs w:val="0"/>
          <w:i w:val="0"/>
          <w:iCs w:val="0"/>
          <w:caps w:val="0"/>
          <w:color w:val="auto"/>
          <w:spacing w:val="0"/>
          <w:kern w:val="0"/>
          <w:sz w:val="36"/>
          <w:szCs w:val="36"/>
          <w:shd w:val="clear" w:fill="FFFFFF"/>
          <w:vertAlign w:val="baseline"/>
          <w:lang w:val="en-US" w:eastAsia="zh-CN" w:bidi="ar"/>
        </w:rPr>
        <w:t>国家税务总局长沙市雨花区税务局税收业务辅助服务项目更正公告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ascii="微软雅黑" w:hAnsi="微软雅黑" w:eastAsia="微软雅黑" w:cs="微软雅黑"/>
          <w:i w:val="0"/>
          <w:iCs w:val="0"/>
          <w:caps w:val="0"/>
          <w:color w:val="383838"/>
          <w:spacing w:val="0"/>
          <w:sz w:val="24"/>
          <w:szCs w:val="24"/>
        </w:rPr>
      </w:pPr>
      <w:r>
        <w:rPr>
          <w:rStyle w:val="9"/>
          <w:rFonts w:hint="eastAsia" w:ascii="微软雅黑" w:hAnsi="微软雅黑" w:eastAsia="微软雅黑" w:cs="微软雅黑"/>
          <w:b/>
          <w:bCs/>
          <w:i w:val="0"/>
          <w:iCs w:val="0"/>
          <w:caps w:val="0"/>
          <w:color w:val="383838"/>
          <w:spacing w:val="0"/>
          <w:sz w:val="24"/>
          <w:szCs w:val="24"/>
          <w:shd w:val="clear" w:fill="FFFFFF"/>
          <w:vertAlign w:val="baseline"/>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原公告的采购项目编号：csyhswzfcg202206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原公告的采购项目名称：国家税务总局长沙市雨花区税务局税收业务辅助服务项目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首次公告日期：2022年07月29日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9"/>
          <w:rFonts w:hint="eastAsia" w:ascii="微软雅黑" w:hAnsi="微软雅黑" w:eastAsia="微软雅黑" w:cs="微软雅黑"/>
          <w:b/>
          <w:bCs/>
          <w:i w:val="0"/>
          <w:iCs w:val="0"/>
          <w:caps w:val="0"/>
          <w:color w:val="383838"/>
          <w:spacing w:val="0"/>
          <w:sz w:val="24"/>
          <w:szCs w:val="24"/>
          <w:shd w:val="clear" w:fill="FFFFFF"/>
          <w:vertAlign w:val="baseline"/>
        </w:rPr>
        <w:t>二、更正信息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更正事项：采购文件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shd w:val="clear" w:fill="FFFFFF"/>
          <w:vertAlign w:val="baseline"/>
        </w:rPr>
      </w:pPr>
      <w:r>
        <w:rPr>
          <w:rFonts w:hint="eastAsia" w:ascii="微软雅黑" w:hAnsi="微软雅黑" w:eastAsia="微软雅黑" w:cs="微软雅黑"/>
          <w:i w:val="0"/>
          <w:iCs w:val="0"/>
          <w:caps w:val="0"/>
          <w:color w:val="auto"/>
          <w:spacing w:val="0"/>
          <w:sz w:val="24"/>
          <w:szCs w:val="24"/>
          <w:shd w:val="clear" w:fill="FFFFFF"/>
          <w:vertAlign w:val="baseline"/>
        </w:rPr>
        <w:t>更正内容：</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1、</w:t>
      </w:r>
      <w:r>
        <w:rPr>
          <w:rFonts w:hint="eastAsia" w:ascii="微软雅黑" w:hAnsi="微软雅黑" w:eastAsia="微软雅黑" w:cs="微软雅黑"/>
          <w:i w:val="0"/>
          <w:iCs w:val="0"/>
          <w:caps w:val="0"/>
          <w:color w:val="auto"/>
          <w:spacing w:val="0"/>
          <w:sz w:val="24"/>
          <w:szCs w:val="24"/>
          <w:shd w:val="clear" w:fill="FFFFFF"/>
          <w:vertAlign w:val="baseline"/>
        </w:rPr>
        <w:t>修改本项目的评标标准。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修改前的评标标准如下：</w:t>
      </w:r>
    </w:p>
    <w:p>
      <w:pPr>
        <w:rPr>
          <w:color w:val="auto"/>
        </w:rPr>
      </w:pPr>
    </w:p>
    <w:tbl>
      <w:tblPr>
        <w:tblStyle w:val="7"/>
        <w:tblW w:w="100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29"/>
        <w:gridCol w:w="1189"/>
        <w:gridCol w:w="7124"/>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50" w:hRule="atLeast"/>
          <w:jc w:val="center"/>
        </w:trPr>
        <w:tc>
          <w:tcPr>
            <w:tcW w:w="929" w:type="dxa"/>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类别</w:t>
            </w:r>
          </w:p>
        </w:tc>
        <w:tc>
          <w:tcPr>
            <w:tcW w:w="118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评审因素</w:t>
            </w:r>
          </w:p>
        </w:tc>
        <w:tc>
          <w:tcPr>
            <w:tcW w:w="7124" w:type="dxa"/>
            <w:tcBorders>
              <w:top w:val="single" w:color="000000" w:sz="12" w:space="0"/>
              <w:left w:val="single" w:color="000000" w:sz="4" w:space="0"/>
              <w:bottom w:val="single" w:color="000000" w:sz="4" w:space="0"/>
              <w:right w:val="single" w:color="auto"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796" w:type="dxa"/>
            <w:tcBorders>
              <w:top w:val="single" w:color="000000" w:sz="12" w:space="0"/>
              <w:left w:val="single" w:color="auto" w:sz="4" w:space="0"/>
              <w:bottom w:val="single" w:color="000000" w:sz="4" w:space="0"/>
              <w:right w:val="single" w:color="000000" w:sz="12"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6" w:hRule="atLeast"/>
          <w:jc w:val="center"/>
        </w:trPr>
        <w:tc>
          <w:tcPr>
            <w:tcW w:w="92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投标价格</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以经评标委员会一致认定满足招标文件要求且经评审后投标价格最低的投标报价为评标基准价，其价格得分计</w:t>
            </w:r>
            <w:r>
              <w:rPr>
                <w:rFonts w:hint="eastAsia" w:ascii="宋体" w:hAnsi="宋体" w:eastAsia="宋体" w:cs="宋体"/>
                <w:color w:val="auto"/>
                <w:sz w:val="20"/>
                <w:szCs w:val="20"/>
                <w:highlight w:val="none"/>
                <w:lang w:val="en-US" w:eastAsia="zh-CN"/>
              </w:rPr>
              <w:t>20</w:t>
            </w:r>
            <w:r>
              <w:rPr>
                <w:rFonts w:hint="eastAsia" w:ascii="宋体" w:hAnsi="宋体" w:eastAsia="宋体" w:cs="宋体"/>
                <w:color w:val="auto"/>
                <w:sz w:val="20"/>
                <w:szCs w:val="20"/>
                <w:highlight w:val="none"/>
              </w:rPr>
              <w:t>分。其他投标人的价格得分统一按公式计算：报价得分＝评标基准价／投标报价×投标报价权重</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16"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响应程度</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以招标文件“</w:t>
            </w:r>
            <w:r>
              <w:rPr>
                <w:rFonts w:hint="eastAsia" w:ascii="宋体" w:hAnsi="宋体" w:eastAsia="宋体" w:cs="宋体"/>
                <w:color w:val="auto"/>
                <w:sz w:val="20"/>
                <w:szCs w:val="20"/>
                <w:highlight w:val="none"/>
                <w:lang w:eastAsia="zh-CN"/>
              </w:rPr>
              <w:t>技术、服务</w:t>
            </w:r>
            <w:r>
              <w:rPr>
                <w:rFonts w:hint="eastAsia" w:ascii="宋体" w:hAnsi="宋体" w:eastAsia="宋体" w:cs="宋体"/>
                <w:color w:val="auto"/>
                <w:sz w:val="20"/>
                <w:szCs w:val="20"/>
                <w:highlight w:val="none"/>
              </w:rPr>
              <w:t>需求”为基准，完全满足招标文件技术指标的计</w:t>
            </w: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rPr>
              <w:t>分；“★”条款如缺项或不满足招标文件要求，则视为无效投标；</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非“★”条款缺漏或负偏离的，每项扣1分，扣完为止；</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必须逐条响应，否则不计分，没有“技术响应偏离表”的，本项不计分。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需求理解及总体服务方案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根据投标人提供的需求理解及总体服务方案中：对项目定位、采购人当前服务岗位及人员情况、采购需求的理解和把握程度，针对本项目提供的总体服务方案及措施完整性、科学性、可操作性，进行综合评分：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需求理解准确、总体服务方案内容完整、可操作性强的，计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需求理解较准确、总体服务方案内容较完整、可操作性较强的，计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需求理解一般、总体服务方案内容基本完整、可操作性一般的，计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需求理解欠准确、总体服务方案内容欠完整、可操作性较差的，计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未提供的不计分。 </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61"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人员管理方案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根据投标人提供的服务管理方案（包括但不限于人员招聘方案、培训方案、员工合同管理方案、人员替换方案、考勤管理、考核激励方案等）的完整性、科学性、可操作性，进行综合评分：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w:t>
            </w:r>
            <w:r>
              <w:rPr>
                <w:rFonts w:hint="eastAsia" w:ascii="宋体" w:hAnsi="宋体" w:eastAsia="宋体" w:cs="宋体"/>
                <w:color w:val="auto"/>
                <w:sz w:val="20"/>
                <w:szCs w:val="20"/>
                <w:highlight w:val="none"/>
                <w:lang w:val="en-US"/>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w:t>
            </w:r>
            <w:r>
              <w:rPr>
                <w:rFonts w:hint="eastAsia" w:ascii="宋体" w:hAnsi="宋体" w:eastAsia="宋体" w:cs="宋体"/>
                <w:color w:val="auto"/>
                <w:sz w:val="20"/>
                <w:szCs w:val="20"/>
                <w:highlight w:val="none"/>
                <w:lang w:val="en-US"/>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方案欠完善、欠合理、可操作性较差的，计4分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薪酬管理制度</w:t>
            </w:r>
            <w:r>
              <w:rPr>
                <w:rFonts w:hint="eastAsia" w:ascii="宋体" w:hAnsi="宋体" w:eastAsia="宋体" w:cs="宋体"/>
                <w:color w:val="auto"/>
                <w:sz w:val="20"/>
                <w:szCs w:val="20"/>
                <w:highlight w:val="none"/>
                <w:lang w:val="en-US" w:eastAsia="zh-CN"/>
              </w:rPr>
              <w:t>及员工权益保障方案</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根据投标人提供的薪酬管理制度（包括但不限于财务管理制度、工资及社保等薪酬管理制度、档案管理制度等）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员工权益保障方案及措施的合理性、可操作性，进行综合评分：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制度科学合理、表述完整、可操作性强的，计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制度较合理、较完整、可操作性较强的，计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制度基本合理但不够具体、可操作性一般的，计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制度欠完善、欠合理、可操作性较差的，计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服务质量保障措施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质量保障措施（包括但不限于内控制度体系、服务人员业务能力保障、服务质量现场控制措施、响应时间、服务质量反馈及改良机制、监督检查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质量保障措施表述清晰、内容完整，方案完善且切实可行的，计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质量保障措施表述较清晰、内容较完整，方案可行性较高的，计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质量保障措施表述基本清晰、内容少量缺失，方案可行性一般的，计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质量保障措施表述欠清晰、内容有缺失，方案较差的，计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应急处理方案及措施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根据投标人针对本项目提供的突发事件及人员意外情况的应急处理方案及措施的科学性、严密性、可操作性，进行综合评分：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方案科学合理、表述完整、可操作性强的，计5分；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方案较合理、较完整、可操作性较强的，计4分；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方案基本合理但不够具体、可操作性一般的，计3分；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方案欠完善、欠合理、可操作性较差的，计1分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52"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w:t>
            </w:r>
          </w:p>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类似业绩</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投标人具有与本项目相类似的服务外包项目经营业绩的，每个计2分，</w:t>
            </w:r>
            <w:r>
              <w:rPr>
                <w:rFonts w:hint="eastAsia" w:ascii="宋体" w:hAnsi="宋体" w:eastAsia="宋体" w:cs="宋体"/>
                <w:color w:val="auto"/>
                <w:sz w:val="20"/>
                <w:szCs w:val="20"/>
                <w:highlight w:val="none"/>
                <w:lang w:val="en-US" w:eastAsia="zh-CN"/>
              </w:rPr>
              <w:t>计满</w:t>
            </w: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为止</w:t>
            </w:r>
            <w:r>
              <w:rPr>
                <w:rFonts w:hint="eastAsia" w:ascii="宋体" w:hAnsi="宋体" w:eastAsia="宋体" w:cs="宋体"/>
                <w:color w:val="auto"/>
                <w:sz w:val="20"/>
                <w:szCs w:val="20"/>
                <w:highlight w:val="none"/>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合同</w:t>
            </w:r>
            <w:r>
              <w:rPr>
                <w:rFonts w:hint="eastAsia" w:ascii="宋体" w:hAnsi="宋体" w:eastAsia="宋体" w:cs="宋体"/>
                <w:color w:val="auto"/>
                <w:sz w:val="20"/>
                <w:szCs w:val="20"/>
                <w:highlight w:val="none"/>
              </w:rPr>
              <w:t>复印件并加盖投标人公章，否则不计分）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99"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综合能力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投标人同时具备行政主管部门核发的且在有效期内的劳务派遣许可证、人力资源服务许可证的，计6分，只具备其中一项证书的计3分。</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color w:val="auto"/>
                <w:sz w:val="20"/>
                <w:szCs w:val="20"/>
                <w:highlight w:val="none"/>
                <w:lang w:val="en-US" w:eastAsia="zh-CN"/>
              </w:rPr>
              <w:t>（</w:t>
            </w:r>
            <w:r>
              <w:rPr>
                <w:rFonts w:hint="eastAsia" w:ascii="宋体" w:hAnsi="宋体" w:cs="仿宋"/>
                <w:color w:val="auto"/>
                <w:kern w:val="0"/>
                <w:sz w:val="20"/>
                <w:szCs w:val="20"/>
                <w:highlight w:val="none"/>
                <w:lang w:bidi="ar"/>
              </w:rPr>
              <w:t>提供相关证明材料并加盖投标</w:t>
            </w:r>
            <w:r>
              <w:rPr>
                <w:rFonts w:hint="eastAsia" w:ascii="宋体" w:hAnsi="宋体" w:eastAsia="宋体" w:cs="宋体"/>
                <w:color w:val="auto"/>
                <w:sz w:val="20"/>
                <w:szCs w:val="20"/>
                <w:highlight w:val="none"/>
                <w:lang w:val="en-US" w:eastAsia="zh-CN"/>
              </w:rPr>
              <w:t>人公章。）</w:t>
            </w:r>
          </w:p>
          <w:p>
            <w:pPr>
              <w:keepNext w:val="0"/>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投标人具有质量管理体系认证、职业健康安全管理体系认证证书，每提供一类认证证书计3分，最多计6分为止。</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认证证书必须在有效期内，且</w:t>
            </w:r>
            <w:r>
              <w:rPr>
                <w:rFonts w:hint="eastAsia" w:ascii="宋体" w:hAnsi="宋体" w:eastAsia="宋体" w:cs="宋体"/>
                <w:color w:val="auto"/>
                <w:sz w:val="20"/>
                <w:szCs w:val="20"/>
                <w:highlight w:val="none"/>
              </w:rPr>
              <w:t>证书在全国认证认可信息公共服务平台可查询，投标人提供证书查询截图及证书复印件并加盖投标人公章，否则不计分</w:t>
            </w:r>
            <w:r>
              <w:rPr>
                <w:rFonts w:hint="eastAsia" w:ascii="宋体" w:hAnsi="宋体" w:eastAsia="宋体" w:cs="宋体"/>
                <w:color w:val="auto"/>
                <w:sz w:val="20"/>
                <w:szCs w:val="20"/>
                <w:highlight w:val="none"/>
                <w:lang w:eastAsia="zh-CN"/>
              </w:rPr>
              <w:t>。）</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403"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服务团队实力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pStyle w:val="4"/>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投标人拟派于本项目的项目负责人</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一级人力资源管理师证的，计3分，二级的，计2分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三级的，计1分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劳动关系协调员证书的，计3分，</w:t>
            </w:r>
            <w:r>
              <w:rPr>
                <w:rFonts w:hint="eastAsia" w:ascii="宋体" w:hAnsi="宋体" w:eastAsia="宋体" w:cs="宋体"/>
                <w:color w:val="auto"/>
                <w:sz w:val="20"/>
                <w:szCs w:val="20"/>
                <w:highlight w:val="none"/>
                <w:lang w:val="en-US" w:eastAsia="zh-CN"/>
              </w:rPr>
              <w:t>本项</w:t>
            </w:r>
            <w:r>
              <w:rPr>
                <w:rFonts w:hint="eastAsia" w:ascii="宋体" w:hAnsi="宋体" w:eastAsia="宋体" w:cs="宋体"/>
                <w:color w:val="auto"/>
                <w:sz w:val="20"/>
                <w:szCs w:val="20"/>
                <w:highlight w:val="none"/>
              </w:rPr>
              <w:t>满分6分。（提供项目负责人</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相关证书复印件、</w:t>
            </w:r>
            <w:r>
              <w:rPr>
                <w:rFonts w:hint="eastAsia" w:ascii="宋体" w:hAnsi="宋体" w:eastAsia="宋体" w:cs="宋体"/>
                <w:color w:val="auto"/>
                <w:sz w:val="20"/>
                <w:szCs w:val="20"/>
                <w:highlight w:val="none"/>
                <w:lang w:val="en-US" w:eastAsia="zh-CN"/>
              </w:rPr>
              <w:t>与投标人签订的</w:t>
            </w:r>
            <w:r>
              <w:rPr>
                <w:rFonts w:hint="eastAsia" w:ascii="宋体" w:hAnsi="宋体" w:eastAsia="宋体" w:cs="宋体"/>
                <w:color w:val="auto"/>
                <w:sz w:val="20"/>
                <w:szCs w:val="20"/>
                <w:highlight w:val="none"/>
              </w:rPr>
              <w:t>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为其缴纳社保的证明文件并加盖投标人公章，否则不计分）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2、投标人能为本项目提供专业法律服务，配备自有法务或委托了律师事务所的，计2分。（配备自有法务的，提供法务人员法律职业资格证复印件、与投标人签订的劳动合同复印件和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w:t>
            </w:r>
            <w:r>
              <w:rPr>
                <w:rFonts w:hint="eastAsia" w:ascii="宋体" w:hAnsi="宋体" w:eastAsia="宋体" w:cs="宋体"/>
                <w:color w:val="auto"/>
                <w:sz w:val="20"/>
                <w:szCs w:val="20"/>
                <w:highlight w:val="none"/>
                <w:lang w:val="en-US" w:eastAsia="zh-CN"/>
              </w:rPr>
              <w:t>；委托律师事务所的，提供与律师事务所签订的合同复印件同时附律师事务所营业执照复印件，并加盖投标人公章，否则不计分）。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8" w:hRule="atLeast"/>
          <w:jc w:val="center"/>
        </w:trPr>
        <w:tc>
          <w:tcPr>
            <w:tcW w:w="9242" w:type="dxa"/>
            <w:gridSpan w:val="3"/>
            <w:tcBorders>
              <w:top w:val="single" w:color="000000" w:sz="4" w:space="0"/>
              <w:left w:val="single" w:color="000000" w:sz="12" w:space="0"/>
              <w:bottom w:val="single" w:color="000000" w:sz="12" w:space="0"/>
              <w:right w:val="single" w:color="auto"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计</w:t>
            </w:r>
          </w:p>
        </w:tc>
        <w:tc>
          <w:tcPr>
            <w:tcW w:w="796" w:type="dxa"/>
            <w:tcBorders>
              <w:top w:val="single" w:color="000000" w:sz="4" w:space="0"/>
              <w:left w:val="single" w:color="auto" w:sz="4" w:space="0"/>
              <w:bottom w:val="single" w:color="000000" w:sz="12" w:space="0"/>
              <w:right w:val="single" w:color="000000" w:sz="12"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100</w:t>
            </w:r>
            <w:r>
              <w:rPr>
                <w:rFonts w:hint="eastAsia" w:ascii="宋体" w:hAnsi="宋体" w:eastAsia="宋体" w:cs="宋体"/>
                <w:color w:val="auto"/>
                <w:sz w:val="20"/>
                <w:szCs w:val="20"/>
                <w:highlight w:val="none"/>
                <w:lang w:val="en-US" w:eastAsia="zh-CN"/>
              </w:rPr>
              <w:t>分</w:t>
            </w:r>
          </w:p>
        </w:tc>
      </w:tr>
    </w:tbl>
    <w:p>
      <w:pPr>
        <w:rPr>
          <w:color w:val="auto"/>
        </w:rPr>
      </w:pPr>
    </w:p>
    <w:p>
      <w:pPr>
        <w:pStyle w:val="2"/>
        <w:rPr>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baseline"/>
        <w:rPr>
          <w:rFonts w:hint="eastAsia" w:hAnsi="宋体" w:cs="宋体"/>
          <w:color w:val="auto"/>
          <w:highlight w:val="none"/>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修改后的评标标准如下：</w:t>
      </w:r>
    </w:p>
    <w:tbl>
      <w:tblPr>
        <w:tblStyle w:val="7"/>
        <w:tblW w:w="100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29"/>
        <w:gridCol w:w="1189"/>
        <w:gridCol w:w="7124"/>
        <w:gridCol w:w="7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50" w:hRule="atLeast"/>
          <w:jc w:val="center"/>
        </w:trPr>
        <w:tc>
          <w:tcPr>
            <w:tcW w:w="929" w:type="dxa"/>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类别</w:t>
            </w:r>
          </w:p>
        </w:tc>
        <w:tc>
          <w:tcPr>
            <w:tcW w:w="1189"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评审因素</w:t>
            </w:r>
          </w:p>
        </w:tc>
        <w:tc>
          <w:tcPr>
            <w:tcW w:w="7124" w:type="dxa"/>
            <w:tcBorders>
              <w:top w:val="single" w:color="000000" w:sz="12" w:space="0"/>
              <w:left w:val="single" w:color="000000" w:sz="4" w:space="0"/>
              <w:bottom w:val="single" w:color="000000" w:sz="4" w:space="0"/>
              <w:right w:val="single" w:color="auto" w:sz="4"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796" w:type="dxa"/>
            <w:tcBorders>
              <w:top w:val="single" w:color="000000" w:sz="12" w:space="0"/>
              <w:left w:val="single" w:color="auto" w:sz="4" w:space="0"/>
              <w:bottom w:val="single" w:color="000000" w:sz="4" w:space="0"/>
              <w:right w:val="single" w:color="000000" w:sz="12" w:space="0"/>
            </w:tcBorders>
            <w:shd w:val="clear" w:color="auto" w:fill="FFFFFF"/>
            <w:noWrap w:val="0"/>
            <w:vAlign w:val="center"/>
          </w:tcPr>
          <w:p>
            <w:pPr>
              <w:shd w:val="clear" w:color="auto" w:fill="FFFFFF"/>
              <w:tabs>
                <w:tab w:val="left" w:pos="1988"/>
              </w:tabs>
              <w:spacing w:line="240" w:lineRule="auto"/>
              <w:contextualSpacing/>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6" w:hRule="atLeast"/>
          <w:jc w:val="center"/>
        </w:trPr>
        <w:tc>
          <w:tcPr>
            <w:tcW w:w="92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投标价格</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以经评标委员会一致认定满足招标文件要求且经评审后投标价格最低的投标报价为评标基准价，其价格得分计</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rPr>
              <w:t>分。其他投标人的价格得分统一按公式计算：报价得分＝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评标基准价／投标报价</w:t>
            </w:r>
            <w:r>
              <w:rPr>
                <w:rFonts w:hint="eastAsia" w:ascii="宋体" w:hAnsi="宋体" w:eastAsia="宋体" w:cs="宋体"/>
                <w:color w:val="auto"/>
                <w:sz w:val="20"/>
                <w:szCs w:val="20"/>
                <w:highlight w:val="none"/>
                <w:lang w:eastAsia="zh-CN"/>
              </w:rPr>
              <w:t>）</w:t>
            </w:r>
            <w:bookmarkStart w:id="0" w:name="_GoBack"/>
            <w:bookmarkEnd w:id="0"/>
            <w:r>
              <w:rPr>
                <w:rFonts w:hint="eastAsia" w:ascii="宋体" w:hAnsi="宋体" w:eastAsia="宋体" w:cs="宋体"/>
                <w:color w:val="auto"/>
                <w:sz w:val="20"/>
                <w:szCs w:val="20"/>
                <w:highlight w:val="none"/>
              </w:rPr>
              <w:t>×投标报价权重</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16"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5</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响应程度</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以招标文件“</w:t>
            </w:r>
            <w:r>
              <w:rPr>
                <w:rFonts w:hint="eastAsia" w:ascii="宋体" w:hAnsi="宋体" w:eastAsia="宋体" w:cs="宋体"/>
                <w:color w:val="auto"/>
                <w:sz w:val="20"/>
                <w:szCs w:val="20"/>
                <w:highlight w:val="none"/>
                <w:lang w:eastAsia="zh-CN"/>
              </w:rPr>
              <w:t>技术、服务</w:t>
            </w:r>
            <w:r>
              <w:rPr>
                <w:rFonts w:hint="eastAsia" w:ascii="宋体" w:hAnsi="宋体" w:eastAsia="宋体" w:cs="宋体"/>
                <w:color w:val="auto"/>
                <w:sz w:val="20"/>
                <w:szCs w:val="20"/>
                <w:highlight w:val="none"/>
              </w:rPr>
              <w:t>需求”为基准，完全满足招标文件技术指标的计</w:t>
            </w: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rPr>
              <w:t>分；“★”条款如缺项或不满足招标文件要求，则视为无效投标；</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非“★”条款缺漏或负偏离的，每项扣1分，扣完为止；</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必须逐条响应，否则不计分，没有“技术响应偏离表”的，本项不计分。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需求理解及总体服务方案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根据投标人提供的需求理解及总体服务方案中：对项目定位、采购人当前服务岗位及人员情况、采购需求的理解和把握程度，针对本项目提供的总体服务方案及措施完整性、科学性、可操作性，进行综合评分：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需求理解准确、总体服务方案内容完整、可操作性强的，计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需求理解较准确、总体服务方案内容较完整、可操作性较强的，计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需求理解一般、总体服务方案内容基本完整、可操作性一般的，计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需求理解欠准确、总体服务方案内容欠完整、可操作性较差的，计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未提供的不计分。 </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61"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人员管理方案</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根据投标人提供的服务管理方案（包括但不限于人员招聘方案、培训方案、员工合同管理方案、人员替换方案、考勤管理、考核激励方案等）的完整性、科学性、可操作性，进行综合评分：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w:t>
            </w:r>
            <w:r>
              <w:rPr>
                <w:rFonts w:hint="eastAsia" w:ascii="宋体" w:hAnsi="宋体" w:eastAsia="宋体" w:cs="宋体"/>
                <w:color w:val="auto"/>
                <w:sz w:val="20"/>
                <w:szCs w:val="20"/>
                <w:highlight w:val="none"/>
                <w:lang w:val="en-US"/>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w:t>
            </w:r>
            <w:r>
              <w:rPr>
                <w:rFonts w:hint="eastAsia" w:ascii="宋体" w:hAnsi="宋体" w:eastAsia="宋体" w:cs="宋体"/>
                <w:color w:val="auto"/>
                <w:sz w:val="20"/>
                <w:szCs w:val="20"/>
                <w:highlight w:val="none"/>
                <w:lang w:val="en-US"/>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方案欠完善、欠合理、可操作性较差的，计4分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rPr>
              <w:t>0</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薪酬管理制度</w:t>
            </w:r>
            <w:r>
              <w:rPr>
                <w:rFonts w:hint="eastAsia" w:ascii="宋体" w:hAnsi="宋体" w:eastAsia="宋体" w:cs="宋体"/>
                <w:color w:val="auto"/>
                <w:sz w:val="20"/>
                <w:szCs w:val="20"/>
                <w:highlight w:val="none"/>
                <w:lang w:val="en-US" w:eastAsia="zh-CN"/>
              </w:rPr>
              <w:t>及员工权益保障方案</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根据投标人提供的薪酬管理制度（包括但不限于财务管理制度、工资及社保等薪酬管理制度、档案管理制度等）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员工权益保障方案及措施的合理性、可操作性，进行综合评分：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制度科学合理、表述完整、可操作性强的，计</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制度较合理、较完整、可操作性较强的，计</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制度基本合理但不够具体、可操作性一般的，计</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制度欠完善、欠合理、可操作性较差的，计</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6"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right w:val="single" w:color="000000" w:sz="4" w:space="0"/>
            </w:tcBorders>
            <w:shd w:val="clear" w:color="auto" w:fill="FFFFFF"/>
            <w:noWrap w:val="0"/>
            <w:vAlign w:val="center"/>
          </w:tcPr>
          <w:p>
            <w:pPr>
              <w:pStyle w:val="5"/>
              <w:keepNext w:val="0"/>
              <w:keepLines w:val="0"/>
              <w:pageBreakBefore w:val="0"/>
              <w:shd w:val="clear" w:color="auto" w:fill="FFFFFF"/>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bCs/>
                <w:color w:val="auto"/>
                <w:kern w:val="2"/>
                <w:sz w:val="20"/>
                <w:szCs w:val="20"/>
                <w:highlight w:val="none"/>
                <w:lang w:val="en-US" w:eastAsia="zh-CN" w:bidi="ar-SA"/>
              </w:rPr>
            </w:pPr>
            <w:r>
              <w:rPr>
                <w:rFonts w:hint="eastAsia" w:hAnsi="宋体" w:cs="宋体"/>
                <w:bCs/>
                <w:color w:val="auto"/>
                <w:sz w:val="20"/>
                <w:szCs w:val="20"/>
                <w:highlight w:val="none"/>
                <w:lang w:val="en-US" w:eastAsia="zh-CN"/>
              </w:rPr>
              <w:t>员工薪酬福利保障</w:t>
            </w:r>
          </w:p>
        </w:tc>
        <w:tc>
          <w:tcPr>
            <w:tcW w:w="7124" w:type="dxa"/>
            <w:tcBorders>
              <w:top w:val="single" w:color="000000" w:sz="4" w:space="0"/>
              <w:left w:val="single" w:color="000000" w:sz="4" w:space="0"/>
              <w:right w:val="single" w:color="auto" w:sz="4" w:space="0"/>
            </w:tcBorders>
            <w:shd w:val="clear" w:color="auto" w:fill="FFFFFF"/>
            <w:noWrap w:val="0"/>
            <w:vAlign w:val="center"/>
          </w:tcPr>
          <w:p>
            <w:pPr>
              <w:pStyle w:val="4"/>
              <w:keepNext w:val="0"/>
              <w:keepLines w:val="0"/>
              <w:pageBreakBefore w:val="0"/>
              <w:kinsoku/>
              <w:wordWrap/>
              <w:overflowPunct/>
              <w:topLinePunct w:val="0"/>
              <w:autoSpaceDE/>
              <w:autoSpaceDN/>
              <w:bidi w:val="0"/>
              <w:adjustRightInd/>
              <w:snapToGrid/>
              <w:spacing w:after="0" w:line="360" w:lineRule="exact"/>
              <w:contextualSpacing/>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0"/>
                <w:szCs w:val="20"/>
                <w:highlight w:val="none"/>
                <w:lang w:val="en-US" w:eastAsia="zh-CN" w:bidi="ar-SA"/>
              </w:rPr>
              <w:t>投标人的服务人员薪酬和各类补助补贴福利费用合计金额占总报价8</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%以上（不含</w:t>
            </w:r>
            <w:r>
              <w:rPr>
                <w:rFonts w:hint="eastAsia" w:ascii="宋体" w:hAnsi="宋体" w:cs="宋体"/>
                <w:color w:val="auto"/>
                <w:kern w:val="2"/>
                <w:sz w:val="20"/>
                <w:szCs w:val="20"/>
                <w:highlight w:val="none"/>
                <w:lang w:val="en-US" w:eastAsia="zh-CN" w:bidi="ar-SA"/>
              </w:rPr>
              <w:t>85</w:t>
            </w:r>
            <w:r>
              <w:rPr>
                <w:rFonts w:hint="eastAsia" w:ascii="宋体" w:hAnsi="宋体" w:eastAsia="宋体" w:cs="宋体"/>
                <w:color w:val="auto"/>
                <w:kern w:val="2"/>
                <w:sz w:val="20"/>
                <w:szCs w:val="20"/>
                <w:highlight w:val="none"/>
                <w:lang w:val="en-US" w:eastAsia="zh-CN" w:bidi="ar-SA"/>
              </w:rPr>
              <w:t>%），评分基准分为1分，根据上升的百分点计分，计满10分为止。（四舍五入，保留小数点后两位小数。如：</w:t>
            </w:r>
            <w:r>
              <w:rPr>
                <w:rFonts w:hint="eastAsia" w:ascii="宋体" w:hAnsi="宋体" w:cs="宋体"/>
                <w:color w:val="auto"/>
                <w:kern w:val="2"/>
                <w:sz w:val="20"/>
                <w:szCs w:val="20"/>
                <w:highlight w:val="none"/>
                <w:lang w:val="en-US" w:eastAsia="zh-CN" w:bidi="ar-SA"/>
              </w:rPr>
              <w:t>占85.52%，则计1分；</w:t>
            </w:r>
            <w:r>
              <w:rPr>
                <w:rFonts w:hint="eastAsia" w:ascii="宋体" w:hAnsi="宋体" w:eastAsia="宋体" w:cs="宋体"/>
                <w:color w:val="auto"/>
                <w:kern w:val="2"/>
                <w:sz w:val="20"/>
                <w:szCs w:val="20"/>
                <w:highlight w:val="none"/>
                <w:lang w:val="en-US" w:eastAsia="zh-CN" w:bidi="ar-SA"/>
              </w:rPr>
              <w:t>占8</w:t>
            </w:r>
            <w:r>
              <w:rPr>
                <w:rFonts w:hint="eastAsia" w:ascii="宋体" w:hAnsi="宋体" w:cs="宋体"/>
                <w:color w:val="auto"/>
                <w:kern w:val="2"/>
                <w:sz w:val="20"/>
                <w:szCs w:val="20"/>
                <w:highlight w:val="none"/>
                <w:lang w:val="en-US" w:eastAsia="zh-CN" w:bidi="ar-SA"/>
              </w:rPr>
              <w:t>6</w:t>
            </w:r>
            <w:r>
              <w:rPr>
                <w:rFonts w:hint="eastAsia" w:ascii="宋体" w:hAnsi="宋体" w:eastAsia="宋体" w:cs="宋体"/>
                <w:color w:val="auto"/>
                <w:kern w:val="2"/>
                <w:sz w:val="20"/>
                <w:szCs w:val="20"/>
                <w:highlight w:val="none"/>
                <w:lang w:val="en-US" w:eastAsia="zh-CN" w:bidi="ar-SA"/>
              </w:rPr>
              <w:t>.52%，则计1.52分；如占9</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%，则计10分。占比在8</w:t>
            </w:r>
            <w:r>
              <w:rPr>
                <w:rFonts w:hint="eastAsia" w:ascii="宋体"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en-US" w:eastAsia="zh-CN" w:bidi="ar-SA"/>
              </w:rPr>
              <w:t>%以下的，此项不得分）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服务质量保障措施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提供的服务质量保障措施（包括但不限于内控制度体系、服务人员业务能力保障、服务质量现场控制措施、响应时间、服务质量反馈及改良机制、监督检查等）的完整性、科学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质量保障措施表述清晰、内容完整，方案完善且切实可行的，计</w:t>
            </w: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质量保障措施表述较清晰、内容较完整，方案可行性较高的，计</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质量保障措施表述基本清晰、内容少量缺失，方案可行性一般的，计</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质量保障措施表述欠清晰、内容有缺失，方案较差的，计</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应急处理方案及措施</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根据投标人针对本项目提供的突发事件及人员意外情况的应急处理方案及措施的科学性、严密性、可操作性，进行综合评分：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方案科学合理、表述完整、可操作性强的，计5分；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方案较合理、较完整、可操作性较强的，计4分；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方案基本合理但不够具体、可操作性一般的，计3分；</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方案欠完善、欠合理、可操作性较差的，计1分</w:t>
            </w:r>
            <w:r>
              <w:rPr>
                <w:rFonts w:hint="eastAsia" w:ascii="宋体" w:hAnsi="宋体" w:eastAsia="宋体" w:cs="宋体"/>
                <w:color w:val="auto"/>
                <w:sz w:val="20"/>
                <w:szCs w:val="20"/>
                <w:highlight w:val="none"/>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未提供的不计分。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52" w:hRule="atLeast"/>
          <w:jc w:val="center"/>
        </w:trPr>
        <w:tc>
          <w:tcPr>
            <w:tcW w:w="929"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w:t>
            </w:r>
          </w:p>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w:t>
            </w:r>
            <w:r>
              <w:rPr>
                <w:rFonts w:hint="eastAsia" w:ascii="宋体" w:hAnsi="宋体" w:eastAsia="宋体" w:cs="宋体"/>
                <w:color w:val="auto"/>
                <w:sz w:val="20"/>
                <w:szCs w:val="20"/>
                <w:highlight w:val="none"/>
              </w:rPr>
              <w:t>%）</w:t>
            </w:r>
          </w:p>
        </w:tc>
        <w:tc>
          <w:tcPr>
            <w:tcW w:w="1189"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类似业绩</w:t>
            </w:r>
          </w:p>
        </w:tc>
        <w:tc>
          <w:tcPr>
            <w:tcW w:w="7124" w:type="dxa"/>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投标人具有与本项目相类似的服务外包项目经营业绩的，每个计2分，</w:t>
            </w:r>
            <w:r>
              <w:rPr>
                <w:rFonts w:hint="eastAsia" w:ascii="宋体" w:hAnsi="宋体" w:eastAsia="宋体" w:cs="宋体"/>
                <w:color w:val="auto"/>
                <w:sz w:val="20"/>
                <w:szCs w:val="20"/>
                <w:highlight w:val="none"/>
                <w:lang w:val="en-US" w:eastAsia="zh-CN"/>
              </w:rPr>
              <w:t>计满</w:t>
            </w: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为止</w:t>
            </w:r>
            <w:r>
              <w:rPr>
                <w:rFonts w:hint="eastAsia" w:ascii="宋体" w:hAnsi="宋体" w:eastAsia="宋体" w:cs="宋体"/>
                <w:color w:val="auto"/>
                <w:sz w:val="20"/>
                <w:szCs w:val="20"/>
                <w:highlight w:val="none"/>
              </w:rPr>
              <w:t>。</w:t>
            </w:r>
          </w:p>
          <w:p>
            <w:pPr>
              <w:keepNext w:val="0"/>
              <w:keepLines w:val="0"/>
              <w:pageBreakBefore w:val="0"/>
              <w:shd w:val="clear" w:color="auto" w:fill="FFFFFF"/>
              <w:kinsoku/>
              <w:wordWrap/>
              <w:overflowPunct/>
              <w:topLinePunct w:val="0"/>
              <w:autoSpaceDE/>
              <w:autoSpaceDN/>
              <w:bidi w:val="0"/>
              <w:adjustRightInd/>
              <w:snapToGrid/>
              <w:spacing w:line="240" w:lineRule="auto"/>
              <w:contextualSpacing/>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合同</w:t>
            </w:r>
            <w:r>
              <w:rPr>
                <w:rFonts w:hint="eastAsia" w:ascii="宋体" w:hAnsi="宋体" w:eastAsia="宋体" w:cs="宋体"/>
                <w:color w:val="auto"/>
                <w:sz w:val="20"/>
                <w:szCs w:val="20"/>
                <w:highlight w:val="none"/>
              </w:rPr>
              <w:t>复印件并加盖投标人公章，否则不计分）</w:t>
            </w:r>
          </w:p>
        </w:tc>
        <w:tc>
          <w:tcPr>
            <w:tcW w:w="796" w:type="dxa"/>
            <w:tcBorders>
              <w:top w:val="single" w:color="000000" w:sz="4" w:space="0"/>
              <w:left w:val="single" w:color="auto"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99"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综合能力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投标人同时具备行政主管部门核发的且在有效期内的劳务派遣许可证、人力资源服务许可证的，计6分，只具备其中一项证书的计3分。</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z w:val="20"/>
                <w:szCs w:val="20"/>
                <w:highlight w:val="none"/>
                <w:lang w:val="en-US" w:eastAsia="zh-CN"/>
              </w:rPr>
            </w:pPr>
            <w:r>
              <w:rPr>
                <w:rFonts w:hint="eastAsia"/>
                <w:color w:val="auto"/>
                <w:sz w:val="20"/>
                <w:szCs w:val="20"/>
                <w:highlight w:val="none"/>
                <w:lang w:val="en-US" w:eastAsia="zh-CN"/>
              </w:rPr>
              <w:t>（</w:t>
            </w:r>
            <w:r>
              <w:rPr>
                <w:rFonts w:hint="eastAsia" w:ascii="宋体" w:hAnsi="宋体" w:cs="仿宋"/>
                <w:color w:val="auto"/>
                <w:kern w:val="0"/>
                <w:sz w:val="20"/>
                <w:szCs w:val="20"/>
                <w:highlight w:val="none"/>
                <w:lang w:bidi="ar"/>
              </w:rPr>
              <w:t>提供相关证明材料并加盖投标</w:t>
            </w:r>
            <w:r>
              <w:rPr>
                <w:rFonts w:hint="eastAsia" w:ascii="宋体" w:hAnsi="宋体" w:eastAsia="宋体" w:cs="宋体"/>
                <w:color w:val="auto"/>
                <w:sz w:val="20"/>
                <w:szCs w:val="20"/>
                <w:highlight w:val="none"/>
                <w:lang w:val="en-US" w:eastAsia="zh-CN"/>
              </w:rPr>
              <w:t>人公章。）</w:t>
            </w:r>
          </w:p>
          <w:p>
            <w:pPr>
              <w:keepNext w:val="0"/>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投标人具有质量管理体系认证、职业健康安全管理体系认证证书，每提供一类认证证书计3分，最多计6分为止。</w:t>
            </w:r>
          </w:p>
          <w:p>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认证证书必须在有效期内，且</w:t>
            </w:r>
            <w:r>
              <w:rPr>
                <w:rFonts w:hint="eastAsia" w:ascii="宋体" w:hAnsi="宋体" w:eastAsia="宋体" w:cs="宋体"/>
                <w:color w:val="auto"/>
                <w:sz w:val="20"/>
                <w:szCs w:val="20"/>
                <w:highlight w:val="none"/>
              </w:rPr>
              <w:t>证书在全国认证认可信息公共服务平台可查询，投标人提供证书查询截图及证书复印件并加盖投标人公章，否则不计分</w:t>
            </w:r>
            <w:r>
              <w:rPr>
                <w:rFonts w:hint="eastAsia" w:ascii="宋体" w:hAnsi="宋体" w:eastAsia="宋体" w:cs="宋体"/>
                <w:color w:val="auto"/>
                <w:sz w:val="20"/>
                <w:szCs w:val="20"/>
                <w:highlight w:val="none"/>
                <w:lang w:eastAsia="zh-CN"/>
              </w:rPr>
              <w:t>。）</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403" w:hRule="atLeast"/>
          <w:jc w:val="center"/>
        </w:trPr>
        <w:tc>
          <w:tcPr>
            <w:tcW w:w="929"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shd w:val="clear" w:color="auto" w:fill="FFFFFF"/>
              <w:spacing w:line="240" w:lineRule="auto"/>
              <w:contextualSpacing/>
              <w:rPr>
                <w:rFonts w:hint="eastAsia" w:ascii="宋体" w:hAnsi="宋体" w:eastAsia="宋体" w:cs="宋体"/>
                <w:color w:val="auto"/>
                <w:sz w:val="20"/>
                <w:szCs w:val="20"/>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服务团队实力</w:t>
            </w:r>
          </w:p>
        </w:tc>
        <w:tc>
          <w:tcPr>
            <w:tcW w:w="712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投标人拟派于本项目的项目负责人</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一级人力资源管理师证的，计3分，二级的，计2分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三级的，计1分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具有</w:t>
            </w:r>
            <w:r>
              <w:rPr>
                <w:rFonts w:hint="eastAsia" w:ascii="宋体" w:hAnsi="宋体" w:eastAsia="宋体" w:cs="宋体"/>
                <w:color w:val="auto"/>
                <w:sz w:val="20"/>
                <w:szCs w:val="20"/>
                <w:highlight w:val="none"/>
              </w:rPr>
              <w:t>劳动关系协调员证书的，计3分，</w:t>
            </w:r>
            <w:r>
              <w:rPr>
                <w:rFonts w:hint="eastAsia" w:ascii="宋体" w:hAnsi="宋体" w:eastAsia="宋体" w:cs="宋体"/>
                <w:color w:val="auto"/>
                <w:sz w:val="20"/>
                <w:szCs w:val="20"/>
                <w:highlight w:val="none"/>
                <w:lang w:val="en-US" w:eastAsia="zh-CN"/>
              </w:rPr>
              <w:t>本项</w:t>
            </w:r>
            <w:r>
              <w:rPr>
                <w:rFonts w:hint="eastAsia" w:ascii="宋体" w:hAnsi="宋体" w:eastAsia="宋体" w:cs="宋体"/>
                <w:color w:val="auto"/>
                <w:sz w:val="20"/>
                <w:szCs w:val="20"/>
                <w:highlight w:val="none"/>
              </w:rPr>
              <w:t>满分6分。（提供项目负责人</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rPr>
              <w:t>相关证书复印件、</w:t>
            </w:r>
            <w:r>
              <w:rPr>
                <w:rFonts w:hint="eastAsia" w:ascii="宋体" w:hAnsi="宋体" w:eastAsia="宋体" w:cs="宋体"/>
                <w:color w:val="auto"/>
                <w:sz w:val="20"/>
                <w:szCs w:val="20"/>
                <w:highlight w:val="none"/>
                <w:lang w:val="en-US" w:eastAsia="zh-CN"/>
              </w:rPr>
              <w:t>与投标人签订的</w:t>
            </w:r>
            <w:r>
              <w:rPr>
                <w:rFonts w:hint="eastAsia" w:ascii="宋体" w:hAnsi="宋体" w:eastAsia="宋体" w:cs="宋体"/>
                <w:color w:val="auto"/>
                <w:sz w:val="20"/>
                <w:szCs w:val="20"/>
                <w:highlight w:val="none"/>
              </w:rPr>
              <w:t>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为其缴纳社保的证明文件并加盖投标人公章，否则不计分）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2、投标人能为本项目提供专业法律服务，配备自有法务或委托了律师事务所的，计2分。（配备自有法务的，提供法务人员法律职业资格证复印件、与投标人签订的劳动合同复印件和</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lang w:val="en-US" w:eastAsia="zh-CN"/>
              </w:rPr>
              <w:t>人在2022年5月至7月中任意一个月</w:t>
            </w:r>
            <w:r>
              <w:rPr>
                <w:rFonts w:hint="eastAsia" w:ascii="宋体" w:hAnsi="宋体" w:eastAsia="宋体" w:cs="宋体"/>
                <w:color w:val="auto"/>
                <w:sz w:val="20"/>
                <w:szCs w:val="20"/>
                <w:highlight w:val="none"/>
              </w:rPr>
              <w:t>为其缴纳社保的证明文件</w:t>
            </w:r>
            <w:r>
              <w:rPr>
                <w:rFonts w:hint="eastAsia" w:ascii="宋体" w:hAnsi="宋体" w:eastAsia="宋体" w:cs="宋体"/>
                <w:color w:val="auto"/>
                <w:sz w:val="20"/>
                <w:szCs w:val="20"/>
                <w:highlight w:val="none"/>
                <w:lang w:val="en-US" w:eastAsia="zh-CN"/>
              </w:rPr>
              <w:t>；委托律师事务所的，提供与律师事务所签订的合同复印件同时附律师事务所营业执照复印件，并加盖投标人公章，否则不计分）。</w:t>
            </w:r>
          </w:p>
        </w:tc>
        <w:tc>
          <w:tcPr>
            <w:tcW w:w="796" w:type="dxa"/>
            <w:tcBorders>
              <w:top w:val="single" w:color="000000" w:sz="4" w:space="0"/>
              <w:left w:val="single" w:color="auto" w:sz="4" w:space="0"/>
              <w:bottom w:val="single" w:color="000000" w:sz="4" w:space="0"/>
              <w:right w:val="single" w:color="000000" w:sz="12" w:space="0"/>
            </w:tcBorders>
            <w:shd w:val="clear" w:color="auto" w:fill="FFFFFF"/>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9242" w:type="dxa"/>
            <w:gridSpan w:val="3"/>
            <w:tcBorders>
              <w:top w:val="single" w:color="000000" w:sz="4" w:space="0"/>
              <w:left w:val="single" w:color="000000" w:sz="12" w:space="0"/>
              <w:bottom w:val="single" w:color="000000" w:sz="12" w:space="0"/>
              <w:right w:val="single" w:color="auto" w:sz="4"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计</w:t>
            </w:r>
          </w:p>
        </w:tc>
        <w:tc>
          <w:tcPr>
            <w:tcW w:w="796" w:type="dxa"/>
            <w:tcBorders>
              <w:top w:val="single" w:color="000000" w:sz="4" w:space="0"/>
              <w:left w:val="single" w:color="auto" w:sz="4" w:space="0"/>
              <w:bottom w:val="single" w:color="000000" w:sz="12" w:space="0"/>
              <w:right w:val="single" w:color="000000" w:sz="12" w:space="0"/>
            </w:tcBorders>
            <w:shd w:val="clear" w:color="auto" w:fill="FFFFFF"/>
            <w:noWrap w:val="0"/>
            <w:vAlign w:val="center"/>
          </w:tcPr>
          <w:p>
            <w:pPr>
              <w:shd w:val="clear" w:color="auto" w:fill="FFFFFF"/>
              <w:spacing w:line="240" w:lineRule="auto"/>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100</w:t>
            </w:r>
            <w:r>
              <w:rPr>
                <w:rFonts w:hint="eastAsia" w:ascii="宋体" w:hAnsi="宋体" w:eastAsia="宋体" w:cs="宋体"/>
                <w:color w:val="auto"/>
                <w:sz w:val="20"/>
                <w:szCs w:val="20"/>
                <w:highlight w:val="none"/>
                <w:lang w:val="en-US" w:eastAsia="zh-CN"/>
              </w:rPr>
              <w:t>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default"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color w:val="auto"/>
          <w:lang w:val="en-US" w:eastAsia="zh-CN"/>
        </w:rPr>
        <w:t>2、</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更正本项目提交投标文件截止时间及开标时间。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default"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更正前的提交投标文件截止时间及开标时间：2022年08月19日14点00分。更正后的提交投标文件截止时间及开标时间：2022年09月07日14点00分。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更正日期：2022年08月18日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baseline"/>
        <w:rPr>
          <w:rStyle w:val="9"/>
          <w:rFonts w:hint="eastAsia" w:ascii="微软雅黑" w:hAnsi="微软雅黑" w:eastAsia="微软雅黑" w:cs="微软雅黑"/>
          <w:b/>
          <w:bCs/>
          <w:i w:val="0"/>
          <w:iCs w:val="0"/>
          <w:caps w:val="0"/>
          <w:color w:val="auto"/>
          <w:spacing w:val="0"/>
          <w:sz w:val="24"/>
          <w:szCs w:val="24"/>
          <w:shd w:val="clear" w:fill="FFFFFF"/>
          <w:vertAlign w:val="baseline"/>
        </w:rPr>
      </w:pPr>
      <w:r>
        <w:rPr>
          <w:rStyle w:val="9"/>
          <w:rFonts w:hint="eastAsia" w:ascii="微软雅黑" w:hAnsi="微软雅黑" w:eastAsia="微软雅黑" w:cs="微软雅黑"/>
          <w:b/>
          <w:bCs/>
          <w:i w:val="0"/>
          <w:iCs w:val="0"/>
          <w:caps w:val="0"/>
          <w:color w:val="auto"/>
          <w:spacing w:val="0"/>
          <w:sz w:val="24"/>
          <w:szCs w:val="24"/>
          <w:shd w:val="clear" w:fill="FFFFFF"/>
          <w:vertAlign w:val="baseline"/>
          <w:lang w:val="en-US" w:eastAsia="zh-CN"/>
        </w:rPr>
        <w:t>三、</w:t>
      </w:r>
      <w:r>
        <w:rPr>
          <w:rStyle w:val="9"/>
          <w:rFonts w:hint="eastAsia" w:ascii="微软雅黑" w:hAnsi="微软雅黑" w:eastAsia="微软雅黑" w:cs="微软雅黑"/>
          <w:b/>
          <w:bCs/>
          <w:i w:val="0"/>
          <w:iCs w:val="0"/>
          <w:caps w:val="0"/>
          <w:color w:val="auto"/>
          <w:spacing w:val="0"/>
          <w:sz w:val="24"/>
          <w:szCs w:val="24"/>
          <w:shd w:val="clear" w:fill="FFFFFF"/>
          <w:vertAlign w:val="baseline"/>
        </w:rPr>
        <w:t>其他补充事宜</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Chars="0" w:right="0" w:rightChars="0" w:firstLine="480" w:firstLineChars="200"/>
        <w:textAlignment w:val="baseline"/>
        <w:rPr>
          <w:rFonts w:hint="eastAsia" w:ascii="微软雅黑" w:hAnsi="微软雅黑" w:eastAsia="微软雅黑" w:cs="微软雅黑"/>
          <w:i w:val="0"/>
          <w:iCs w:val="0"/>
          <w:caps w:val="0"/>
          <w:color w:val="auto"/>
          <w:spacing w:val="0"/>
          <w:sz w:val="24"/>
          <w:szCs w:val="24"/>
          <w:shd w:val="clear" w:fill="FFFFFF"/>
          <w:vertAlign w:val="baseline"/>
          <w:lang w:val="en-US" w:eastAsia="zh-CN"/>
        </w:rPr>
      </w:pP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本更正公告为招标文件的组成部分，招标文件如涉及上述内容的应作相应调整和修改，若本更正公告与原招标文件内容有不一致之处，应以本更正公告为准。</w:t>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br w:type="textWrapping"/>
      </w:r>
      <w:r>
        <w:rPr>
          <w:rFonts w:hint="eastAsia" w:ascii="微软雅黑" w:hAnsi="微软雅黑" w:eastAsia="微软雅黑" w:cs="微软雅黑"/>
          <w:i w:val="0"/>
          <w:iCs w:val="0"/>
          <w:caps w:val="0"/>
          <w:color w:val="auto"/>
          <w:spacing w:val="0"/>
          <w:sz w:val="24"/>
          <w:szCs w:val="24"/>
          <w:shd w:val="clear" w:fill="FFFFFF"/>
          <w:vertAlign w:val="baseline"/>
          <w:lang w:val="en-US" w:eastAsia="zh-CN"/>
        </w:rPr>
        <w:t>　　各有关当事人对本更正内容有异议的，可以在本更正公告发布之日起7个工作日内以书面形式向政府采购代理机构或采购人提出质疑，逾期将依法不予受理。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textAlignment w:val="baseline"/>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lang w:val="en-US" w:eastAsia="zh-CN"/>
        </w:rPr>
        <w:t>四</w:t>
      </w:r>
      <w:r>
        <w:rPr>
          <w:rFonts w:hint="eastAsia" w:ascii="微软雅黑" w:hAnsi="微软雅黑" w:eastAsia="微软雅黑" w:cs="微软雅黑"/>
          <w:i w:val="0"/>
          <w:iCs w:val="0"/>
          <w:caps w:val="0"/>
          <w:color w:val="auto"/>
          <w:spacing w:val="0"/>
          <w:sz w:val="24"/>
          <w:szCs w:val="24"/>
          <w:shd w:val="clear" w:fill="FFFFFF"/>
        </w:rPr>
        <w:t>、对本次</w:t>
      </w:r>
      <w:r>
        <w:rPr>
          <w:rFonts w:hint="eastAsia" w:ascii="微软雅黑" w:hAnsi="微软雅黑" w:eastAsia="微软雅黑" w:cs="微软雅黑"/>
          <w:i w:val="0"/>
          <w:iCs w:val="0"/>
          <w:caps w:val="0"/>
          <w:color w:val="auto"/>
          <w:spacing w:val="0"/>
          <w:sz w:val="24"/>
          <w:szCs w:val="24"/>
          <w:shd w:val="clear" w:fill="FFFFFF"/>
          <w:lang w:val="en-US" w:eastAsia="zh-CN"/>
        </w:rPr>
        <w:t>公告</w:t>
      </w:r>
      <w:r>
        <w:rPr>
          <w:rFonts w:hint="eastAsia" w:ascii="微软雅黑" w:hAnsi="微软雅黑" w:eastAsia="微软雅黑" w:cs="微软雅黑"/>
          <w:i w:val="0"/>
          <w:iCs w:val="0"/>
          <w:caps w:val="0"/>
          <w:color w:val="auto"/>
          <w:spacing w:val="0"/>
          <w:sz w:val="24"/>
          <w:szCs w:val="24"/>
          <w:shd w:val="clear" w:fill="FFFFFF"/>
        </w:rPr>
        <w:t>提出询问，请按以下方式联系。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1.采购人信息</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名 称：国家税务总局长沙市雨花区税务局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地址：长沙市雨花区湘府中路108号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联系方式：徐女士 0731-83389025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2.采购代理机构信息</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名 称：中航技国际经贸发展有限公司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地　址：长沙市芙蓉区蓉园路6号湖南省老干部大学金秋楼10楼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联系方式：刘萍萍、何菲、吴赛 0731-89791108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3.项目联系方式</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项目联系人：蒋先生</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电　话：0731-83389009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EA41E"/>
    <w:multiLevelType w:val="singleLevel"/>
    <w:tmpl w:val="986EA41E"/>
    <w:lvl w:ilvl="0" w:tentative="0">
      <w:start w:val="1"/>
      <w:numFmt w:val="decimal"/>
      <w:suff w:val="nothing"/>
      <w:lvlText w:val="%1、"/>
      <w:lvlJc w:val="left"/>
    </w:lvl>
  </w:abstractNum>
  <w:abstractNum w:abstractNumId="1">
    <w:nsid w:val="4FD8943A"/>
    <w:multiLevelType w:val="singleLevel"/>
    <w:tmpl w:val="4FD894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WE2ZDRiNmMzNTA3Zjk2OGY5YzJiZTgyZDMxY2QifQ=="/>
  </w:docVars>
  <w:rsids>
    <w:rsidRoot w:val="75363591"/>
    <w:rsid w:val="559767E6"/>
    <w:rsid w:val="5E7C548E"/>
    <w:rsid w:val="7536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4">
    <w:name w:val="Body Text"/>
    <w:basedOn w:val="1"/>
    <w:unhideWhenUsed/>
    <w:qFormat/>
    <w:uiPriority w:val="0"/>
    <w:pPr>
      <w:spacing w:after="120"/>
    </w:pPr>
    <w:rPr>
      <w:rFonts w:ascii="Times New Roman" w:hAnsi="Times New Roman"/>
      <w:szCs w:val="24"/>
    </w:rPr>
  </w:style>
  <w:style w:type="paragraph" w:styleId="5">
    <w:name w:val="Plain Text"/>
    <w:basedOn w:val="1"/>
    <w:qFormat/>
    <w:uiPriority w:val="0"/>
    <w:rPr>
      <w:rFonts w:ascii="宋体" w:hAnsi="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4430</Words>
  <Characters>4591</Characters>
  <Lines>0</Lines>
  <Paragraphs>0</Paragraphs>
  <TotalTime>5</TotalTime>
  <ScaleCrop>false</ScaleCrop>
  <LinksUpToDate>false</LinksUpToDate>
  <CharactersWithSpaces>4679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2022-08-18T06:23:00Z</dcterms:created>
  <dc:creator>Administrator</dc:creator>
  <cp:lastModifiedBy>Administrator</cp:lastModifiedBy>
  <dcterms:modified xsi:type="dcterms:W3CDTF">2022-08-18T06:46:06Z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9B938DF14A4F4B1F95FE9B619BC35A1E</vt:lpwstr>
  </property>
</Properties>
</file>