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tabs>
          <w:tab w:val="left" w:pos="3256"/>
        </w:tabs>
        <w:rPr>
          <w:rFonts w:ascii="宋体" w:hAnsi="宋体"/>
          <w:b/>
          <w:sz w:val="44"/>
          <w:szCs w:val="44"/>
        </w:rPr>
      </w:pPr>
      <w:r>
        <w:tab/>
      </w:r>
      <w:r>
        <w:rPr>
          <w:rFonts w:ascii="宋体" w:hAnsi="宋体"/>
          <w:b/>
          <w:sz w:val="44"/>
          <w:szCs w:val="44"/>
        </w:rPr>
        <w:t>三、采购项目</w:t>
      </w:r>
      <w:r>
        <w:rPr>
          <w:rFonts w:hint="eastAsia" w:ascii="宋体" w:hAnsi="宋体"/>
          <w:b/>
          <w:sz w:val="44"/>
          <w:szCs w:val="44"/>
        </w:rPr>
        <w:t>需</w:t>
      </w:r>
      <w:r>
        <w:rPr>
          <w:rFonts w:ascii="宋体" w:hAnsi="宋体"/>
          <w:b/>
          <w:sz w:val="44"/>
          <w:szCs w:val="44"/>
        </w:rPr>
        <w:t>求</w:t>
      </w:r>
    </w:p>
    <w:p>
      <w:pPr>
        <w:pStyle w:val="2"/>
      </w:pPr>
    </w:p>
    <w:p>
      <w:pPr>
        <w:pStyle w:val="2"/>
      </w:pPr>
    </w:p>
    <w:p>
      <w:pPr>
        <w:autoSpaceDE w:val="0"/>
        <w:autoSpaceDN w:val="0"/>
        <w:adjustRightInd w:val="0"/>
        <w:snapToGrid w:val="0"/>
        <w:spacing w:line="500" w:lineRule="exact"/>
        <w:ind w:right="32"/>
        <w:rPr>
          <w:rFonts w:ascii="宋体" w:hAnsi="宋体" w:cs="宋体"/>
          <w:bCs/>
          <w:color w:val="auto"/>
          <w:kern w:val="0"/>
          <w:sz w:val="28"/>
          <w:szCs w:val="28"/>
        </w:rPr>
      </w:pPr>
      <w:r>
        <w:rPr>
          <w:rFonts w:hint="eastAsia" w:ascii="宋体" w:hAnsi="宋体" w:cs="宋体"/>
          <w:bCs/>
          <w:color w:val="auto"/>
          <w:kern w:val="0"/>
          <w:sz w:val="28"/>
          <w:szCs w:val="28"/>
        </w:rPr>
        <w:t>（一）投标供应商须提供全新、原装，并符合质量标准的工程及货物。</w:t>
      </w:r>
    </w:p>
    <w:p>
      <w:pPr>
        <w:autoSpaceDE w:val="0"/>
        <w:autoSpaceDN w:val="0"/>
        <w:adjustRightInd w:val="0"/>
        <w:snapToGrid w:val="0"/>
        <w:spacing w:line="500" w:lineRule="exact"/>
        <w:ind w:right="32"/>
        <w:rPr>
          <w:rFonts w:ascii="宋体" w:hAnsi="宋体" w:cs="宋体"/>
          <w:bCs/>
          <w:color w:val="auto"/>
          <w:kern w:val="0"/>
          <w:sz w:val="28"/>
          <w:szCs w:val="28"/>
        </w:rPr>
      </w:pPr>
      <w:r>
        <w:rPr>
          <w:rFonts w:hint="eastAsia" w:ascii="宋体" w:hAnsi="宋体" w:cs="宋体"/>
          <w:bCs/>
          <w:color w:val="auto"/>
          <w:kern w:val="0"/>
          <w:sz w:val="28"/>
          <w:szCs w:val="28"/>
        </w:rPr>
        <w:t>（二）本磋商文件提出的是最低限度的要求，响应供应商的方案应达到或优于本磋商文件要求，符合现行国家有关工程施工验收规范要求并达合格标准。</w:t>
      </w:r>
    </w:p>
    <w:p>
      <w:pPr>
        <w:autoSpaceDE w:val="0"/>
        <w:autoSpaceDN w:val="0"/>
        <w:adjustRightInd w:val="0"/>
        <w:snapToGrid w:val="0"/>
        <w:spacing w:line="500" w:lineRule="exact"/>
        <w:ind w:right="32"/>
        <w:rPr>
          <w:rFonts w:ascii="宋体" w:hAnsi="宋体" w:cs="宋体"/>
          <w:bCs/>
          <w:color w:val="auto"/>
          <w:kern w:val="0"/>
          <w:sz w:val="28"/>
          <w:szCs w:val="28"/>
        </w:rPr>
      </w:pPr>
      <w:r>
        <w:rPr>
          <w:rFonts w:hint="eastAsia" w:ascii="宋体" w:hAnsi="宋体" w:cs="宋体"/>
          <w:bCs/>
          <w:color w:val="auto"/>
          <w:kern w:val="0"/>
          <w:sz w:val="28"/>
          <w:szCs w:val="28"/>
        </w:rPr>
        <w:t>（三）所有工程的知识产权问题，由各响应供应商自行负责。</w:t>
      </w:r>
    </w:p>
    <w:p>
      <w:pPr>
        <w:autoSpaceDE w:val="0"/>
        <w:autoSpaceDN w:val="0"/>
        <w:adjustRightInd w:val="0"/>
        <w:snapToGrid w:val="0"/>
        <w:spacing w:line="500" w:lineRule="exact"/>
        <w:ind w:right="32"/>
        <w:rPr>
          <w:rFonts w:ascii="宋体" w:hAnsi="宋体"/>
          <w:sz w:val="27"/>
          <w:szCs w:val="27"/>
        </w:rPr>
      </w:pPr>
      <w:r>
        <w:rPr>
          <w:rFonts w:hint="eastAsia" w:ascii="宋体" w:hAnsi="宋体"/>
          <w:color w:val="auto"/>
          <w:sz w:val="27"/>
          <w:szCs w:val="27"/>
        </w:rPr>
        <w:t>（四）项目概况：本工程为赣州市中医院污水设施建设工程。建设地点在赣州市中医院，赣州市章贡区西津路16号。内容主要有：格栅、压力管、巴歇尔流量槽、隔油池、调节池、污水提升泵2台(一备一用)等。具体见预算书及设计图。施工现场情况、交通运输情况、自然地理条件、环境保护要求等投标人</w:t>
      </w:r>
      <w:r>
        <w:rPr>
          <w:rFonts w:hint="eastAsia" w:ascii="宋体" w:hAnsi="宋体"/>
          <w:sz w:val="27"/>
          <w:szCs w:val="27"/>
        </w:rPr>
        <w:t>应自行前往现场踏勘了解。</w:t>
      </w:r>
    </w:p>
    <w:p>
      <w:pPr>
        <w:autoSpaceDE w:val="0"/>
        <w:autoSpaceDN w:val="0"/>
        <w:adjustRightInd w:val="0"/>
        <w:snapToGrid w:val="0"/>
        <w:spacing w:line="500" w:lineRule="exact"/>
        <w:ind w:right="32"/>
        <w:rPr>
          <w:rFonts w:ascii="宋体" w:hAnsi="宋体"/>
          <w:sz w:val="27"/>
          <w:szCs w:val="27"/>
        </w:rPr>
      </w:pPr>
      <w:r>
        <w:rPr>
          <w:rFonts w:hint="eastAsia" w:ascii="宋体" w:hAnsi="宋体"/>
          <w:bCs/>
          <w:sz w:val="27"/>
          <w:szCs w:val="27"/>
        </w:rPr>
        <w:t>（五）货物名称品牌参考</w:t>
      </w:r>
      <w:r>
        <w:rPr>
          <w:rFonts w:hint="eastAsia" w:ascii="宋体" w:hAnsi="宋体"/>
          <w:sz w:val="27"/>
          <w:szCs w:val="27"/>
        </w:rPr>
        <w:t>。</w:t>
      </w:r>
    </w:p>
    <w:tbl>
      <w:tblPr>
        <w:tblStyle w:val="29"/>
        <w:tblW w:w="7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345"/>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序号</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货物名称</w:t>
            </w:r>
          </w:p>
        </w:tc>
        <w:tc>
          <w:tcPr>
            <w:tcW w:w="43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品牌系列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1</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潜水泵、离心泵</w:t>
            </w:r>
          </w:p>
        </w:tc>
        <w:tc>
          <w:tcPr>
            <w:tcW w:w="43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川源、塑宝、南方或优于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2</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机械格栅</w:t>
            </w:r>
          </w:p>
        </w:tc>
        <w:tc>
          <w:tcPr>
            <w:tcW w:w="43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帝硕、康泰、米鲁或优于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3</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电磁流量计</w:t>
            </w:r>
          </w:p>
        </w:tc>
        <w:tc>
          <w:tcPr>
            <w:tcW w:w="43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E+H、美仪、若普或优于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4</w:t>
            </w:r>
          </w:p>
        </w:tc>
        <w:tc>
          <w:tcPr>
            <w:tcW w:w="2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数采仪</w:t>
            </w:r>
          </w:p>
        </w:tc>
        <w:tc>
          <w:tcPr>
            <w:tcW w:w="43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万维、博控、路博或优于</w:t>
            </w:r>
          </w:p>
        </w:tc>
      </w:tr>
    </w:tbl>
    <w:p>
      <w:pPr>
        <w:rPr>
          <w:rFonts w:ascii="宋体" w:hAnsi="宋体"/>
          <w:sz w:val="27"/>
          <w:szCs w:val="27"/>
        </w:rPr>
      </w:pPr>
      <w:r>
        <w:rPr>
          <w:rFonts w:hint="eastAsia" w:ascii="宋体" w:hAnsi="宋体"/>
          <w:sz w:val="27"/>
          <w:szCs w:val="27"/>
        </w:rPr>
        <w:br w:type="page"/>
      </w:r>
    </w:p>
    <w:p>
      <w:pPr>
        <w:jc w:val="left"/>
        <w:sectPr>
          <w:headerReference r:id="rId3" w:type="default"/>
          <w:footerReference r:id="rId4" w:type="default"/>
          <w:pgSz w:w="11906" w:h="16838"/>
          <w:pgMar w:top="1191" w:right="1191" w:bottom="1191" w:left="1191" w:header="851" w:footer="992" w:gutter="0"/>
          <w:cols w:space="720" w:num="1"/>
          <w:docGrid w:linePitch="312" w:charSpace="0"/>
        </w:sectPr>
      </w:pPr>
    </w:p>
    <w:tbl>
      <w:tblPr>
        <w:tblStyle w:val="29"/>
        <w:tblW w:w="14217" w:type="dxa"/>
        <w:jc w:val="center"/>
        <w:tblLayout w:type="fixed"/>
        <w:tblCellMar>
          <w:top w:w="0" w:type="dxa"/>
          <w:left w:w="108" w:type="dxa"/>
          <w:bottom w:w="0" w:type="dxa"/>
          <w:right w:w="108" w:type="dxa"/>
        </w:tblCellMar>
      </w:tblPr>
      <w:tblGrid>
        <w:gridCol w:w="331"/>
        <w:gridCol w:w="772"/>
        <w:gridCol w:w="1386"/>
        <w:gridCol w:w="1772"/>
        <w:gridCol w:w="605"/>
        <w:gridCol w:w="1052"/>
        <w:gridCol w:w="1043"/>
        <w:gridCol w:w="936"/>
        <w:gridCol w:w="1272"/>
        <w:gridCol w:w="1322"/>
        <w:gridCol w:w="1454"/>
        <w:gridCol w:w="240"/>
        <w:gridCol w:w="286"/>
        <w:gridCol w:w="624"/>
        <w:gridCol w:w="524"/>
        <w:gridCol w:w="598"/>
      </w:tblGrid>
      <w:tr>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autoSpaceDE w:val="0"/>
              <w:autoSpaceDN w:val="0"/>
              <w:adjustRightInd w:val="0"/>
              <w:snapToGrid w:val="0"/>
              <w:spacing w:line="500" w:lineRule="exact"/>
              <w:ind w:right="32"/>
              <w:rPr>
                <w:rFonts w:ascii="宋体" w:hAnsi="宋体"/>
                <w:b/>
                <w:bCs/>
                <w:sz w:val="27"/>
                <w:szCs w:val="27"/>
              </w:rPr>
            </w:pPr>
            <w:r>
              <w:rPr>
                <w:rFonts w:hint="eastAsia" w:ascii="宋体" w:hAnsi="宋体"/>
                <w:b/>
                <w:bCs/>
                <w:sz w:val="27"/>
                <w:szCs w:val="27"/>
              </w:rPr>
              <w:t xml:space="preserve">（六）工程质量、材料、施工等特殊要求： </w:t>
            </w:r>
          </w:p>
          <w:p>
            <w:pPr>
              <w:autoSpaceDE w:val="0"/>
              <w:autoSpaceDN w:val="0"/>
              <w:adjustRightInd w:val="0"/>
              <w:snapToGrid w:val="0"/>
              <w:spacing w:line="540" w:lineRule="exact"/>
              <w:ind w:right="32" w:firstLine="407" w:firstLineChars="150"/>
              <w:rPr>
                <w:rFonts w:ascii="宋体" w:hAnsi="宋体"/>
                <w:b/>
                <w:sz w:val="27"/>
                <w:szCs w:val="27"/>
              </w:rPr>
            </w:pPr>
            <w:r>
              <w:rPr>
                <w:rFonts w:hint="eastAsia" w:ascii="宋体" w:hAnsi="宋体"/>
                <w:b/>
                <w:sz w:val="27"/>
                <w:szCs w:val="27"/>
              </w:rPr>
              <w:t>（1）工程量清单：</w:t>
            </w:r>
          </w:p>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分部分项工程费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362516.05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357585.39</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污水管道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14591.70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16471.04</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040101002001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挖沟槽土方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人机配合挖沟槽土方，土方类别，深度自行考虑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50.250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2565.77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50.250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17.11</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859.78</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040103001003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回填方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槽坑 天然砂砾</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48.580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3212.60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48.580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136.70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6640.89</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040103002004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余方弃置，土方类别自行考虑，运距5km已考虑至弃置点</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26.018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390.79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26.018</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390.79</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040501004004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DN110聚乙烯PE管</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PE100管、pn=1.0MPa,对接溶解;</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47.48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5317.76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47.50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5320.00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040501004005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DN200PVC管</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PVC管、DN200,对接熔接;</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127.57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1275.70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143.05</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1430.50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030413003001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挂管安装</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砖墙凿墙洞，角钢支架φ12膨胀螺丝。</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19.74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829.08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19.74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829.08</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管道配件</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管道配件</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隔油池</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6886.61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6768.17</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040504001001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隔油池</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隔油池1800*800*800mm，2t/h，不锈钢隔油池</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040101003003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挖基坑土方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人工挖基坑土方，土方类别，深度自行考虑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3.890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61.85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240.60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3.890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50.21</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195.32</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040103002006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余方弃置，土方类别自行考虑，运距5km已考虑至弃置点</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13.08</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15.04</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040103001005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回填方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机械填土夯实 槽、坑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130.97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2.740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21.10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57.81</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接驳井1000*1000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7220.89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7360.52</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14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040504002002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接驳井1000*1000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矩形混凝土直线污水检查井(长×宽×高) (m) 1×1×1.8，钢筋制安，模板制安和井字架</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6261.34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6261.34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6401.03</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6401.03</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040101003004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接驳井基坑土方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人工挖基坑土方，土方类别，深度自行考虑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10.800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84.67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914.44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50.08</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540.86</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040103001009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回填方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人工填土夯实 槽、坑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7.727</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48.34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373.52</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新增</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040103002009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余方弃置，土方类别自行考虑，运距5km已考虑至弃置点</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14.68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3.073</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14.68</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45.11</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1200*1200阀门井</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2754.60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2978.83</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040504002003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阀门井</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砖砌闸阀井1200*1200，铸铁井盖；</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2173.45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2173.45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2391.97</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2391.97</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040101003005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土方部分</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人工挖基坑土方，土方类别，深度自行考虑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7.690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506.00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7.690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50.14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385.58</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040103001010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回填方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人工填土夯实 槽、坑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2.560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49.27</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126.13</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新增</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040103002010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余方弃置，土方类别自行考虑，运距5km已考虑至弃置点</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5.130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14.65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75.15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5.130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14.65</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75.15</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69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混凝土道路破除与修复</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7226.00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4530.20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041001001001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拆除路面</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844.00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42.20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844.00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040203007001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水泥混凝土</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15cm厚砂垫层，22cm厚混凝土C25路面，含棉毡养护，防滑条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319.10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6382.00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184.31</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3686.20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潜污泵</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15524.76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15524.52</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030109001001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离心式泵（一用一备）</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不锈钢污水泵，Q=10m3/h，H=20m，N=1.5KW</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7382.38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14764.76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7382.26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14764.52</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水泵配电系统</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水泵配电系统 按设备投资8%计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调节池</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148741.85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150422.23</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040101003008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挖基坑土方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人机配合挖基坑土方，土方类别，深度自行考虑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55.000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1282.60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55.000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32.54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1789.70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040103001008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回填方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机械填土夯实 槽、坑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8.25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21.40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040103002011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余方弃置，土方类别自行考虑，运距5km已考虑至弃置点</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751.50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15.03</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751.50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359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031006015001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碳钢调节池</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矩形钢板水箱制作水箱总容量(60m3以内)，碳钢水池板厚8mm；环氧煤沥青防腐一底一油；设备与矩形管道刷油 防锈漆 第一遍；漆酚树脂漆 设备 面漆 两遍</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110992.92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110992.92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110992.92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110992.92</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040305001001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垫层</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碎石垫层</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207.01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414.02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232.87</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465.74</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040202003001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水泥稳定土</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79.13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删除</w:t>
            </w: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040203007002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钢筋混凝土路面</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22cm厚混凝土C25路面，含带肋钢筋 φ18以内;</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1067.64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4697.62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1129.48</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4969.71</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185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030109011003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潜水泵（一用一备）</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潜污泵Q=25m3/h H=15m N=1.5KW；防腐蚀；附属配电设备</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9282.38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18564.76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9282.26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18564.52</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884"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潜污泵相关设备配电系统</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水泵配电系统</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680.00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040501004011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PE管DN200预埋进水管</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PE管、pn=1.0MPa，对接熔接;</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127.57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5102.80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143.05</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5722.00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040502003008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防水套管DN200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防水套管，PE管DN200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157.53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472.59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157.53</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472.59</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040502005001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闸阀DN200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闸阀DN200，法兰</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965.35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965.35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965.35</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965.35</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884"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040502006001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法兰DN200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法兰DN200,PN=1.0MPa</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330.44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1321.76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330.44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1321.76</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884"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040502003009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90°弯头</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90°弯头，DN200,PN=1.00MPa</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473.52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157.84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473.52</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040502003010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变径100*200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变径100*200;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157.84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157.84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315.68</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040502003011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弹性接头DN200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弹性接头DN200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86.73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173.46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86.73</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173.46</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030601002001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压力仪表</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压力表 就地</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348.55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697.10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348.55</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697.10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040502005002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止回阀</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止回阀法兰DN200;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965.35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965.35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965.35</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965.35</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030601005001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液位计</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钢带液位计现场指示积算</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941.28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994.33</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994.33</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机械格栅 格栅池</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70827.04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71748.53</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机械格栅</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52908.81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52908.47</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17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040602001001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机械格栅</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1.材质:碳钢;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2.规格:1000-2100-800-5;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49908.81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49908.81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49908.47</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49908.47</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69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机械格栅相应配电系统</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1.机械格栅相应配电系统 ;</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格栅池</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17918.23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18840.06</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43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040101003007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挖基坑土方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1.人工挖基坑土方 三类土 深度(2m以内);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2.反铲挖掘机(斗容量0.6m3) 装车 三类土;</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37.04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1296.40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29.06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988.04</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040103001007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回填方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1.人工填土夯实 槽、坑;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12.180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611.80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18.910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50.12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947.77</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040103002008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余方弃置，土方类别自行考虑，运距5km已考虑至弃置点</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345.72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15.090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225.44</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185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040601006006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0.3厚碎石垫层</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1.现浇钢筋混凝土池底 井渠、池槽底板混凝土垫层~ 换:碎石(综合);</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206.94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724.29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2.440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206.94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504.93</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041102002003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基础模板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1.现浇混凝土构件 混凝土基础 模板;</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143.61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125.47</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43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041102035003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池壁模板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1.现浇混凝土模板工程 矩形井壁 木模;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2.现浇混凝土模板工程 支模高度超过3.6m,每增1m 木支撑;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45.150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53.53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2416.88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53.42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2500.06</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185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040601006007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混凝土垫层</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1.现浇钢筋混凝土池底 井渠、池槽底板混凝土垫层~ 换:现浇混凝土 C15;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549.67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384.77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0.810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416.88</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337.67</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040601006008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现浇混凝土池底</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1.现浇钢筋混凝土池底 现浇钢筋混凝土平池底(厚度) 50cm以内;</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469.92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986.83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584.75</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1227.98</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040601007004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现浇混凝土池壁</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1.现浇混凝土池壁(隔墙) 直、矩形(厚度) 20cm以内;</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586.64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2493.22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4.680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701.47</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3282.88</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040901001009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现浇构件钢筋</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1.带肋钢筋 φ18以内;</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5849.18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2456.66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0.438</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5849.18</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2561.94</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040501004009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HDPEDN315管</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1.塑料管安装(电熔管件熔接) 管外径(315mm以内);</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311.62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4985.92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311.62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4985.92</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040501004010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DN200PE管</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1.塑料管安装(对接熔接) 管外径(200mm以内)~ 换:聚乙烯管;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125.56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627.80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141.04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705.20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040502003006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DN300防水套管</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1.种类:防水套管;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2.材质及规格:DN300;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232.73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232.73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232.73</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232.73</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185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040502003007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DN200防水套管</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1.种类:防水套管DN200;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2.塑料管件(对接熔接) 管外径(200mm以内);</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157.84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157.84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157.84</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185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010606013002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零星钢构件</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1.角钢Q235-A 4*16;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2.角钢30*30*4;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3.平头螺钉 M3;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53.76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53.76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56.19</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56.19</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提升井</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56149.24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48783.38</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43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040101003006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挖基坑土方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1.人工挖基坑土方三类土 深度(4m以内);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2.反铲挖掘机(斗容量0.6m3) 装车 三类土;</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645.43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30.720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29.06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892.72</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040103001004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回填方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1.人工填土夯实 槽、坑;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23.970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48.57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1164.22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23.970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48.57</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1164.22</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040103002005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余方弃置，土方类别自行考虑，运距5km已考虑至弃置点</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105.23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6.750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15.59</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105.23</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040303001001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混凝土垫层</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1.现浇混凝土构件 垫层 混凝土~ 换:现浇混凝土 C15;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513.67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629.25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1.225</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380.33</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465.90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040303002002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混凝土基础</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1.现浇混凝土构件 混凝土基础 混凝土~ 换:预拌混凝土 C30;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581.75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1582.36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2.720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581.75</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1582.36</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040303002003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基础模板制安</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1.现浇混凝土构件 混凝土基础 模板;</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123.09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125.47</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85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040601007003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现浇混凝土池壁(隔墙)</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1.现浇混凝土池壁(隔墙) 直、矩形(厚度) 30cm以内~ 换:预拌混凝土 C30;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6.480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742.31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4810.17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7.310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742.31</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5426.29</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041102028001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沉井井壁(隔墙)模板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1.沉井制作 井壁、隔墙 模板;</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64.800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132.36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8576.93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68.540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132.36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9071.95</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040901001008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现浇构件钢筋</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1.带肋钢筋 φ18以内;</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5849.18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12868.20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0.736</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5849.18</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4305.00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69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Φ700球墨铸铁井盖</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1.球墨铸铁井盖 直径700;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214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030109011002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污水提升泵(一用一备）Q=12m3/h H=10m N=15KW;</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1.污水提升泵Q=12m3/h H=10m N=1.5KW;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2.一用一备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3.附属配电系统</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8863.68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17727.36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8863.62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17727.24</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030408001001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电力电缆</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1.室内敷设电力电缆 铜芯电力电缆敷设 电缆截面(mm2) ≤10;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33.74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6748.00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33.74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6748.00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040501004008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塑料管DN110PE管</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1.塑料管安装(对接熔接) 管外径(110mm以内)~ 换:聚乙烯管;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46.90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469.00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46.90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469.00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铁艺围栏</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577.72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599.80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040303002001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混凝土基础</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1.现浇混凝土构件 混凝土基础 混凝土C20;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0.384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525.31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201.72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0.384</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398.18</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152.90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040205012001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隔离护栏</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1.道路隔离护栏安装 固定式 膨胀螺栓;</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376.00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44.69</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446.90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砖砌水沟</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2633.45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3015.98</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040201022001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土方开挖</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1.人工挖沟、槽土方 三类土 深度(2m以内);</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47.07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400.09</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删除</w:t>
            </w:r>
          </w:p>
        </w:tc>
      </w:tr>
      <w:tr>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040101002002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挖沟槽土方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1.人工挖沟、槽土方 三类土 深度(2m以内);</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47.07</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461.29</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新增</w:t>
            </w:r>
          </w:p>
        </w:tc>
      </w:tr>
      <w:tr>
        <w:tblPrEx>
          <w:tblCellMar>
            <w:top w:w="0" w:type="dxa"/>
            <w:left w:w="108" w:type="dxa"/>
            <w:bottom w:w="0" w:type="dxa"/>
            <w:right w:w="108" w:type="dxa"/>
          </w:tblCellMar>
        </w:tblPrEx>
        <w:trPr>
          <w:gridAfter w:val="2"/>
          <w:wAfter w:w="1122" w:type="dxa"/>
          <w:trHeight w:val="883"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040103001006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回填方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1.人工原土夯实 槽、坑;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0.560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3.570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48.92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174.64</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56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040103002007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余方弃置，土方类别自行考虑，运距5km已考虑至弃置点</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120.21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6.230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14.48</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90.21</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rPr>
          <w:gridAfter w:val="2"/>
          <w:wAfter w:w="1122" w:type="dxa"/>
          <w:trHeight w:val="98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040303002004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混凝土基础</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1.混凝土强度等级:现浇C20砼;</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530.84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339.74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0.640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372.03</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238.10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040305004001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排水沟墙身</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1.部位:沟体;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2.材料品种、规格:普通页岩砖;</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462.32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1544.15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472.70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1512.64</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调量</w:t>
            </w:r>
          </w:p>
        </w:tc>
      </w:tr>
      <w:tr>
        <w:tblPrEx>
          <w:tblCellMar>
            <w:top w:w="0" w:type="dxa"/>
            <w:left w:w="108" w:type="dxa"/>
            <w:bottom w:w="0" w:type="dxa"/>
            <w:right w:w="108" w:type="dxa"/>
          </w:tblCellMar>
        </w:tblPrEx>
        <w:trPr>
          <w:gridAfter w:val="2"/>
          <w:wAfter w:w="1122" w:type="dxa"/>
          <w:trHeight w:val="1271"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040402016001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钢筋砼沟道盖板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1.现浇混凝土 C30;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2.带肋钢筋 φ18以内;</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45.59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227.95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107.82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539.10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调价</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巴歇尔流槽</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2482.19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2482.19</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586"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030601004001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巴歇尔流槽</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1.巴歇尔流槽~ 换:巴歇尔流槽B:25,1L/H-19.44m3/h;</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2482.19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2482.19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2482.19</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2482.19</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在线监控(流量)</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26900.00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26900.00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1449"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002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在线监控(流量)，包含设备、附属安装工程等</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1.在线监控(流量) TUS20C传输仪;</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26900.00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26900.00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26900.00</w:t>
            </w: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正确</w:t>
            </w:r>
          </w:p>
        </w:tc>
      </w:tr>
      <w:tr>
        <w:tblPrEx>
          <w:tblCellMar>
            <w:top w:w="0" w:type="dxa"/>
            <w:left w:w="108" w:type="dxa"/>
            <w:bottom w:w="0" w:type="dxa"/>
            <w:right w:w="108" w:type="dxa"/>
          </w:tblCellMar>
        </w:tblPrEx>
        <w:trPr>
          <w:gridAfter w:val="2"/>
          <w:wAfter w:w="1122" w:type="dxa"/>
          <w:trHeight w:val="602"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单价措施项目费</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319" w:hRule="atLeast"/>
          <w:jc w:val="center"/>
        </w:trPr>
        <w:tc>
          <w:tcPr>
            <w:tcW w:w="331"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289" w:hRule="atLeast"/>
          <w:jc w:val="center"/>
        </w:trPr>
        <w:tc>
          <w:tcPr>
            <w:tcW w:w="331"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8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7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605"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5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043"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936"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27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322"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454" w:type="dxa"/>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1150" w:type="dxa"/>
            <w:gridSpan w:val="3"/>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889" w:hRule="atLeast"/>
          <w:jc w:val="center"/>
        </w:trPr>
        <w:tc>
          <w:tcPr>
            <w:tcW w:w="13095"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分部分项工程和单价措施项目清单与计价审核对比表</w:t>
            </w:r>
          </w:p>
        </w:tc>
      </w:tr>
      <w:tr>
        <w:tblPrEx>
          <w:tblCellMar>
            <w:top w:w="0" w:type="dxa"/>
            <w:left w:w="108" w:type="dxa"/>
            <w:bottom w:w="0" w:type="dxa"/>
            <w:right w:w="108" w:type="dxa"/>
          </w:tblCellMar>
        </w:tblPrEx>
        <w:trPr>
          <w:gridAfter w:val="2"/>
          <w:wAfter w:w="1122" w:type="dxa"/>
          <w:trHeight w:val="491" w:hRule="atLeast"/>
          <w:jc w:val="center"/>
        </w:trPr>
        <w:tc>
          <w:tcPr>
            <w:tcW w:w="7897" w:type="dxa"/>
            <w:gridSpan w:val="8"/>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4048" w:type="dxa"/>
            <w:gridSpan w:val="3"/>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150" w:type="dxa"/>
            <w:gridSpan w:val="3"/>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2"/>
          <w:wAfter w:w="1122" w:type="dxa"/>
          <w:trHeight w:val="709" w:hRule="atLeast"/>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号</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项目编码</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项目特征</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gridAfter w:val="2"/>
          <w:wAfter w:w="1122" w:type="dxa"/>
          <w:trHeight w:val="746" w:hRule="atLeast"/>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工程量</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1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rPr>
          <w:gridAfter w:val="2"/>
          <w:wAfter w:w="1122" w:type="dxa"/>
          <w:trHeight w:val="595"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38" w:hRule="atLeast"/>
          <w:jc w:val="center"/>
        </w:trPr>
        <w:tc>
          <w:tcPr>
            <w:tcW w:w="48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5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362516.05</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357585.39</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bl>
    <w:p>
      <w:pPr>
        <w:pStyle w:val="8"/>
        <w:sectPr>
          <w:pgSz w:w="16838" w:h="11906" w:orient="landscape"/>
          <w:pgMar w:top="1191" w:right="1191" w:bottom="1191" w:left="1191" w:header="851" w:footer="992" w:gutter="0"/>
          <w:cols w:space="720" w:num="1"/>
          <w:docGrid w:linePitch="312" w:charSpace="0"/>
        </w:sectPr>
      </w:pPr>
    </w:p>
    <w:tbl>
      <w:tblPr>
        <w:tblStyle w:val="29"/>
        <w:tblW w:w="9225" w:type="dxa"/>
        <w:tblInd w:w="93" w:type="dxa"/>
        <w:tblLayout w:type="fixed"/>
        <w:tblCellMar>
          <w:top w:w="0" w:type="dxa"/>
          <w:left w:w="108" w:type="dxa"/>
          <w:bottom w:w="0" w:type="dxa"/>
          <w:right w:w="108" w:type="dxa"/>
        </w:tblCellMar>
      </w:tblPr>
      <w:tblGrid>
        <w:gridCol w:w="936"/>
        <w:gridCol w:w="2664"/>
        <w:gridCol w:w="1305"/>
        <w:gridCol w:w="1185"/>
        <w:gridCol w:w="1605"/>
        <w:gridCol w:w="1530"/>
      </w:tblGrid>
      <w:tr>
        <w:tblPrEx>
          <w:tblCellMar>
            <w:top w:w="0" w:type="dxa"/>
            <w:left w:w="108" w:type="dxa"/>
            <w:bottom w:w="0" w:type="dxa"/>
            <w:right w:w="108" w:type="dxa"/>
          </w:tblCellMar>
        </w:tblPrEx>
        <w:trPr>
          <w:trHeight w:val="510" w:hRule="atLeast"/>
        </w:trPr>
        <w:tc>
          <w:tcPr>
            <w:tcW w:w="922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总价措施项目清单与计价审核对比表</w:t>
            </w:r>
          </w:p>
        </w:tc>
      </w:tr>
      <w:tr>
        <w:tblPrEx>
          <w:tblCellMar>
            <w:top w:w="0" w:type="dxa"/>
            <w:left w:w="108" w:type="dxa"/>
            <w:bottom w:w="0" w:type="dxa"/>
            <w:right w:w="108" w:type="dxa"/>
          </w:tblCellMar>
        </w:tblPrEx>
        <w:trPr>
          <w:trHeight w:val="405" w:hRule="atLeast"/>
        </w:trPr>
        <w:tc>
          <w:tcPr>
            <w:tcW w:w="6090" w:type="dxa"/>
            <w:gridSpan w:val="4"/>
            <w:tcBorders>
              <w:top w:val="nil"/>
              <w:left w:val="nil"/>
              <w:bottom w:val="single" w:color="000000" w:sz="4" w:space="0"/>
              <w:right w:val="nil"/>
            </w:tcBorders>
            <w:shd w:val="clear" w:color="auto" w:fill="auto"/>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1605" w:type="dxa"/>
            <w:tcBorders>
              <w:top w:val="nil"/>
              <w:left w:val="nil"/>
              <w:bottom w:val="single" w:color="000000" w:sz="4" w:space="0"/>
              <w:right w:val="nil"/>
            </w:tcBorders>
            <w:shd w:val="clear" w:color="auto" w:fill="auto"/>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金额单位：元</w:t>
            </w:r>
          </w:p>
        </w:tc>
        <w:tc>
          <w:tcPr>
            <w:tcW w:w="1530" w:type="dxa"/>
            <w:tcBorders>
              <w:top w:val="nil"/>
              <w:left w:val="nil"/>
              <w:bottom w:val="single" w:color="000000" w:sz="4" w:space="0"/>
              <w:right w:val="nil"/>
            </w:tcBorders>
            <w:shd w:val="clear" w:color="auto" w:fill="auto"/>
            <w:vAlign w:val="bottom"/>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送审金额</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审核金额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增减说明</w:t>
            </w: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总价措施项目费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4509.99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4065.62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安全文明施工措施费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2823.68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2510.47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2014.62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1756.73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1.1.1.1</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安全文明环保费_建筑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1.1.1.2</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安全文明环保费_装饰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1.1.1.3</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安全文明环保费_安装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410.30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410.30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1.1.1.4</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安全文明环保费_市建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1443.01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1183.01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1.1.1.5</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安全文明环保费_市安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158.78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161.08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1.1.1.6</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安全文明环保费_金属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1.1.1.7</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安全文明环保费_桩基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1.1.1.8</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安全文明环保费_建机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1.1.1.9</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安全文明环保费_市机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1.1.1.10</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安全文明环保费_园林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1.1.1.11</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安全文明环保费_园林养护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1.1.1.12</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安全文明环保费_照明维养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809.06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753.74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1.1.2.1</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临时设施费_建筑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1.1.2.2</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临时设施费_装饰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1.1.2.3</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临时设施费_安装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175.64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175.64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1.1.2.4</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临时设施费_市建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564.32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508.01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1.1.2.5</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临时设施费_市安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1.1.2.6</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临时设施费_金属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1.1.2.7</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临时设施费_桩基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1.1.2.8</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临时设施费_建机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1.1.2.9</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临时设施费_市机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1.1.2.10</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临时设施费_园林养护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1.1.2.11</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临时设施费_照明维养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1686.31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1555.15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其他总价措施费_建筑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其他总价措施费_装饰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其他总价措施费_安装</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143.75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143.75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其他总价措施费_市建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1343.42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1209.38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150" w:hRule="atLeast"/>
        </w:trPr>
        <w:tc>
          <w:tcPr>
            <w:tcW w:w="936"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c>
          <w:tcPr>
            <w:tcW w:w="2664"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c>
          <w:tcPr>
            <w:tcW w:w="13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c>
          <w:tcPr>
            <w:tcW w:w="118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c>
          <w:tcPr>
            <w:tcW w:w="160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c>
          <w:tcPr>
            <w:tcW w:w="1530"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922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总价措施项目清单与计价审核对比表</w:t>
            </w:r>
          </w:p>
        </w:tc>
      </w:tr>
      <w:tr>
        <w:tblPrEx>
          <w:tblCellMar>
            <w:top w:w="0" w:type="dxa"/>
            <w:left w:w="108" w:type="dxa"/>
            <w:bottom w:w="0" w:type="dxa"/>
            <w:right w:w="108" w:type="dxa"/>
          </w:tblCellMar>
        </w:tblPrEx>
        <w:trPr>
          <w:trHeight w:val="405" w:hRule="atLeast"/>
        </w:trPr>
        <w:tc>
          <w:tcPr>
            <w:tcW w:w="6090" w:type="dxa"/>
            <w:gridSpan w:val="4"/>
            <w:tcBorders>
              <w:top w:val="nil"/>
              <w:left w:val="nil"/>
              <w:bottom w:val="single" w:color="000000" w:sz="4" w:space="0"/>
              <w:right w:val="nil"/>
            </w:tcBorders>
            <w:shd w:val="clear" w:color="auto" w:fill="auto"/>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1605" w:type="dxa"/>
            <w:tcBorders>
              <w:top w:val="nil"/>
              <w:left w:val="nil"/>
              <w:bottom w:val="single" w:color="000000" w:sz="4" w:space="0"/>
              <w:right w:val="nil"/>
            </w:tcBorders>
            <w:shd w:val="clear" w:color="auto" w:fill="auto"/>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金额单位：元</w:t>
            </w:r>
          </w:p>
        </w:tc>
        <w:tc>
          <w:tcPr>
            <w:tcW w:w="1530" w:type="dxa"/>
            <w:tcBorders>
              <w:top w:val="nil"/>
              <w:left w:val="nil"/>
              <w:bottom w:val="single" w:color="000000" w:sz="4" w:space="0"/>
              <w:right w:val="nil"/>
            </w:tcBorders>
            <w:shd w:val="clear" w:color="auto" w:fill="auto"/>
            <w:vAlign w:val="bottom"/>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送审金额</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审核金额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增减说明</w:t>
            </w: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其他总价措施费_市安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200.99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1.2.6</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其他总价措施费_金属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其他总价措施费_桩基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1.2.8</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其他总价措施费_建机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其他总价措施费_市机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1.2.10</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七项组织措施费_园林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1.2.11</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其他总价措施费_园林养护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1.2.12</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其他总价措施费_照明维养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扬尘治理措施费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扬尘治理措施费_建筑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扬尘治理措施费_市建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扬尘治理措施费_市安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扬尘治理措施费_金属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扬尘治理措施费_桩基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4509.99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4065.62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r>
    </w:tbl>
    <w:p>
      <w:pPr>
        <w:pStyle w:val="8"/>
        <w:sectPr>
          <w:pgSz w:w="11906" w:h="16838"/>
          <w:pgMar w:top="1191" w:right="1191" w:bottom="1191" w:left="1191" w:header="851" w:footer="992" w:gutter="0"/>
          <w:cols w:space="720" w:num="1"/>
          <w:docGrid w:linePitch="312" w:charSpace="0"/>
        </w:sectPr>
      </w:pPr>
    </w:p>
    <w:tbl>
      <w:tblPr>
        <w:tblStyle w:val="29"/>
        <w:tblW w:w="9180" w:type="dxa"/>
        <w:tblInd w:w="93" w:type="dxa"/>
        <w:tblLayout w:type="fixed"/>
        <w:tblCellMar>
          <w:top w:w="0" w:type="dxa"/>
          <w:left w:w="108" w:type="dxa"/>
          <w:bottom w:w="0" w:type="dxa"/>
          <w:right w:w="108" w:type="dxa"/>
        </w:tblCellMar>
      </w:tblPr>
      <w:tblGrid>
        <w:gridCol w:w="1033"/>
        <w:gridCol w:w="1777"/>
        <w:gridCol w:w="1255"/>
        <w:gridCol w:w="1230"/>
        <w:gridCol w:w="1110"/>
        <w:gridCol w:w="1245"/>
        <w:gridCol w:w="1530"/>
      </w:tblGrid>
      <w:tr>
        <w:tblPrEx>
          <w:tblCellMar>
            <w:top w:w="0" w:type="dxa"/>
            <w:left w:w="108" w:type="dxa"/>
            <w:bottom w:w="0" w:type="dxa"/>
            <w:right w:w="108" w:type="dxa"/>
          </w:tblCellMar>
        </w:tblPrEx>
        <w:trPr>
          <w:trHeight w:val="705" w:hRule="atLeast"/>
        </w:trPr>
        <w:tc>
          <w:tcPr>
            <w:tcW w:w="9180"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规费、税金项目清单与计价审核对比表</w:t>
            </w:r>
          </w:p>
        </w:tc>
      </w:tr>
      <w:tr>
        <w:tblPrEx>
          <w:tblCellMar>
            <w:top w:w="0" w:type="dxa"/>
            <w:left w:w="108" w:type="dxa"/>
            <w:bottom w:w="0" w:type="dxa"/>
            <w:right w:w="108" w:type="dxa"/>
          </w:tblCellMar>
        </w:tblPrEx>
        <w:trPr>
          <w:trHeight w:val="405" w:hRule="atLeast"/>
        </w:trPr>
        <w:tc>
          <w:tcPr>
            <w:tcW w:w="4065" w:type="dxa"/>
            <w:gridSpan w:val="3"/>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1230" w:type="dxa"/>
            <w:tcBorders>
              <w:top w:val="nil"/>
              <w:left w:val="nil"/>
              <w:bottom w:val="single" w:color="000000" w:sz="4" w:space="0"/>
              <w:right w:val="nil"/>
            </w:tcBorders>
            <w:shd w:val="clear" w:color="auto" w:fill="auto"/>
            <w:vAlign w:val="center"/>
          </w:tcPr>
          <w:p>
            <w:pPr>
              <w:jc w:val="left"/>
              <w:rPr>
                <w:rFonts w:ascii="宋体" w:hAnsi="宋体" w:cs="宋体"/>
                <w:color w:val="000000"/>
                <w:sz w:val="18"/>
                <w:szCs w:val="18"/>
              </w:rPr>
            </w:pPr>
          </w:p>
        </w:tc>
        <w:tc>
          <w:tcPr>
            <w:tcW w:w="2355" w:type="dxa"/>
            <w:gridSpan w:val="2"/>
            <w:tcBorders>
              <w:top w:val="nil"/>
              <w:left w:val="nil"/>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53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r>
      <w:tr>
        <w:trPr>
          <w:trHeight w:val="40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1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trHeight w:val="40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规费</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4841.76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4507.75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3824.37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3560.59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社会保险费_建筑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社会保险费_装饰</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社会保险费_安装</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673.71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673.71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社会保险费_市建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2758.81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12.32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2487.85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社会保险费_市安</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386.10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393.28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社会保险费_金属</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社会保险费_桩基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社会保险费_建机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8.24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8.24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社会保险费_市机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社会保险费_园林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1.1.10.1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养老保险费_园林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1.1.10.2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失业保险费_园林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1.1.10.3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医疗保险费_园林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1.1.10.4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危险作业意外伤害保险费_园林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社会保险费_园林养护</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社会保险费_照明维养</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968.14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住房公积金_建筑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住房公积金_装饰</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住房公积金_安装</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170.31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170.31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住房公积金_市建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698.66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630.04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住房公积金_市安</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97.71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99.53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住房公积金_金属</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住房公积金_桩基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住房公积金_建机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住房公积金_市机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住房公积金_园林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社会保险费_园林养护</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60" w:hRule="atLeast"/>
        </w:trPr>
        <w:tc>
          <w:tcPr>
            <w:tcW w:w="1033"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c>
          <w:tcPr>
            <w:tcW w:w="1777"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c>
          <w:tcPr>
            <w:tcW w:w="125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c>
          <w:tcPr>
            <w:tcW w:w="1230"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c>
          <w:tcPr>
            <w:tcW w:w="1110"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c>
          <w:tcPr>
            <w:tcW w:w="1245"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c>
          <w:tcPr>
            <w:tcW w:w="1530" w:type="dxa"/>
            <w:tcBorders>
              <w:top w:val="single" w:color="000000" w:sz="4" w:space="0"/>
              <w:left w:val="nil"/>
              <w:bottom w:val="nil"/>
              <w:right w:val="nil"/>
            </w:tcBorders>
            <w:shd w:val="clear" w:color="auto" w:fill="auto"/>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05" w:hRule="atLeast"/>
        </w:trPr>
        <w:tc>
          <w:tcPr>
            <w:tcW w:w="9180"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rPr>
              <w:t>规费、税金项目清单与计价审核对比表</w:t>
            </w:r>
          </w:p>
        </w:tc>
      </w:tr>
      <w:tr>
        <w:tblPrEx>
          <w:tblCellMar>
            <w:top w:w="0" w:type="dxa"/>
            <w:left w:w="108" w:type="dxa"/>
            <w:bottom w:w="0" w:type="dxa"/>
            <w:right w:w="108" w:type="dxa"/>
          </w:tblCellMar>
        </w:tblPrEx>
        <w:trPr>
          <w:trHeight w:val="405" w:hRule="atLeast"/>
        </w:trPr>
        <w:tc>
          <w:tcPr>
            <w:tcW w:w="4065" w:type="dxa"/>
            <w:gridSpan w:val="3"/>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1230" w:type="dxa"/>
            <w:tcBorders>
              <w:top w:val="nil"/>
              <w:left w:val="nil"/>
              <w:bottom w:val="single" w:color="000000" w:sz="4" w:space="0"/>
              <w:right w:val="nil"/>
            </w:tcBorders>
            <w:shd w:val="clear" w:color="auto" w:fill="auto"/>
            <w:vAlign w:val="center"/>
          </w:tcPr>
          <w:p>
            <w:pPr>
              <w:jc w:val="left"/>
              <w:rPr>
                <w:rFonts w:ascii="宋体" w:hAnsi="宋体" w:cs="宋体"/>
                <w:color w:val="000000"/>
                <w:sz w:val="18"/>
                <w:szCs w:val="18"/>
              </w:rPr>
            </w:pPr>
          </w:p>
        </w:tc>
        <w:tc>
          <w:tcPr>
            <w:tcW w:w="2355" w:type="dxa"/>
            <w:gridSpan w:val="2"/>
            <w:tcBorders>
              <w:top w:val="nil"/>
              <w:left w:val="nil"/>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153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1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增减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说明</w:t>
            </w:r>
          </w:p>
        </w:tc>
      </w:tr>
      <w:tr>
        <w:tblPrEx>
          <w:tblCellMar>
            <w:top w:w="0" w:type="dxa"/>
            <w:left w:w="108" w:type="dxa"/>
            <w:bottom w:w="0" w:type="dxa"/>
            <w:right w:w="108" w:type="dxa"/>
          </w:tblCellMar>
        </w:tblPrEx>
        <w:trPr>
          <w:trHeight w:val="405"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社会保险费_照明维养</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45.82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工程排污费_建筑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工程排污费_装饰</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工程排污费_安装</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工程排污费_市建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35.83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32.31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工程排污费_市安</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工程排污费_金属</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工程排污费_桩基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工程排污费_建机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工程排污费_市机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工程排污费_园林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工程排污费_园林养护</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工程排污费_照明维养</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税金</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33468.10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32954.29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bl>
    <w:p>
      <w:pPr>
        <w:pStyle w:val="8"/>
        <w:sectPr>
          <w:pgSz w:w="11906" w:h="16838"/>
          <w:pgMar w:top="1191" w:right="1191" w:bottom="1191" w:left="1191" w:header="851" w:footer="992" w:gutter="0"/>
          <w:cols w:space="720" w:num="1"/>
          <w:docGrid w:linePitch="312" w:charSpace="0"/>
        </w:sectPr>
      </w:pPr>
    </w:p>
    <w:tbl>
      <w:tblPr>
        <w:tblStyle w:val="29"/>
        <w:tblW w:w="11940" w:type="dxa"/>
        <w:tblInd w:w="93" w:type="dxa"/>
        <w:tblLayout w:type="autofit"/>
        <w:tblCellMar>
          <w:top w:w="0" w:type="dxa"/>
          <w:left w:w="108" w:type="dxa"/>
          <w:bottom w:w="0" w:type="dxa"/>
          <w:right w:w="108" w:type="dxa"/>
        </w:tblCellMar>
      </w:tblPr>
      <w:tblGrid>
        <w:gridCol w:w="576"/>
        <w:gridCol w:w="1206"/>
        <w:gridCol w:w="1476"/>
        <w:gridCol w:w="2196"/>
        <w:gridCol w:w="756"/>
        <w:gridCol w:w="1026"/>
        <w:gridCol w:w="846"/>
        <w:gridCol w:w="1026"/>
        <w:gridCol w:w="1026"/>
        <w:gridCol w:w="846"/>
        <w:gridCol w:w="1026"/>
        <w:gridCol w:w="1026"/>
        <w:gridCol w:w="576"/>
      </w:tblGrid>
      <w:tr>
        <w:tblPrEx>
          <w:tblCellMar>
            <w:top w:w="0" w:type="dxa"/>
            <w:left w:w="108" w:type="dxa"/>
            <w:bottom w:w="0" w:type="dxa"/>
            <w:right w:w="108" w:type="dxa"/>
          </w:tblCellMar>
        </w:tblPrEx>
        <w:trPr>
          <w:trHeight w:val="885" w:hRule="atLeast"/>
        </w:trPr>
        <w:tc>
          <w:tcPr>
            <w:tcW w:w="11951" w:type="dxa"/>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00010104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综合工日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32886.10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30656.10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人工小计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32886.10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30656.10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01010211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钢筋 HRB400以内φ12~18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3658.23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16169.35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2221.18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9817.59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01030719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镀锌铁丝 φ2.5~1.4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01030727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镀锌铁丝 φ0.7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01030753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镀锌铁丝 φ3.5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01090101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圆钢(综合)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3396.19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01150101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六角空心钢(综合)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01210109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角钢(综合)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01290121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热轧薄钢板 δ1.6~1.9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01290283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中厚钢板(综合)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3487.91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4878.05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4878.05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01350201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紫铜板(综合)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01530131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封铅 (含铅65%、锡35%)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02070107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橡胶垫 δ2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02090101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塑料薄膜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02190117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尼龙帽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02270105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白布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02270113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细白布 宽900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02270121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棉纱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02270123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棉纱头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02270125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棉纱线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02270129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破布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02310119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无纺土工布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02330101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草袋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03010701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平头螺钉 M4×15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03010942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圆钉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03011013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半圆头镀锌螺栓 M2～5×15～50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03011309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六角螺栓 M(6～8)×(20～50)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03011325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六角螺栓 M10×(20～50)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03011833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六角螺栓带螺母 M12×200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1837.47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1943.52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03012767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膨胀螺栓 M10×80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03012781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膨胀螺栓 M12×100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03012821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膨胀螺栓 M6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03130111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尼龙砂轮片 φ100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03130913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低碳钢焊条(综合)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03130921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低合金钢焊条 E43系列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03130929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低碳钢焊条 J422 φ3.2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03130933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低碳钢焊条 J422(综合)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03131309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冲击钻头 φ8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03131333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合金钢钻头 一字型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03131347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合金钢钻头 φ10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03131963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砂布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03131967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砂纸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03210415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金属滤网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03210485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平垫铁(综合)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03210593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铁件(综合)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03210645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斜垫铁(综合)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04010131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 32.5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04010131-1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 32.5R</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04010135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04030143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砂子(中粗砂)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04050173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碎石(综合)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04050211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碎石 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04050221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天然砂砾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5175.97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04090301-1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石灰膏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04130103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标准砖 240×115×53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千块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1235.32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05000020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木材(成材)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1380.08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1380.08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1380.08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05030105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板枋材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1266.66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05030139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1242.81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1242.81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05030213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枕木 2500×250×200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13010243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煤焦沥青漆 L01-17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13010261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铅油(厚漆)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13050227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沥青绝缘漆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13350195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模板嵌缝料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14010106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清油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14030116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煤油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14030121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汽油(综合)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14050151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14070117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机油 5#~7#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14070135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润滑油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14090118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钙基润滑脂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14090119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黄油钙基脂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14330109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硬脂酸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14330133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三氯乙烯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14350277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清洗剂 500mL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14350309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脱模剂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14390115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氧气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14390141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乙炔气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14390143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乙炔气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15010115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石棉橡胶板 中压 δ0.8～6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15010171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石棉板衬垫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15070213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棉毡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17250205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聚乙烯管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17290117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钢筋混凝土管 d300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18250153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镀锌钢管卡子 DN100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18250199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固定卡子 1.5×32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22450126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高压风管 φ25-6P-20m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27060161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接地线 5.5~16mm2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29060401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镀锌电缆吊挂 3.0×50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29250185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镀锌电缆卡子 2×35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33010157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钢模支撑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33010171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钢支撑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33010224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塑钢爬梯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34000010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其他材料费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34000020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校验材料费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34110103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kW¡¤h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34110117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34130109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标志牌 塑料扁形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34130145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位号牌</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35010116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木模板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1396.88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35010146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钢模板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35010166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组合钢模板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35020106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钢模板连接件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35030113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脚手架钢管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35030129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木脚手板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35030163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木支撑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36010139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铸铁井盖、井座 φ700 重型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80010116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水泥砂浆 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80210321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防水混凝土 C25(抗渗等级P6)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2309.04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3243.83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B13801752~1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潜污泵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Q=25m3/H H=15m N=1.5KW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B28022933~1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机械格栅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1000-2500-800-5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B34678852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巴歇尔流槽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B:25,1L/H-19.44m3/h</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B74089109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不锈钢污水泵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Q=10m3/h，H=20m，N=1.5KW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B93808853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水泵附属配电设备等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B97844180~1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污水提升泵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Q=12m3/h H=10m N=15KW;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BC0009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砌筑干粉砂浆 M10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783.29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781.63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BC0158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橡胶圈 管外径（mm以内） 315 给水用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BC0421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塑料管 管外径（mm以内） 110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BC0425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塑料管 管外径（mm以内） 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6270.55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7121.95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BC0427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塑料管 管外径（mm以内） 315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4608.32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4608.32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BC0445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电熔套筒 管外径（mm以内） 110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BC0448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电熔套筒 管外径（mm以内） 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BC0450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电熔套筒 管外径（mm以内） 315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BC0620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法兰阀门 公称直径（mm以内) 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BC0925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塑料管件 管外径（mm以内） 315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BC0941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中密度聚乙烯管件（对接熔接） 管外径（mm以内） 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BC0951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塑料管件（电熔熔接） 管外径（mm以内） 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BC0995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平焊法兰 公称直径（mm以内） 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BC1508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CA00188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角钢|40×20×4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QTCLF</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其他材料费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80210553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预拌混凝土 C10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80210559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预拌混凝土 C25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2237.86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2237.86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80210561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预拌混凝土 C30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4983.68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5429.49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80210575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预拌混凝土路面(抗折 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550.08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03130119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尼龙砂轮片 φ400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05000010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木材(一级红松)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B90071182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碳钢水池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板厚8mm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14350327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稀释剂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14350199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固化剂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14050121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溶剂汽油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04050197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碎石 50~80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04050195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碎石 30~50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17250205~2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DN110PE聚乙烯管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材料小计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260478.49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262550.07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990316510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吊装机械(综合)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J990123005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夯实机电动 20~62N·m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J990921010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电焊机(综合)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870113055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标准压力发生器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量程:0～200kPa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870613013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兆欧表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量程:0.01Ω～20kΩ,0.1～600V</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870613024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手持式万用表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50000计数,真有效值,PC接口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870622055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接地电阻测试仪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量程:0.001Ω～299.9kΩ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10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870622064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高压绝缘电阻测试仪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量程:0.05～50Ω,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1～100mΩ,1000V</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873174013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铭牌打印机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打印量程:54mm(长)×496mm(宽)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990101015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履带式推土机 75kW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990106010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履带式单斗液压挖掘机 0.6m3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834.86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834.86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990129010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手持式风动凿岩机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990302015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履带式起重机 15t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990304004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汽车式起重机 8t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618.86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990304024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汽车式起重机 25t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936.59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1113.79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1113.79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990305020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叉式起重机 5t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990309020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门式起重机 10t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990401015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载重汽车 4t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990401020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载重汽车 5t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990401030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载重汽车 8t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990402020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自卸汽车 6t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1811.86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1664.07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990407020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轨道平车 10t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990409020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洒水车 4000L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990610010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灰浆搅拌机 200L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990611010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干混砂浆罐式搅拌机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990702010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钢筋切断机 40mm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990703010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钢筋弯曲机 40mm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990706010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木工圆锯机 500mm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990706030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木工圆锯机 1000mm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990709020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木工平刨床 500mm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990728020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摇臂钻床 50mm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990732050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剪板机 40mm×3100mm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990733020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板料校平机 16mm×2000mm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1045.52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1054.28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1054.28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990736020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刨边机 12000mm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990901010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交流弧焊机 21kV·A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990901020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交流弧焊机 32kV·A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990904030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直流弧焊机 20kV·A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990904040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直流弧焊机 32kV·A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990910510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电熔焊接机 3.5kW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990911030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热熔对接焊机 630mm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990919010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电焊条烘干箱 45×35×45(cm)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990919030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电焊条烘干箱 60×50×75(cm)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991003040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电动空气压缩机 3m3/min</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990919510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电焊条恒温箱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990745520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砂轮切割机 φ400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机械小计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4921.56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4748.85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主材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17010131Z</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24590126Z</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仪表接头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24690111Z</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取源部件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28110000Z~1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电力电缆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5732.76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5732.76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01000136Z~2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50m3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13010211Z</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环氧煤沥青底漆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13030209Z</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环氧煤沥青面漆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13050153Z</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酚醛防锈漆(各色)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13010255Z</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漆酚树脂漆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36130201~1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固定式分隔栏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主材小计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6353.60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6690.60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五、</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设备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SB26253460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球墨铸铁井盖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直径700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SB26514760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机械格栅相应配电系统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SB29718628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水泵配电系统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right"/>
              <w:rPr>
                <w:rFonts w:ascii="宋体" w:hAnsi="宋体" w:cs="宋体"/>
                <w:color w:val="000000"/>
                <w:sz w:val="18"/>
                <w:szCs w:val="18"/>
              </w:rPr>
            </w:pPr>
          </w:p>
        </w:tc>
        <w:tc>
          <w:tcPr>
            <w:tcW w:w="929" w:type="dxa"/>
            <w:tcBorders>
              <w:top w:val="single" w:color="000000" w:sz="4" w:space="0"/>
              <w:left w:val="nil"/>
              <w:bottom w:val="nil"/>
              <w:right w:val="nil"/>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5" w:hRule="atLeast"/>
        </w:trPr>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gridSpan w:val="13"/>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人材机汇总审核对比表</w:t>
            </w:r>
          </w:p>
        </w:tc>
      </w:tr>
      <w:tr>
        <w:tblPrEx>
          <w:tblCellMar>
            <w:top w:w="0" w:type="dxa"/>
            <w:left w:w="108" w:type="dxa"/>
            <w:bottom w:w="0" w:type="dxa"/>
            <w:right w:w="108" w:type="dxa"/>
          </w:tblCellMar>
        </w:tblPrEx>
        <w:trPr>
          <w:trHeight w:val="405" w:hRule="atLeast"/>
        </w:trPr>
        <w:tc>
          <w:tcPr>
            <w:tcW w:w="8486" w:type="dxa"/>
            <w:gridSpan w:val="9"/>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工程名称:赣州市中医院污水设施建设工程</w:t>
            </w:r>
          </w:p>
        </w:tc>
        <w:tc>
          <w:tcPr>
            <w:tcW w:w="0" w:type="auto"/>
            <w:gridSpan w:val="2"/>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金额单位:元</w:t>
            </w:r>
          </w:p>
        </w:tc>
        <w:tc>
          <w:tcPr>
            <w:tcW w:w="0" w:type="auto"/>
            <w:tcBorders>
              <w:top w:val="nil"/>
              <w:left w:val="nil"/>
              <w:bottom w:val="single" w:color="000000" w:sz="4" w:space="0"/>
              <w:right w:val="nil"/>
            </w:tcBorders>
            <w:shd w:val="clear" w:color="auto" w:fill="auto"/>
            <w:noWrap/>
            <w:vAlign w:val="center"/>
          </w:tcPr>
          <w:p>
            <w:pPr>
              <w:jc w:val="left"/>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送审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SB65751472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隔油池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1800*800*800mm，2t/h</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SB72672943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管道配件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管材投资的8%计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SB72995025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水泵配电系统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按设备投资8%计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SB80375000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提升泵配电系统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SB87478827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在线监控(流量)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TUS20C传输仪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设备小计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41540.00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41540.00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346179.75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346185.62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bl>
    <w:p>
      <w:pPr>
        <w:pStyle w:val="8"/>
        <w:sectPr>
          <w:pgSz w:w="16838" w:h="11906" w:orient="landscape"/>
          <w:pgMar w:top="1191" w:right="1191" w:bottom="1191" w:left="1191" w:header="851" w:footer="992" w:gutter="0"/>
          <w:cols w:space="720" w:num="1"/>
          <w:docGrid w:linePitch="312" w:charSpace="0"/>
        </w:sectPr>
      </w:pPr>
    </w:p>
    <w:p>
      <w:pPr>
        <w:pStyle w:val="8"/>
      </w:pPr>
    </w:p>
    <w:p>
      <w:pPr>
        <w:autoSpaceDE w:val="0"/>
        <w:autoSpaceDN w:val="0"/>
        <w:adjustRightInd w:val="0"/>
        <w:snapToGrid w:val="0"/>
        <w:spacing w:line="540" w:lineRule="exact"/>
        <w:ind w:right="32" w:firstLine="542" w:firstLineChars="200"/>
        <w:rPr>
          <w:rFonts w:ascii="宋体" w:hAnsi="宋体"/>
          <w:b/>
          <w:bCs/>
          <w:color w:val="auto"/>
          <w:sz w:val="27"/>
          <w:szCs w:val="27"/>
        </w:rPr>
      </w:pPr>
      <w:bookmarkStart w:id="5" w:name="_GoBack"/>
      <w:r>
        <w:rPr>
          <w:rFonts w:hint="eastAsia" w:ascii="宋体" w:hAnsi="宋体"/>
          <w:b/>
          <w:bCs/>
          <w:color w:val="auto"/>
          <w:sz w:val="27"/>
          <w:szCs w:val="27"/>
        </w:rPr>
        <w:t xml:space="preserve">（2）施工图设计图纸（详见附件） </w:t>
      </w:r>
    </w:p>
    <w:p>
      <w:pPr>
        <w:autoSpaceDE w:val="0"/>
        <w:autoSpaceDN w:val="0"/>
        <w:adjustRightInd w:val="0"/>
        <w:snapToGrid w:val="0"/>
        <w:spacing w:line="540" w:lineRule="exact"/>
        <w:ind w:right="32" w:firstLine="540" w:firstLineChars="200"/>
        <w:rPr>
          <w:rFonts w:ascii="宋体" w:hAnsi="宋体"/>
          <w:color w:val="auto"/>
          <w:sz w:val="27"/>
          <w:szCs w:val="27"/>
        </w:rPr>
      </w:pPr>
      <w:r>
        <w:rPr>
          <w:rFonts w:hint="eastAsia" w:ascii="宋体" w:hAnsi="宋体"/>
          <w:color w:val="auto"/>
          <w:sz w:val="27"/>
          <w:szCs w:val="27"/>
        </w:rPr>
        <w:t>（3）工程质量要求合格，工程质量等级达到磋商文件要求。</w:t>
      </w:r>
    </w:p>
    <w:p>
      <w:pPr>
        <w:autoSpaceDE w:val="0"/>
        <w:autoSpaceDN w:val="0"/>
        <w:adjustRightInd w:val="0"/>
        <w:snapToGrid w:val="0"/>
        <w:spacing w:line="540" w:lineRule="exact"/>
        <w:ind w:right="32" w:firstLine="540" w:firstLineChars="200"/>
        <w:rPr>
          <w:rFonts w:ascii="宋体" w:hAnsi="宋体"/>
          <w:color w:val="auto"/>
          <w:sz w:val="27"/>
          <w:szCs w:val="27"/>
        </w:rPr>
      </w:pPr>
      <w:r>
        <w:rPr>
          <w:rFonts w:hint="eastAsia" w:ascii="宋体" w:hAnsi="宋体"/>
          <w:color w:val="auto"/>
          <w:sz w:val="27"/>
          <w:szCs w:val="27"/>
        </w:rPr>
        <w:t>（4）材料在采购进场前，施工单位必须按所投品牌提供样品。如若施工单位未按所投品牌采购，将视为违约，所造成的损失由施工单位承担。</w:t>
      </w:r>
    </w:p>
    <w:bookmarkEnd w:id="5"/>
    <w:p>
      <w:pPr>
        <w:autoSpaceDE w:val="0"/>
        <w:autoSpaceDN w:val="0"/>
        <w:adjustRightInd w:val="0"/>
        <w:snapToGrid w:val="0"/>
        <w:spacing w:line="540" w:lineRule="exact"/>
        <w:ind w:right="32" w:firstLine="540" w:firstLineChars="200"/>
        <w:rPr>
          <w:rFonts w:ascii="宋体" w:hAnsi="宋体"/>
          <w:sz w:val="27"/>
          <w:szCs w:val="27"/>
        </w:rPr>
      </w:pPr>
      <w:r>
        <w:rPr>
          <w:rFonts w:hint="eastAsia" w:ascii="宋体" w:hAnsi="宋体"/>
          <w:sz w:val="27"/>
          <w:szCs w:val="27"/>
        </w:rPr>
        <w:t>（5）本工程预算中所有已标明厚度的材料只允许正偏差，不允许负偏差。</w:t>
      </w:r>
    </w:p>
    <w:p>
      <w:pPr>
        <w:autoSpaceDE w:val="0"/>
        <w:autoSpaceDN w:val="0"/>
        <w:adjustRightInd w:val="0"/>
        <w:snapToGrid w:val="0"/>
        <w:spacing w:line="540" w:lineRule="exact"/>
        <w:ind w:right="32" w:firstLine="540" w:firstLineChars="200"/>
        <w:rPr>
          <w:rFonts w:ascii="宋体" w:hAnsi="宋体"/>
          <w:sz w:val="27"/>
          <w:szCs w:val="27"/>
        </w:rPr>
      </w:pPr>
      <w:r>
        <w:rPr>
          <w:rFonts w:hint="eastAsia" w:ascii="宋体" w:hAnsi="宋体"/>
          <w:sz w:val="27"/>
          <w:szCs w:val="27"/>
        </w:rPr>
        <w:t>（6）其余未约定品牌质量的材料均按优良进行采购。</w:t>
      </w:r>
    </w:p>
    <w:p>
      <w:pPr>
        <w:autoSpaceDE w:val="0"/>
        <w:autoSpaceDN w:val="0"/>
        <w:adjustRightInd w:val="0"/>
        <w:snapToGrid w:val="0"/>
        <w:spacing w:line="540" w:lineRule="exact"/>
        <w:ind w:right="32" w:firstLine="540" w:firstLineChars="200"/>
        <w:rPr>
          <w:rFonts w:ascii="宋体" w:hAnsi="宋体"/>
          <w:sz w:val="27"/>
          <w:szCs w:val="27"/>
        </w:rPr>
      </w:pPr>
      <w:r>
        <w:rPr>
          <w:rFonts w:hint="eastAsia" w:ascii="宋体" w:hAnsi="宋体"/>
          <w:sz w:val="27"/>
          <w:szCs w:val="27"/>
        </w:rPr>
        <w:t>（7）中标人与招标人签订合同后，中标人要按招标人要求根据现场实际情况安排好施工。</w:t>
      </w:r>
    </w:p>
    <w:p>
      <w:pPr>
        <w:autoSpaceDE w:val="0"/>
        <w:autoSpaceDN w:val="0"/>
        <w:adjustRightInd w:val="0"/>
        <w:snapToGrid w:val="0"/>
        <w:spacing w:line="540" w:lineRule="exact"/>
        <w:ind w:right="32" w:firstLine="540" w:firstLineChars="200"/>
        <w:rPr>
          <w:rFonts w:ascii="宋体" w:hAnsi="宋体"/>
          <w:sz w:val="27"/>
          <w:szCs w:val="27"/>
        </w:rPr>
      </w:pPr>
      <w:r>
        <w:rPr>
          <w:rFonts w:hint="eastAsia" w:ascii="宋体" w:hAnsi="宋体"/>
          <w:sz w:val="27"/>
          <w:szCs w:val="27"/>
        </w:rPr>
        <w:t>（8）施工严格按设计要求及施工规范施工，确保工程质量、安全施工及按期竣工验收。</w:t>
      </w:r>
    </w:p>
    <w:p>
      <w:pPr>
        <w:autoSpaceDE w:val="0"/>
        <w:autoSpaceDN w:val="0"/>
        <w:adjustRightInd w:val="0"/>
        <w:snapToGrid w:val="0"/>
        <w:spacing w:line="540" w:lineRule="exact"/>
        <w:ind w:right="32" w:firstLine="540" w:firstLineChars="200"/>
        <w:rPr>
          <w:rFonts w:ascii="宋体" w:hAnsi="宋体"/>
          <w:sz w:val="27"/>
          <w:szCs w:val="27"/>
        </w:rPr>
      </w:pPr>
      <w:r>
        <w:rPr>
          <w:rFonts w:hint="eastAsia" w:ascii="宋体" w:hAnsi="宋体"/>
          <w:sz w:val="27"/>
          <w:szCs w:val="27"/>
        </w:rPr>
        <w:t>（9）凡参加投标的单位均必须自动认可上述条款，否则招标人可选择中止合同并追索损失。</w:t>
      </w:r>
    </w:p>
    <w:p>
      <w:pPr>
        <w:autoSpaceDE w:val="0"/>
        <w:autoSpaceDN w:val="0"/>
        <w:adjustRightInd w:val="0"/>
        <w:snapToGrid w:val="0"/>
        <w:spacing w:line="540" w:lineRule="exact"/>
        <w:ind w:right="32" w:firstLine="542" w:firstLineChars="200"/>
        <w:rPr>
          <w:rFonts w:ascii="宋体" w:hAnsi="宋体"/>
          <w:sz w:val="27"/>
          <w:szCs w:val="27"/>
        </w:rPr>
      </w:pPr>
      <w:r>
        <w:rPr>
          <w:rFonts w:hint="eastAsia" w:ascii="宋体" w:hAnsi="宋体"/>
          <w:b/>
          <w:bCs/>
          <w:sz w:val="27"/>
          <w:szCs w:val="27"/>
        </w:rPr>
        <w:t xml:space="preserve">（七）工程安全 </w:t>
      </w:r>
    </w:p>
    <w:p>
      <w:pPr>
        <w:autoSpaceDE w:val="0"/>
        <w:autoSpaceDN w:val="0"/>
        <w:adjustRightInd w:val="0"/>
        <w:snapToGrid w:val="0"/>
        <w:spacing w:line="540" w:lineRule="exact"/>
        <w:ind w:right="32" w:firstLine="540" w:firstLineChars="200"/>
        <w:rPr>
          <w:rFonts w:ascii="宋体" w:hAnsi="宋体"/>
          <w:sz w:val="27"/>
          <w:szCs w:val="27"/>
        </w:rPr>
      </w:pPr>
      <w:r>
        <w:rPr>
          <w:rFonts w:hint="eastAsia" w:ascii="宋体" w:hAnsi="宋体"/>
          <w:sz w:val="27"/>
          <w:szCs w:val="27"/>
        </w:rPr>
        <w:t xml:space="preserve">（1）供应商必须严格按照有关法律、法规以及当地监管部门有关规定的要求，做好安全防护和文明施工的相关工作。供应商在履行本合同的过程中所造成的一切安全生产事故均由其负全部责任，与采购人无关。 </w:t>
      </w:r>
    </w:p>
    <w:p>
      <w:pPr>
        <w:autoSpaceDE w:val="0"/>
        <w:autoSpaceDN w:val="0"/>
        <w:adjustRightInd w:val="0"/>
        <w:snapToGrid w:val="0"/>
        <w:spacing w:line="540" w:lineRule="exact"/>
        <w:ind w:right="32" w:firstLine="540" w:firstLineChars="200"/>
        <w:rPr>
          <w:rFonts w:ascii="宋体" w:hAnsi="宋体"/>
          <w:sz w:val="27"/>
          <w:szCs w:val="27"/>
        </w:rPr>
      </w:pPr>
      <w:r>
        <w:rPr>
          <w:rFonts w:hint="eastAsia" w:ascii="宋体" w:hAnsi="宋体"/>
          <w:sz w:val="27"/>
          <w:szCs w:val="27"/>
        </w:rPr>
        <w:t xml:space="preserve">（2）成交供应商应按合同约定履行安全职责，严格执行国家、地方政府有关施工安全管理方面的法律、法规及规章制度，同时严格执行采购人制订的本项目安全生产管理方面的规章制度、安全检查程序及施工安全管理要求，以及监理人有关安全工作的指示。 </w:t>
      </w:r>
    </w:p>
    <w:p>
      <w:pPr>
        <w:autoSpaceDE w:val="0"/>
        <w:autoSpaceDN w:val="0"/>
        <w:adjustRightInd w:val="0"/>
        <w:snapToGrid w:val="0"/>
        <w:spacing w:line="540" w:lineRule="exact"/>
        <w:ind w:right="32" w:firstLine="540" w:firstLineChars="200"/>
        <w:rPr>
          <w:rFonts w:ascii="宋体" w:hAnsi="宋体"/>
          <w:sz w:val="27"/>
          <w:szCs w:val="27"/>
        </w:rPr>
      </w:pPr>
      <w:r>
        <w:rPr>
          <w:rFonts w:hint="eastAsia" w:ascii="宋体" w:hAnsi="宋体"/>
          <w:sz w:val="27"/>
          <w:szCs w:val="27"/>
        </w:rPr>
        <w:t>（3）严格执行《中华人民共和国安全生产法》、《中华人民共和国建筑法》、《建设工程安全生产管理条例》、《安全生产许可条件》等法律和法规的规定。</w:t>
      </w:r>
    </w:p>
    <w:p>
      <w:pPr>
        <w:autoSpaceDE w:val="0"/>
        <w:autoSpaceDN w:val="0"/>
        <w:adjustRightInd w:val="0"/>
        <w:snapToGrid w:val="0"/>
        <w:spacing w:line="540" w:lineRule="exact"/>
        <w:ind w:right="32" w:firstLine="542" w:firstLineChars="200"/>
        <w:rPr>
          <w:rFonts w:ascii="宋体" w:hAnsi="宋体"/>
          <w:b/>
          <w:bCs/>
          <w:sz w:val="27"/>
          <w:szCs w:val="27"/>
        </w:rPr>
      </w:pPr>
      <w:r>
        <w:rPr>
          <w:rFonts w:hint="eastAsia" w:ascii="宋体" w:hAnsi="宋体"/>
          <w:b/>
          <w:bCs/>
          <w:sz w:val="27"/>
          <w:szCs w:val="27"/>
        </w:rPr>
        <w:t>（八）文明施工要求</w:t>
      </w:r>
    </w:p>
    <w:p>
      <w:pPr>
        <w:autoSpaceDE w:val="0"/>
        <w:autoSpaceDN w:val="0"/>
        <w:adjustRightInd w:val="0"/>
        <w:snapToGrid w:val="0"/>
        <w:spacing w:line="540" w:lineRule="exact"/>
        <w:ind w:right="32" w:firstLine="540" w:firstLineChars="200"/>
        <w:rPr>
          <w:rFonts w:ascii="宋体" w:hAnsi="宋体"/>
          <w:sz w:val="27"/>
          <w:szCs w:val="27"/>
        </w:rPr>
      </w:pPr>
      <w:r>
        <w:rPr>
          <w:rFonts w:hint="eastAsia" w:ascii="宋体" w:hAnsi="宋体"/>
          <w:sz w:val="27"/>
          <w:szCs w:val="27"/>
        </w:rPr>
        <w:t>文明施工根据文明施工标准化工地要求和安全文明施工规范，实现达标工地。施工现场平面布置在规定的施工用地范围内。材料、设备堆放整齐，保持场地卫生，做好现场环境保护工作，防止水污染、大气污染与噪声污染。务必每天及时清理场地，遵守国家有关管理规定。</w:t>
      </w:r>
    </w:p>
    <w:p>
      <w:pPr>
        <w:autoSpaceDE w:val="0"/>
        <w:autoSpaceDN w:val="0"/>
        <w:adjustRightInd w:val="0"/>
        <w:snapToGrid w:val="0"/>
        <w:spacing w:line="540" w:lineRule="exact"/>
        <w:ind w:right="32" w:firstLine="542" w:firstLineChars="200"/>
        <w:rPr>
          <w:b/>
          <w:sz w:val="27"/>
          <w:szCs w:val="27"/>
        </w:rPr>
      </w:pPr>
      <w:r>
        <w:rPr>
          <w:rFonts w:hint="eastAsia"/>
          <w:b/>
          <w:sz w:val="27"/>
          <w:szCs w:val="27"/>
        </w:rPr>
        <w:t>（九）其他要求</w:t>
      </w:r>
    </w:p>
    <w:p>
      <w:pPr>
        <w:spacing w:line="500" w:lineRule="exact"/>
        <w:ind w:firstLine="540" w:firstLineChars="200"/>
        <w:rPr>
          <w:sz w:val="27"/>
          <w:szCs w:val="27"/>
        </w:rPr>
      </w:pPr>
      <w:r>
        <w:rPr>
          <w:rFonts w:hint="eastAsia"/>
          <w:sz w:val="27"/>
          <w:szCs w:val="27"/>
        </w:rPr>
        <w:t xml:space="preserve">（1）响应供应商可到施工现场自行踏勘现场； </w:t>
      </w:r>
    </w:p>
    <w:p>
      <w:pPr>
        <w:spacing w:line="500" w:lineRule="exact"/>
        <w:ind w:firstLine="540" w:firstLineChars="200"/>
        <w:rPr>
          <w:sz w:val="27"/>
          <w:szCs w:val="27"/>
        </w:rPr>
      </w:pPr>
      <w:r>
        <w:rPr>
          <w:rFonts w:hint="eastAsia"/>
          <w:sz w:val="27"/>
          <w:szCs w:val="27"/>
        </w:rPr>
        <w:t>（2）响应供应商可到现场踏勘，充分了解工程位置、情况、了解周围地形、道路、储存空间、装卸限制、周围建筑物和构筑物的安全防护及任何其他足以影响合同价的情况，任何因疏忽或误解工地情况而导致的增加工程造价、索赔或工期延长申请将不被批准；</w:t>
      </w:r>
    </w:p>
    <w:p>
      <w:pPr>
        <w:spacing w:line="500" w:lineRule="exact"/>
        <w:ind w:firstLine="540" w:firstLineChars="200"/>
        <w:rPr>
          <w:sz w:val="27"/>
          <w:szCs w:val="27"/>
        </w:rPr>
      </w:pPr>
      <w:r>
        <w:rPr>
          <w:rFonts w:hint="eastAsia"/>
          <w:sz w:val="27"/>
          <w:szCs w:val="27"/>
        </w:rPr>
        <w:t xml:space="preserve">（3）在工程进行中，成交供应商要注意保护场内的各种管线和设施。若有任何损坏，须立即通知有关部门和采购人，并由损坏单位承担损失和修复费用； </w:t>
      </w:r>
    </w:p>
    <w:p>
      <w:pPr>
        <w:spacing w:line="500" w:lineRule="exact"/>
        <w:ind w:firstLine="540" w:firstLineChars="200"/>
        <w:rPr>
          <w:sz w:val="27"/>
          <w:szCs w:val="27"/>
        </w:rPr>
      </w:pPr>
      <w:r>
        <w:rPr>
          <w:rFonts w:hint="eastAsia"/>
          <w:sz w:val="27"/>
          <w:szCs w:val="27"/>
        </w:rPr>
        <w:t xml:space="preserve">（4）项目实施期间用水、用电由采购人指定接驳点；所有用水、用电费用由成交供应商支付。 </w:t>
      </w:r>
    </w:p>
    <w:p>
      <w:pPr>
        <w:spacing w:line="500" w:lineRule="exact"/>
        <w:ind w:firstLine="540" w:firstLineChars="200"/>
        <w:rPr>
          <w:sz w:val="27"/>
          <w:szCs w:val="27"/>
        </w:rPr>
      </w:pPr>
      <w:r>
        <w:rPr>
          <w:rFonts w:hint="eastAsia"/>
          <w:sz w:val="27"/>
          <w:szCs w:val="27"/>
        </w:rPr>
        <w:t xml:space="preserve">（5）成交供应商负责保管、看护进场的施工机组设备、施工用具及施工材料。 </w:t>
      </w:r>
    </w:p>
    <w:p>
      <w:pPr>
        <w:spacing w:line="500" w:lineRule="exact"/>
        <w:ind w:firstLine="540" w:firstLineChars="200"/>
        <w:rPr>
          <w:sz w:val="27"/>
          <w:szCs w:val="27"/>
        </w:rPr>
      </w:pPr>
      <w:r>
        <w:rPr>
          <w:rFonts w:hint="eastAsia"/>
          <w:sz w:val="27"/>
          <w:szCs w:val="27"/>
        </w:rPr>
        <w:t xml:space="preserve">（6）结合实际经采购人批准才能搭建临时设施，配合服从采购人管理，施工垃圾由成交供应商负责清运，做到清运及时、干净。 </w:t>
      </w:r>
    </w:p>
    <w:p>
      <w:pPr>
        <w:spacing w:line="500" w:lineRule="exact"/>
        <w:ind w:firstLine="540" w:firstLineChars="200"/>
        <w:rPr>
          <w:sz w:val="27"/>
          <w:szCs w:val="27"/>
        </w:rPr>
      </w:pPr>
      <w:r>
        <w:rPr>
          <w:rFonts w:hint="eastAsia"/>
          <w:sz w:val="27"/>
          <w:szCs w:val="27"/>
        </w:rPr>
        <w:t>（7）成交供应商不得以不完全了解现场情况为理由，提出额外付款或延长工期等要求。对此类要求，采购人不作任何考虑及答复。</w:t>
      </w:r>
    </w:p>
    <w:p>
      <w:pPr>
        <w:spacing w:line="500" w:lineRule="exact"/>
        <w:ind w:firstLine="540" w:firstLineChars="200"/>
        <w:rPr>
          <w:sz w:val="27"/>
          <w:szCs w:val="27"/>
        </w:rPr>
      </w:pPr>
      <w:r>
        <w:rPr>
          <w:rFonts w:hint="eastAsia"/>
          <w:sz w:val="27"/>
          <w:szCs w:val="27"/>
        </w:rPr>
        <w:t>（8）施工期间，成交供应商要服从采购方管理人员、质监人员对工程施工的指导和监督。</w:t>
      </w:r>
    </w:p>
    <w:p>
      <w:pPr>
        <w:pStyle w:val="2"/>
      </w:pPr>
      <w:bookmarkStart w:id="0" w:name="_Toc72834314"/>
      <w:bookmarkStart w:id="1" w:name="_Toc7092"/>
      <w:bookmarkStart w:id="2" w:name="_Toc414959383"/>
      <w:bookmarkStart w:id="3" w:name="_Toc495654698"/>
    </w:p>
    <w:p>
      <w:pPr>
        <w:pStyle w:val="2"/>
        <w:rPr>
          <w:rFonts w:ascii="宋体" w:hAnsi="宋体"/>
          <w:b/>
          <w:sz w:val="28"/>
          <w:szCs w:val="28"/>
        </w:rPr>
      </w:pPr>
      <w:r>
        <w:rPr>
          <w:rFonts w:hint="eastAsia" w:ascii="宋体" w:hAnsi="宋体"/>
          <w:b/>
          <w:sz w:val="28"/>
          <w:szCs w:val="28"/>
        </w:rPr>
        <w:t xml:space="preserve">   （十）主要商务条款</w:t>
      </w:r>
    </w:p>
    <w:p>
      <w:pPr>
        <w:autoSpaceDE w:val="0"/>
        <w:autoSpaceDN w:val="0"/>
        <w:adjustRightInd w:val="0"/>
        <w:snapToGrid w:val="0"/>
        <w:spacing w:line="540" w:lineRule="exact"/>
        <w:ind w:right="32"/>
        <w:rPr>
          <w:rFonts w:ascii="宋体" w:hAnsi="宋体"/>
          <w:color w:val="000000" w:themeColor="text1"/>
          <w:sz w:val="27"/>
          <w:szCs w:val="27"/>
        </w:rPr>
      </w:pPr>
      <w:r>
        <w:rPr>
          <w:rFonts w:hint="eastAsia" w:ascii="宋体" w:hAnsi="宋体"/>
          <w:b/>
          <w:color w:val="000000" w:themeColor="text1"/>
          <w:sz w:val="27"/>
          <w:szCs w:val="27"/>
        </w:rPr>
        <w:t xml:space="preserve">    1、质量保修期：</w:t>
      </w:r>
      <w:r>
        <w:rPr>
          <w:rFonts w:hint="eastAsia" w:ascii="宋体" w:hAnsi="宋体"/>
          <w:color w:val="000000" w:themeColor="text1"/>
          <w:sz w:val="27"/>
          <w:szCs w:val="27"/>
        </w:rPr>
        <w:t>所响应项目必须提供壹年的质量保修期，保修期限执行《建设工程质量管理条例》（国务院令第 279 号）。 保修费用执行《建设工程质量保证金管理办法》（建质[2017]138 号）。按国家规定并在工程质量保修书中具体明确。质保过程中，维修期与维修等待期将从保修期中扣除，质保时间顺延。建设工程的保修期，自竣工验收合格之日起计算。</w:t>
      </w:r>
    </w:p>
    <w:p>
      <w:pPr>
        <w:autoSpaceDE w:val="0"/>
        <w:autoSpaceDN w:val="0"/>
        <w:adjustRightInd w:val="0"/>
        <w:snapToGrid w:val="0"/>
        <w:spacing w:line="360" w:lineRule="auto"/>
        <w:ind w:right="32"/>
        <w:rPr>
          <w:rFonts w:ascii="宋体" w:hAnsi="宋体"/>
          <w:sz w:val="27"/>
          <w:szCs w:val="27"/>
        </w:rPr>
      </w:pPr>
      <w:r>
        <w:rPr>
          <w:rFonts w:hint="eastAsia" w:ascii="宋体" w:hAnsi="宋体"/>
          <w:b/>
          <w:sz w:val="27"/>
          <w:szCs w:val="27"/>
        </w:rPr>
        <w:t xml:space="preserve">    2、工期要求：</w:t>
      </w:r>
      <w:r>
        <w:rPr>
          <w:rFonts w:hint="eastAsia" w:ascii="宋体" w:hAnsi="宋体"/>
          <w:sz w:val="27"/>
          <w:szCs w:val="27"/>
        </w:rPr>
        <w:t>合同签订后60个日历天完成。</w:t>
      </w:r>
    </w:p>
    <w:p>
      <w:pPr>
        <w:autoSpaceDE w:val="0"/>
        <w:autoSpaceDN w:val="0"/>
        <w:adjustRightInd w:val="0"/>
        <w:snapToGrid w:val="0"/>
        <w:spacing w:line="360" w:lineRule="auto"/>
        <w:ind w:right="32"/>
        <w:rPr>
          <w:rFonts w:ascii="宋体" w:hAnsi="宋体"/>
          <w:b/>
          <w:color w:val="auto"/>
          <w:sz w:val="27"/>
          <w:szCs w:val="27"/>
        </w:rPr>
      </w:pPr>
      <w:r>
        <w:rPr>
          <w:rFonts w:hint="eastAsia" w:ascii="宋体" w:hAnsi="宋体"/>
          <w:b/>
          <w:color w:val="FF0000"/>
          <w:sz w:val="27"/>
          <w:szCs w:val="27"/>
        </w:rPr>
        <w:t xml:space="preserve">  </w:t>
      </w:r>
      <w:r>
        <w:rPr>
          <w:rFonts w:hint="eastAsia" w:ascii="宋体" w:hAnsi="宋体"/>
          <w:b/>
          <w:color w:val="auto"/>
          <w:sz w:val="27"/>
          <w:szCs w:val="27"/>
        </w:rPr>
        <w:t xml:space="preserve">  3、付款方式：</w:t>
      </w:r>
      <w:bookmarkStart w:id="4" w:name="OLE_LINK2"/>
    </w:p>
    <w:p>
      <w:pPr>
        <w:autoSpaceDE w:val="0"/>
        <w:autoSpaceDN w:val="0"/>
        <w:adjustRightInd w:val="0"/>
        <w:snapToGrid w:val="0"/>
        <w:spacing w:line="360" w:lineRule="auto"/>
        <w:ind w:right="32" w:firstLine="405" w:firstLineChars="150"/>
        <w:rPr>
          <w:rFonts w:ascii="宋体" w:hAnsi="宋体"/>
          <w:color w:val="auto"/>
          <w:sz w:val="27"/>
          <w:szCs w:val="27"/>
        </w:rPr>
      </w:pPr>
      <w:r>
        <w:rPr>
          <w:rFonts w:hint="eastAsia"/>
          <w:color w:val="auto"/>
          <w:sz w:val="27"/>
          <w:szCs w:val="27"/>
        </w:rPr>
        <w:t>（1）</w:t>
      </w:r>
      <w:r>
        <w:rPr>
          <w:rFonts w:hint="eastAsia" w:ascii="宋体" w:hAnsi="宋体"/>
          <w:color w:val="auto"/>
          <w:sz w:val="27"/>
          <w:szCs w:val="27"/>
        </w:rPr>
        <w:t>在项目全部完成经验收合格后，</w:t>
      </w:r>
      <w:bookmarkEnd w:id="4"/>
      <w:r>
        <w:rPr>
          <w:rFonts w:hint="eastAsia" w:ascii="宋体" w:hAnsi="宋体"/>
          <w:color w:val="auto"/>
          <w:sz w:val="27"/>
          <w:szCs w:val="27"/>
        </w:rPr>
        <w:t>待采购人审计处（含托审）工程决（结）算审结后，支付审结价的97%。余款3%在质保期壹年后若无质量问题及违约情形，一次性付清，不计利息。</w:t>
      </w:r>
    </w:p>
    <w:p>
      <w:pPr>
        <w:autoSpaceDE w:val="0"/>
        <w:autoSpaceDN w:val="0"/>
        <w:adjustRightInd w:val="0"/>
        <w:snapToGrid w:val="0"/>
        <w:spacing w:line="360" w:lineRule="auto"/>
        <w:ind w:right="32" w:firstLine="405" w:firstLineChars="150"/>
        <w:rPr>
          <w:rFonts w:ascii="宋体" w:hAnsi="宋体"/>
          <w:color w:val="auto"/>
          <w:sz w:val="27"/>
          <w:szCs w:val="27"/>
        </w:rPr>
      </w:pPr>
      <w:r>
        <w:rPr>
          <w:rFonts w:hint="eastAsia"/>
          <w:color w:val="auto"/>
          <w:sz w:val="27"/>
          <w:szCs w:val="27"/>
        </w:rPr>
        <w:t>（2）</w:t>
      </w:r>
      <w:r>
        <w:rPr>
          <w:rFonts w:hint="eastAsia" w:ascii="宋体" w:hAnsi="宋体"/>
          <w:color w:val="auto"/>
          <w:sz w:val="27"/>
          <w:szCs w:val="27"/>
        </w:rPr>
        <w:t>支付任何款项，需事先由中标方开具正式发票交付采购方。</w:t>
      </w:r>
    </w:p>
    <w:p>
      <w:pPr>
        <w:pStyle w:val="2"/>
        <w:spacing w:line="360" w:lineRule="auto"/>
        <w:rPr>
          <w:rFonts w:ascii="宋体" w:hAnsi="宋体"/>
          <w:sz w:val="27"/>
          <w:szCs w:val="27"/>
        </w:rPr>
      </w:pPr>
      <w:r>
        <w:rPr>
          <w:rFonts w:hint="eastAsia" w:ascii="宋体" w:hAnsi="宋体"/>
          <w:b/>
          <w:sz w:val="27"/>
          <w:szCs w:val="27"/>
        </w:rPr>
        <w:t xml:space="preserve">    4、履约保证金：</w:t>
      </w:r>
      <w:r>
        <w:rPr>
          <w:rFonts w:hint="eastAsia" w:ascii="宋体" w:hAnsi="宋体"/>
          <w:sz w:val="27"/>
          <w:szCs w:val="27"/>
        </w:rPr>
        <w:t>成交供应商应在签订合同前须向采购人缴纳履约保证金人民币：叁万元整（¥：30000.00）（履约保证金以银行转账（电汇）、支票、汇票、本票或者金融机构、担保机构出具的保函等非现金形式提交），如无违约行为，工程竣工经验收合格后一次性退还，不计利息。</w:t>
      </w:r>
    </w:p>
    <w:p>
      <w:pPr>
        <w:spacing w:line="360" w:lineRule="auto"/>
        <w:rPr>
          <w:rFonts w:ascii="宋体" w:hAnsi="宋体" w:cs="宋体"/>
          <w:kern w:val="0"/>
          <w:sz w:val="27"/>
          <w:szCs w:val="27"/>
        </w:rPr>
      </w:pPr>
      <w:r>
        <w:rPr>
          <w:rFonts w:hint="eastAsia" w:ascii="宋体" w:hAnsi="宋体"/>
          <w:b/>
          <w:color w:val="000000" w:themeColor="text1"/>
          <w:sz w:val="27"/>
          <w:szCs w:val="27"/>
        </w:rPr>
        <w:t xml:space="preserve">    5、工程验收</w:t>
      </w:r>
      <w:r>
        <w:rPr>
          <w:rFonts w:hint="eastAsia" w:ascii="宋体" w:hAnsi="宋体"/>
          <w:sz w:val="27"/>
          <w:szCs w:val="27"/>
        </w:rPr>
        <w:t>：</w:t>
      </w:r>
      <w:r>
        <w:rPr>
          <w:rFonts w:hint="eastAsia"/>
          <w:sz w:val="27"/>
          <w:szCs w:val="27"/>
        </w:rPr>
        <w:t>项目竣工后由中标方提出书面申请进行验收，提出申请7个工作日内采购方应组织相关人员进行验收工作，如逾期未开展、拖延进行验收工作则视为本项目验收合格。工程验收合格后，由中标方出具书面验收报告给采购方，并作为工程款的支付凭据。</w:t>
      </w:r>
      <w:bookmarkEnd w:id="0"/>
      <w:bookmarkEnd w:id="1"/>
      <w:bookmarkEnd w:id="2"/>
      <w:bookmarkEnd w:id="3"/>
    </w:p>
    <w:sectPr>
      <w:headerReference r:id="rId5" w:type="default"/>
      <w:footerReference r:id="rId6" w:type="default"/>
      <w:pgSz w:w="11906" w:h="16838"/>
      <w:pgMar w:top="1191" w:right="1191" w:bottom="1191" w:left="1191"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187" w:h="151" w:hRule="exact" w:wrap="around" w:vAnchor="text" w:hAnchor="page" w:x="5692" w:y="67"/>
      <w:jc w:val="center"/>
      <w:rPr>
        <w:rStyle w:val="38"/>
      </w:rPr>
    </w:pPr>
    <w:r>
      <w:pict>
        <v:rect id="文本框 5" o:spid="_x0000_s4097" o:spt="1" style="position:absolute;left:0pt;margin-top:0pt;height:49.35pt;width:42.95pt;mso-position-horizontal:center;mso-position-horizontal-relative:margin;z-index:251659264;mso-width-relative:page;mso-height-relative:page;" filled="f" stroked="f" coordsize="21600,21600" o:gfxdata="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nibrNQAAAADAQAADwAAAAAAAAABACAA&#10;AAAiAAAAZHJzL2Rvd25yZXYueG1sUEsBAhQAFAAAAAgAh07iQNECpU3YAQAAngMAAA4AAAAAAAAA&#10;AQAgAAAAIwEAAGRycy9lMm9Eb2MueG1sUEsFBgAAAAAGAAYAWQEAAG0FAAAAAA==&#10;">
          <v:path/>
          <v:fill on="f" focussize="0,0"/>
          <v:stroke on="f"/>
          <v:imagedata o:title=""/>
          <o:lock v:ext="edit"/>
          <v:textbox inset="0mm,0mm,0mm,0mm" style="mso-fit-shape-to-text:t;">
            <w:txbxContent>
              <w:p>
                <w:pPr>
                  <w:pStyle w:val="23"/>
                  <w:jc w:val="center"/>
                  <w:rPr>
                    <w:rStyle w:val="38"/>
                    <w:sz w:val="21"/>
                  </w:rPr>
                </w:pPr>
                <w:r>
                  <w:rPr>
                    <w:sz w:val="21"/>
                  </w:rPr>
                  <w:fldChar w:fldCharType="begin"/>
                </w:r>
                <w:r>
                  <w:rPr>
                    <w:rStyle w:val="38"/>
                    <w:sz w:val="21"/>
                  </w:rPr>
                  <w:instrText xml:space="preserve">PAGE  </w:instrText>
                </w:r>
                <w:r>
                  <w:rPr>
                    <w:sz w:val="21"/>
                  </w:rPr>
                  <w:fldChar w:fldCharType="separate"/>
                </w:r>
                <w:r>
                  <w:rPr>
                    <w:rStyle w:val="38"/>
                    <w:sz w:val="21"/>
                  </w:rPr>
                  <w:t>5</w:t>
                </w:r>
                <w:r>
                  <w:rPr>
                    <w:sz w:val="21"/>
                  </w:rPr>
                  <w:fldChar w:fldCharType="end"/>
                </w:r>
              </w:p>
            </w:txbxContent>
          </v:textbox>
        </v:rect>
      </w:pict>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pict>
        <v:rect id="文本框 3" o:spid="_x0000_s4098" o:spt="1" style="position:absolute;left:0pt;margin-top:0pt;height:17.5pt;width:20.55pt;mso-position-horizontal:center;mso-position-horizontal-relative:margin;mso-wrap-style:none;z-index:251660288;mso-width-relative:page;mso-height-relative:page;" filled="f" stroked="f" coordsize="21600,21600" o:gfxdata="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nPBNIAAAADAQAADwAAAAAAAAABACAAAAAiAAAAZHJzL2Rv&#10;d25yZXYueG1sUEsBAhQAFAAAAAgAh07iQD7eIcjOAQAAkAMAAA4AAAAAAAAAAQAgAAAAIQEAAGRy&#10;cy9lMm9Eb2MueG1sUEsFBgAAAAAGAAYAWQEAAGEFAAAAAA==&#10;">
          <v:path/>
          <v:fill on="f" focussize="0,0"/>
          <v:stroke on="f"/>
          <v:imagedata o:title=""/>
          <o:lock v:ext="edit"/>
          <v:textbox inset="0mm,0mm,0mm,0mm" style="mso-fit-shape-to-text:t;">
            <w:txbxContent>
              <w:p>
                <w:pPr>
                  <w:pStyle w:val="23"/>
                  <w:jc w:val="center"/>
                </w:pPr>
                <w:r>
                  <w:fldChar w:fldCharType="begin"/>
                </w:r>
                <w:r>
                  <w:instrText xml:space="preserve"> PAGE   \* MERGEFORMAT </w:instrText>
                </w:r>
                <w:r>
                  <w:fldChar w:fldCharType="separate"/>
                </w:r>
                <w:r>
                  <w:rPr>
                    <w:lang w:val="zh-CN"/>
                  </w:rPr>
                  <w:t>104</w:t>
                </w:r>
                <w:r>
                  <w:rPr>
                    <w:lang w:val="zh-CN"/>
                  </w:rPr>
                  <w:fldChar w:fldCharType="end"/>
                </w:r>
              </w:p>
            </w:txbxContent>
          </v:textbox>
        </v:rect>
      </w:pic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b/>
        <w:bCs/>
        <w:color w:val="002060"/>
        <w:sz w:val="28"/>
        <w:szCs w:val="28"/>
      </w:rPr>
      <w:t xml:space="preserve"> </w:t>
    </w:r>
    <w:r>
      <w:rPr>
        <w:rFonts w:hint="eastAsia" w:ascii="宋体" w:hAnsi="宋体" w:cs="宋体"/>
        <w:kern w:val="0"/>
        <w:sz w:val="64"/>
        <w:szCs w:val="64"/>
      </w:rPr>
      <w:drawing>
        <wp:inline distT="0" distB="0" distL="0" distR="0">
          <wp:extent cx="600075" cy="514350"/>
          <wp:effectExtent l="0" t="0" r="0" b="3810"/>
          <wp:docPr id="4097" name="图片 1"/>
          <wp:cNvGraphicFramePr/>
          <a:graphic xmlns:a="http://schemas.openxmlformats.org/drawingml/2006/main">
            <a:graphicData uri="http://schemas.openxmlformats.org/drawingml/2006/picture">
              <pic:pic xmlns:pic="http://schemas.openxmlformats.org/drawingml/2006/picture">
                <pic:nvPicPr>
                  <pic:cNvPr id="4097" name="图片 1"/>
                  <pic:cNvPicPr/>
                </pic:nvPicPr>
                <pic:blipFill>
                  <a:blip r:embed="rId1" cstate="print"/>
                  <a:srcRect/>
                  <a:stretch>
                    <a:fillRect/>
                  </a:stretch>
                </pic:blipFill>
                <pic:spPr>
                  <a:xfrm>
                    <a:off x="0" y="0"/>
                    <a:ext cx="600667" cy="514856"/>
                  </a:xfrm>
                  <a:prstGeom prst="rect">
                    <a:avLst/>
                  </a:prstGeom>
                </pic:spPr>
              </pic:pic>
            </a:graphicData>
          </a:graphic>
        </wp:inline>
      </w:drawing>
    </w:r>
    <w:r>
      <w:rPr>
        <w:rFonts w:hint="eastAsia"/>
        <w:b/>
        <w:bCs/>
        <w:color w:val="002060"/>
        <w:sz w:val="28"/>
        <w:szCs w:val="28"/>
      </w:rPr>
      <w:t xml:space="preserve">  赣州瑞林招标代理有限公司 ——</w:t>
    </w:r>
    <w:r>
      <w:rPr>
        <w:rFonts w:hint="eastAsia" w:ascii="宋体" w:hAnsi="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420"/>
      <w:jc w:val="both"/>
    </w:pPr>
    <w:r>
      <w:rPr>
        <w:rFonts w:hint="eastAsia" w:ascii="宋体" w:hAnsi="宋体" w:cs="宋体"/>
        <w:kern w:val="0"/>
        <w:sz w:val="64"/>
        <w:szCs w:val="64"/>
      </w:rPr>
      <w:drawing>
        <wp:inline distT="0" distB="0" distL="0" distR="0">
          <wp:extent cx="600075" cy="514350"/>
          <wp:effectExtent l="0" t="0" r="0" b="3810"/>
          <wp:docPr id="4100" name="图片 4"/>
          <wp:cNvGraphicFramePr/>
          <a:graphic xmlns:a="http://schemas.openxmlformats.org/drawingml/2006/main">
            <a:graphicData uri="http://schemas.openxmlformats.org/drawingml/2006/picture">
              <pic:pic xmlns:pic="http://schemas.openxmlformats.org/drawingml/2006/picture">
                <pic:nvPicPr>
                  <pic:cNvPr id="4100" name="图片 4"/>
                  <pic:cNvPicPr/>
                </pic:nvPicPr>
                <pic:blipFill>
                  <a:blip r:embed="rId1" cstate="print"/>
                  <a:srcRect/>
                  <a:stretch>
                    <a:fillRect/>
                  </a:stretch>
                </pic:blipFill>
                <pic:spPr>
                  <a:xfrm>
                    <a:off x="0" y="0"/>
                    <a:ext cx="600667" cy="514856"/>
                  </a:xfrm>
                  <a:prstGeom prst="rect">
                    <a:avLst/>
                  </a:prstGeom>
                </pic:spPr>
              </pic:pic>
            </a:graphicData>
          </a:graphic>
        </wp:inline>
      </w:drawing>
    </w:r>
    <w:r>
      <w:rPr>
        <w:rFonts w:hint="eastAsia"/>
        <w:b/>
        <w:bCs/>
        <w:color w:val="002060"/>
        <w:sz w:val="28"/>
        <w:szCs w:val="28"/>
      </w:rPr>
      <w:t>赣州瑞林招标代理有限公司</w:t>
    </w:r>
    <w:r>
      <w:rPr>
        <w:rFonts w:hint="eastAsia" w:ascii="宋体" w:hAnsi="宋体"/>
        <w:sz w:val="24"/>
        <w:szCs w:val="24"/>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jYWY2NjE2ODgxZjgwZWM2MzFlOGJlYzYzMWMyNGYifQ=="/>
  </w:docVars>
  <w:rsids>
    <w:rsidRoot w:val="008D1EEF"/>
    <w:rsid w:val="00023214"/>
    <w:rsid w:val="00064B2F"/>
    <w:rsid w:val="00075243"/>
    <w:rsid w:val="00083B72"/>
    <w:rsid w:val="000D0F40"/>
    <w:rsid w:val="000E4BBB"/>
    <w:rsid w:val="000E6BB8"/>
    <w:rsid w:val="000E7C4F"/>
    <w:rsid w:val="000F4728"/>
    <w:rsid w:val="000F4817"/>
    <w:rsid w:val="00130F2A"/>
    <w:rsid w:val="001930A4"/>
    <w:rsid w:val="00264B36"/>
    <w:rsid w:val="002B7F3F"/>
    <w:rsid w:val="002D1EC8"/>
    <w:rsid w:val="00365810"/>
    <w:rsid w:val="003A60E7"/>
    <w:rsid w:val="003C08C8"/>
    <w:rsid w:val="00441751"/>
    <w:rsid w:val="00444798"/>
    <w:rsid w:val="004A06FF"/>
    <w:rsid w:val="004C6B85"/>
    <w:rsid w:val="00527547"/>
    <w:rsid w:val="0055021A"/>
    <w:rsid w:val="0058417D"/>
    <w:rsid w:val="00591A69"/>
    <w:rsid w:val="005B4DDF"/>
    <w:rsid w:val="005D7BD9"/>
    <w:rsid w:val="00604FC5"/>
    <w:rsid w:val="006327A6"/>
    <w:rsid w:val="0063512B"/>
    <w:rsid w:val="0069225B"/>
    <w:rsid w:val="006B4D84"/>
    <w:rsid w:val="006D57C7"/>
    <w:rsid w:val="00710CAB"/>
    <w:rsid w:val="00716CF4"/>
    <w:rsid w:val="00722B3C"/>
    <w:rsid w:val="00776E6F"/>
    <w:rsid w:val="00782B6A"/>
    <w:rsid w:val="007B675D"/>
    <w:rsid w:val="008347E8"/>
    <w:rsid w:val="0084421B"/>
    <w:rsid w:val="008633E8"/>
    <w:rsid w:val="008D1EEF"/>
    <w:rsid w:val="008F1B0F"/>
    <w:rsid w:val="00920241"/>
    <w:rsid w:val="0092272D"/>
    <w:rsid w:val="00943AD0"/>
    <w:rsid w:val="009601A0"/>
    <w:rsid w:val="00963658"/>
    <w:rsid w:val="009D7BBA"/>
    <w:rsid w:val="00AE11AF"/>
    <w:rsid w:val="00AF48C4"/>
    <w:rsid w:val="00B3495A"/>
    <w:rsid w:val="00B5190D"/>
    <w:rsid w:val="00B54F9D"/>
    <w:rsid w:val="00B72802"/>
    <w:rsid w:val="00B740DF"/>
    <w:rsid w:val="00C71EF9"/>
    <w:rsid w:val="00CF3EDF"/>
    <w:rsid w:val="00D163BB"/>
    <w:rsid w:val="00D36EB5"/>
    <w:rsid w:val="00D85C87"/>
    <w:rsid w:val="00D96C3F"/>
    <w:rsid w:val="00E02C55"/>
    <w:rsid w:val="00E24CED"/>
    <w:rsid w:val="00E3776A"/>
    <w:rsid w:val="00E86F57"/>
    <w:rsid w:val="00ED6C50"/>
    <w:rsid w:val="00F3587B"/>
    <w:rsid w:val="00F67612"/>
    <w:rsid w:val="00FA0EFA"/>
    <w:rsid w:val="00FB1182"/>
    <w:rsid w:val="00FC2B7A"/>
    <w:rsid w:val="01251116"/>
    <w:rsid w:val="012C0834"/>
    <w:rsid w:val="01545C92"/>
    <w:rsid w:val="02A0049C"/>
    <w:rsid w:val="039513F9"/>
    <w:rsid w:val="057F4158"/>
    <w:rsid w:val="05C43892"/>
    <w:rsid w:val="06C0591C"/>
    <w:rsid w:val="06EC6C36"/>
    <w:rsid w:val="077C0C47"/>
    <w:rsid w:val="07DC1828"/>
    <w:rsid w:val="08386081"/>
    <w:rsid w:val="08E4720E"/>
    <w:rsid w:val="091033BA"/>
    <w:rsid w:val="092F3116"/>
    <w:rsid w:val="0A826E97"/>
    <w:rsid w:val="0AAF3AE8"/>
    <w:rsid w:val="0AC93FEC"/>
    <w:rsid w:val="0D4626B6"/>
    <w:rsid w:val="0E6A1EBD"/>
    <w:rsid w:val="103A79D2"/>
    <w:rsid w:val="110E3E23"/>
    <w:rsid w:val="11544397"/>
    <w:rsid w:val="142D26CF"/>
    <w:rsid w:val="16282F84"/>
    <w:rsid w:val="164C203D"/>
    <w:rsid w:val="188F0627"/>
    <w:rsid w:val="18DD274A"/>
    <w:rsid w:val="18E50F53"/>
    <w:rsid w:val="18F309A6"/>
    <w:rsid w:val="19B57D2B"/>
    <w:rsid w:val="1A2D6425"/>
    <w:rsid w:val="1A3E2DFC"/>
    <w:rsid w:val="1A9F155A"/>
    <w:rsid w:val="1B0F2D09"/>
    <w:rsid w:val="1BB142DA"/>
    <w:rsid w:val="1D0D7085"/>
    <w:rsid w:val="1D800180"/>
    <w:rsid w:val="20AA1721"/>
    <w:rsid w:val="210D1C36"/>
    <w:rsid w:val="21382CDB"/>
    <w:rsid w:val="21E159ED"/>
    <w:rsid w:val="22D32AD9"/>
    <w:rsid w:val="23054361"/>
    <w:rsid w:val="23855536"/>
    <w:rsid w:val="24406B59"/>
    <w:rsid w:val="24577437"/>
    <w:rsid w:val="24832E76"/>
    <w:rsid w:val="24E36B28"/>
    <w:rsid w:val="250F2425"/>
    <w:rsid w:val="2660609A"/>
    <w:rsid w:val="270A2174"/>
    <w:rsid w:val="2AD924F8"/>
    <w:rsid w:val="2B1A53FD"/>
    <w:rsid w:val="2B4474D2"/>
    <w:rsid w:val="2BBC7B65"/>
    <w:rsid w:val="2CEA00C1"/>
    <w:rsid w:val="2CF9552F"/>
    <w:rsid w:val="2D4810F4"/>
    <w:rsid w:val="2D847220"/>
    <w:rsid w:val="2EE97766"/>
    <w:rsid w:val="307E6106"/>
    <w:rsid w:val="30D35800"/>
    <w:rsid w:val="310C24F2"/>
    <w:rsid w:val="31E5538A"/>
    <w:rsid w:val="32BC339F"/>
    <w:rsid w:val="33810F97"/>
    <w:rsid w:val="338A33C1"/>
    <w:rsid w:val="3477097B"/>
    <w:rsid w:val="3564697E"/>
    <w:rsid w:val="35796831"/>
    <w:rsid w:val="35E84393"/>
    <w:rsid w:val="3644265C"/>
    <w:rsid w:val="366B0335"/>
    <w:rsid w:val="369B6C26"/>
    <w:rsid w:val="37052636"/>
    <w:rsid w:val="371B3E1A"/>
    <w:rsid w:val="39082794"/>
    <w:rsid w:val="3A992FC2"/>
    <w:rsid w:val="3B1D688D"/>
    <w:rsid w:val="3B5E10EB"/>
    <w:rsid w:val="3B763CB8"/>
    <w:rsid w:val="3B8662F7"/>
    <w:rsid w:val="3C006D32"/>
    <w:rsid w:val="3C2D555C"/>
    <w:rsid w:val="3D581FDD"/>
    <w:rsid w:val="3E18247C"/>
    <w:rsid w:val="3E573CB5"/>
    <w:rsid w:val="3E64070D"/>
    <w:rsid w:val="3E714E34"/>
    <w:rsid w:val="3FCF6B51"/>
    <w:rsid w:val="3FD6668A"/>
    <w:rsid w:val="417C1D81"/>
    <w:rsid w:val="42BE5850"/>
    <w:rsid w:val="43715711"/>
    <w:rsid w:val="43721929"/>
    <w:rsid w:val="44A77F51"/>
    <w:rsid w:val="45AD254C"/>
    <w:rsid w:val="46CE263B"/>
    <w:rsid w:val="46F55B22"/>
    <w:rsid w:val="47824822"/>
    <w:rsid w:val="48281D89"/>
    <w:rsid w:val="486F15FE"/>
    <w:rsid w:val="487977D9"/>
    <w:rsid w:val="49060E4E"/>
    <w:rsid w:val="49AA27B8"/>
    <w:rsid w:val="49C553BD"/>
    <w:rsid w:val="4A443C5A"/>
    <w:rsid w:val="4AAB6DD4"/>
    <w:rsid w:val="4BDE6D22"/>
    <w:rsid w:val="4C271B1C"/>
    <w:rsid w:val="4C7911DE"/>
    <w:rsid w:val="4D0975FE"/>
    <w:rsid w:val="4D6D5452"/>
    <w:rsid w:val="4D8D760B"/>
    <w:rsid w:val="4DF61364"/>
    <w:rsid w:val="4E55186D"/>
    <w:rsid w:val="4E610343"/>
    <w:rsid w:val="4E9E0ED9"/>
    <w:rsid w:val="4EB555A4"/>
    <w:rsid w:val="4F343AB8"/>
    <w:rsid w:val="4F4D08FF"/>
    <w:rsid w:val="4FA222AC"/>
    <w:rsid w:val="4FDD5F85"/>
    <w:rsid w:val="50D25998"/>
    <w:rsid w:val="51E659EF"/>
    <w:rsid w:val="535900E5"/>
    <w:rsid w:val="538660F0"/>
    <w:rsid w:val="53E765A2"/>
    <w:rsid w:val="546A54E7"/>
    <w:rsid w:val="5498031A"/>
    <w:rsid w:val="54D658E3"/>
    <w:rsid w:val="57AE5807"/>
    <w:rsid w:val="583A6C19"/>
    <w:rsid w:val="584A034C"/>
    <w:rsid w:val="59784D31"/>
    <w:rsid w:val="597C1E81"/>
    <w:rsid w:val="59B56C85"/>
    <w:rsid w:val="59D65DC4"/>
    <w:rsid w:val="5B291ADB"/>
    <w:rsid w:val="5BF424A0"/>
    <w:rsid w:val="5C155429"/>
    <w:rsid w:val="5C1B1777"/>
    <w:rsid w:val="5C6119F9"/>
    <w:rsid w:val="5D0749B5"/>
    <w:rsid w:val="5E9F5933"/>
    <w:rsid w:val="5EF764B9"/>
    <w:rsid w:val="5EFC3BEA"/>
    <w:rsid w:val="5F1B5657"/>
    <w:rsid w:val="5F2133AF"/>
    <w:rsid w:val="5F4F7123"/>
    <w:rsid w:val="60A61921"/>
    <w:rsid w:val="610F56CA"/>
    <w:rsid w:val="642968EC"/>
    <w:rsid w:val="653B7AE3"/>
    <w:rsid w:val="66081786"/>
    <w:rsid w:val="66097551"/>
    <w:rsid w:val="66B27F22"/>
    <w:rsid w:val="670F1A9D"/>
    <w:rsid w:val="678E491D"/>
    <w:rsid w:val="68682D61"/>
    <w:rsid w:val="6A9807CE"/>
    <w:rsid w:val="6AB53E00"/>
    <w:rsid w:val="6AFE3735"/>
    <w:rsid w:val="6B892846"/>
    <w:rsid w:val="6C5A0368"/>
    <w:rsid w:val="6CD30209"/>
    <w:rsid w:val="6D8F526D"/>
    <w:rsid w:val="6DD156D3"/>
    <w:rsid w:val="6E0B2219"/>
    <w:rsid w:val="6E530D76"/>
    <w:rsid w:val="6F0233B8"/>
    <w:rsid w:val="6FB049E8"/>
    <w:rsid w:val="70723476"/>
    <w:rsid w:val="71263EC7"/>
    <w:rsid w:val="713C4FB8"/>
    <w:rsid w:val="73273886"/>
    <w:rsid w:val="783418C9"/>
    <w:rsid w:val="7A9F56C6"/>
    <w:rsid w:val="7ABD6A99"/>
    <w:rsid w:val="7AE46675"/>
    <w:rsid w:val="7C33316B"/>
    <w:rsid w:val="7C3D2EF7"/>
    <w:rsid w:val="7D16764A"/>
    <w:rsid w:val="7FD3493C"/>
    <w:rsid w:val="7FDE6B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1"/>
    <w:qFormat/>
    <w:uiPriority w:val="0"/>
    <w:pPr>
      <w:keepNext/>
      <w:keepLines/>
      <w:spacing w:before="280" w:after="290" w:line="376" w:lineRule="auto"/>
      <w:outlineLvl w:val="3"/>
    </w:pPr>
    <w:rPr>
      <w:rFonts w:ascii="Cambria" w:hAnsi="Cambria" w:cs="宋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7"/>
    <w:qFormat/>
    <w:uiPriority w:val="99"/>
    <w:rPr>
      <w:szCs w:val="21"/>
    </w:rPr>
  </w:style>
  <w:style w:type="paragraph" w:styleId="7">
    <w:name w:val="toc 7"/>
    <w:basedOn w:val="1"/>
    <w:next w:val="1"/>
    <w:qFormat/>
    <w:uiPriority w:val="0"/>
    <w:pPr>
      <w:ind w:left="1260"/>
      <w:jc w:val="left"/>
    </w:pPr>
    <w:rPr>
      <w:sz w:val="20"/>
      <w:szCs w:val="20"/>
    </w:rPr>
  </w:style>
  <w:style w:type="paragraph" w:styleId="8">
    <w:name w:val="Normal Indent"/>
    <w:basedOn w:val="1"/>
    <w:qFormat/>
    <w:uiPriority w:val="0"/>
    <w:pPr>
      <w:ind w:firstLine="420" w:firstLineChars="200"/>
    </w:pPr>
  </w:style>
  <w:style w:type="paragraph" w:styleId="9">
    <w:name w:val="annotation text"/>
    <w:basedOn w:val="1"/>
    <w:link w:val="42"/>
    <w:qFormat/>
    <w:uiPriority w:val="99"/>
    <w:pPr>
      <w:jc w:val="left"/>
    </w:pPr>
    <w:rPr>
      <w:szCs w:val="20"/>
    </w:rPr>
  </w:style>
  <w:style w:type="paragraph" w:styleId="10">
    <w:name w:val="Body Text Indent"/>
    <w:basedOn w:val="1"/>
    <w:qFormat/>
    <w:uiPriority w:val="0"/>
    <w:pPr>
      <w:spacing w:line="460" w:lineRule="exact"/>
      <w:ind w:firstLine="510"/>
    </w:pPr>
  </w:style>
  <w:style w:type="paragraph" w:styleId="11">
    <w:name w:val="toc 5"/>
    <w:basedOn w:val="1"/>
    <w:next w:val="1"/>
    <w:qFormat/>
    <w:uiPriority w:val="0"/>
    <w:pPr>
      <w:ind w:left="840"/>
      <w:jc w:val="left"/>
    </w:pPr>
    <w:rPr>
      <w:sz w:val="20"/>
      <w:szCs w:val="20"/>
    </w:rPr>
  </w:style>
  <w:style w:type="paragraph" w:styleId="12">
    <w:name w:val="toc 3"/>
    <w:basedOn w:val="1"/>
    <w:next w:val="1"/>
    <w:qFormat/>
    <w:uiPriority w:val="0"/>
    <w:pPr>
      <w:ind w:left="420"/>
      <w:jc w:val="left"/>
    </w:pPr>
    <w:rPr>
      <w:sz w:val="20"/>
      <w:szCs w:val="20"/>
    </w:rPr>
  </w:style>
  <w:style w:type="paragraph" w:styleId="13">
    <w:name w:val="Plain Text"/>
    <w:basedOn w:val="1"/>
    <w:link w:val="43"/>
    <w:qFormat/>
    <w:uiPriority w:val="0"/>
    <w:rPr>
      <w:rFonts w:ascii="宋体" w:hAnsi="Courier New"/>
      <w:szCs w:val="20"/>
    </w:rPr>
  </w:style>
  <w:style w:type="paragraph" w:styleId="14">
    <w:name w:val="List Number 4"/>
    <w:basedOn w:val="1"/>
    <w:qFormat/>
    <w:uiPriority w:val="0"/>
    <w:pPr>
      <w:tabs>
        <w:tab w:val="left" w:pos="1620"/>
      </w:tabs>
      <w:ind w:left="1620" w:hanging="360"/>
    </w:pPr>
    <w:rPr>
      <w:szCs w:val="20"/>
    </w:rPr>
  </w:style>
  <w:style w:type="paragraph" w:styleId="15">
    <w:name w:val="toc 8"/>
    <w:basedOn w:val="1"/>
    <w:next w:val="1"/>
    <w:qFormat/>
    <w:uiPriority w:val="0"/>
    <w:pPr>
      <w:ind w:left="1470"/>
      <w:jc w:val="left"/>
    </w:pPr>
    <w:rPr>
      <w:sz w:val="20"/>
      <w:szCs w:val="20"/>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link w:val="44"/>
    <w:qFormat/>
    <w:uiPriority w:val="99"/>
    <w:pPr>
      <w:tabs>
        <w:tab w:val="center" w:pos="4153"/>
        <w:tab w:val="right" w:pos="8306"/>
      </w:tabs>
      <w:snapToGrid w:val="0"/>
      <w:jc w:val="left"/>
    </w:pPr>
    <w:rPr>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120"/>
      <w:jc w:val="left"/>
    </w:pPr>
    <w:rPr>
      <w:b/>
      <w:bCs/>
      <w:sz w:val="20"/>
      <w:szCs w:val="20"/>
    </w:rPr>
  </w:style>
  <w:style w:type="paragraph" w:styleId="21">
    <w:name w:val="toc 4"/>
    <w:basedOn w:val="1"/>
    <w:next w:val="1"/>
    <w:qFormat/>
    <w:uiPriority w:val="0"/>
    <w:pPr>
      <w:ind w:left="630"/>
      <w:jc w:val="left"/>
    </w:pPr>
    <w:rPr>
      <w:sz w:val="20"/>
      <w:szCs w:val="20"/>
    </w:rPr>
  </w:style>
  <w:style w:type="paragraph" w:styleId="22">
    <w:name w:val="toc 6"/>
    <w:basedOn w:val="1"/>
    <w:next w:val="1"/>
    <w:qFormat/>
    <w:uiPriority w:val="0"/>
    <w:pPr>
      <w:ind w:left="1050"/>
      <w:jc w:val="left"/>
    </w:pPr>
    <w:rPr>
      <w:sz w:val="20"/>
      <w:szCs w:val="20"/>
    </w:rPr>
  </w:style>
  <w:style w:type="paragraph" w:styleId="23">
    <w:name w:val="toc 2"/>
    <w:basedOn w:val="1"/>
    <w:next w:val="1"/>
    <w:qFormat/>
    <w:uiPriority w:val="39"/>
    <w:pPr>
      <w:spacing w:before="120"/>
      <w:ind w:left="210"/>
      <w:jc w:val="left"/>
    </w:pPr>
    <w:rPr>
      <w:i/>
      <w:iCs/>
      <w:sz w:val="20"/>
      <w:szCs w:val="20"/>
    </w:rPr>
  </w:style>
  <w:style w:type="paragraph" w:styleId="24">
    <w:name w:val="toc 9"/>
    <w:basedOn w:val="1"/>
    <w:next w:val="1"/>
    <w:qFormat/>
    <w:uiPriority w:val="0"/>
    <w:pPr>
      <w:ind w:left="1680"/>
      <w:jc w:val="left"/>
    </w:pPr>
    <w:rPr>
      <w:sz w:val="20"/>
      <w:szCs w:val="20"/>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link w:val="98"/>
    <w:qFormat/>
    <w:uiPriority w:val="0"/>
    <w:pPr>
      <w:spacing w:before="240" w:after="60"/>
      <w:jc w:val="center"/>
      <w:outlineLvl w:val="0"/>
    </w:pPr>
    <w:rPr>
      <w:rFonts w:ascii="Arial" w:hAnsi="Arial" w:cs="Arial"/>
      <w:b/>
      <w:bCs/>
      <w:sz w:val="32"/>
      <w:szCs w:val="32"/>
    </w:rPr>
  </w:style>
  <w:style w:type="paragraph" w:styleId="27">
    <w:name w:val="annotation subject"/>
    <w:basedOn w:val="9"/>
    <w:next w:val="9"/>
    <w:link w:val="106"/>
    <w:qFormat/>
    <w:uiPriority w:val="0"/>
    <w:rPr>
      <w:b/>
      <w:bCs/>
      <w:szCs w:val="24"/>
    </w:rPr>
  </w:style>
  <w:style w:type="paragraph" w:styleId="28">
    <w:name w:val="Body Text First Indent 2"/>
    <w:basedOn w:val="10"/>
    <w:qFormat/>
    <w:uiPriority w:val="0"/>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qFormat/>
    <w:uiPriority w:val="99"/>
    <w:rPr>
      <w:color w:val="954F72"/>
      <w:u w:val="single"/>
    </w:rPr>
  </w:style>
  <w:style w:type="character" w:styleId="35">
    <w:name w:val="Hyperlink"/>
    <w:basedOn w:val="31"/>
    <w:qFormat/>
    <w:uiPriority w:val="99"/>
    <w:rPr>
      <w:color w:val="0000FF"/>
      <w:u w:val="single"/>
    </w:rPr>
  </w:style>
  <w:style w:type="character" w:styleId="36">
    <w:name w:val="annotation reference"/>
    <w:qFormat/>
    <w:uiPriority w:val="0"/>
    <w:rPr>
      <w:sz w:val="21"/>
    </w:rPr>
  </w:style>
  <w:style w:type="character" w:customStyle="1" w:styleId="37">
    <w:name w:val="正文文本 Char"/>
    <w:basedOn w:val="31"/>
    <w:link w:val="2"/>
    <w:qFormat/>
    <w:uiPriority w:val="99"/>
    <w:rPr>
      <w:kern w:val="2"/>
      <w:sz w:val="21"/>
      <w:szCs w:val="21"/>
    </w:rPr>
  </w:style>
  <w:style w:type="character" w:customStyle="1" w:styleId="38">
    <w:name w:val="标题 1 Char1"/>
    <w:link w:val="3"/>
    <w:qFormat/>
    <w:uiPriority w:val="0"/>
    <w:rPr>
      <w:rFonts w:eastAsia="宋体"/>
      <w:b/>
      <w:bCs/>
      <w:kern w:val="44"/>
      <w:sz w:val="44"/>
      <w:szCs w:val="44"/>
      <w:lang w:val="en-US" w:eastAsia="zh-CN" w:bidi="ar-SA"/>
    </w:rPr>
  </w:style>
  <w:style w:type="character" w:customStyle="1" w:styleId="39">
    <w:name w:val="标题 2 Char"/>
    <w:basedOn w:val="31"/>
    <w:link w:val="4"/>
    <w:qFormat/>
    <w:uiPriority w:val="0"/>
    <w:rPr>
      <w:rFonts w:ascii="Arial" w:hAnsi="Arial" w:eastAsia="黑体"/>
      <w:b/>
      <w:bCs/>
      <w:kern w:val="2"/>
      <w:sz w:val="32"/>
      <w:szCs w:val="32"/>
      <w:lang w:val="en-US" w:eastAsia="zh-CN" w:bidi="ar-SA"/>
    </w:rPr>
  </w:style>
  <w:style w:type="character" w:customStyle="1" w:styleId="40">
    <w:name w:val="标题 3 Char"/>
    <w:basedOn w:val="31"/>
    <w:link w:val="5"/>
    <w:qFormat/>
    <w:uiPriority w:val="0"/>
    <w:rPr>
      <w:b/>
      <w:bCs/>
      <w:kern w:val="2"/>
      <w:sz w:val="32"/>
      <w:szCs w:val="32"/>
    </w:rPr>
  </w:style>
  <w:style w:type="character" w:customStyle="1" w:styleId="41">
    <w:name w:val="标题 4 Char"/>
    <w:basedOn w:val="31"/>
    <w:link w:val="6"/>
    <w:qFormat/>
    <w:uiPriority w:val="0"/>
    <w:rPr>
      <w:rFonts w:ascii="Cambria" w:hAnsi="Cambria" w:eastAsia="宋体" w:cs="宋体"/>
      <w:b/>
      <w:bCs/>
      <w:kern w:val="2"/>
      <w:sz w:val="28"/>
      <w:szCs w:val="28"/>
    </w:rPr>
  </w:style>
  <w:style w:type="character" w:customStyle="1" w:styleId="42">
    <w:name w:val="批注文字 Char"/>
    <w:basedOn w:val="31"/>
    <w:link w:val="9"/>
    <w:qFormat/>
    <w:uiPriority w:val="99"/>
    <w:rPr>
      <w:kern w:val="2"/>
      <w:sz w:val="21"/>
    </w:rPr>
  </w:style>
  <w:style w:type="character" w:customStyle="1" w:styleId="43">
    <w:name w:val="纯文本 Char"/>
    <w:basedOn w:val="31"/>
    <w:link w:val="13"/>
    <w:qFormat/>
    <w:uiPriority w:val="0"/>
    <w:rPr>
      <w:rFonts w:ascii="宋体" w:hAnsi="Courier New" w:eastAsia="宋体"/>
      <w:kern w:val="2"/>
      <w:sz w:val="21"/>
      <w:lang w:val="en-US" w:eastAsia="zh-CN" w:bidi="ar-SA"/>
    </w:rPr>
  </w:style>
  <w:style w:type="character" w:customStyle="1" w:styleId="44">
    <w:name w:val="页脚 Char"/>
    <w:basedOn w:val="31"/>
    <w:link w:val="18"/>
    <w:qFormat/>
    <w:uiPriority w:val="99"/>
    <w:rPr>
      <w:kern w:val="2"/>
      <w:sz w:val="18"/>
      <w:szCs w:val="18"/>
    </w:rPr>
  </w:style>
  <w:style w:type="character" w:customStyle="1" w:styleId="45">
    <w:name w:val="页眉 Char"/>
    <w:basedOn w:val="31"/>
    <w:link w:val="19"/>
    <w:qFormat/>
    <w:uiPriority w:val="99"/>
    <w:rPr>
      <w:kern w:val="2"/>
      <w:sz w:val="18"/>
      <w:szCs w:val="18"/>
    </w:rPr>
  </w:style>
  <w:style w:type="character" w:customStyle="1" w:styleId="46">
    <w:name w:val="bold1"/>
    <w:basedOn w:val="31"/>
    <w:qFormat/>
    <w:uiPriority w:val="0"/>
    <w:rPr>
      <w:b/>
      <w:bCs/>
    </w:rPr>
  </w:style>
  <w:style w:type="character" w:customStyle="1" w:styleId="47">
    <w:name w:val="Char Char2"/>
    <w:basedOn w:val="31"/>
    <w:qFormat/>
    <w:uiPriority w:val="0"/>
    <w:rPr>
      <w:rFonts w:ascii="Arial" w:hAnsi="Arial" w:eastAsia="黑体"/>
      <w:b/>
      <w:bCs/>
      <w:kern w:val="2"/>
      <w:sz w:val="32"/>
      <w:szCs w:val="32"/>
      <w:lang w:val="en-US" w:eastAsia="zh-CN" w:bidi="ar-SA"/>
    </w:rPr>
  </w:style>
  <w:style w:type="character" w:customStyle="1" w:styleId="48">
    <w:name w:val="纯文本 Char1"/>
    <w:basedOn w:val="31"/>
    <w:qFormat/>
    <w:uiPriority w:val="99"/>
    <w:rPr>
      <w:rFonts w:ascii="宋体" w:hAnsi="Courier New" w:eastAsia="宋体"/>
      <w:kern w:val="2"/>
      <w:sz w:val="21"/>
      <w:lang w:val="en-US" w:eastAsia="zh-CN" w:bidi="ar-SA"/>
    </w:rPr>
  </w:style>
  <w:style w:type="character" w:customStyle="1" w:styleId="49">
    <w:name w:val="标题 1 Char"/>
    <w:qFormat/>
    <w:uiPriority w:val="0"/>
    <w:rPr>
      <w:rFonts w:eastAsia="宋体"/>
      <w:b/>
      <w:bCs/>
      <w:kern w:val="44"/>
      <w:sz w:val="44"/>
      <w:szCs w:val="44"/>
      <w:lang w:val="en-US" w:eastAsia="zh-CN" w:bidi="ar-SA"/>
    </w:rPr>
  </w:style>
  <w:style w:type="character" w:customStyle="1" w:styleId="50">
    <w:name w:val="hang1"/>
    <w:basedOn w:val="31"/>
    <w:qFormat/>
    <w:uiPriority w:val="0"/>
  </w:style>
  <w:style w:type="character" w:customStyle="1" w:styleId="51">
    <w:name w:val="普通文字 Char"/>
    <w:basedOn w:val="31"/>
    <w:qFormat/>
    <w:uiPriority w:val="0"/>
    <w:rPr>
      <w:rFonts w:ascii="宋体" w:hAnsi="Courier New" w:eastAsia="宋体"/>
      <w:lang w:bidi="ar-SA"/>
    </w:rPr>
  </w:style>
  <w:style w:type="paragraph" w:customStyle="1" w:styleId="52">
    <w:name w:val="Char Char"/>
    <w:basedOn w:val="1"/>
    <w:qFormat/>
    <w:uiPriority w:val="0"/>
    <w:pPr>
      <w:widowControl/>
      <w:spacing w:after="160" w:line="240" w:lineRule="exact"/>
      <w:jc w:val="left"/>
    </w:pPr>
  </w:style>
  <w:style w:type="paragraph" w:customStyle="1" w:styleId="53">
    <w:name w:val="默认段落字体 Para Char Char Char Char Char Char Char Char Char1 Char"/>
    <w:basedOn w:val="1"/>
    <w:qFormat/>
    <w:uiPriority w:val="0"/>
    <w:rPr>
      <w:rFonts w:ascii="Tahoma" w:hAnsi="Tahoma"/>
      <w:sz w:val="24"/>
      <w:szCs w:val="20"/>
    </w:rPr>
  </w:style>
  <w:style w:type="paragraph" w:customStyle="1" w:styleId="54">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样式 左侧:  2 字符 首行缩进:  2 字符"/>
    <w:basedOn w:val="1"/>
    <w:qFormat/>
    <w:uiPriority w:val="0"/>
    <w:pPr>
      <w:ind w:left="200" w:leftChars="200" w:firstLine="200" w:firstLineChars="200"/>
    </w:pPr>
    <w:rPr>
      <w:rFonts w:ascii="Verdana" w:hAnsi="Verdana"/>
      <w:szCs w:val="20"/>
    </w:rPr>
  </w:style>
  <w:style w:type="paragraph" w:customStyle="1" w:styleId="5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8">
    <w:name w:val="样式 样式 标题 3 + 加粗 + 加粗"/>
    <w:basedOn w:val="1"/>
    <w:qFormat/>
    <w:uiPriority w:val="0"/>
    <w:pPr>
      <w:tabs>
        <w:tab w:val="left" w:pos="420"/>
      </w:tabs>
      <w:ind w:left="420" w:hanging="420"/>
    </w:pPr>
  </w:style>
  <w:style w:type="paragraph" w:customStyle="1" w:styleId="59">
    <w:name w:val="列出段落1"/>
    <w:basedOn w:val="1"/>
    <w:qFormat/>
    <w:uiPriority w:val="34"/>
    <w:pPr>
      <w:ind w:firstLine="420" w:firstLineChars="200"/>
    </w:pPr>
    <w:rPr>
      <w:rFonts w:ascii="Calibri" w:hAnsi="Calibri"/>
      <w:szCs w:val="22"/>
    </w:rPr>
  </w:style>
  <w:style w:type="character" w:customStyle="1" w:styleId="60">
    <w:name w:val="标题 2 Char1"/>
    <w:basedOn w:val="31"/>
    <w:qFormat/>
    <w:uiPriority w:val="0"/>
    <w:rPr>
      <w:rFonts w:ascii="Arial" w:hAnsi="Arial" w:eastAsia="黑体"/>
      <w:b/>
      <w:bCs/>
      <w:kern w:val="2"/>
      <w:sz w:val="32"/>
      <w:szCs w:val="32"/>
      <w:lang w:val="en-US" w:eastAsia="zh-CN" w:bidi="ar-SA"/>
    </w:rPr>
  </w:style>
  <w:style w:type="paragraph" w:styleId="61">
    <w:name w:val="List Paragraph"/>
    <w:basedOn w:val="1"/>
    <w:link w:val="62"/>
    <w:qFormat/>
    <w:uiPriority w:val="0"/>
    <w:pPr>
      <w:ind w:firstLine="420" w:firstLineChars="200"/>
    </w:pPr>
  </w:style>
  <w:style w:type="character" w:customStyle="1" w:styleId="62">
    <w:name w:val="列出段落 Char"/>
    <w:link w:val="61"/>
    <w:qFormat/>
    <w:uiPriority w:val="0"/>
    <w:rPr>
      <w:kern w:val="2"/>
      <w:sz w:val="21"/>
      <w:szCs w:val="24"/>
    </w:rPr>
  </w:style>
  <w:style w:type="character" w:customStyle="1" w:styleId="63">
    <w:name w:val="15"/>
    <w:basedOn w:val="31"/>
    <w:qFormat/>
    <w:uiPriority w:val="0"/>
    <w:rPr>
      <w:rFonts w:hint="eastAsia" w:ascii="宋体" w:hAnsi="宋体" w:eastAsia="宋体"/>
      <w:color w:val="000000"/>
      <w:sz w:val="16"/>
      <w:szCs w:val="16"/>
    </w:rPr>
  </w:style>
  <w:style w:type="paragraph" w:customStyle="1" w:styleId="64">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65">
    <w:name w:val="正文文本 (2)_"/>
    <w:link w:val="66"/>
    <w:qFormat/>
    <w:uiPriority w:val="99"/>
    <w:rPr>
      <w:rFonts w:ascii="MingLiU" w:hAnsi="MingLiU" w:eastAsia="MingLiU"/>
      <w:shd w:val="clear" w:color="auto" w:fill="FFFFFF"/>
    </w:rPr>
  </w:style>
  <w:style w:type="paragraph" w:customStyle="1" w:styleId="66">
    <w:name w:val="正文文本 (2)"/>
    <w:basedOn w:val="1"/>
    <w:link w:val="65"/>
    <w:qFormat/>
    <w:uiPriority w:val="99"/>
    <w:pPr>
      <w:shd w:val="clear" w:color="auto" w:fill="FFFFFF"/>
      <w:spacing w:after="120" w:line="240" w:lineRule="atLeast"/>
      <w:ind w:hanging="460"/>
      <w:jc w:val="distribute"/>
    </w:pPr>
    <w:rPr>
      <w:rFonts w:ascii="MingLiU" w:hAnsi="MingLiU" w:eastAsia="MingLiU"/>
      <w:kern w:val="0"/>
      <w:sz w:val="20"/>
      <w:szCs w:val="20"/>
    </w:rPr>
  </w:style>
  <w:style w:type="paragraph" w:customStyle="1" w:styleId="67">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68">
    <w:name w:val="font6"/>
    <w:basedOn w:val="1"/>
    <w:qFormat/>
    <w:uiPriority w:val="0"/>
    <w:pPr>
      <w:widowControl/>
      <w:spacing w:before="100" w:beforeAutospacing="1" w:after="100" w:afterAutospacing="1"/>
      <w:jc w:val="left"/>
    </w:pPr>
    <w:rPr>
      <w:rFonts w:ascii="楷体" w:hAnsi="楷体" w:eastAsia="楷体" w:cs="宋体"/>
      <w:kern w:val="0"/>
      <w:sz w:val="22"/>
      <w:szCs w:val="22"/>
    </w:rPr>
  </w:style>
  <w:style w:type="paragraph" w:customStyle="1" w:styleId="69">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70">
    <w:name w:val="font8"/>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71">
    <w:name w:val="font9"/>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72">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0">
    <w:name w:val="xl76"/>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xl77"/>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3">
    <w:name w:val="xl79"/>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5">
    <w:name w:val="xl8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xl82"/>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9">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1">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4">
    <w:name w:val="列出段落2"/>
    <w:basedOn w:val="1"/>
    <w:qFormat/>
    <w:uiPriority w:val="0"/>
    <w:pPr>
      <w:ind w:firstLine="420" w:firstLineChars="200"/>
    </w:pPr>
    <w:rPr>
      <w:rFonts w:ascii="等线" w:hAnsi="等线" w:eastAsia="等线"/>
      <w:szCs w:val="22"/>
    </w:rPr>
  </w:style>
  <w:style w:type="character" w:customStyle="1" w:styleId="95">
    <w:name w:val="mini-outputtext1"/>
    <w:basedOn w:val="31"/>
    <w:qFormat/>
    <w:uiPriority w:val="0"/>
  </w:style>
  <w:style w:type="character" w:customStyle="1" w:styleId="96">
    <w:name w:val="kf1"/>
    <w:basedOn w:val="31"/>
    <w:qFormat/>
    <w:uiPriority w:val="0"/>
  </w:style>
  <w:style w:type="paragraph" w:customStyle="1" w:styleId="97">
    <w:name w:val="Style16"/>
    <w:basedOn w:val="1"/>
    <w:qFormat/>
    <w:uiPriority w:val="99"/>
    <w:pPr>
      <w:adjustRightInd w:val="0"/>
      <w:spacing w:line="278" w:lineRule="exact"/>
    </w:pPr>
    <w:rPr>
      <w:rFonts w:ascii="Arial" w:hAnsi="Arial" w:cs="Arial"/>
      <w:kern w:val="0"/>
      <w:sz w:val="24"/>
    </w:rPr>
  </w:style>
  <w:style w:type="character" w:customStyle="1" w:styleId="98">
    <w:name w:val="标题 Char"/>
    <w:basedOn w:val="31"/>
    <w:link w:val="26"/>
    <w:qFormat/>
    <w:uiPriority w:val="0"/>
    <w:rPr>
      <w:rFonts w:ascii="Arial" w:hAnsi="Arial" w:cs="Arial"/>
      <w:b/>
      <w:bCs/>
      <w:kern w:val="2"/>
      <w:sz w:val="32"/>
      <w:szCs w:val="32"/>
    </w:rPr>
  </w:style>
  <w:style w:type="paragraph" w:customStyle="1" w:styleId="99">
    <w:name w:val="条目"/>
    <w:basedOn w:val="1"/>
    <w:next w:val="8"/>
    <w:qFormat/>
    <w:uiPriority w:val="0"/>
    <w:pPr>
      <w:spacing w:beforeLines="50"/>
      <w:ind w:left="1984" w:hanging="708"/>
      <w:outlineLvl w:val="3"/>
    </w:pPr>
    <w:rPr>
      <w:rFonts w:ascii="Garamond" w:hAnsi="Garamond" w:eastAsia="楷体_GB2312"/>
      <w:sz w:val="24"/>
    </w:rPr>
  </w:style>
  <w:style w:type="character" w:customStyle="1" w:styleId="100">
    <w:name w:val="标题 3 Char1"/>
    <w:qFormat/>
    <w:uiPriority w:val="0"/>
    <w:rPr>
      <w:rFonts w:ascii="Times New Roman" w:hAnsi="Times New Roman" w:eastAsia="宋体" w:cs="Times New Roman"/>
      <w:b/>
      <w:color w:val="000000"/>
      <w:kern w:val="2"/>
      <w:sz w:val="30"/>
      <w:szCs w:val="21"/>
      <w:lang w:val="zh-CN" w:eastAsia="zh-CN"/>
    </w:rPr>
  </w:style>
  <w:style w:type="character" w:customStyle="1" w:styleId="101">
    <w:name w:val="Char Char21"/>
    <w:qFormat/>
    <w:uiPriority w:val="0"/>
    <w:rPr>
      <w:rFonts w:ascii="Arial" w:hAnsi="Arial" w:cs="Arial"/>
      <w:sz w:val="16"/>
      <w:szCs w:val="16"/>
    </w:rPr>
  </w:style>
  <w:style w:type="paragraph" w:customStyle="1" w:styleId="102">
    <w:name w:val="L0"/>
    <w:basedOn w:val="1"/>
    <w:link w:val="103"/>
    <w:qFormat/>
    <w:uiPriority w:val="99"/>
    <w:pPr>
      <w:wordWrap w:val="0"/>
      <w:spacing w:line="400" w:lineRule="exact"/>
      <w:ind w:firstLine="480" w:firstLineChars="200"/>
    </w:pPr>
    <w:rPr>
      <w:rFonts w:ascii="宋体" w:hAnsi="宋体" w:cs="宋体"/>
      <w:sz w:val="24"/>
    </w:rPr>
  </w:style>
  <w:style w:type="character" w:customStyle="1" w:styleId="103">
    <w:name w:val="L0 Char"/>
    <w:basedOn w:val="31"/>
    <w:link w:val="102"/>
    <w:qFormat/>
    <w:uiPriority w:val="99"/>
    <w:rPr>
      <w:rFonts w:ascii="宋体" w:hAnsi="宋体" w:cs="宋体"/>
      <w:kern w:val="2"/>
      <w:sz w:val="24"/>
      <w:szCs w:val="24"/>
    </w:rPr>
  </w:style>
  <w:style w:type="table" w:customStyle="1" w:styleId="104">
    <w:name w:val="Table Normal"/>
    <w:qFormat/>
    <w:uiPriority w:val="2"/>
    <w:pPr>
      <w:widowControl w:val="0"/>
      <w:autoSpaceDE w:val="0"/>
      <w:autoSpaceDN w:val="0"/>
    </w:pPr>
    <w:rPr>
      <w:rFonts w:ascii="Calibri" w:hAnsi="Calibri" w:cs="宋体"/>
      <w:sz w:val="22"/>
      <w:szCs w:val="22"/>
      <w:lang w:eastAsia="en-US"/>
    </w:rPr>
    <w:tblPr>
      <w:tblCellMar>
        <w:top w:w="0" w:type="dxa"/>
        <w:left w:w="0" w:type="dxa"/>
        <w:bottom w:w="0" w:type="dxa"/>
        <w:right w:w="0" w:type="dxa"/>
      </w:tblCellMar>
    </w:tblPr>
  </w:style>
  <w:style w:type="character" w:customStyle="1" w:styleId="105">
    <w:name w:val="标题 2 Char2"/>
    <w:qFormat/>
    <w:uiPriority w:val="0"/>
    <w:rPr>
      <w:rFonts w:ascii="Arial" w:hAnsi="Arial" w:eastAsia="黑体"/>
      <w:b/>
      <w:bCs/>
      <w:kern w:val="2"/>
      <w:sz w:val="32"/>
      <w:szCs w:val="32"/>
      <w:lang w:val="en-US" w:eastAsia="zh-CN" w:bidi="ar-SA"/>
    </w:rPr>
  </w:style>
  <w:style w:type="character" w:customStyle="1" w:styleId="106">
    <w:name w:val="批注主题 Char"/>
    <w:basedOn w:val="42"/>
    <w:link w:val="27"/>
    <w:qFormat/>
    <w:uiPriority w:val="0"/>
    <w:rPr>
      <w:b/>
      <w:bCs/>
      <w:kern w:val="2"/>
      <w:sz w:val="21"/>
      <w:szCs w:val="24"/>
    </w:rPr>
  </w:style>
  <w:style w:type="paragraph" w:styleId="107">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5FE80-CFC3-4442-9FEB-8DDCB27402B4}">
  <ds:schemaRefs/>
</ds:datastoreItem>
</file>

<file path=customXml/itemProps3.xml><?xml version="1.0" encoding="utf-8"?>
<ds:datastoreItem xmlns:ds="http://schemas.openxmlformats.org/officeDocument/2006/customXml" ds:itemID="{03664129-17B7-492D-B32F-1B525EF759FE}">
  <ds:schemaRefs/>
</ds:datastoreItem>
</file>

<file path=customXml/itemProps4.xml><?xml version="1.0" encoding="utf-8"?>
<ds:datastoreItem xmlns:ds="http://schemas.openxmlformats.org/officeDocument/2006/customXml" ds:itemID="{3D1719A6-1232-4F02-BC55-86A9FB6A18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47</Pages>
  <Words>12004</Words>
  <Characters>24862</Characters>
  <Lines>430</Lines>
  <Paragraphs>121</Paragraphs>
  <TotalTime>6</TotalTime>
  <ScaleCrop>false</ScaleCrop>
  <LinksUpToDate>false</LinksUpToDate>
  <CharactersWithSpaces>25120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2022-08-05T08:11:00Z</dcterms:created>
  <dc:creator>USER</dc:creator>
  <cp:lastModifiedBy>小严</cp:lastModifiedBy>
  <cp:lastPrinted>2021-07-16T07:36:00Z</cp:lastPrinted>
  <dcterms:modified xsi:type="dcterms:W3CDTF">2022-08-05T09:00:25Z</dcterms:modified>
  <dc:title>南康市环宇招标代理有限公司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66ced17f91aa4153a959f9be310d63c3</vt:lpwstr>
  </property>
</Properties>
</file>