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jc w:val="center"/>
        <w:textAlignment w:val="auto"/>
        <w:outlineLvl w:val="0"/>
        <w:rPr>
          <w:rFonts w:hint="eastAsia" w:ascii="黑体" w:hAnsi="黑体" w:eastAsia="黑体" w:cs="黑体"/>
          <w:b w:val="0"/>
          <w:bCs/>
          <w:sz w:val="36"/>
          <w:szCs w:val="36"/>
          <w:highlight w:val="none"/>
          <w:lang w:val="en-US" w:eastAsia="zh-CN"/>
        </w:rPr>
      </w:pPr>
      <w:r>
        <w:rPr>
          <w:rFonts w:hint="eastAsia" w:ascii="黑体" w:hAnsi="黑体" w:eastAsia="黑体" w:cs="黑体"/>
          <w:b w:val="0"/>
          <w:bCs/>
          <w:color w:val="auto"/>
          <w:sz w:val="24"/>
          <w:szCs w:val="24"/>
          <w:highlight w:val="none"/>
          <w:u w:val="none"/>
          <w:lang w:val="en-US" w:eastAsia="zh-CN"/>
        </w:rPr>
        <w:t>延吉市公安局检测线经营权对外租赁承包服务采购项目</w:t>
      </w:r>
    </w:p>
    <w:p>
      <w:pPr>
        <w:keepNext w:val="0"/>
        <w:keepLines w:val="0"/>
        <w:pageBreakBefore w:val="0"/>
        <w:widowControl w:val="0"/>
        <w:numPr>
          <w:ilvl w:val="0"/>
          <w:numId w:val="0"/>
        </w:numPr>
        <w:kinsoku/>
        <w:wordWrap/>
        <w:overflowPunct/>
        <w:topLinePunct w:val="0"/>
        <w:autoSpaceDE/>
        <w:autoSpaceDN/>
        <w:bidi w:val="0"/>
        <w:adjustRightInd/>
        <w:snapToGrid/>
        <w:spacing w:before="160" w:beforeLines="50" w:after="160" w:afterLines="50" w:line="500" w:lineRule="exact"/>
        <w:jc w:val="center"/>
        <w:textAlignment w:val="auto"/>
        <w:outlineLvl w:val="0"/>
        <w:rPr>
          <w:rFonts w:hint="eastAsia" w:ascii="宋体" w:hAnsi="宋体" w:cs="宋体"/>
          <w:b/>
          <w:bCs/>
          <w:color w:val="auto"/>
          <w:sz w:val="32"/>
          <w:szCs w:val="32"/>
          <w:highlight w:val="none"/>
        </w:rPr>
      </w:pPr>
      <w:r>
        <w:rPr>
          <w:rFonts w:hint="eastAsia" w:ascii="黑体" w:hAnsi="黑体" w:eastAsia="黑体" w:cs="黑体"/>
          <w:b w:val="0"/>
          <w:bCs/>
          <w:sz w:val="32"/>
          <w:szCs w:val="32"/>
          <w:highlight w:val="none"/>
          <w:lang w:val="en-US" w:eastAsia="zh-CN"/>
        </w:rPr>
        <w:t>招标</w:t>
      </w:r>
      <w:r>
        <w:rPr>
          <w:rFonts w:hint="eastAsia" w:ascii="黑体" w:hAnsi="黑体" w:eastAsia="黑体" w:cs="黑体"/>
          <w:b w:val="0"/>
          <w:bCs/>
          <w:sz w:val="32"/>
          <w:szCs w:val="32"/>
          <w:highlight w:val="none"/>
        </w:rPr>
        <w:t>公告</w:t>
      </w:r>
    </w:p>
    <w:p>
      <w:pPr>
        <w:numPr>
          <w:ilvl w:val="0"/>
          <w:numId w:val="0"/>
        </w:numPr>
        <w:rPr>
          <w:color w:val="auto"/>
          <w:highlight w:val="none"/>
        </w:rPr>
      </w:pPr>
    </w:p>
    <w:p>
      <w:pPr>
        <w:pStyle w:val="14"/>
        <w:keepNext w:val="0"/>
        <w:keepLines w:val="0"/>
        <w:pageBreakBefore w:val="0"/>
        <w:widowControl w:val="0"/>
        <w:pBdr>
          <w:top w:val="single" w:color="auto" w:sz="4" w:space="0"/>
          <w:left w:val="single" w:color="auto" w:sz="4" w:space="0"/>
          <w:bottom w:val="single" w:color="auto" w:sz="4" w:space="0"/>
          <w:right w:val="single" w:color="auto" w:sz="4" w:space="0"/>
        </w:pBdr>
        <w:shd w:val="clear" w:color="auto" w:fill="auto"/>
        <w:kinsoku/>
        <w:wordWrap/>
        <w:overflowPunct/>
        <w:topLinePunct w:val="0"/>
        <w:autoSpaceDE/>
        <w:autoSpaceDN/>
        <w:bidi w:val="0"/>
        <w:adjustRightInd/>
        <w:snapToGrid/>
        <w:spacing w:before="0" w:after="0" w:line="360" w:lineRule="exact"/>
        <w:ind w:left="0" w:right="0" w:firstLine="480" w:firstLineChars="200"/>
        <w:jc w:val="left"/>
        <w:textAlignment w:val="auto"/>
        <w:rPr>
          <w:rFonts w:hint="eastAsia" w:ascii="仿宋" w:hAnsi="仿宋" w:eastAsia="仿宋" w:cs="仿宋"/>
          <w:color w:val="auto"/>
          <w:spacing w:val="0"/>
          <w:w w:val="100"/>
          <w:position w:val="0"/>
          <w:sz w:val="24"/>
          <w:szCs w:val="24"/>
          <w:highlight w:val="none"/>
        </w:rPr>
      </w:pPr>
      <w:r>
        <w:rPr>
          <w:rFonts w:hint="eastAsia" w:ascii="仿宋" w:hAnsi="仿宋" w:eastAsia="仿宋" w:cs="仿宋"/>
          <w:color w:val="auto"/>
          <w:spacing w:val="0"/>
          <w:w w:val="100"/>
          <w:position w:val="0"/>
          <w:sz w:val="24"/>
          <w:szCs w:val="24"/>
          <w:highlight w:val="none"/>
        </w:rPr>
        <w:t>项目概况：</w:t>
      </w:r>
      <w:r>
        <w:rPr>
          <w:rFonts w:hint="eastAsia" w:ascii="仿宋" w:hAnsi="仿宋" w:eastAsia="仿宋" w:cs="仿宋"/>
          <w:color w:val="auto"/>
          <w:spacing w:val="0"/>
          <w:w w:val="100"/>
          <w:position w:val="0"/>
          <w:sz w:val="24"/>
          <w:szCs w:val="24"/>
          <w:highlight w:val="none"/>
          <w:u w:val="single"/>
          <w:lang w:val="en-US" w:eastAsia="zh-CN"/>
        </w:rPr>
        <w:t xml:space="preserve"> </w:t>
      </w:r>
      <w:r>
        <w:rPr>
          <w:rFonts w:hint="eastAsia" w:ascii="仿宋" w:hAnsi="仿宋" w:eastAsia="仿宋" w:cs="仿宋"/>
          <w:b w:val="0"/>
          <w:bCs/>
          <w:color w:val="auto"/>
          <w:sz w:val="24"/>
          <w:szCs w:val="24"/>
          <w:highlight w:val="none"/>
          <w:u w:val="single"/>
          <w:lang w:val="en-US" w:eastAsia="zh-CN"/>
        </w:rPr>
        <w:t xml:space="preserve">延吉市公安局检测线经营权对外租赁承包服务采购项目 </w:t>
      </w:r>
      <w:r>
        <w:rPr>
          <w:rFonts w:hint="eastAsia" w:ascii="仿宋" w:hAnsi="仿宋" w:eastAsia="仿宋" w:cs="仿宋"/>
          <w:color w:val="auto"/>
          <w:sz w:val="24"/>
          <w:szCs w:val="24"/>
          <w:highlight w:val="none"/>
          <w:lang w:val="en-US" w:eastAsia="zh-CN"/>
        </w:rPr>
        <w:t>的潜在供应商应按照招标公告规定获取招标文件，并于</w:t>
      </w:r>
      <w:r>
        <w:rPr>
          <w:rFonts w:hint="eastAsia" w:ascii="仿宋" w:hAnsi="仿宋" w:eastAsia="仿宋" w:cs="仿宋"/>
          <w:color w:val="auto"/>
          <w:sz w:val="24"/>
          <w:szCs w:val="24"/>
          <w:highlight w:val="none"/>
          <w:u w:val="single"/>
          <w:lang w:val="en-US" w:eastAsia="zh-CN"/>
        </w:rPr>
        <w:t xml:space="preserve"> 2022年9月9日,上午9时00分</w:t>
      </w:r>
      <w:r>
        <w:rPr>
          <w:rFonts w:hint="eastAsia" w:ascii="仿宋" w:hAnsi="仿宋" w:eastAsia="仿宋" w:cs="仿宋"/>
          <w:color w:val="auto"/>
          <w:sz w:val="24"/>
          <w:szCs w:val="24"/>
          <w:highlight w:val="none"/>
          <w:u w:val="none"/>
          <w:lang w:val="en-US" w:eastAsia="zh-CN"/>
        </w:rPr>
        <w:t>（北京时间）</w:t>
      </w:r>
      <w:r>
        <w:rPr>
          <w:rFonts w:hint="eastAsia" w:ascii="仿宋" w:hAnsi="仿宋" w:eastAsia="仿宋" w:cs="仿宋"/>
          <w:color w:val="auto"/>
          <w:sz w:val="24"/>
          <w:szCs w:val="24"/>
          <w:highlight w:val="none"/>
          <w:lang w:val="en-US" w:eastAsia="zh-CN"/>
        </w:rPr>
        <w:t>前递交投标文件。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left"/>
        <w:textAlignment w:val="auto"/>
        <w:outlineLvl w:val="9"/>
        <w:rPr>
          <w:rFonts w:hint="eastAsia" w:ascii="仿宋" w:hAnsi="仿宋" w:eastAsia="仿宋" w:cs="仿宋"/>
          <w:b/>
          <w:bCs/>
          <w:color w:val="auto"/>
          <w:sz w:val="24"/>
          <w:szCs w:val="24"/>
          <w:highlight w:val="none"/>
          <w:lang w:val="en-US" w:eastAsia="zh-CN"/>
        </w:rPr>
      </w:pPr>
      <w:bookmarkStart w:id="0" w:name="_Toc21313"/>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left"/>
        <w:textAlignment w:val="auto"/>
        <w:outlineLvl w:val="1"/>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val="en-US" w:eastAsia="zh-CN"/>
        </w:rPr>
        <w:t>一、</w:t>
      </w:r>
      <w:r>
        <w:rPr>
          <w:rFonts w:hint="eastAsia" w:ascii="黑体" w:hAnsi="黑体" w:eastAsia="黑体" w:cs="黑体"/>
          <w:b w:val="0"/>
          <w:bCs w:val="0"/>
          <w:color w:val="auto"/>
          <w:sz w:val="24"/>
          <w:szCs w:val="24"/>
          <w:highlight w:val="none"/>
        </w:rPr>
        <w:t>项目基本情况</w:t>
      </w:r>
      <w:bookmarkEnd w:id="0"/>
      <w:r>
        <w:rPr>
          <w:rFonts w:hint="eastAsia" w:ascii="黑体" w:hAnsi="黑体" w:eastAsia="黑体" w:cs="黑体"/>
          <w:b w:val="0"/>
          <w:bCs w:val="0"/>
          <w:color w:val="auto"/>
          <w:sz w:val="24"/>
          <w:szCs w:val="24"/>
          <w:highlight w:val="none"/>
        </w:rPr>
        <w:t xml:space="preserve"> </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right="97" w:rightChars="46" w:firstLine="480" w:firstLineChars="200"/>
        <w:jc w:val="left"/>
        <w:textAlignment w:val="auto"/>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1.项目名称：</w:t>
      </w:r>
      <w:r>
        <w:rPr>
          <w:rFonts w:hint="eastAsia" w:ascii="仿宋" w:hAnsi="仿宋" w:eastAsia="仿宋" w:cs="仿宋"/>
          <w:b w:val="0"/>
          <w:bCs/>
          <w:color w:val="auto"/>
          <w:sz w:val="24"/>
          <w:szCs w:val="24"/>
          <w:highlight w:val="none"/>
          <w:u w:val="none"/>
          <w:lang w:val="en-US" w:eastAsia="zh-CN"/>
        </w:rPr>
        <w:t>延吉市公安局检测线经营权对外租赁承包服务采购项目</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right="97" w:rightChars="46"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2.项目编号：JLCR2022-CG36</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right="97" w:rightChars="46"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3.采购方式</w:t>
      </w:r>
      <w:r>
        <w:rPr>
          <w:rFonts w:hint="eastAsia" w:ascii="仿宋" w:hAnsi="仿宋" w:eastAsia="仿宋" w:cs="仿宋"/>
          <w:color w:val="000000" w:themeColor="text1"/>
          <w:sz w:val="24"/>
          <w:szCs w:val="24"/>
          <w:highlight w:val="none"/>
          <w:lang w:val="zh-CN" w:eastAsia="zh-CN"/>
          <w14:textFill>
            <w14:solidFill>
              <w14:schemeClr w14:val="tx1"/>
            </w14:solidFill>
          </w14:textFill>
        </w:rPr>
        <w:t>：公开招标</w:t>
      </w:r>
    </w:p>
    <w:p>
      <w:pPr>
        <w:pStyle w:val="4"/>
        <w:keepNext w:val="0"/>
        <w:keepLines w:val="0"/>
        <w:pageBreakBefore w:val="0"/>
        <w:widowControl w:val="0"/>
        <w:kinsoku/>
        <w:wordWrap/>
        <w:overflowPunct/>
        <w:topLinePunct w:val="0"/>
        <w:bidi w:val="0"/>
        <w:snapToGrid/>
        <w:spacing w:line="360" w:lineRule="exact"/>
        <w:ind w:firstLine="496" w:firstLineChars="20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4.固定价格</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w:t>
      </w:r>
      <w:r>
        <w:rPr>
          <w:rFonts w:hint="eastAsia" w:ascii="仿宋" w:hAnsi="仿宋" w:eastAsia="仿宋" w:cs="仿宋"/>
          <w:b w:val="0"/>
          <w:bCs w:val="0"/>
          <w:color w:val="000000" w:themeColor="text1"/>
          <w:kern w:val="0"/>
          <w:sz w:val="24"/>
          <w:szCs w:val="24"/>
          <w:highlight w:val="none"/>
          <w:u w:val="none"/>
          <w:lang w:val="en-US" w:eastAsia="zh-CN"/>
          <w14:textFill>
            <w14:solidFill>
              <w14:schemeClr w14:val="tx1"/>
            </w14:solidFill>
          </w14:textFill>
        </w:rPr>
        <w:t>人民币2,760,000.00</w:t>
      </w:r>
      <w:r>
        <w:rPr>
          <w:rFonts w:hint="eastAsia" w:ascii="仿宋" w:hAnsi="仿宋" w:eastAsia="仿宋" w:cs="仿宋"/>
          <w:b w:val="0"/>
          <w:bCs w:val="0"/>
          <w:color w:val="000000" w:themeColor="text1"/>
          <w:kern w:val="0"/>
          <w:sz w:val="24"/>
          <w:szCs w:val="24"/>
          <w:highlight w:val="none"/>
          <w:u w:val="none"/>
          <w14:textFill>
            <w14:solidFill>
              <w14:schemeClr w14:val="tx1"/>
            </w14:solidFill>
          </w14:textFill>
        </w:rPr>
        <w:t>元</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right="97" w:rightChars="46"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6.服务内容：详见服务内容及要求。</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right="97" w:rightChars="46" w:firstLine="480" w:firstLineChars="200"/>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val="zh-CN" w:eastAsia="zh-CN"/>
          <w14:textFill>
            <w14:solidFill>
              <w14:schemeClr w14:val="tx1"/>
            </w14:solidFill>
          </w14:textFill>
        </w:rPr>
        <w:t>合同履行期限：自合同签订之日起至</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3 </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年</w:t>
      </w:r>
      <w:r>
        <w:rPr>
          <w:rFonts w:hint="eastAsia" w:ascii="仿宋" w:hAnsi="仿宋" w:eastAsia="仿宋" w:cs="仿宋"/>
          <w:b w:val="0"/>
          <w:bCs w:val="0"/>
          <w:color w:val="000000" w:themeColor="text1"/>
          <w:sz w:val="24"/>
          <w:szCs w:val="24"/>
          <w:highlight w:val="none"/>
          <w14:textFill>
            <w14:solidFill>
              <w14:schemeClr w14:val="tx1"/>
            </w14:solidFill>
          </w14:textFill>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right="97" w:rightChars="46" w:firstLine="480" w:firstLineChars="200"/>
        <w:jc w:val="left"/>
        <w:textAlignment w:val="auto"/>
        <w:rPr>
          <w:rFonts w:hint="eastAsia" w:ascii="仿宋" w:hAnsi="仿宋" w:eastAsia="仿宋" w:cs="仿宋"/>
          <w:color w:val="000000" w:themeColor="text1"/>
          <w:sz w:val="24"/>
          <w:szCs w:val="24"/>
          <w:highlight w:val="none"/>
          <w:lang w:val="zh-CN" w:eastAsia="zh-CN"/>
          <w14:textFill>
            <w14:solidFill>
              <w14:schemeClr w14:val="tx1"/>
            </w14:solidFill>
          </w14:textFill>
        </w:rPr>
      </w:pPr>
      <w:r>
        <w:rPr>
          <w:rFonts w:hint="eastAsia" w:ascii="仿宋" w:hAnsi="仿宋" w:eastAsia="仿宋" w:cs="仿宋"/>
          <w:color w:val="000000" w:themeColor="text1"/>
          <w:spacing w:val="0"/>
          <w:w w:val="100"/>
          <w:position w:val="0"/>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pacing w:val="0"/>
          <w:w w:val="100"/>
          <w:position w:val="0"/>
          <w:sz w:val="24"/>
          <w:szCs w:val="24"/>
          <w:highlight w:val="none"/>
          <w:lang w:eastAsia="zh-CN"/>
          <w14:textFill>
            <w14:solidFill>
              <w14:schemeClr w14:val="tx1"/>
            </w14:solidFill>
          </w14:textFill>
        </w:rPr>
        <w:t>服务</w:t>
      </w:r>
      <w:r>
        <w:rPr>
          <w:rFonts w:hint="eastAsia" w:ascii="仿宋" w:hAnsi="仿宋" w:eastAsia="仿宋" w:cs="仿宋"/>
          <w:color w:val="000000" w:themeColor="text1"/>
          <w:spacing w:val="0"/>
          <w:w w:val="100"/>
          <w:position w:val="0"/>
          <w:sz w:val="24"/>
          <w:szCs w:val="24"/>
          <w:highlight w:val="none"/>
          <w14:textFill>
            <w14:solidFill>
              <w14:schemeClr w14:val="tx1"/>
            </w14:solidFill>
          </w14:textFill>
        </w:rPr>
        <w:t>要求:</w:t>
      </w:r>
      <w:r>
        <w:rPr>
          <w:rFonts w:hint="eastAsia" w:ascii="仿宋" w:hAnsi="仿宋" w:eastAsia="仿宋" w:cs="仿宋"/>
          <w:color w:val="auto"/>
          <w:spacing w:val="0"/>
          <w:w w:val="100"/>
          <w:position w:val="0"/>
          <w:sz w:val="24"/>
          <w:szCs w:val="24"/>
          <w:highlight w:val="none"/>
        </w:rPr>
        <w:t>符合现行国家及行业合格标准</w:t>
      </w:r>
      <w:r>
        <w:rPr>
          <w:rFonts w:hint="eastAsia" w:ascii="仿宋" w:hAnsi="仿宋" w:eastAsia="仿宋" w:cs="仿宋"/>
          <w:color w:val="000000" w:themeColor="text1"/>
          <w:spacing w:val="0"/>
          <w:w w:val="100"/>
          <w:position w:val="0"/>
          <w:sz w:val="24"/>
          <w:szCs w:val="24"/>
          <w:highlight w:val="none"/>
          <w:lang w:eastAsia="zh-CN"/>
          <w14:textFill>
            <w14:solidFill>
              <w14:schemeClr w14:val="tx1"/>
            </w14:solidFill>
          </w14:textFill>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right="97" w:rightChars="46"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lang w:val="zh-CN" w:eastAsia="zh-CN"/>
          <w14:textFill>
            <w14:solidFill>
              <w14:schemeClr w14:val="tx1"/>
            </w14:solidFill>
          </w14:textFill>
        </w:rPr>
        <w:t>本项目不接受联合体。</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1"/>
        <w:rPr>
          <w:rFonts w:hint="eastAsia" w:ascii="黑体" w:hAnsi="黑体" w:eastAsia="黑体" w:cs="黑体"/>
          <w:b w:val="0"/>
          <w:bCs w:val="0"/>
          <w:color w:val="auto"/>
          <w:sz w:val="24"/>
          <w:szCs w:val="24"/>
          <w:highlight w:val="none"/>
          <w:lang w:val="zh-CN"/>
        </w:rPr>
      </w:pPr>
      <w:bookmarkStart w:id="1" w:name="_Toc15955"/>
      <w:r>
        <w:rPr>
          <w:rFonts w:hint="eastAsia" w:ascii="黑体" w:hAnsi="黑体" w:eastAsia="黑体" w:cs="黑体"/>
          <w:b w:val="0"/>
          <w:bCs w:val="0"/>
          <w:color w:val="auto"/>
          <w:sz w:val="24"/>
          <w:szCs w:val="24"/>
          <w:highlight w:val="none"/>
          <w:lang w:val="zh-CN"/>
        </w:rPr>
        <w:t>二、申请人的资格要求</w:t>
      </w:r>
      <w:bookmarkEnd w:id="1"/>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2.落实政府采购政策需满足的资格要求：</w:t>
      </w:r>
      <w:r>
        <w:rPr>
          <w:rFonts w:hint="eastAsia" w:ascii="仿宋" w:hAnsi="仿宋" w:eastAsia="仿宋" w:cs="仿宋"/>
          <w:color w:val="auto"/>
          <w:sz w:val="24"/>
          <w:szCs w:val="24"/>
          <w:highlight w:val="none"/>
          <w:lang w:eastAsia="zh-CN"/>
        </w:rPr>
        <w:t>无</w:t>
      </w:r>
      <w:r>
        <w:rPr>
          <w:rFonts w:hint="eastAsia" w:ascii="仿宋" w:hAnsi="仿宋" w:eastAsia="仿宋" w:cs="仿宋"/>
          <w:color w:val="auto"/>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具有独立承担民事责任的能力</w:t>
      </w:r>
      <w:r>
        <w:rPr>
          <w:rFonts w:hint="eastAsia" w:ascii="仿宋" w:hAnsi="仿宋" w:eastAsia="仿宋" w:cs="仿宋"/>
          <w:color w:val="auto"/>
          <w:sz w:val="24"/>
          <w:szCs w:val="24"/>
          <w:highlight w:val="none"/>
          <w:lang w:eastAsia="zh-CN"/>
        </w:rPr>
        <w:t>：供应商必须是具有独立承担民事责任能力的在中华人民共和国境内注册的法人或其他组织，投标时提交有效的营业执照副本及</w:t>
      </w:r>
      <w:r>
        <w:rPr>
          <w:rFonts w:hint="eastAsia" w:ascii="仿宋" w:hAnsi="仿宋" w:eastAsia="仿宋" w:cs="仿宋"/>
          <w:b/>
          <w:bCs/>
          <w:color w:val="auto"/>
          <w:sz w:val="24"/>
          <w:szCs w:val="24"/>
          <w:highlight w:val="none"/>
          <w:lang w:eastAsia="zh-CN"/>
        </w:rPr>
        <w:t>有关部门颁发的 《检验检测机构资质认定证书》</w:t>
      </w:r>
      <w:r>
        <w:rPr>
          <w:rFonts w:hint="eastAsia" w:ascii="仿宋" w:hAnsi="仿宋" w:eastAsia="仿宋" w:cs="仿宋"/>
          <w:color w:val="auto"/>
          <w:sz w:val="24"/>
          <w:szCs w:val="24"/>
          <w:highlight w:val="none"/>
          <w:lang w:eastAsia="zh-CN"/>
        </w:rPr>
        <w:t>，并要求本项目相适应的相关经营范围；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具有良好的商业信誉和健全的财务会计制度</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pacing w:val="0"/>
          <w:w w:val="100"/>
          <w:position w:val="0"/>
          <w:sz w:val="24"/>
          <w:szCs w:val="24"/>
          <w:highlight w:val="none"/>
        </w:rPr>
        <w:t xml:space="preserve">未被工商行政管理机关在全国企业信用信息公示系统 </w:t>
      </w:r>
      <w:r>
        <w:rPr>
          <w:rFonts w:hint="eastAsia" w:ascii="仿宋" w:hAnsi="仿宋" w:eastAsia="仿宋" w:cs="仿宋"/>
          <w:b w:val="0"/>
          <w:bCs w:val="0"/>
          <w:color w:val="auto"/>
          <w:spacing w:val="0"/>
          <w:w w:val="100"/>
          <w:position w:val="0"/>
          <w:sz w:val="24"/>
          <w:szCs w:val="24"/>
          <w:highlight w:val="none"/>
          <w:lang w:val="en-US" w:eastAsia="en-US" w:bidi="en-US"/>
        </w:rPr>
        <w:t>（http://www.gsxt.gov.cn/）</w:t>
      </w:r>
      <w:r>
        <w:rPr>
          <w:rFonts w:hint="eastAsia" w:ascii="仿宋" w:hAnsi="仿宋" w:eastAsia="仿宋" w:cs="仿宋"/>
          <w:b w:val="0"/>
          <w:bCs w:val="0"/>
          <w:color w:val="auto"/>
          <w:spacing w:val="0"/>
          <w:w w:val="100"/>
          <w:position w:val="0"/>
          <w:sz w:val="24"/>
          <w:szCs w:val="24"/>
          <w:highlight w:val="none"/>
        </w:rPr>
        <w:t>中列入严重违法失信企业名单；（须提供网络截图加盖公章）</w:t>
      </w:r>
      <w:r>
        <w:rPr>
          <w:rFonts w:hint="eastAsia" w:ascii="仿宋" w:hAnsi="仿宋" w:eastAsia="仿宋" w:cs="仿宋"/>
          <w:b w:val="0"/>
          <w:bCs w:val="0"/>
          <w:color w:val="auto"/>
          <w:spacing w:val="0"/>
          <w:w w:val="100"/>
          <w:position w:val="0"/>
          <w:sz w:val="24"/>
          <w:szCs w:val="24"/>
          <w:highlight w:val="none"/>
          <w:lang w:eastAsia="zh-CN"/>
        </w:rPr>
        <w:t>、</w:t>
      </w:r>
      <w:r>
        <w:rPr>
          <w:rFonts w:hint="eastAsia" w:ascii="仿宋" w:hAnsi="仿宋" w:eastAsia="仿宋" w:cs="仿宋"/>
          <w:b w:val="0"/>
          <w:bCs w:val="0"/>
          <w:color w:val="auto"/>
          <w:spacing w:val="0"/>
          <w:w w:val="100"/>
          <w:position w:val="0"/>
          <w:sz w:val="24"/>
          <w:szCs w:val="24"/>
          <w:highlight w:val="none"/>
        </w:rPr>
        <w:t>供应商未被列入"信用</w:t>
      </w:r>
      <w:r>
        <w:rPr>
          <w:rFonts w:hint="eastAsia" w:ascii="仿宋" w:hAnsi="仿宋" w:eastAsia="仿宋" w:cs="仿宋"/>
          <w:b w:val="0"/>
          <w:bCs w:val="0"/>
          <w:color w:val="auto"/>
          <w:spacing w:val="0"/>
          <w:w w:val="100"/>
          <w:position w:val="0"/>
          <w:sz w:val="24"/>
          <w:szCs w:val="24"/>
          <w:highlight w:val="none"/>
          <w:lang w:val="zh-CN" w:eastAsia="zh-CN" w:bidi="zh-CN"/>
        </w:rPr>
        <w:t>中国”</w:t>
      </w:r>
      <w:r>
        <w:rPr>
          <w:rFonts w:hint="eastAsia" w:ascii="仿宋" w:hAnsi="仿宋" w:eastAsia="仿宋" w:cs="仿宋"/>
          <w:b w:val="0"/>
          <w:bCs w:val="0"/>
          <w:color w:val="auto"/>
          <w:spacing w:val="0"/>
          <w:w w:val="100"/>
          <w:position w:val="0"/>
          <w:sz w:val="24"/>
          <w:szCs w:val="24"/>
          <w:highlight w:val="none"/>
        </w:rPr>
        <w:t>网站</w:t>
      </w:r>
      <w:r>
        <w:rPr>
          <w:rFonts w:hint="eastAsia" w:ascii="仿宋" w:hAnsi="仿宋" w:eastAsia="仿宋" w:cs="仿宋"/>
          <w:b w:val="0"/>
          <w:bCs w:val="0"/>
          <w:color w:val="auto"/>
          <w:spacing w:val="0"/>
          <w:w w:val="100"/>
          <w:position w:val="0"/>
          <w:sz w:val="24"/>
          <w:szCs w:val="24"/>
          <w:highlight w:val="none"/>
          <w:lang w:val="en-US" w:eastAsia="en-US" w:bidi="en-US"/>
        </w:rPr>
        <w:t>（www.creditchina.gov.cn）</w:t>
      </w:r>
      <w:r>
        <w:rPr>
          <w:rFonts w:hint="eastAsia" w:ascii="仿宋" w:hAnsi="仿宋" w:eastAsia="仿宋" w:cs="仿宋"/>
          <w:b w:val="0"/>
          <w:bCs w:val="0"/>
          <w:color w:val="auto"/>
          <w:spacing w:val="0"/>
          <w:w w:val="100"/>
          <w:position w:val="0"/>
          <w:sz w:val="24"/>
          <w:szCs w:val="24"/>
          <w:highlight w:val="none"/>
        </w:rPr>
        <w:t>、中国政府采购网</w:t>
      </w:r>
      <w:r>
        <w:rPr>
          <w:rFonts w:hint="eastAsia" w:ascii="仿宋" w:hAnsi="仿宋" w:eastAsia="仿宋" w:cs="仿宋"/>
          <w:b w:val="0"/>
          <w:bCs w:val="0"/>
          <w:color w:val="auto"/>
          <w:spacing w:val="0"/>
          <w:w w:val="100"/>
          <w:position w:val="0"/>
          <w:sz w:val="24"/>
          <w:szCs w:val="24"/>
          <w:highlight w:val="none"/>
          <w:lang w:val="en-US" w:eastAsia="en-US" w:bidi="en-US"/>
        </w:rPr>
        <w:t>（</w:t>
      </w:r>
      <w:r>
        <w:rPr>
          <w:rFonts w:hint="eastAsia" w:ascii="仿宋" w:hAnsi="仿宋" w:eastAsia="仿宋" w:cs="仿宋"/>
          <w:b w:val="0"/>
          <w:bCs w:val="0"/>
          <w:color w:val="auto"/>
          <w:spacing w:val="0"/>
          <w:w w:val="100"/>
          <w:position w:val="0"/>
          <w:sz w:val="24"/>
          <w:szCs w:val="24"/>
          <w:highlight w:val="none"/>
          <w:lang w:val="en-US" w:eastAsia="zh-CN" w:bidi="en-US"/>
        </w:rPr>
        <w:t>(www.ccgp.gov.cn</w:t>
      </w:r>
      <w:r>
        <w:rPr>
          <w:rFonts w:hint="eastAsia" w:ascii="仿宋" w:hAnsi="仿宋" w:eastAsia="仿宋" w:cs="仿宋"/>
          <w:b w:val="0"/>
          <w:bCs w:val="0"/>
          <w:color w:val="auto"/>
          <w:spacing w:val="0"/>
          <w:w w:val="100"/>
          <w:position w:val="0"/>
          <w:sz w:val="24"/>
          <w:szCs w:val="24"/>
          <w:highlight w:val="none"/>
          <w:lang w:val="en-US" w:eastAsia="en-US" w:bidi="en-US"/>
        </w:rPr>
        <w:t>）</w:t>
      </w:r>
      <w:r>
        <w:rPr>
          <w:rFonts w:hint="eastAsia" w:ascii="仿宋" w:hAnsi="仿宋" w:eastAsia="仿宋" w:cs="仿宋"/>
          <w:b w:val="0"/>
          <w:bCs w:val="0"/>
          <w:color w:val="auto"/>
          <w:spacing w:val="0"/>
          <w:w w:val="100"/>
          <w:position w:val="0"/>
          <w:sz w:val="24"/>
          <w:szCs w:val="24"/>
          <w:highlight w:val="none"/>
        </w:rPr>
        <w:t>等渠道信用记录失信被执行人、</w:t>
      </w:r>
      <w:r>
        <w:rPr>
          <w:rFonts w:hint="eastAsia" w:ascii="仿宋" w:hAnsi="仿宋" w:eastAsia="仿宋" w:cs="仿宋"/>
          <w:b w:val="0"/>
          <w:bCs w:val="0"/>
          <w:color w:val="auto"/>
          <w:spacing w:val="0"/>
          <w:w w:val="100"/>
          <w:position w:val="0"/>
          <w:sz w:val="24"/>
          <w:szCs w:val="24"/>
          <w:highlight w:val="none"/>
          <w:lang w:eastAsia="zh-CN"/>
        </w:rPr>
        <w:t>重大税收违法失信主体</w:t>
      </w:r>
      <w:r>
        <w:rPr>
          <w:rFonts w:hint="eastAsia" w:ascii="仿宋" w:hAnsi="仿宋" w:eastAsia="仿宋" w:cs="仿宋"/>
          <w:b w:val="0"/>
          <w:bCs w:val="0"/>
          <w:color w:val="auto"/>
          <w:spacing w:val="0"/>
          <w:w w:val="100"/>
          <w:position w:val="0"/>
          <w:sz w:val="24"/>
          <w:szCs w:val="24"/>
          <w:highlight w:val="none"/>
        </w:rPr>
        <w:t>、政府采购严重违法失信行为记录名单（须提供网络截图加盖公章）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themeColor="text1"/>
          <w:sz w:val="24"/>
          <w:szCs w:val="24"/>
          <w:highlight w:val="none"/>
          <w:lang w:val="zh-CN"/>
          <w14:textFill>
            <w14:solidFill>
              <w14:schemeClr w14:val="tx1"/>
            </w14:solidFill>
          </w14:textFill>
        </w:rPr>
        <w:t>近年（2021年度）财务审计报告</w:t>
      </w:r>
      <w:r>
        <w:rPr>
          <w:rFonts w:hint="eastAsia" w:ascii="仿宋" w:hAnsi="仿宋" w:eastAsia="仿宋" w:cs="仿宋"/>
          <w:color w:val="000000" w:themeColor="text1"/>
          <w:sz w:val="24"/>
          <w:szCs w:val="24"/>
          <w:highlight w:val="none"/>
          <w14:textFill>
            <w14:solidFill>
              <w14:schemeClr w14:val="tx1"/>
            </w14:solidFill>
          </w14:textFill>
        </w:rPr>
        <w:t>或财务报表（含</w:t>
      </w:r>
      <w:r>
        <w:rPr>
          <w:rFonts w:hint="eastAsia" w:ascii="仿宋" w:hAnsi="仿宋" w:eastAsia="仿宋" w:cs="仿宋"/>
          <w:color w:val="000000" w:themeColor="text1"/>
          <w:sz w:val="24"/>
          <w:szCs w:val="24"/>
          <w:highlight w:val="none"/>
          <w:lang w:val="zh-CN"/>
          <w14:textFill>
            <w14:solidFill>
              <w14:schemeClr w14:val="tx1"/>
            </w14:solidFill>
          </w14:textFill>
        </w:rPr>
        <w:t>资产负债表、现金流量表、利润表</w:t>
      </w:r>
      <w:r>
        <w:rPr>
          <w:rFonts w:hint="eastAsia" w:ascii="仿宋" w:hAnsi="仿宋" w:eastAsia="仿宋" w:cs="仿宋"/>
          <w:color w:val="000000" w:themeColor="text1"/>
          <w:sz w:val="24"/>
          <w:szCs w:val="24"/>
          <w:highlight w:val="none"/>
          <w14:textFill>
            <w14:solidFill>
              <w14:schemeClr w14:val="tx1"/>
            </w14:solidFill>
          </w14:textFill>
        </w:rPr>
        <w:t>），新成立企业提供当年验资报告或银行出具的公司资信证明；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具有履行合同所必需的设备和专业技术能力</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pacing w:val="-7"/>
          <w:sz w:val="24"/>
          <w:szCs w:val="24"/>
          <w:highlight w:val="none"/>
          <w:lang w:eastAsia="zh-CN"/>
        </w:rPr>
        <w:t>供应商</w:t>
      </w:r>
      <w:r>
        <w:rPr>
          <w:rFonts w:hint="eastAsia" w:ascii="仿宋" w:hAnsi="仿宋" w:eastAsia="仿宋" w:cs="仿宋"/>
          <w:b/>
          <w:bCs/>
          <w:color w:val="auto"/>
          <w:sz w:val="24"/>
          <w:szCs w:val="24"/>
          <w:highlight w:val="none"/>
        </w:rPr>
        <w:t>须具有保证服务顺利实施完成的人员和</w:t>
      </w:r>
      <w:r>
        <w:rPr>
          <w:rFonts w:hint="eastAsia" w:ascii="仿宋" w:hAnsi="仿宋" w:eastAsia="仿宋" w:cs="仿宋"/>
          <w:b/>
          <w:bCs/>
          <w:color w:val="auto"/>
          <w:sz w:val="24"/>
          <w:szCs w:val="24"/>
          <w:highlight w:val="none"/>
          <w:lang w:eastAsia="zh-CN"/>
        </w:rPr>
        <w:t>专业技术能力</w:t>
      </w:r>
      <w:r>
        <w:rPr>
          <w:rFonts w:hint="eastAsia" w:ascii="仿宋" w:hAnsi="仿宋" w:eastAsia="仿宋" w:cs="仿宋"/>
          <w:b/>
          <w:bCs/>
          <w:color w:val="auto"/>
          <w:sz w:val="24"/>
          <w:szCs w:val="24"/>
          <w:highlight w:val="none"/>
        </w:rPr>
        <w:t>条件</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）有依法缴纳税收和社会保障资金的良好记录：</w:t>
      </w:r>
      <w:r>
        <w:rPr>
          <w:rFonts w:hint="eastAsia" w:ascii="仿宋" w:hAnsi="仿宋" w:eastAsia="仿宋" w:cs="仿宋"/>
          <w:color w:val="auto"/>
          <w:sz w:val="24"/>
          <w:szCs w:val="24"/>
          <w:highlight w:val="none"/>
          <w:lang w:eastAsia="zh-CN"/>
        </w:rPr>
        <w:t>投标人须提供投标截止日期前六个月内任意一个月的依法缴纳税收和社会保障资金相关证明材料；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参加政府采购活动前三年内，在经营活动中没有重大违法记录</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）拒绝列入政府取消资格记录期间的企业或个人投标；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eastAsia="zh-CN"/>
        </w:rPr>
      </w:pPr>
      <w:bookmarkStart w:id="2" w:name="bookmark26"/>
      <w:r>
        <w:rPr>
          <w:rFonts w:hint="eastAsia" w:ascii="仿宋" w:hAnsi="仿宋" w:eastAsia="仿宋" w:cs="仿宋"/>
          <w:color w:val="auto"/>
          <w:sz w:val="24"/>
          <w:szCs w:val="24"/>
          <w:highlight w:val="none"/>
        </w:rPr>
        <w:t>（</w:t>
      </w:r>
      <w:bookmarkEnd w:id="2"/>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）本项目中标人不允许转包、拆包</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eastAsia="zh-CN"/>
        </w:rPr>
      </w:pPr>
      <w:bookmarkStart w:id="3" w:name="bookmark27"/>
      <w:r>
        <w:rPr>
          <w:rFonts w:hint="eastAsia" w:ascii="仿宋" w:hAnsi="仿宋" w:eastAsia="仿宋" w:cs="仿宋"/>
          <w:color w:val="auto"/>
          <w:sz w:val="24"/>
          <w:szCs w:val="24"/>
          <w:highlight w:val="none"/>
        </w:rPr>
        <w:t>（</w:t>
      </w:r>
      <w:bookmarkEnd w:id="3"/>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企业名称不同但法定代表人为同一个自然人的两个或者两个以上的投标人不得参加同一采购项目的投标；单位负责人为同一人或者存在控股、管理关系的不同单位，不得参加同一标段投标或者未划分标段的同一招标项目投标。如果出现上述情况，相关投标人的投标均将被拒绝；</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w:t>
      </w:r>
      <w:r>
        <w:rPr>
          <w:rFonts w:hint="eastAsia" w:ascii="仿宋" w:hAnsi="仿宋" w:eastAsia="仿宋" w:cs="仿宋"/>
          <w:b/>
          <w:bCs/>
          <w:color w:val="auto"/>
          <w:sz w:val="24"/>
          <w:szCs w:val="24"/>
          <w:highlight w:val="none"/>
        </w:rPr>
        <w:t>执行国家统一定价标准和采用固定价格采购的项目，其价格不列为评审因素</w:t>
      </w:r>
      <w:r>
        <w:rPr>
          <w:rFonts w:hint="eastAsia" w:ascii="仿宋" w:hAnsi="仿宋" w:eastAsia="仿宋" w:cs="仿宋"/>
          <w:b/>
          <w:bCs/>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1"/>
        <w:rPr>
          <w:rFonts w:hint="eastAsia" w:ascii="黑体" w:hAnsi="黑体" w:eastAsia="黑体" w:cs="黑体"/>
          <w:b w:val="0"/>
          <w:bCs w:val="0"/>
          <w:color w:val="auto"/>
          <w:sz w:val="24"/>
          <w:szCs w:val="24"/>
          <w:highlight w:val="none"/>
          <w:lang w:val="zh-CN"/>
        </w:rPr>
      </w:pPr>
      <w:bookmarkStart w:id="4" w:name="_Toc25709"/>
      <w:r>
        <w:rPr>
          <w:rFonts w:hint="eastAsia" w:ascii="黑体" w:hAnsi="黑体" w:eastAsia="黑体" w:cs="黑体"/>
          <w:b w:val="0"/>
          <w:bCs w:val="0"/>
          <w:color w:val="auto"/>
          <w:sz w:val="24"/>
          <w:szCs w:val="24"/>
          <w:highlight w:val="none"/>
          <w:lang w:val="zh-CN"/>
        </w:rPr>
        <w:t>三、获取采购文件</w:t>
      </w:r>
      <w:bookmarkEnd w:id="4"/>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left="0" w:leftChars="0" w:right="97" w:rightChars="46" w:firstLine="501" w:firstLineChars="209"/>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1.时间：2022年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lang w:val="zh-CN" w:eastAsia="zh-CN"/>
        </w:rPr>
        <w:t>日至202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val="zh-CN" w:eastAsia="zh-CN"/>
        </w:rPr>
        <w:t>日，每日上午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val="zh-CN" w:eastAsia="zh-CN"/>
        </w:rPr>
        <w:t>至11: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0，下午13:30至16:00(法定公休日、法定节假日除外)(北京时间)。</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left="0" w:leftChars="0" w:right="97" w:rightChars="46" w:firstLine="501" w:firstLineChars="209"/>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2.地点：吉林省长润工程咨询有限公司（</w:t>
      </w:r>
      <w:r>
        <w:rPr>
          <w:rFonts w:hint="eastAsia" w:ascii="仿宋" w:hAnsi="仿宋" w:eastAsia="仿宋" w:cs="仿宋"/>
          <w:color w:val="auto"/>
          <w:sz w:val="24"/>
          <w:szCs w:val="24"/>
          <w:highlight w:val="none"/>
          <w:lang w:val="zh-CN"/>
        </w:rPr>
        <w:t>延吉市人民路1977号</w:t>
      </w:r>
      <w:r>
        <w:rPr>
          <w:rFonts w:hint="eastAsia" w:ascii="仿宋" w:hAnsi="仿宋" w:eastAsia="仿宋" w:cs="仿宋"/>
          <w:color w:val="auto"/>
          <w:sz w:val="24"/>
          <w:szCs w:val="24"/>
          <w:highlight w:val="none"/>
          <w:lang w:val="en-US" w:eastAsia="zh-CN"/>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left="0" w:leftChars="0" w:right="97" w:rightChars="46" w:firstLine="501" w:firstLineChars="209"/>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3.方式：</w:t>
      </w:r>
      <w:r>
        <w:rPr>
          <w:rFonts w:hint="eastAsia" w:ascii="仿宋" w:hAnsi="仿宋" w:eastAsia="仿宋" w:cs="仿宋"/>
          <w:color w:val="auto"/>
          <w:sz w:val="24"/>
          <w:szCs w:val="24"/>
          <w:highlight w:val="none"/>
          <w:lang w:val="zh-CN" w:eastAsia="zh-CN"/>
        </w:rPr>
        <w:t>获取采购文件时需携带如下证明文件</w:t>
      </w:r>
      <w:r>
        <w:rPr>
          <w:rFonts w:hint="eastAsia" w:ascii="仿宋" w:hAnsi="仿宋" w:eastAsia="仿宋" w:cs="仿宋"/>
          <w:b/>
          <w:bCs/>
          <w:color w:val="auto"/>
          <w:sz w:val="24"/>
          <w:szCs w:val="24"/>
          <w:highlight w:val="none"/>
          <w:lang w:val="en-US" w:eastAsia="zh-CN"/>
        </w:rPr>
        <w:t>原件及</w:t>
      </w:r>
      <w:r>
        <w:rPr>
          <w:rFonts w:hint="eastAsia" w:ascii="仿宋" w:hAnsi="仿宋" w:eastAsia="仿宋" w:cs="仿宋"/>
          <w:b/>
          <w:bCs/>
          <w:color w:val="auto"/>
          <w:sz w:val="24"/>
          <w:szCs w:val="24"/>
          <w:highlight w:val="none"/>
          <w:lang w:val="zh-CN" w:eastAsia="zh-CN"/>
        </w:rPr>
        <w:t>复印件</w:t>
      </w:r>
      <w:r>
        <w:rPr>
          <w:rFonts w:hint="eastAsia" w:ascii="仿宋" w:hAnsi="仿宋" w:eastAsia="仿宋" w:cs="仿宋"/>
          <w:color w:val="auto"/>
          <w:sz w:val="24"/>
          <w:szCs w:val="24"/>
          <w:highlight w:val="none"/>
          <w:lang w:val="zh-CN"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（1）法定代表人身份证明及法人授权委托书、被授权人身份证、以上证件需加盖单位公章；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bookmarkStart w:id="5" w:name="bookmark32"/>
      <w:bookmarkEnd w:id="5"/>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营业执照副本</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eastAsia="zh-CN"/>
        </w:rPr>
        <w:t>《检验检测机构资质认定证书》</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textAlignment w:val="auto"/>
        <w:rPr>
          <w:rFonts w:hint="eastAsia" w:ascii="仿宋" w:hAnsi="仿宋" w:eastAsia="仿宋" w:cs="仿宋"/>
          <w:color w:val="auto"/>
          <w:sz w:val="24"/>
          <w:szCs w:val="24"/>
          <w:highlight w:val="none"/>
        </w:rPr>
      </w:pPr>
      <w:bookmarkStart w:id="6" w:name="bookmark34"/>
      <w:bookmarkEnd w:id="6"/>
      <w:bookmarkStart w:id="7" w:name="bookmark33"/>
      <w:bookmarkEnd w:id="7"/>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eastAsia="zh-CN"/>
        </w:rPr>
        <w:t>供应商必须未被列入“信用中国”网站(www.creditchina.gov.cn)、中国政府采购网((www.ccgp.gov.cn)等渠道信用记录失信被执行人、重大税收违法失信主体、政府采购严重违法失信行为记录名单（须提供网络截图</w:t>
      </w:r>
      <w:r>
        <w:rPr>
          <w:rFonts w:hint="eastAsia" w:ascii="仿宋" w:hAnsi="仿宋" w:eastAsia="仿宋" w:cs="仿宋"/>
          <w:b w:val="0"/>
          <w:bCs w:val="0"/>
          <w:color w:val="auto"/>
          <w:spacing w:val="0"/>
          <w:w w:val="100"/>
          <w:position w:val="0"/>
          <w:sz w:val="24"/>
          <w:szCs w:val="24"/>
          <w:highlight w:val="none"/>
        </w:rPr>
        <w:t>加盖公章</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left="0" w:leftChars="0" w:right="97" w:rightChars="46" w:firstLine="501" w:firstLineChars="209"/>
        <w:jc w:val="left"/>
        <w:textAlignment w:val="auto"/>
        <w:rPr>
          <w:rFonts w:hint="eastAsia" w:ascii="仿宋" w:hAnsi="仿宋" w:eastAsia="仿宋" w:cs="仿宋"/>
          <w:color w:val="auto"/>
          <w:sz w:val="24"/>
          <w:szCs w:val="24"/>
          <w:highlight w:val="none"/>
        </w:rPr>
      </w:pPr>
      <w:bookmarkStart w:id="8" w:name="bookmark35"/>
      <w:bookmarkEnd w:id="8"/>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pacing w:val="0"/>
          <w:w w:val="100"/>
          <w:position w:val="0"/>
          <w:sz w:val="24"/>
          <w:szCs w:val="24"/>
          <w:highlight w:val="none"/>
        </w:rPr>
        <w:t>供应商须对供应商、法定代表人、拟委任的项目经理进行行贿犯罪档案查询</w:t>
      </w:r>
      <w:r>
        <w:rPr>
          <w:rFonts w:hint="eastAsia" w:ascii="仿宋" w:hAnsi="仿宋" w:eastAsia="仿宋" w:cs="仿宋"/>
          <w:b w:val="0"/>
          <w:bCs w:val="0"/>
          <w:color w:val="auto"/>
          <w:spacing w:val="0"/>
          <w:w w:val="100"/>
          <w:position w:val="0"/>
          <w:sz w:val="24"/>
          <w:szCs w:val="24"/>
          <w:highlight w:val="none"/>
          <w:lang w:eastAsia="zh-CN"/>
        </w:rPr>
        <w:t>[登录中国裁判文书网自行查询,查询时间范围必须包括：本项目信息公告发布之日起（含公告发布当日）前三年]</w:t>
      </w:r>
      <w:r>
        <w:rPr>
          <w:rFonts w:hint="eastAsia" w:ascii="仿宋" w:hAnsi="仿宋" w:eastAsia="仿宋" w:cs="仿宋"/>
          <w:b w:val="0"/>
          <w:bCs w:val="0"/>
          <w:color w:val="auto"/>
          <w:spacing w:val="0"/>
          <w:w w:val="100"/>
          <w:position w:val="0"/>
          <w:sz w:val="24"/>
          <w:szCs w:val="24"/>
          <w:highlight w:val="none"/>
        </w:rPr>
        <w:t>（须提供网络截图加盖公章）</w:t>
      </w:r>
      <w:r>
        <w:rPr>
          <w:rFonts w:hint="eastAsia" w:ascii="仿宋" w:hAnsi="仿宋" w:eastAsia="仿宋" w:cs="仿宋"/>
          <w:color w:val="auto"/>
          <w:sz w:val="24"/>
          <w:szCs w:val="24"/>
          <w:highlight w:val="none"/>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left="0" w:leftChars="0" w:right="97" w:rightChars="46" w:firstLine="501" w:firstLineChars="209"/>
        <w:jc w:val="left"/>
        <w:textAlignment w:val="auto"/>
        <w:rPr>
          <w:rFonts w:hint="eastAsia" w:ascii="仿宋" w:hAnsi="仿宋" w:eastAsia="仿宋" w:cs="仿宋"/>
          <w:color w:val="auto"/>
          <w:sz w:val="24"/>
          <w:szCs w:val="24"/>
          <w:highlight w:val="none"/>
        </w:rPr>
      </w:pPr>
      <w:bookmarkStart w:id="9" w:name="bookmark36"/>
      <w:bookmarkEnd w:id="9"/>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近年（2021年度）财务审计报告</w:t>
      </w:r>
      <w:r>
        <w:rPr>
          <w:rFonts w:hint="eastAsia" w:ascii="仿宋" w:hAnsi="仿宋" w:eastAsia="仿宋" w:cs="仿宋"/>
          <w:color w:val="auto"/>
          <w:sz w:val="24"/>
          <w:szCs w:val="24"/>
          <w:highlight w:val="none"/>
          <w:lang w:val="en-US" w:eastAsia="zh-CN"/>
        </w:rPr>
        <w:t>或财务报表（含</w:t>
      </w:r>
      <w:r>
        <w:rPr>
          <w:rFonts w:hint="eastAsia" w:ascii="仿宋" w:hAnsi="仿宋" w:eastAsia="仿宋" w:cs="仿宋"/>
          <w:color w:val="auto"/>
          <w:sz w:val="24"/>
          <w:szCs w:val="24"/>
          <w:highlight w:val="none"/>
          <w:lang w:val="zh-CN" w:eastAsia="zh-CN"/>
        </w:rPr>
        <w:t>资产负债表、现金流量表、利润表</w:t>
      </w:r>
      <w:r>
        <w:rPr>
          <w:rFonts w:hint="eastAsia" w:ascii="仿宋" w:hAnsi="仿宋" w:eastAsia="仿宋" w:cs="仿宋"/>
          <w:color w:val="auto"/>
          <w:sz w:val="24"/>
          <w:szCs w:val="24"/>
          <w:highlight w:val="none"/>
          <w:lang w:val="en-US" w:eastAsia="zh-CN"/>
        </w:rPr>
        <w:t>），新成立企业提供当年验资报告或银行出具的公司资信证明</w:t>
      </w:r>
      <w:r>
        <w:rPr>
          <w:rFonts w:hint="eastAsia" w:ascii="仿宋" w:hAnsi="仿宋" w:eastAsia="仿宋" w:cs="仿宋"/>
          <w:color w:val="auto"/>
          <w:sz w:val="24"/>
          <w:szCs w:val="24"/>
          <w:highlight w:val="none"/>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left="0" w:leftChars="0" w:right="97" w:rightChars="46" w:firstLine="501" w:firstLineChars="209"/>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eastAsia="zh-CN"/>
        </w:rPr>
        <w:t>投标人须提供投标截止日期前六个月内任意一个月的依法缴纳税收和社会保障资金相关证明材料</w:t>
      </w:r>
      <w:r>
        <w:rPr>
          <w:rFonts w:hint="eastAsia" w:ascii="仿宋" w:hAnsi="仿宋" w:eastAsia="仿宋" w:cs="仿宋"/>
          <w:color w:val="auto"/>
          <w:sz w:val="24"/>
          <w:szCs w:val="24"/>
          <w:highlight w:val="none"/>
          <w:lang w:val="en-US" w:eastAsia="zh-CN"/>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left="0" w:leftChars="0" w:right="97" w:rightChars="46" w:firstLine="501" w:firstLineChars="209"/>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4.售价：</w:t>
      </w:r>
      <w:r>
        <w:rPr>
          <w:rFonts w:hint="eastAsia" w:ascii="仿宋" w:hAnsi="仿宋" w:eastAsia="仿宋" w:cs="仿宋"/>
          <w:color w:val="auto"/>
          <w:sz w:val="24"/>
          <w:szCs w:val="24"/>
          <w:highlight w:val="none"/>
          <w:lang w:val="en-US" w:eastAsia="zh-CN"/>
        </w:rPr>
        <w:t>招标文件每套1000元，逾期不受理，售后不退</w:t>
      </w:r>
      <w:r>
        <w:rPr>
          <w:rFonts w:hint="eastAsia" w:ascii="仿宋" w:hAnsi="仿宋" w:eastAsia="仿宋" w:cs="仿宋"/>
          <w:color w:val="auto"/>
          <w:sz w:val="24"/>
          <w:szCs w:val="24"/>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1"/>
        <w:rPr>
          <w:rFonts w:hint="eastAsia" w:ascii="黑体" w:hAnsi="黑体" w:eastAsia="黑体" w:cs="黑体"/>
          <w:b w:val="0"/>
          <w:bCs w:val="0"/>
          <w:color w:val="auto"/>
          <w:sz w:val="24"/>
          <w:szCs w:val="24"/>
          <w:highlight w:val="none"/>
          <w:lang w:val="zh-CN"/>
        </w:rPr>
      </w:pPr>
      <w:bookmarkStart w:id="10" w:name="_Toc995"/>
      <w:r>
        <w:rPr>
          <w:rFonts w:hint="eastAsia" w:ascii="黑体" w:hAnsi="黑体" w:eastAsia="黑体" w:cs="黑体"/>
          <w:b w:val="0"/>
          <w:bCs w:val="0"/>
          <w:color w:val="auto"/>
          <w:sz w:val="24"/>
          <w:szCs w:val="24"/>
          <w:highlight w:val="none"/>
          <w:lang w:val="zh-CN"/>
        </w:rPr>
        <w:t>四、投标文件提交</w:t>
      </w:r>
      <w:bookmarkEnd w:id="10"/>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left="0" w:leftChars="0" w:right="97" w:rightChars="46" w:firstLine="501" w:firstLineChars="209"/>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1.截止时间：2022年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eastAsia="zh-CN"/>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eastAsia="zh-CN"/>
        </w:rPr>
        <w:t>日，上午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eastAsia="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val="zh-CN" w:eastAsia="zh-CN"/>
        </w:rPr>
        <w:t>分（北京时间）。</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left="0" w:leftChars="0" w:right="97" w:rightChars="46" w:firstLine="501" w:firstLineChars="209"/>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2.地点：</w:t>
      </w:r>
      <w:r>
        <w:rPr>
          <w:rFonts w:hint="eastAsia" w:ascii="仿宋" w:hAnsi="仿宋" w:eastAsia="仿宋" w:cs="仿宋"/>
          <w:sz w:val="24"/>
          <w:szCs w:val="24"/>
          <w:highlight w:val="none"/>
          <w:lang w:val="en-US" w:eastAsia="zh-CN"/>
        </w:rPr>
        <w:t>吉林省长润</w:t>
      </w:r>
      <w:r>
        <w:rPr>
          <w:rFonts w:hint="eastAsia" w:ascii="仿宋" w:hAnsi="仿宋" w:eastAsia="仿宋" w:cs="仿宋"/>
          <w:sz w:val="24"/>
          <w:szCs w:val="24"/>
          <w:highlight w:val="none"/>
          <w:lang w:val="zh-CN"/>
        </w:rPr>
        <w:t>工程咨询有限公司</w:t>
      </w:r>
      <w:r>
        <w:rPr>
          <w:rFonts w:hint="eastAsia" w:ascii="仿宋" w:hAnsi="仿宋" w:eastAsia="仿宋" w:cs="仿宋"/>
          <w:color w:val="auto"/>
          <w:sz w:val="24"/>
          <w:szCs w:val="24"/>
          <w:highlight w:val="none"/>
          <w:lang w:val="en-US" w:eastAsia="zh-CN"/>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left="0" w:leftChars="0" w:right="97" w:rightChars="46" w:firstLine="739" w:firstLineChars="308"/>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地址：</w:t>
      </w:r>
      <w:r>
        <w:rPr>
          <w:rFonts w:hint="eastAsia" w:ascii="仿宋" w:hAnsi="仿宋" w:eastAsia="仿宋" w:cs="仿宋"/>
          <w:sz w:val="24"/>
          <w:szCs w:val="24"/>
          <w:highlight w:val="none"/>
          <w:lang w:val="zh-CN"/>
        </w:rPr>
        <w:t>延吉市人民路1977号</w:t>
      </w:r>
      <w:r>
        <w:rPr>
          <w:rFonts w:hint="eastAsia" w:ascii="仿宋" w:hAnsi="仿宋" w:eastAsia="仿宋" w:cs="仿宋"/>
          <w:color w:val="auto"/>
          <w:sz w:val="24"/>
          <w:szCs w:val="24"/>
          <w:highlight w:val="none"/>
          <w:lang w:val="en-US" w:eastAsia="zh-CN"/>
        </w:rPr>
        <w:t>。逾期送达或不符合规定的投标文件恕不接受。</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1"/>
        <w:rPr>
          <w:rFonts w:hint="eastAsia" w:ascii="黑体" w:hAnsi="黑体" w:eastAsia="黑体" w:cs="黑体"/>
          <w:b w:val="0"/>
          <w:bCs w:val="0"/>
          <w:color w:val="auto"/>
          <w:sz w:val="24"/>
          <w:szCs w:val="24"/>
          <w:highlight w:val="none"/>
          <w:lang w:val="zh-CN"/>
        </w:rPr>
      </w:pPr>
      <w:bookmarkStart w:id="11" w:name="_Toc22816"/>
      <w:r>
        <w:rPr>
          <w:rFonts w:hint="eastAsia" w:ascii="黑体" w:hAnsi="黑体" w:eastAsia="黑体" w:cs="黑体"/>
          <w:b w:val="0"/>
          <w:bCs w:val="0"/>
          <w:color w:val="auto"/>
          <w:sz w:val="24"/>
          <w:szCs w:val="24"/>
          <w:highlight w:val="none"/>
          <w:lang w:val="zh-CN"/>
        </w:rPr>
        <w:t>五、开启</w:t>
      </w:r>
      <w:bookmarkEnd w:id="11"/>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left="0" w:leftChars="0" w:right="97" w:rightChars="46" w:firstLine="501" w:firstLineChars="209"/>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1.时间：2022年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eastAsia="zh-CN"/>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eastAsia="zh-CN"/>
        </w:rPr>
        <w:t>日，上午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zh-CN" w:eastAsia="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val="zh-CN" w:eastAsia="zh-CN"/>
        </w:rPr>
        <w:t>分（北京时间）。</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left="0" w:leftChars="0" w:right="97" w:rightChars="46" w:firstLine="501" w:firstLineChars="209"/>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2.地点：</w:t>
      </w:r>
      <w:r>
        <w:rPr>
          <w:rFonts w:hint="eastAsia" w:ascii="仿宋" w:hAnsi="仿宋" w:eastAsia="仿宋" w:cs="仿宋"/>
          <w:sz w:val="24"/>
          <w:szCs w:val="24"/>
          <w:highlight w:val="none"/>
          <w:lang w:val="en-US" w:eastAsia="zh-CN"/>
        </w:rPr>
        <w:t>吉林省长润</w:t>
      </w:r>
      <w:r>
        <w:rPr>
          <w:rFonts w:hint="eastAsia" w:ascii="仿宋" w:hAnsi="仿宋" w:eastAsia="仿宋" w:cs="仿宋"/>
          <w:sz w:val="24"/>
          <w:szCs w:val="24"/>
          <w:highlight w:val="none"/>
          <w:lang w:val="zh-CN"/>
        </w:rPr>
        <w:t>工程咨询有限公司</w:t>
      </w:r>
      <w:r>
        <w:rPr>
          <w:rFonts w:hint="eastAsia" w:ascii="仿宋" w:hAnsi="仿宋" w:eastAsia="仿宋" w:cs="仿宋"/>
          <w:color w:val="auto"/>
          <w:sz w:val="24"/>
          <w:szCs w:val="24"/>
          <w:highlight w:val="none"/>
          <w:lang w:val="en-US" w:eastAsia="zh-CN"/>
        </w:rPr>
        <w:t>。</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left="0" w:leftChars="0" w:right="97" w:rightChars="46" w:firstLine="739" w:firstLineChars="308"/>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地址：</w:t>
      </w:r>
      <w:r>
        <w:rPr>
          <w:rFonts w:hint="eastAsia" w:ascii="仿宋" w:hAnsi="仿宋" w:eastAsia="仿宋" w:cs="仿宋"/>
          <w:sz w:val="24"/>
          <w:szCs w:val="24"/>
          <w:highlight w:val="none"/>
          <w:lang w:val="zh-CN"/>
        </w:rPr>
        <w:t>延吉市人民路1977号</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1"/>
        <w:rPr>
          <w:rFonts w:hint="eastAsia" w:ascii="黑体" w:hAnsi="黑体" w:eastAsia="黑体" w:cs="黑体"/>
          <w:b w:val="0"/>
          <w:bCs w:val="0"/>
          <w:color w:val="auto"/>
          <w:sz w:val="24"/>
          <w:szCs w:val="24"/>
          <w:highlight w:val="none"/>
          <w:lang w:val="zh-CN"/>
        </w:rPr>
      </w:pPr>
      <w:bookmarkStart w:id="12" w:name="_Toc17340"/>
      <w:r>
        <w:rPr>
          <w:rFonts w:hint="eastAsia" w:ascii="黑体" w:hAnsi="黑体" w:eastAsia="黑体" w:cs="黑体"/>
          <w:b w:val="0"/>
          <w:bCs w:val="0"/>
          <w:color w:val="auto"/>
          <w:sz w:val="24"/>
          <w:szCs w:val="24"/>
          <w:highlight w:val="none"/>
          <w:lang w:val="zh-CN"/>
        </w:rPr>
        <w:t>六、公告期限</w:t>
      </w:r>
      <w:bookmarkEnd w:id="12"/>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zh-CN" w:eastAsia="zh-CN"/>
        </w:rPr>
        <w:t>自本公告发出之日起5个工作日。</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1"/>
        <w:rPr>
          <w:rFonts w:hint="eastAsia" w:ascii="黑体" w:hAnsi="黑体" w:eastAsia="黑体" w:cs="黑体"/>
          <w:b w:val="0"/>
          <w:bCs w:val="0"/>
          <w:color w:val="auto"/>
          <w:sz w:val="24"/>
          <w:szCs w:val="24"/>
          <w:highlight w:val="none"/>
          <w:lang w:val="zh-CN"/>
        </w:rPr>
      </w:pPr>
      <w:bookmarkStart w:id="13" w:name="_Toc30051"/>
      <w:r>
        <w:rPr>
          <w:rFonts w:hint="eastAsia" w:ascii="黑体" w:hAnsi="黑体" w:eastAsia="黑体" w:cs="黑体"/>
          <w:b w:val="0"/>
          <w:bCs w:val="0"/>
          <w:color w:val="auto"/>
          <w:sz w:val="24"/>
          <w:szCs w:val="24"/>
          <w:highlight w:val="none"/>
          <w:lang w:val="zh-CN"/>
        </w:rPr>
        <w:t>七、其他补充事宜</w:t>
      </w:r>
      <w:bookmarkEnd w:id="13"/>
    </w:p>
    <w:p>
      <w:pPr>
        <w:pStyle w:val="14"/>
        <w:keepNext w:val="0"/>
        <w:keepLines w:val="0"/>
        <w:pageBreakBefore w:val="0"/>
        <w:widowControl w:val="0"/>
        <w:numPr>
          <w:ilvl w:val="0"/>
          <w:numId w:val="0"/>
        </w:numPr>
        <w:shd w:val="clear" w:color="auto" w:fill="auto"/>
        <w:tabs>
          <w:tab w:val="left" w:pos="757"/>
        </w:tabs>
        <w:kinsoku/>
        <w:wordWrap/>
        <w:overflowPunct/>
        <w:topLinePunct w:val="0"/>
        <w:bidi w:val="0"/>
        <w:snapToGrid/>
        <w:spacing w:before="0" w:after="0" w:line="360" w:lineRule="exact"/>
        <w:ind w:right="0" w:rightChars="0" w:firstLine="480" w:firstLineChars="200"/>
        <w:jc w:val="both"/>
        <w:textAlignment w:val="auto"/>
        <w:rPr>
          <w:rFonts w:hint="eastAsia" w:ascii="仿宋" w:hAnsi="仿宋" w:eastAsia="仿宋" w:cs="仿宋"/>
          <w:color w:val="auto"/>
          <w:sz w:val="24"/>
          <w:szCs w:val="24"/>
          <w:highlight w:val="none"/>
        </w:rPr>
      </w:pPr>
      <w:bookmarkStart w:id="17" w:name="_GoBack"/>
      <w:bookmarkEnd w:id="17"/>
      <w:r>
        <w:rPr>
          <w:rFonts w:hint="eastAsia" w:ascii="仿宋" w:hAnsi="仿宋" w:eastAsia="仿宋" w:cs="仿宋"/>
          <w:color w:val="auto"/>
          <w:spacing w:val="0"/>
          <w:w w:val="100"/>
          <w:position w:val="0"/>
          <w:sz w:val="24"/>
          <w:szCs w:val="24"/>
          <w:highlight w:val="none"/>
          <w:lang w:val="en-US" w:eastAsia="zh-CN"/>
        </w:rPr>
        <w:t>1.</w:t>
      </w:r>
      <w:r>
        <w:rPr>
          <w:rFonts w:hint="eastAsia" w:ascii="仿宋" w:hAnsi="仿宋" w:eastAsia="仿宋" w:cs="仿宋"/>
          <w:color w:val="auto"/>
          <w:spacing w:val="0"/>
          <w:w w:val="100"/>
          <w:position w:val="0"/>
          <w:sz w:val="24"/>
          <w:szCs w:val="24"/>
          <w:highlight w:val="none"/>
        </w:rPr>
        <w:t>为控制疫情发展，根据吉卫明电【2020】190号文件要求，高、中风险地区的投标企业须授权委托延边州内人员进行投标活动。递交</w:t>
      </w:r>
      <w:r>
        <w:rPr>
          <w:rFonts w:hint="eastAsia" w:ascii="仿宋" w:hAnsi="仿宋" w:eastAsia="仿宋" w:cs="仿宋"/>
          <w:color w:val="auto"/>
          <w:spacing w:val="0"/>
          <w:w w:val="100"/>
          <w:position w:val="0"/>
          <w:sz w:val="24"/>
          <w:szCs w:val="24"/>
          <w:highlight w:val="none"/>
          <w:lang w:eastAsia="zh-CN"/>
        </w:rPr>
        <w:t>投标文件</w:t>
      </w:r>
      <w:r>
        <w:rPr>
          <w:rFonts w:hint="eastAsia" w:ascii="仿宋" w:hAnsi="仿宋" w:eastAsia="仿宋" w:cs="仿宋"/>
          <w:color w:val="auto"/>
          <w:spacing w:val="0"/>
          <w:w w:val="100"/>
          <w:position w:val="0"/>
          <w:sz w:val="24"/>
          <w:szCs w:val="24"/>
          <w:highlight w:val="none"/>
        </w:rPr>
        <w:t>时，延边州内的供应商须提供吉祥码。</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right="97" w:rightChars="46"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未购买采购文件的、逾期送达或者未送达指定地点的投标文件，采购人不予受理。</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right="97" w:rightChars="46"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供应商在递交投标文件时，应按照有关规定递交投标保证金或提供银行出具的保函。</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right="97" w:rightChars="46"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eastAsia="zh-CN"/>
        </w:rPr>
        <w:t>有效供应商不足法定数量时，采购人另行组织采购。</w:t>
      </w:r>
    </w:p>
    <w:p>
      <w:pPr>
        <w:keepNext w:val="0"/>
        <w:keepLines w:val="0"/>
        <w:pageBreakBefore w:val="0"/>
        <w:widowControl w:val="0"/>
        <w:tabs>
          <w:tab w:val="left" w:pos="-3675"/>
        </w:tabs>
        <w:kinsoku/>
        <w:wordWrap/>
        <w:overflowPunct/>
        <w:topLinePunct w:val="0"/>
        <w:autoSpaceDE w:val="0"/>
        <w:autoSpaceDN w:val="0"/>
        <w:bidi w:val="0"/>
        <w:adjustRightInd w:val="0"/>
        <w:snapToGrid/>
        <w:spacing w:line="360" w:lineRule="exact"/>
        <w:ind w:right="97" w:rightChars="46"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本次采购公告同时在《中国政府采购网》、《中国采购与招标网》上发布。</w:t>
      </w:r>
    </w:p>
    <w:p>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outlineLvl w:val="1"/>
        <w:rPr>
          <w:rFonts w:hint="eastAsia" w:ascii="黑体" w:hAnsi="黑体" w:eastAsia="黑体" w:cs="黑体"/>
          <w:b w:val="0"/>
          <w:bCs w:val="0"/>
          <w:color w:val="auto"/>
          <w:sz w:val="24"/>
          <w:szCs w:val="24"/>
          <w:highlight w:val="none"/>
          <w:lang w:val="zh-CN"/>
        </w:rPr>
      </w:pPr>
      <w:bookmarkStart w:id="14" w:name="_Toc15019"/>
      <w:r>
        <w:rPr>
          <w:rFonts w:hint="eastAsia" w:ascii="黑体" w:hAnsi="黑体" w:eastAsia="黑体" w:cs="黑体"/>
          <w:b w:val="0"/>
          <w:bCs w:val="0"/>
          <w:color w:val="auto"/>
          <w:sz w:val="24"/>
          <w:szCs w:val="24"/>
          <w:highlight w:val="none"/>
          <w:lang w:val="zh-CN"/>
        </w:rPr>
        <w:t>八、凡对本次采购提出询问，请按以下方式联系。</w:t>
      </w:r>
      <w:bookmarkEnd w:id="14"/>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.采购人信息</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称：</w:t>
      </w:r>
      <w:r>
        <w:rPr>
          <w:rFonts w:hint="eastAsia" w:ascii="仿宋" w:hAnsi="仿宋" w:eastAsia="仿宋" w:cs="仿宋"/>
          <w:b w:val="0"/>
          <w:bCs w:val="0"/>
          <w:color w:val="auto"/>
          <w:kern w:val="0"/>
          <w:sz w:val="24"/>
          <w:szCs w:val="24"/>
          <w:highlight w:val="none"/>
          <w:lang w:val="en-US" w:eastAsia="zh-CN" w:bidi="ar"/>
        </w:rPr>
        <w:t>延吉市公安局</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地    址：</w:t>
      </w:r>
      <w:r>
        <w:rPr>
          <w:rFonts w:hint="eastAsia" w:ascii="仿宋" w:hAnsi="仿宋" w:eastAsia="仿宋" w:cs="仿宋"/>
          <w:color w:val="000000" w:themeColor="text1"/>
          <w:sz w:val="24"/>
          <w:szCs w:val="24"/>
          <w:highlight w:val="none"/>
          <w14:textFill>
            <w14:solidFill>
              <w14:schemeClr w14:val="tx1"/>
            </w14:solidFill>
          </w14:textFill>
        </w:rPr>
        <w:t>延吉市长白山西路7999号</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联 系 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千成龙</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联系方式：</w:t>
      </w:r>
      <w:r>
        <w:rPr>
          <w:rFonts w:hint="eastAsia" w:ascii="仿宋" w:hAnsi="仿宋" w:eastAsia="仿宋" w:cs="仿宋"/>
          <w:color w:val="000000" w:themeColor="text1"/>
          <w:sz w:val="24"/>
          <w:szCs w:val="24"/>
          <w:highlight w:val="none"/>
          <w:lang w:val="en-US" w:eastAsia="zh-CN"/>
          <w14:textFill>
            <w14:solidFill>
              <w14:schemeClr w14:val="tx1"/>
            </w14:solidFill>
          </w14:textFill>
        </w:rPr>
        <w:t>0433-8150043</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采购代理机构信息</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名</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称：</w:t>
      </w:r>
      <w:r>
        <w:rPr>
          <w:rFonts w:hint="eastAsia" w:ascii="仿宋" w:hAnsi="仿宋" w:eastAsia="仿宋" w:cs="仿宋"/>
          <w:color w:val="auto"/>
          <w:sz w:val="24"/>
          <w:szCs w:val="24"/>
          <w:highlight w:val="none"/>
          <w:lang w:val="en-US" w:eastAsia="zh-CN"/>
        </w:rPr>
        <w:t>吉林省长润</w:t>
      </w:r>
      <w:r>
        <w:rPr>
          <w:rFonts w:hint="eastAsia" w:ascii="仿宋" w:hAnsi="仿宋" w:eastAsia="仿宋" w:cs="仿宋"/>
          <w:color w:val="auto"/>
          <w:sz w:val="24"/>
          <w:szCs w:val="24"/>
          <w:highlight w:val="none"/>
          <w:lang w:val="zh-CN"/>
        </w:rPr>
        <w:t>工程咨询有限公司</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地</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址：延吉市人民路1977号</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联系方式：</w:t>
      </w:r>
      <w:r>
        <w:rPr>
          <w:rFonts w:hint="eastAsia" w:ascii="仿宋" w:hAnsi="仿宋" w:eastAsia="仿宋" w:cs="仿宋"/>
          <w:color w:val="auto"/>
          <w:sz w:val="24"/>
          <w:szCs w:val="24"/>
          <w:highlight w:val="none"/>
          <w:lang w:val="en-US" w:eastAsia="zh-CN"/>
        </w:rPr>
        <w:t>0433-2099999</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项目联系人：</w:t>
      </w:r>
      <w:r>
        <w:rPr>
          <w:rFonts w:hint="eastAsia" w:ascii="仿宋" w:hAnsi="仿宋" w:eastAsia="仿宋" w:cs="仿宋"/>
          <w:color w:val="auto"/>
          <w:sz w:val="24"/>
          <w:szCs w:val="24"/>
          <w:highlight w:val="none"/>
          <w:lang w:val="en-US" w:eastAsia="zh-CN"/>
        </w:rPr>
        <w:t>孙明峰</w:t>
      </w:r>
      <w:r>
        <w:rPr>
          <w:rFonts w:hint="eastAsia" w:ascii="仿宋" w:hAnsi="仿宋" w:eastAsia="仿宋" w:cs="仿宋"/>
          <w:color w:val="auto"/>
          <w:sz w:val="24"/>
          <w:szCs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电     话</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18843339002</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360" w:lineRule="exact"/>
        <w:ind w:firstLine="3600" w:firstLineChars="1500"/>
        <w:jc w:val="righ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吉林省长润</w:t>
      </w:r>
      <w:r>
        <w:rPr>
          <w:rFonts w:hint="eastAsia" w:ascii="仿宋" w:hAnsi="仿宋" w:eastAsia="仿宋" w:cs="仿宋"/>
          <w:color w:val="auto"/>
          <w:sz w:val="24"/>
          <w:szCs w:val="24"/>
          <w:highlight w:val="none"/>
          <w:lang w:val="zh-CN"/>
        </w:rPr>
        <w:t>工程咨询有限公司</w:t>
      </w:r>
    </w:p>
    <w:p>
      <w:pPr>
        <w:keepNext w:val="0"/>
        <w:keepLines w:val="0"/>
        <w:pageBreakBefore w:val="0"/>
        <w:widowControl w:val="0"/>
        <w:kinsoku/>
        <w:wordWrap/>
        <w:overflowPunct/>
        <w:topLinePunct w:val="0"/>
        <w:bidi w:val="0"/>
        <w:snapToGrid/>
        <w:spacing w:before="0" w:after="0" w:line="360" w:lineRule="exact"/>
        <w:jc w:val="right"/>
        <w:textAlignment w:val="auto"/>
        <w:outlineLvl w:val="9"/>
        <w:rPr>
          <w:rFonts w:hint="eastAsia" w:ascii="仿宋" w:hAnsi="仿宋" w:eastAsia="仿宋" w:cs="仿宋"/>
          <w:color w:val="auto"/>
          <w:kern w:val="2"/>
          <w:sz w:val="24"/>
          <w:szCs w:val="24"/>
          <w:highlight w:val="none"/>
        </w:rPr>
      </w:pPr>
      <w:bookmarkStart w:id="15" w:name="_Toc32728"/>
      <w:bookmarkStart w:id="16" w:name="_Toc26736"/>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lang w:val="zh-CN"/>
        </w:rPr>
        <w:t>2022年</w:t>
      </w:r>
      <w:r>
        <w:rPr>
          <w:rFonts w:hint="eastAsia" w:ascii="仿宋" w:hAnsi="仿宋" w:eastAsia="仿宋" w:cs="仿宋"/>
          <w:color w:val="auto"/>
          <w:kern w:val="2"/>
          <w:sz w:val="24"/>
          <w:szCs w:val="24"/>
          <w:highlight w:val="none"/>
          <w:lang w:val="en-US" w:eastAsia="zh-CN"/>
        </w:rPr>
        <w:t>8</w:t>
      </w:r>
      <w:r>
        <w:rPr>
          <w:rFonts w:hint="eastAsia" w:ascii="仿宋" w:hAnsi="仿宋" w:eastAsia="仿宋" w:cs="仿宋"/>
          <w:color w:val="auto"/>
          <w:kern w:val="2"/>
          <w:sz w:val="24"/>
          <w:szCs w:val="24"/>
          <w:highlight w:val="none"/>
          <w:lang w:val="zh-CN"/>
        </w:rPr>
        <w:t>月</w:t>
      </w:r>
      <w:bookmarkEnd w:id="15"/>
      <w:r>
        <w:rPr>
          <w:rFonts w:hint="eastAsia" w:ascii="仿宋" w:hAnsi="仿宋" w:eastAsia="仿宋" w:cs="仿宋"/>
          <w:color w:val="auto"/>
          <w:kern w:val="2"/>
          <w:sz w:val="24"/>
          <w:szCs w:val="24"/>
          <w:highlight w:val="none"/>
          <w:lang w:val="en-US" w:eastAsia="zh-CN"/>
        </w:rPr>
        <w:t>18</w:t>
      </w:r>
      <w:r>
        <w:rPr>
          <w:rFonts w:hint="eastAsia" w:ascii="仿宋" w:hAnsi="仿宋" w:eastAsia="仿宋" w:cs="仿宋"/>
          <w:color w:val="auto"/>
          <w:kern w:val="2"/>
          <w:sz w:val="24"/>
          <w:szCs w:val="24"/>
          <w:highlight w:val="none"/>
        </w:rPr>
        <w:t>日</w:t>
      </w:r>
      <w:bookmarkEnd w:id="16"/>
    </w:p>
    <w:p>
      <w:pPr>
        <w:pStyle w:val="2"/>
        <w:keepNext w:val="0"/>
        <w:keepLines w:val="0"/>
        <w:pageBreakBefore w:val="0"/>
        <w:widowControl w:val="0"/>
        <w:kinsoku/>
        <w:wordWrap/>
        <w:overflowPunct/>
        <w:topLinePunct w:val="0"/>
        <w:bidi w:val="0"/>
        <w:snapToGrid/>
        <w:spacing w:line="360" w:lineRule="exact"/>
        <w:textAlignment w:val="auto"/>
        <w:rPr>
          <w:rFonts w:hint="eastAsia" w:ascii="宋体" w:hAnsi="宋体" w:cs="宋体"/>
          <w:color w:val="auto"/>
          <w:kern w:val="2"/>
          <w:sz w:val="24"/>
          <w:szCs w:val="24"/>
          <w:highlight w:val="none"/>
          <w:lang w:eastAsia="zh-CN"/>
        </w:rPr>
      </w:pPr>
    </w:p>
    <w:p>
      <w:pPr>
        <w:pStyle w:val="2"/>
        <w:rPr>
          <w:rFonts w:hint="eastAsia" w:ascii="宋体" w:hAnsi="宋体" w:cs="宋体"/>
          <w:color w:val="auto"/>
          <w:kern w:val="2"/>
          <w:sz w:val="24"/>
          <w:szCs w:val="24"/>
          <w:highlight w:val="none"/>
          <w:lang w:eastAsia="zh-CN"/>
        </w:rPr>
      </w:pPr>
    </w:p>
    <w:p>
      <w:pPr>
        <w:pStyle w:val="2"/>
        <w:rPr>
          <w:rFonts w:hint="eastAsia" w:ascii="宋体" w:hAnsi="宋体" w:cs="宋体"/>
          <w:color w:val="auto"/>
          <w:kern w:val="2"/>
          <w:sz w:val="24"/>
          <w:szCs w:val="24"/>
          <w:highlight w:val="none"/>
          <w:lang w:eastAsia="zh-CN"/>
        </w:rPr>
      </w:pPr>
    </w:p>
    <w:p>
      <w:pPr>
        <w:pStyle w:val="2"/>
        <w:rPr>
          <w:rFonts w:hint="eastAsia" w:ascii="宋体" w:hAnsi="宋体" w:cs="宋体"/>
          <w:color w:val="auto"/>
          <w:kern w:val="2"/>
          <w:sz w:val="24"/>
          <w:szCs w:val="24"/>
          <w:highlight w:val="none"/>
          <w:lang w:eastAsia="zh-CN"/>
        </w:rPr>
      </w:pPr>
    </w:p>
    <w:p>
      <w:pPr>
        <w:pStyle w:val="2"/>
        <w:rPr>
          <w:rFonts w:hint="eastAsia" w:ascii="宋体" w:hAnsi="宋体" w:cs="宋体"/>
          <w:color w:val="auto"/>
          <w:kern w:val="2"/>
          <w:sz w:val="24"/>
          <w:szCs w:val="24"/>
          <w:highlight w:val="none"/>
          <w:lang w:eastAsia="zh-CN"/>
        </w:rPr>
      </w:pPr>
    </w:p>
    <w:p>
      <w:pPr>
        <w:pStyle w:val="2"/>
        <w:rPr>
          <w:rFonts w:hint="eastAsia" w:ascii="宋体" w:hAnsi="宋体" w:cs="宋体"/>
          <w:color w:val="auto"/>
          <w:kern w:val="2"/>
          <w:sz w:val="24"/>
          <w:szCs w:val="24"/>
          <w:highlight w:val="none"/>
          <w:lang w:eastAsia="zh-CN"/>
        </w:rPr>
      </w:pPr>
    </w:p>
    <w:p>
      <w:pPr>
        <w:pStyle w:val="2"/>
        <w:rPr>
          <w:rFonts w:hint="eastAsia" w:ascii="宋体" w:hAnsi="宋体" w:cs="宋体"/>
          <w:color w:val="auto"/>
          <w:kern w:val="2"/>
          <w:sz w:val="24"/>
          <w:szCs w:val="24"/>
          <w:highlight w:val="none"/>
          <w:lang w:eastAsia="zh-CN"/>
        </w:rPr>
      </w:pPr>
    </w:p>
    <w:p>
      <w:pPr>
        <w:pStyle w:val="2"/>
        <w:rPr>
          <w:rFonts w:hint="eastAsia" w:ascii="宋体" w:hAnsi="宋体" w:cs="宋体"/>
          <w:color w:val="auto"/>
          <w:kern w:val="2"/>
          <w:sz w:val="24"/>
          <w:szCs w:val="24"/>
          <w:highlight w:val="none"/>
          <w:lang w:eastAsia="zh-CN"/>
        </w:rPr>
      </w:pPr>
    </w:p>
    <w:p>
      <w:pPr>
        <w:pStyle w:val="2"/>
        <w:rPr>
          <w:rFonts w:hint="eastAsia" w:ascii="宋体" w:hAnsi="宋体" w:cs="宋体"/>
          <w:color w:val="auto"/>
          <w:kern w:val="2"/>
          <w:sz w:val="24"/>
          <w:szCs w:val="24"/>
          <w:highlight w:val="none"/>
          <w:lang w:eastAsia="zh-CN"/>
        </w:rPr>
      </w:pPr>
    </w:p>
    <w:p>
      <w:pPr>
        <w:rPr>
          <w:rFonts w:hint="eastAsia" w:ascii="宋体" w:hAnsi="宋体" w:cs="宋体"/>
          <w:color w:val="auto"/>
          <w:kern w:val="2"/>
          <w:sz w:val="24"/>
          <w:szCs w:val="24"/>
          <w:highlight w:val="none"/>
          <w:lang w:eastAsia="zh-CN"/>
        </w:rPr>
      </w:pPr>
    </w:p>
    <w:p>
      <w:pPr>
        <w:pStyle w:val="2"/>
        <w:rPr>
          <w:rFonts w:hint="eastAsia"/>
          <w:lang w:eastAsia="zh-CN"/>
        </w:rPr>
      </w:pPr>
    </w:p>
    <w:p>
      <w:pPr>
        <w:pStyle w:val="2"/>
        <w:rPr>
          <w:rFonts w:hint="eastAsia" w:ascii="宋体" w:hAnsi="宋体" w:cs="宋体"/>
          <w:color w:val="auto"/>
          <w:kern w:val="2"/>
          <w:sz w:val="24"/>
          <w:szCs w:val="24"/>
          <w:highlight w:val="none"/>
          <w:lang w:eastAsia="zh-CN"/>
        </w:rPr>
      </w:pPr>
    </w:p>
    <w:p>
      <w:pPr>
        <w:pStyle w:val="2"/>
        <w:rPr>
          <w:rFonts w:hint="eastAsia" w:ascii="宋体" w:hAnsi="宋体" w:cs="宋体"/>
          <w:color w:val="auto"/>
          <w:kern w:val="2"/>
          <w:sz w:val="24"/>
          <w:szCs w:val="24"/>
          <w:highlight w:val="none"/>
          <w:lang w:eastAsia="zh-CN"/>
        </w:rPr>
      </w:pPr>
    </w:p>
    <w:p>
      <w:pPr>
        <w:pStyle w:val="2"/>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color w:val="auto"/>
          <w:highlight w:val="none"/>
        </w:rPr>
      </w:pPr>
      <w:r>
        <w:rPr>
          <w:rFonts w:hint="eastAsia" w:ascii="宋体" w:hAnsi="宋体" w:cs="宋体"/>
          <w:b/>
          <w:bCs/>
          <w:color w:val="auto"/>
          <w:sz w:val="32"/>
          <w:szCs w:val="32"/>
          <w:highlight w:val="none"/>
        </w:rPr>
        <w:t>（一）法定代表人身份证明</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单位性质：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成立时间：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经营期限：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（供应商名称）的法定代表人（负责人）。</w:t>
      </w:r>
    </w:p>
    <w:p>
      <w:pPr>
        <w:spacing w:line="360" w:lineRule="auto"/>
        <w:ind w:firstLine="960" w:firstLineChars="400"/>
        <w:rPr>
          <w:rFonts w:ascii="宋体" w:hAnsi="宋体" w:cs="宋体"/>
          <w:color w:val="auto"/>
          <w:highlight w:val="none"/>
        </w:rPr>
      </w:pPr>
      <w:r>
        <w:rPr>
          <w:rFonts w:hint="eastAsia" w:ascii="宋体" w:hAnsi="宋体" w:cs="宋体"/>
          <w:color w:val="auto"/>
          <w:sz w:val="24"/>
          <w:szCs w:val="24"/>
          <w:highlight w:val="none"/>
        </w:rPr>
        <w:t>特此证明。</w:t>
      </w:r>
    </w:p>
    <w:tbl>
      <w:tblPr>
        <w:tblStyle w:val="11"/>
        <w:tblpPr w:leftFromText="180" w:rightFromText="180" w:vertAnchor="text" w:horzAnchor="page" w:tblpX="3178"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highlight w:val="none"/>
                <w:vertAlign w:val="baseline"/>
              </w:rPr>
            </w:pPr>
            <w:r>
              <w:rPr>
                <w:rFonts w:hint="eastAsia" w:ascii="黑体" w:eastAsia="黑体" w:cs="黑体"/>
                <w:color w:val="auto"/>
                <w:sz w:val="24"/>
                <w:szCs w:val="24"/>
                <w:highlight w:val="none"/>
              </w:rPr>
              <w:t>法定代表人（负责人）身份证</w:t>
            </w:r>
            <w:r>
              <w:rPr>
                <w:rFonts w:hint="eastAsia" w:ascii="黑体" w:eastAsia="黑体" w:cs="黑体"/>
                <w:color w:val="auto"/>
                <w:sz w:val="24"/>
                <w:szCs w:val="24"/>
                <w:highlight w:val="none"/>
                <w:lang w:eastAsia="zh-CN"/>
              </w:rPr>
              <w:t>正、反</w:t>
            </w:r>
            <w:r>
              <w:rPr>
                <w:rFonts w:hint="eastAsia" w:ascii="黑体" w:eastAsia="黑体" w:cs="黑体"/>
                <w:color w:val="auto"/>
                <w:sz w:val="24"/>
                <w:szCs w:val="24"/>
                <w:highlight w:val="none"/>
              </w:rPr>
              <w:t>复印件</w:t>
            </w:r>
          </w:p>
        </w:tc>
      </w:tr>
    </w:tbl>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color w:val="auto"/>
          <w:highlight w:val="none"/>
        </w:rPr>
      </w:pPr>
    </w:p>
    <w:p>
      <w:pPr>
        <w:pStyle w:val="9"/>
        <w:rPr>
          <w:color w:val="auto"/>
          <w:highlight w:val="none"/>
        </w:rPr>
      </w:pPr>
    </w:p>
    <w:p>
      <w:pPr>
        <w:spacing w:line="360" w:lineRule="auto"/>
        <w:jc w:val="right"/>
        <w:rPr>
          <w:rFonts w:ascii="宋体" w:hAnsi="宋体" w:cs="宋体"/>
          <w:color w:val="auto"/>
          <w:sz w:val="24"/>
          <w:szCs w:val="24"/>
          <w:highlight w:val="none"/>
        </w:rPr>
      </w:pPr>
    </w:p>
    <w:p>
      <w:pPr>
        <w:spacing w:line="360" w:lineRule="auto"/>
        <w:jc w:val="right"/>
        <w:rPr>
          <w:rFonts w:hint="eastAsia" w:ascii="宋体" w:hAnsi="宋体" w:cs="宋体"/>
          <w:color w:val="auto"/>
          <w:sz w:val="24"/>
          <w:szCs w:val="24"/>
          <w:highlight w:val="none"/>
        </w:rPr>
      </w:pPr>
    </w:p>
    <w:p>
      <w:pPr>
        <w:spacing w:line="360" w:lineRule="auto"/>
        <w:jc w:val="right"/>
        <w:rPr>
          <w:rFonts w:hint="eastAsia" w:ascii="宋体" w:hAnsi="宋体" w:cs="宋体"/>
          <w:color w:val="auto"/>
          <w:sz w:val="24"/>
          <w:szCs w:val="24"/>
          <w:highlight w:val="none"/>
        </w:rPr>
      </w:pPr>
    </w:p>
    <w:p>
      <w:pPr>
        <w:spacing w:line="360" w:lineRule="auto"/>
        <w:jc w:val="right"/>
        <w:rPr>
          <w:rFonts w:hint="eastAsia" w:ascii="宋体" w:hAnsi="宋体" w:cs="宋体"/>
          <w:color w:val="auto"/>
          <w:sz w:val="24"/>
          <w:szCs w:val="24"/>
          <w:highlight w:val="none"/>
        </w:rPr>
      </w:pPr>
    </w:p>
    <w:p>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供应商名称：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spacing w:line="360" w:lineRule="auto"/>
        <w:ind w:firstLine="5160" w:firstLineChars="2150"/>
        <w:rPr>
          <w:rFonts w:ascii="宋体" w:hAnsi="宋体" w:cs="宋体"/>
          <w:color w:val="auto"/>
          <w:sz w:val="24"/>
          <w:szCs w:val="24"/>
          <w:highlight w:val="none"/>
          <w:u w:val="single"/>
        </w:rPr>
      </w:pPr>
    </w:p>
    <w:p>
      <w:pPr>
        <w:pStyle w:val="6"/>
        <w:spacing w:line="360" w:lineRule="auto"/>
        <w:ind w:firstLine="480" w:firstLineChars="200"/>
        <w:jc w:val="right"/>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p>
    <w:p>
      <w:pPr>
        <w:pStyle w:val="6"/>
        <w:spacing w:line="360" w:lineRule="auto"/>
        <w:ind w:firstLine="562" w:firstLineChars="200"/>
        <w:jc w:val="center"/>
        <w:rPr>
          <w:rFonts w:hAnsi="宋体"/>
          <w:b/>
          <w:color w:val="auto"/>
          <w:sz w:val="28"/>
          <w:szCs w:val="28"/>
          <w:highlight w:val="none"/>
        </w:rPr>
      </w:pPr>
    </w:p>
    <w:p>
      <w:pPr>
        <w:pStyle w:val="6"/>
        <w:spacing w:line="360" w:lineRule="auto"/>
        <w:ind w:firstLine="562" w:firstLineChars="200"/>
        <w:jc w:val="center"/>
        <w:rPr>
          <w:rFonts w:hAnsi="宋体"/>
          <w:b/>
          <w:color w:val="auto"/>
          <w:sz w:val="28"/>
          <w:szCs w:val="28"/>
          <w:highlight w:val="none"/>
        </w:rPr>
      </w:pPr>
    </w:p>
    <w:p>
      <w:pPr>
        <w:pStyle w:val="6"/>
        <w:spacing w:line="360" w:lineRule="auto"/>
        <w:ind w:firstLine="562" w:firstLineChars="200"/>
        <w:jc w:val="center"/>
        <w:rPr>
          <w:rFonts w:hAnsi="宋体"/>
          <w:b/>
          <w:color w:val="auto"/>
          <w:sz w:val="28"/>
          <w:szCs w:val="28"/>
          <w:highlight w:val="none"/>
        </w:rPr>
      </w:pPr>
    </w:p>
    <w:p>
      <w:pPr>
        <w:rPr>
          <w:rFonts w:ascii="宋体" w:hAnsi="宋体" w:cs="宋体"/>
          <w:b/>
          <w:color w:val="auto"/>
          <w:sz w:val="28"/>
          <w:szCs w:val="28"/>
          <w:highlight w:val="none"/>
        </w:rPr>
      </w:pPr>
    </w:p>
    <w:p>
      <w:pPr>
        <w:pStyle w:val="4"/>
        <w:rPr>
          <w:color w:val="auto"/>
          <w:highlight w:val="none"/>
        </w:rPr>
      </w:pPr>
    </w:p>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Ansi="宋体"/>
          <w:b/>
          <w:color w:val="auto"/>
          <w:sz w:val="32"/>
          <w:szCs w:val="32"/>
          <w:highlight w:val="none"/>
        </w:rPr>
      </w:pPr>
      <w:r>
        <w:rPr>
          <w:rFonts w:hint="eastAsia" w:hAnsi="宋体"/>
          <w:b/>
          <w:color w:val="auto"/>
          <w:sz w:val="28"/>
          <w:szCs w:val="28"/>
          <w:highlight w:val="none"/>
        </w:rPr>
        <w:t>（二）</w:t>
      </w:r>
      <w:r>
        <w:rPr>
          <w:rFonts w:hint="eastAsia" w:hAnsi="宋体"/>
          <w:b/>
          <w:color w:val="auto"/>
          <w:sz w:val="32"/>
          <w:szCs w:val="32"/>
          <w:highlight w:val="none"/>
        </w:rPr>
        <w:t>授权委托书</w:t>
      </w:r>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（供应商名称）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（姓名）为我方代理人。代理人根据授权，以我方名义签署、澄清、说明、补正、递交、撤回、修改</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响应文件、签订合同和处理有关事宜，其法律后果由我方承担。</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p>
    <w:p>
      <w:pPr>
        <w:spacing w:line="360"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代理人无转委托权。</w:t>
      </w:r>
    </w:p>
    <w:tbl>
      <w:tblPr>
        <w:tblStyle w:val="11"/>
        <w:tblpPr w:leftFromText="180" w:rightFromText="180" w:vertAnchor="text" w:horzAnchor="page" w:tblpX="3166" w:tblpY="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8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highlight w:val="none"/>
                <w:vertAlign w:val="baseline"/>
              </w:rPr>
            </w:pPr>
            <w:r>
              <w:rPr>
                <w:rFonts w:hint="eastAsia" w:ascii="黑体" w:eastAsia="黑体" w:cs="黑体"/>
                <w:color w:val="auto"/>
                <w:sz w:val="24"/>
                <w:szCs w:val="24"/>
                <w:highlight w:val="none"/>
              </w:rPr>
              <w:t>法定代表人（负责人）身份证</w:t>
            </w:r>
            <w:r>
              <w:rPr>
                <w:rFonts w:hint="eastAsia" w:ascii="黑体" w:eastAsia="黑体" w:cs="黑体"/>
                <w:color w:val="auto"/>
                <w:sz w:val="24"/>
                <w:szCs w:val="24"/>
                <w:highlight w:val="none"/>
                <w:lang w:eastAsia="zh-CN"/>
              </w:rPr>
              <w:t>正、反</w:t>
            </w:r>
            <w:r>
              <w:rPr>
                <w:rFonts w:hint="eastAsia" w:ascii="黑体" w:eastAsia="黑体" w:cs="黑体"/>
                <w:color w:val="auto"/>
                <w:sz w:val="24"/>
                <w:szCs w:val="24"/>
                <w:highlight w:val="none"/>
              </w:rPr>
              <w:t>复印件</w:t>
            </w:r>
          </w:p>
        </w:tc>
      </w:tr>
    </w:tbl>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right="-13" w:rightChars="-6"/>
        <w:jc w:val="right"/>
        <w:rPr>
          <w:rFonts w:hint="eastAsia" w:ascii="宋体" w:hAnsi="宋体" w:cs="宋体"/>
          <w:color w:val="auto"/>
          <w:highlight w:val="none"/>
        </w:rPr>
      </w:pPr>
    </w:p>
    <w:p>
      <w:pPr>
        <w:spacing w:line="360" w:lineRule="auto"/>
        <w:ind w:right="-13" w:rightChars="-6" w:firstLine="2160" w:firstLineChars="900"/>
        <w:jc w:val="both"/>
        <w:rPr>
          <w:rFonts w:ascii="宋体" w:hAnsi="宋体" w:cs="宋体"/>
          <w:color w:val="auto"/>
          <w:sz w:val="24"/>
          <w:szCs w:val="24"/>
          <w:highlight w:val="none"/>
        </w:rPr>
      </w:pPr>
      <w:r>
        <w:rPr>
          <w:rFonts w:hint="eastAsia" w:ascii="宋体" w:hAnsi="宋体" w:cs="宋体"/>
          <w:color w:val="auto"/>
          <w:sz w:val="24"/>
          <w:szCs w:val="24"/>
          <w:highlight w:val="none"/>
        </w:rPr>
        <w:t>供</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应</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spacing w:line="360" w:lineRule="auto"/>
        <w:ind w:firstLine="3840" w:firstLineChars="1600"/>
        <w:jc w:val="center"/>
        <w:rPr>
          <w:rFonts w:ascii="宋体" w:hAnsi="宋体" w:cs="宋体"/>
          <w:color w:val="auto"/>
          <w:sz w:val="24"/>
          <w:szCs w:val="24"/>
          <w:highlight w:val="none"/>
        </w:rPr>
      </w:pPr>
    </w:p>
    <w:p>
      <w:pPr>
        <w:spacing w:line="360" w:lineRule="auto"/>
        <w:ind w:right="-13" w:rightChars="-6" w:firstLine="2160" w:firstLineChars="900"/>
        <w:jc w:val="both"/>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字）</w:t>
      </w:r>
    </w:p>
    <w:tbl>
      <w:tblPr>
        <w:tblStyle w:val="11"/>
        <w:tblpPr w:leftFromText="180" w:rightFromText="180" w:vertAnchor="text" w:horzAnchor="page" w:tblpX="3178"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76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highlight w:val="none"/>
                <w:vertAlign w:val="baseline"/>
              </w:rPr>
            </w:pPr>
            <w:r>
              <w:rPr>
                <w:rFonts w:hint="eastAsia" w:ascii="黑体" w:eastAsia="黑体" w:cs="黑体"/>
                <w:color w:val="auto"/>
                <w:sz w:val="24"/>
                <w:szCs w:val="24"/>
                <w:highlight w:val="none"/>
                <w:lang w:eastAsia="zh-CN"/>
              </w:rPr>
              <w:t>委托代理人</w:t>
            </w:r>
            <w:r>
              <w:rPr>
                <w:rFonts w:hint="eastAsia" w:ascii="黑体" w:eastAsia="黑体" w:cs="黑体"/>
                <w:color w:val="auto"/>
                <w:sz w:val="24"/>
                <w:szCs w:val="24"/>
                <w:highlight w:val="none"/>
              </w:rPr>
              <w:t>身份证</w:t>
            </w:r>
            <w:r>
              <w:rPr>
                <w:rFonts w:hint="eastAsia" w:ascii="黑体" w:eastAsia="黑体" w:cs="黑体"/>
                <w:color w:val="auto"/>
                <w:sz w:val="24"/>
                <w:szCs w:val="24"/>
                <w:highlight w:val="none"/>
                <w:lang w:eastAsia="zh-CN"/>
              </w:rPr>
              <w:t>正、反</w:t>
            </w:r>
            <w:r>
              <w:rPr>
                <w:rFonts w:hint="eastAsia" w:ascii="黑体" w:eastAsia="黑体" w:cs="黑体"/>
                <w:color w:val="auto"/>
                <w:sz w:val="24"/>
                <w:szCs w:val="24"/>
                <w:highlight w:val="none"/>
              </w:rPr>
              <w:t>复印件</w:t>
            </w:r>
          </w:p>
        </w:tc>
      </w:tr>
    </w:tbl>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wordWrap w:val="0"/>
        <w:spacing w:line="360" w:lineRule="auto"/>
        <w:ind w:right="-13" w:rightChars="-6"/>
        <w:jc w:val="right"/>
        <w:rPr>
          <w:rFonts w:hint="eastAsia" w:ascii="宋体" w:hAnsi="宋体" w:cs="宋体"/>
          <w:color w:val="auto"/>
          <w:sz w:val="24"/>
          <w:szCs w:val="24"/>
          <w:highlight w:val="none"/>
        </w:rPr>
      </w:pPr>
    </w:p>
    <w:p>
      <w:pPr>
        <w:wordWrap w:val="0"/>
        <w:spacing w:line="360" w:lineRule="auto"/>
        <w:ind w:right="-13" w:rightChars="-6" w:firstLine="2640" w:firstLineChars="1100"/>
        <w:jc w:val="both"/>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（签字）性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别：</w:t>
      </w:r>
      <w:r>
        <w:rPr>
          <w:rFonts w:hint="eastAsia" w:ascii="宋体" w:hAnsi="宋体" w:cs="宋体"/>
          <w:color w:val="auto"/>
          <w:sz w:val="24"/>
          <w:szCs w:val="24"/>
          <w:highlight w:val="none"/>
          <w:u w:val="single"/>
        </w:rPr>
        <w:t xml:space="preserve">          </w:t>
      </w:r>
    </w:p>
    <w:p>
      <w:pPr>
        <w:spacing w:line="360" w:lineRule="auto"/>
        <w:ind w:right="-13" w:rightChars="-6"/>
        <w:jc w:val="right"/>
        <w:rPr>
          <w:rFonts w:ascii="宋体" w:hAnsi="宋体" w:cs="宋体"/>
          <w:color w:val="auto"/>
          <w:sz w:val="24"/>
          <w:szCs w:val="24"/>
          <w:highlight w:val="none"/>
        </w:rPr>
      </w:pPr>
    </w:p>
    <w:p>
      <w:pPr>
        <w:wordWrap w:val="0"/>
        <w:spacing w:line="360" w:lineRule="auto"/>
        <w:ind w:right="-13" w:rightChars="-6" w:firstLine="2640" w:firstLineChars="1100"/>
        <w:jc w:val="both"/>
        <w:rPr>
          <w:rFonts w:ascii="宋体" w:hAnsi="宋体" w:cs="宋体"/>
          <w:color w:val="auto"/>
          <w:highlight w:val="none"/>
          <w:u w:val="single"/>
        </w:rPr>
      </w:pPr>
      <w:r>
        <w:rPr>
          <w:rFonts w:hint="eastAsia" w:ascii="宋体" w:hAnsi="宋体" w:cs="宋体"/>
          <w:color w:val="auto"/>
          <w:sz w:val="24"/>
          <w:szCs w:val="24"/>
          <w:highlight w:val="none"/>
        </w:rPr>
        <w:t xml:space="preserve">年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职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务：</w:t>
      </w:r>
      <w:r>
        <w:rPr>
          <w:rFonts w:hint="eastAsia" w:ascii="宋体" w:hAnsi="宋体" w:cs="宋体"/>
          <w:color w:val="auto"/>
          <w:sz w:val="24"/>
          <w:szCs w:val="24"/>
          <w:highlight w:val="none"/>
          <w:u w:val="single"/>
        </w:rPr>
        <w:t xml:space="preserve">         </w:t>
      </w:r>
    </w:p>
    <w:p>
      <w:pPr>
        <w:spacing w:line="360" w:lineRule="auto"/>
        <w:ind w:firstLine="1200" w:firstLineChars="500"/>
        <w:jc w:val="right"/>
        <w:rPr>
          <w:rFonts w:ascii="宋体" w:hAnsi="宋体" w:cs="宋体"/>
          <w:color w:val="auto"/>
          <w:sz w:val="24"/>
          <w:szCs w:val="24"/>
          <w:highlight w:val="none"/>
          <w:u w:val="single"/>
        </w:rPr>
      </w:pPr>
    </w:p>
    <w:p>
      <w:pPr>
        <w:jc w:val="right"/>
      </w:pPr>
      <w:r>
        <w:rPr>
          <w:rFonts w:hint="eastAsia" w:ascii="宋体" w:eastAsia="宋体" w:cs="宋体"/>
          <w:b w:val="0"/>
          <w:bCs w:val="0"/>
          <w:color w:val="auto"/>
          <w:szCs w:val="24"/>
          <w:highlight w:val="none"/>
          <w:u w:val="single"/>
        </w:rPr>
        <w:t xml:space="preserve">      </w:t>
      </w:r>
      <w:r>
        <w:rPr>
          <w:rFonts w:hint="eastAsia" w:ascii="宋体" w:eastAsia="宋体" w:cs="宋体"/>
          <w:b w:val="0"/>
          <w:bCs w:val="0"/>
          <w:color w:val="auto"/>
          <w:szCs w:val="24"/>
          <w:highlight w:val="none"/>
        </w:rPr>
        <w:t>年</w:t>
      </w:r>
      <w:r>
        <w:rPr>
          <w:rFonts w:hint="eastAsia" w:ascii="宋体" w:eastAsia="宋体" w:cs="宋体"/>
          <w:b w:val="0"/>
          <w:bCs w:val="0"/>
          <w:color w:val="auto"/>
          <w:szCs w:val="24"/>
          <w:highlight w:val="none"/>
          <w:u w:val="single"/>
        </w:rPr>
        <w:t xml:space="preserve">    </w:t>
      </w:r>
      <w:r>
        <w:rPr>
          <w:rFonts w:hint="eastAsia" w:ascii="宋体" w:eastAsia="宋体" w:cs="宋体"/>
          <w:b w:val="0"/>
          <w:bCs w:val="0"/>
          <w:color w:val="auto"/>
          <w:szCs w:val="24"/>
          <w:highlight w:val="none"/>
        </w:rPr>
        <w:t>月</w:t>
      </w:r>
      <w:r>
        <w:rPr>
          <w:rFonts w:hint="eastAsia" w:ascii="宋体" w:eastAsia="宋体" w:cs="宋体"/>
          <w:b w:val="0"/>
          <w:bCs w:val="0"/>
          <w:color w:val="auto"/>
          <w:szCs w:val="24"/>
          <w:highlight w:val="none"/>
          <w:u w:val="single"/>
        </w:rPr>
        <w:t xml:space="preserve">     </w:t>
      </w:r>
      <w:r>
        <w:rPr>
          <w:rFonts w:hint="eastAsia" w:ascii="宋体" w:eastAsia="宋体" w:cs="宋体"/>
          <w:b w:val="0"/>
          <w:bCs w:val="0"/>
          <w:color w:val="auto"/>
          <w:szCs w:val="24"/>
          <w:highlight w:val="none"/>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汉鼎简楷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Cambria" w:hAnsi="Cambria" w:cs="Cambria"/>
        <w:sz w:val="21"/>
        <w:szCs w:val="21"/>
      </w:rPr>
    </w:pPr>
  </w:p>
  <w:p>
    <w:pPr>
      <w:pStyle w:val="7"/>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43FED"/>
    <w:rsid w:val="229D56B1"/>
    <w:rsid w:val="3FCC6F66"/>
    <w:rsid w:val="40E43FED"/>
    <w:rsid w:val="665F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13"/>
    <w:qFormat/>
    <w:uiPriority w:val="0"/>
    <w:pPr>
      <w:keepNext/>
      <w:keepLines/>
      <w:spacing w:before="200" w:after="200" w:line="500" w:lineRule="exact"/>
      <w:jc w:val="center"/>
      <w:outlineLvl w:val="0"/>
    </w:pPr>
    <w:rPr>
      <w:rFonts w:ascii="Times New Roman" w:hAnsi="Times New Roman" w:eastAsia="宋体" w:cs="Calibri"/>
      <w:kern w:val="44"/>
      <w:sz w:val="36"/>
      <w:szCs w:val="36"/>
    </w:rPr>
  </w:style>
  <w:style w:type="character" w:default="1" w:styleId="12">
    <w:name w:val="Default Paragraph Font"/>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4">
    <w:name w:val="Body Text"/>
    <w:basedOn w:val="1"/>
    <w:qFormat/>
    <w:uiPriority w:val="0"/>
    <w:pPr>
      <w:spacing w:line="460" w:lineRule="exact"/>
    </w:pPr>
    <w:rPr>
      <w:rFonts w:ascii="汉鼎简楷体" w:hAnsi="宋体" w:eastAsia="汉鼎简楷体"/>
      <w:b/>
      <w:bCs/>
      <w:spacing w:val="4"/>
      <w:sz w:val="24"/>
      <w:szCs w:val="20"/>
    </w:rPr>
  </w:style>
  <w:style w:type="paragraph" w:styleId="5">
    <w:name w:val="Body Text Indent"/>
    <w:basedOn w:val="1"/>
    <w:unhideWhenUsed/>
    <w:qFormat/>
    <w:uiPriority w:val="99"/>
    <w:pPr>
      <w:spacing w:after="120"/>
      <w:ind w:left="420" w:leftChars="200"/>
    </w:pPr>
  </w:style>
  <w:style w:type="paragraph" w:styleId="6">
    <w:name w:val="Plain Text"/>
    <w:basedOn w:val="1"/>
    <w:next w:val="1"/>
    <w:qFormat/>
    <w:uiPriority w:val="0"/>
    <w:rPr>
      <w:rFonts w:ascii="宋体" w:hAnsi="Courier New" w:cs="宋体"/>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qFormat/>
    <w:uiPriority w:val="99"/>
    <w:pPr>
      <w:spacing w:after="0" w:line="480" w:lineRule="exact"/>
      <w:ind w:left="0" w:leftChars="0" w:firstLine="420" w:firstLineChars="200"/>
    </w:pPr>
    <w:rPr>
      <w:rFonts w:ascii="仿宋_GB2312" w:hAnsi="Calibri" w:eastAsia="仿宋_GB2312"/>
      <w:sz w:val="32"/>
    </w:rPr>
  </w:style>
  <w:style w:type="table" w:styleId="11">
    <w:name w:val="Table Grid"/>
    <w:basedOn w:val="10"/>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标题 1 Char"/>
    <w:basedOn w:val="12"/>
    <w:link w:val="3"/>
    <w:qFormat/>
    <w:locked/>
    <w:uiPriority w:val="99"/>
    <w:rPr>
      <w:rFonts w:ascii="Times New Roman" w:hAnsi="Times New Roman" w:eastAsia="宋体" w:cs="Calibri"/>
      <w:kern w:val="44"/>
      <w:sz w:val="44"/>
      <w:szCs w:val="44"/>
      <w:lang w:val="en-US" w:eastAsia="zh-CN"/>
    </w:rPr>
  </w:style>
  <w:style w:type="paragraph" w:customStyle="1" w:styleId="14">
    <w:name w:val="Body text|1"/>
    <w:basedOn w:val="1"/>
    <w:qFormat/>
    <w:uiPriority w:val="0"/>
    <w:pPr>
      <w:widowControl w:val="0"/>
      <w:shd w:val="clear" w:color="auto" w:fill="auto"/>
      <w:spacing w:line="480" w:lineRule="auto"/>
    </w:pPr>
    <w:rPr>
      <w:rFonts w:ascii="宋体" w:hAnsi="宋体" w:eastAsia="宋体" w:cs="宋体"/>
      <w:sz w:val="20"/>
      <w:szCs w:val="20"/>
      <w:u w:val="none"/>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2022-08-18T05:51:00Z</dcterms:created>
  <dc:creator>Administrator</dc:creator>
  <cp:lastModifiedBy>Administrator</cp:lastModifiedBy>
  <dcterms:modified xsi:type="dcterms:W3CDTF">2022-08-18T06:01:13Z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E20AA9A6DD1444B0B0F2B9CC8CD7A5C2</vt:lpwstr>
  </property>
</Properties>
</file>