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 w:after="240" w:line="460" w:lineRule="exact"/>
        <w:jc w:val="center"/>
        <w:rPr>
          <w:rFonts w:hint="eastAsia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内江市威远生态环境局监测中心站实验台柜采购项目</w:t>
      </w:r>
    </w:p>
    <w:p>
      <w:pPr>
        <w:pStyle w:val="3"/>
        <w:spacing w:before="240" w:after="240" w:line="460" w:lineRule="exact"/>
        <w:jc w:val="center"/>
        <w:rPr>
          <w:rFonts w:ascii="宋体" w:hAnsi="宋体"/>
          <w:b w:val="0"/>
          <w:szCs w:val="44"/>
        </w:rPr>
      </w:pPr>
      <w:bookmarkStart w:id="0" w:name="_GoBack"/>
      <w:bookmarkEnd w:id="0"/>
      <w:r>
        <w:rPr>
          <w:rFonts w:hint="eastAsia" w:ascii="宋体" w:hAnsi="宋体"/>
          <w:sz w:val="32"/>
        </w:rPr>
        <w:t>比选公告</w:t>
      </w:r>
    </w:p>
    <w:p>
      <w:pPr>
        <w:spacing w:line="360" w:lineRule="auto"/>
        <w:ind w:left="210" w:leftChars="100" w:firstLine="480" w:firstLineChars="200"/>
        <w:rPr>
          <w:sz w:val="24"/>
        </w:rPr>
      </w:pPr>
      <w:r>
        <w:rPr>
          <w:rFonts w:hint="eastAsia"/>
          <w:sz w:val="24"/>
        </w:rPr>
        <w:t>四川国正工程咨询有限公司受</w:t>
      </w:r>
      <w:r>
        <w:rPr>
          <w:rFonts w:hint="eastAsia"/>
          <w:sz w:val="24"/>
          <w:lang w:eastAsia="zh-CN"/>
        </w:rPr>
        <w:t>内江市威远生态环境局</w:t>
      </w:r>
      <w:r>
        <w:rPr>
          <w:rFonts w:hint="eastAsia"/>
          <w:sz w:val="24"/>
        </w:rPr>
        <w:t>的委托，采用比选方式，对</w:t>
      </w:r>
      <w:r>
        <w:rPr>
          <w:rFonts w:hint="eastAsia"/>
          <w:sz w:val="24"/>
          <w:lang w:eastAsia="zh-CN"/>
        </w:rPr>
        <w:t>内江市威远生态环境局监测中心站实验台柜采购项目</w:t>
      </w:r>
      <w:r>
        <w:rPr>
          <w:rFonts w:hint="eastAsia"/>
          <w:sz w:val="24"/>
        </w:rPr>
        <w:t>进行采购，现邀请合格的参选人参加比选。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b/>
          <w:bCs/>
          <w:sz w:val="24"/>
          <w:szCs w:val="24"/>
          <w:shd w:val="clear" w:color="auto" w:fill="FFFFFF"/>
        </w:rPr>
        <w:t>项目基本情况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仿宋_GB2312"/>
          <w:shd w:val="clear" w:color="auto" w:fill="FFFFFF"/>
        </w:rPr>
      </w:pPr>
      <w:r>
        <w:rPr>
          <w:rFonts w:cs="仿宋_GB2312"/>
          <w:shd w:val="clear" w:color="auto" w:fill="FFFFFF"/>
        </w:rPr>
        <w:t>项目名称：</w:t>
      </w:r>
      <w:r>
        <w:rPr>
          <w:rFonts w:hint="eastAsia" w:cs="仿宋_GB2312"/>
          <w:shd w:val="clear" w:color="auto" w:fill="FFFFFF"/>
          <w:lang w:val="en-US" w:eastAsia="zh-CN"/>
        </w:rPr>
        <w:t>内江市威远生态环境局监测中心站实验台柜采购项目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eastAsia="宋体" w:cs="仿宋_GB2312"/>
          <w:shd w:val="clear" w:color="auto" w:fill="FFFFFF"/>
          <w:lang w:eastAsia="zh-CN"/>
        </w:rPr>
      </w:pPr>
      <w:r>
        <w:rPr>
          <w:rFonts w:hint="eastAsia" w:cs="仿宋_GB2312"/>
          <w:shd w:val="clear" w:color="auto" w:fill="FFFFFF"/>
        </w:rPr>
        <w:t>2、项目编号：</w:t>
      </w:r>
      <w:r>
        <w:rPr>
          <w:rFonts w:hint="eastAsia" w:cs="仿宋_GB2312"/>
          <w:shd w:val="clear" w:color="auto" w:fill="FFFFFF"/>
          <w:lang w:eastAsia="zh-CN"/>
        </w:rPr>
        <w:t>SCGZ-BX-2022-0022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仿宋_GB2312"/>
          <w:shd w:val="clear" w:color="auto" w:fill="FFFFFF"/>
        </w:rPr>
        <w:t>3、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项目概况：本项目共1个包，采购</w:t>
      </w:r>
      <w:r>
        <w:rPr>
          <w:rFonts w:hint="eastAsia" w:cs="仿宋_GB2312"/>
          <w:shd w:val="clear" w:color="auto" w:fill="FFFFFF"/>
          <w:lang w:eastAsia="zh-CN"/>
        </w:rPr>
        <w:t>威远生态环境局监测中心站实验室台柜</w:t>
      </w:r>
      <w:r>
        <w:rPr>
          <w:rFonts w:hint="eastAsia" w:cs="仿宋_GB2312"/>
          <w:shd w:val="clear" w:color="auto" w:fill="FFFFFF"/>
          <w:lang w:val="en-US" w:eastAsia="zh-CN"/>
        </w:rPr>
        <w:t>等设备</w:t>
      </w:r>
      <w:r>
        <w:rPr>
          <w:rFonts w:ascii="宋体" w:hAnsi="宋体" w:cs="仿宋_GB2312"/>
          <w:sz w:val="24"/>
          <w:szCs w:val="24"/>
          <w:shd w:val="clear" w:color="auto" w:fill="FFFFFF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仿宋_GB2312"/>
          <w:shd w:val="clear" w:color="auto" w:fill="FFFFFF"/>
        </w:rPr>
      </w:pPr>
      <w:r>
        <w:rPr>
          <w:rFonts w:hint="eastAsia" w:cs="仿宋_GB2312"/>
          <w:shd w:val="clear" w:color="auto" w:fill="FFFFFF"/>
        </w:rPr>
        <w:t>4、资金来源：已落实。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/>
          <w:b/>
          <w:sz w:val="24"/>
        </w:rPr>
        <w:t>申请单位资格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1、比选申请人参加本次比选活动应当具备下列条件：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1.1、具有独立承担民事责任的能力；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1.2、具有良好的商业信誉和健全的财务会计制度；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1.3、具有履行合同所必需的设备和专业技术能力；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1.4、具有依法缴纳税收和社会保障资金的良好记录；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1.5、参加本次比选活动前三年内，在经营活动中没有重大违法记录；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1.6、法律、行政法规规定的其他条件。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2、比选申请人未对本次比选项目提供过整体设计、规范编制或者项目管理、监理、检测等服务。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3、比选申请人与其他比选申请人之间，单位负责人不为同一人而且不存在直接控股、管理关系。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 xml:space="preserve">4、比选申请人单位及其现任法定代表人不得具有行贿犯罪记录。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5、本项目不接受联合体比选。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报名时间、地点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1、报名时间：凡有意报名的潜在</w:t>
      </w:r>
      <w:r>
        <w:rPr>
          <w:rFonts w:hint="eastAsia"/>
          <w:sz w:val="24"/>
          <w:lang w:val="en-US" w:eastAsia="zh-CN"/>
        </w:rPr>
        <w:t>比选申请人</w:t>
      </w:r>
      <w:r>
        <w:rPr>
          <w:rFonts w:hint="eastAsia"/>
          <w:sz w:val="24"/>
        </w:rPr>
        <w:t>，请于2022年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日至2022年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日，每日上午9时至</w:t>
      </w:r>
      <w:r>
        <w:rPr>
          <w:rFonts w:hint="eastAsia"/>
          <w:sz w:val="24"/>
          <w:lang w:val="en-US" w:eastAsia="zh-CN"/>
        </w:rPr>
        <w:t>下午</w:t>
      </w:r>
      <w:r>
        <w:rPr>
          <w:rFonts w:hint="eastAsia"/>
          <w:sz w:val="24"/>
        </w:rPr>
        <w:t>17时（北京时间，下同）</w:t>
      </w:r>
      <w:r>
        <w:rPr>
          <w:rFonts w:hint="eastAsia"/>
          <w:sz w:val="24"/>
          <w:lang w:val="en-US" w:eastAsia="zh-CN"/>
        </w:rPr>
        <w:t>通过</w:t>
      </w:r>
      <w:r>
        <w:rPr>
          <w:rFonts w:hint="eastAsia"/>
          <w:sz w:val="24"/>
        </w:rPr>
        <w:t>邮箱报名。比选文件售价3</w:t>
      </w:r>
      <w:r>
        <w:rPr>
          <w:sz w:val="24"/>
        </w:rPr>
        <w:t>00</w:t>
      </w:r>
      <w:r>
        <w:rPr>
          <w:rFonts w:hint="eastAsia"/>
          <w:sz w:val="24"/>
        </w:rPr>
        <w:t>元/份，售后不退。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邮箱报名：需发送法定代表人授权书、法人身份证复印件及授权代表身份证复印件（如法定代表人参加比选的，仅需提供法定代表人身份证）、统一社会信用代码的营业执照副本复印件（如未三证合一，则需提供营业执照副本、组织机构代码证副本、税务登记证副本）、报名费转账凭证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凭证备注项目名称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，以上资料需加盖单位鲜章发送扫描件，并且邮件备注：（比选申请人全称+授权代表姓名+联系方式+邮箱），报名资料原件于开标当天递交留存。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申请文件递交份数、时间及地点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1、申请文件份数要求：正本一份，副本二份。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2、申请文件送交时间：2022年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：00（北京时间）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val="en-US" w:eastAsia="zh-CN"/>
        </w:rPr>
        <w:t>比选申请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文件必须在比选截止时间前送达比选会地点。逾期送达或密封和标注不符合比选文件规定的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val="en-US" w:eastAsia="zh-CN"/>
        </w:rPr>
        <w:t>比选申请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文件恕不接受。本次比选不接受邮寄的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val="en-US" w:eastAsia="zh-CN"/>
        </w:rPr>
        <w:t>比选申请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文件。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3、申请文件送交地点：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eastAsia="zh-CN"/>
        </w:rPr>
        <w:t>内江市威远县滨河路罗家坝段607号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4、比选时间：2022年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0：00（北京时间）。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比选申请</w:t>
      </w:r>
      <w:r>
        <w:rPr>
          <w:rFonts w:hint="eastAsia"/>
          <w:b/>
          <w:bCs/>
          <w:sz w:val="24"/>
        </w:rPr>
        <w:t>文件有效期为比选截止日起</w:t>
      </w:r>
      <w:r>
        <w:rPr>
          <w:b/>
          <w:bCs/>
          <w:sz w:val="24"/>
        </w:rPr>
        <w:t>90</w:t>
      </w:r>
      <w:r>
        <w:rPr>
          <w:rFonts w:hint="eastAsia"/>
          <w:b/>
          <w:bCs/>
          <w:sz w:val="24"/>
        </w:rPr>
        <w:t>天</w:t>
      </w:r>
      <w:r>
        <w:rPr>
          <w:rFonts w:hint="eastAsia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本比选邀请在中国政府采购网上以公告形式发布。</w:t>
      </w:r>
    </w:p>
    <w:p>
      <w:pPr>
        <w:numPr>
          <w:ilvl w:val="0"/>
          <w:numId w:val="1"/>
        </w:numPr>
        <w:spacing w:line="360" w:lineRule="auto"/>
        <w:ind w:left="108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联系方式</w:t>
      </w:r>
    </w:p>
    <w:p>
      <w:pPr>
        <w:spacing w:line="360" w:lineRule="auto"/>
        <w:ind w:firstLine="525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比选人：内江市威远生态环境局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</w:rPr>
        <w:t>通讯地址：</w:t>
      </w:r>
      <w:r>
        <w:rPr>
          <w:rFonts w:hint="eastAsia"/>
          <w:sz w:val="24"/>
          <w:lang w:val="en-US" w:eastAsia="zh-CN"/>
        </w:rPr>
        <w:t>威远县严陵镇环卫路137号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人：王老师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  <w:r>
        <w:rPr>
          <w:rFonts w:hint="eastAsia"/>
        </w:rPr>
        <w:t>13629001712</w:t>
      </w:r>
    </w:p>
    <w:p>
      <w:pPr>
        <w:spacing w:line="360" w:lineRule="auto"/>
        <w:ind w:firstLine="525"/>
        <w:rPr>
          <w:sz w:val="24"/>
        </w:rPr>
      </w:pPr>
    </w:p>
    <w:p>
      <w:pPr>
        <w:pStyle w:val="2"/>
      </w:pPr>
    </w:p>
    <w:p>
      <w:pPr>
        <w:spacing w:line="360" w:lineRule="auto"/>
        <w:ind w:firstLine="525"/>
        <w:rPr>
          <w:sz w:val="24"/>
        </w:rPr>
      </w:pPr>
      <w:r>
        <w:rPr>
          <w:rFonts w:hint="eastAsia"/>
          <w:sz w:val="24"/>
        </w:rPr>
        <w:t>比选代理机构：四川国正工程咨询有限公司</w:t>
      </w:r>
    </w:p>
    <w:p>
      <w:pPr>
        <w:spacing w:line="360" w:lineRule="auto"/>
        <w:ind w:firstLine="525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lang w:eastAsia="zh-CN"/>
        </w:rPr>
        <w:t>成都市武侯区天府大道北段1480号科技财富中心B座207</w:t>
      </w:r>
    </w:p>
    <w:p>
      <w:pPr>
        <w:spacing w:line="360" w:lineRule="auto"/>
        <w:ind w:firstLine="525"/>
        <w:rPr>
          <w:sz w:val="24"/>
        </w:rPr>
      </w:pPr>
      <w:r>
        <w:rPr>
          <w:rFonts w:hint="eastAsia"/>
          <w:sz w:val="24"/>
        </w:rPr>
        <w:t>联系人：钟老师</w:t>
      </w:r>
    </w:p>
    <w:p>
      <w:pPr>
        <w:spacing w:line="360" w:lineRule="auto"/>
        <w:ind w:firstLine="525"/>
        <w:rPr>
          <w:sz w:val="24"/>
        </w:rPr>
      </w:pPr>
      <w:r>
        <w:rPr>
          <w:rFonts w:hint="eastAsia"/>
          <w:sz w:val="24"/>
        </w:rPr>
        <w:t>电话：18215532079</w:t>
      </w:r>
    </w:p>
    <w:p>
      <w:pPr>
        <w:spacing w:line="360" w:lineRule="auto"/>
        <w:ind w:firstLine="525"/>
        <w:rPr>
          <w:sz w:val="24"/>
        </w:rPr>
      </w:pPr>
      <w:r>
        <w:rPr>
          <w:rFonts w:hint="eastAsia"/>
          <w:sz w:val="24"/>
        </w:rPr>
        <w:t>电子邮件：scgz-gczx@qq.com</w:t>
      </w:r>
    </w:p>
    <w:p>
      <w:pPr>
        <w:numPr>
          <w:ilvl w:val="0"/>
          <w:numId w:val="1"/>
        </w:numPr>
        <w:tabs>
          <w:tab w:val="left" w:pos="709"/>
        </w:tabs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开户银行及帐号：</w:t>
      </w:r>
    </w:p>
    <w:p>
      <w:pPr>
        <w:spacing w:line="360" w:lineRule="auto"/>
        <w:ind w:firstLine="525"/>
        <w:rPr>
          <w:sz w:val="24"/>
        </w:rPr>
      </w:pPr>
      <w:r>
        <w:rPr>
          <w:rFonts w:hint="eastAsia"/>
          <w:sz w:val="24"/>
        </w:rPr>
        <w:t>开户行：招商银行股份有限公司成都府城大道支行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帐</w:t>
      </w:r>
      <w:r>
        <w:rPr>
          <w:sz w:val="24"/>
        </w:rPr>
        <w:t xml:space="preserve">  </w:t>
      </w:r>
      <w:r>
        <w:rPr>
          <w:rFonts w:hint="eastAsia"/>
          <w:sz w:val="24"/>
        </w:rPr>
        <w:t>号：1289 1207 2110 599</w:t>
      </w:r>
    </w:p>
    <w:p>
      <w:pPr>
        <w:spacing w:line="360" w:lineRule="auto"/>
        <w:ind w:firstLine="480" w:firstLineChars="200"/>
        <w:rPr>
          <w:rFonts w:ascii="Verdana,ˎ̥" w:hAnsi="Verdana,ˎ̥"/>
          <w:sz w:val="24"/>
        </w:rPr>
      </w:pPr>
      <w:r>
        <w:rPr>
          <w:rFonts w:hint="eastAsia"/>
          <w:sz w:val="24"/>
        </w:rPr>
        <w:t>户</w:t>
      </w:r>
      <w:r>
        <w:rPr>
          <w:sz w:val="24"/>
        </w:rPr>
        <w:t xml:space="preserve">  </w:t>
      </w:r>
      <w:r>
        <w:rPr>
          <w:rFonts w:hint="eastAsia"/>
          <w:sz w:val="24"/>
        </w:rPr>
        <w:t>名：</w:t>
      </w:r>
      <w:r>
        <w:rPr>
          <w:rFonts w:hint="eastAsia" w:ascii="Verdana,ˎ̥" w:hAnsi="Verdana,ˎ̥"/>
          <w:sz w:val="24"/>
        </w:rPr>
        <w:t>四川国正工程咨询有限公司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7FD64"/>
    <w:multiLevelType w:val="singleLevel"/>
    <w:tmpl w:val="09F7FD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88889F"/>
    <w:multiLevelType w:val="multilevel"/>
    <w:tmpl w:val="6288889F"/>
    <w:lvl w:ilvl="0" w:tentative="0">
      <w:start w:val="1"/>
      <w:numFmt w:val="japaneseCounting"/>
      <w:lvlText w:val="%1、"/>
      <w:lvlJc w:val="left"/>
      <w:pPr>
        <w:tabs>
          <w:tab w:val="left" w:pos="585"/>
        </w:tabs>
        <w:ind w:left="585" w:hanging="480"/>
      </w:pPr>
      <w:rPr>
        <w:b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EAC7130"/>
    <w:rsid w:val="7EA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before="340" w:after="330" w:line="576" w:lineRule="auto"/>
      <w:jc w:val="left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rPr>
      <w:sz w:val="32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2022-08-17T05:57:00Z</dcterms:created>
  <dc:creator>迪丽冷巴</dc:creator>
  <cp:lastModifiedBy>迪丽冷巴</cp:lastModifiedBy>
  <dcterms:modified xsi:type="dcterms:W3CDTF">2022-08-17T05:58:17Z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5963CBE25A7E42778CE0BBF34F177FEE</vt:lpwstr>
  </property>
</Properties>
</file>