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60" w:after="0" w:line="360" w:lineRule="auto"/>
        <w:rPr>
          <w:rFonts w:ascii="Times New Roman" w:hAnsi="Times New Roman"/>
          <w:color w:val="000000" w:themeColor="text1"/>
          <w:szCs w:val="28"/>
          <w:highlight w:val="none"/>
          <w14:textFill>
            <w14:solidFill>
              <w14:schemeClr w14:val="tx1"/>
            </w14:solidFill>
          </w14:textFill>
        </w:rPr>
      </w:pPr>
      <w:bookmarkStart w:id="1" w:name="_GoBack"/>
      <w:bookmarkEnd w:id="1"/>
      <w:r>
        <w:rPr>
          <w:rFonts w:hint="eastAsia" w:ascii="Times New Roman" w:hAnsi="Times New Roman"/>
          <w:color w:val="000000" w:themeColor="text1"/>
          <w:szCs w:val="28"/>
          <w:highlight w:val="none"/>
          <w:lang w:val="en-US" w:eastAsia="zh-CN"/>
          <w14:textFill>
            <w14:solidFill>
              <w14:schemeClr w14:val="tx1"/>
            </w14:solidFill>
          </w14:textFill>
        </w:rPr>
        <w:t>一、</w:t>
      </w:r>
      <w:r>
        <w:rPr>
          <w:rFonts w:ascii="Times New Roman" w:hAnsi="Times New Roman"/>
          <w:color w:val="000000" w:themeColor="text1"/>
          <w:szCs w:val="28"/>
          <w:highlight w:val="none"/>
          <w14:textFill>
            <w14:solidFill>
              <w14:schemeClr w14:val="tx1"/>
            </w14:solidFill>
          </w14:textFill>
        </w:rPr>
        <w:t>项目需求</w:t>
      </w:r>
    </w:p>
    <w:p>
      <w:pPr>
        <w:rPr>
          <w:color w:val="000000" w:themeColor="text1"/>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 xml:space="preserve">（一）设备清单   </w:t>
      </w:r>
      <w:r>
        <w:rPr>
          <w:bCs/>
          <w:color w:val="000000" w:themeColor="text1"/>
          <w:sz w:val="24"/>
          <w:highlight w:val="none"/>
          <w14:textFill>
            <w14:solidFill>
              <w14:schemeClr w14:val="tx1"/>
            </w14:solidFill>
          </w14:textFill>
        </w:rPr>
        <w:t>生物医学大数据分析系统  1 套</w:t>
      </w:r>
    </w:p>
    <w:tbl>
      <w:tblPr>
        <w:tblStyle w:val="8"/>
        <w:tblW w:w="8521" w:type="dxa"/>
        <w:jc w:val="center"/>
        <w:tblLayout w:type="fixed"/>
        <w:tblCellMar>
          <w:top w:w="0" w:type="dxa"/>
          <w:left w:w="108" w:type="dxa"/>
          <w:bottom w:w="0" w:type="dxa"/>
          <w:right w:w="108" w:type="dxa"/>
        </w:tblCellMar>
      </w:tblPr>
      <w:tblGrid>
        <w:gridCol w:w="843"/>
        <w:gridCol w:w="5276"/>
        <w:gridCol w:w="1305"/>
        <w:gridCol w:w="1097"/>
      </w:tblGrid>
      <w:tr>
        <w:tblPrEx>
          <w:tblCellMar>
            <w:top w:w="0" w:type="dxa"/>
            <w:left w:w="108" w:type="dxa"/>
            <w:bottom w:w="0" w:type="dxa"/>
            <w:right w:w="108" w:type="dxa"/>
          </w:tblCellMar>
        </w:tblPrEx>
        <w:trPr>
          <w:trHeight w:val="365" w:hRule="atLeast"/>
          <w:jc w:val="center"/>
        </w:trPr>
        <w:tc>
          <w:tcPr>
            <w:tcW w:w="843" w:type="dxa"/>
            <w:tcBorders>
              <w:top w:val="single" w:color="auto" w:sz="4" w:space="0"/>
              <w:left w:val="single" w:color="auto" w:sz="4" w:space="0"/>
              <w:bottom w:val="single" w:color="auto" w:sz="4" w:space="0"/>
              <w:right w:val="single" w:color="auto" w:sz="4" w:space="0"/>
            </w:tcBorders>
          </w:tcPr>
          <w:p>
            <w:pPr>
              <w:pStyle w:val="11"/>
              <w:ind w:firstLine="0" w:firstLineChars="0"/>
              <w:jc w:val="center"/>
              <w:rPr>
                <w:b/>
                <w:bCs/>
                <w:color w:val="000000" w:themeColor="text1"/>
                <w:kern w:val="0"/>
                <w:sz w:val="24"/>
                <w:highlight w:val="none"/>
                <w14:textFill>
                  <w14:solidFill>
                    <w14:schemeClr w14:val="tx1"/>
                  </w14:solidFill>
                </w14:textFill>
              </w:rPr>
            </w:pPr>
            <w:r>
              <w:rPr>
                <w:b/>
                <w:bCs/>
                <w:color w:val="000000" w:themeColor="text1"/>
                <w:sz w:val="24"/>
                <w:highlight w:val="none"/>
                <w14:textFill>
                  <w14:solidFill>
                    <w14:schemeClr w14:val="tx1"/>
                  </w14:solidFill>
                </w14:textFill>
              </w:rPr>
              <w:t>序号</w:t>
            </w:r>
          </w:p>
        </w:tc>
        <w:tc>
          <w:tcPr>
            <w:tcW w:w="5276" w:type="dxa"/>
            <w:tcBorders>
              <w:top w:val="single" w:color="auto" w:sz="4" w:space="0"/>
              <w:left w:val="nil"/>
              <w:bottom w:val="single" w:color="auto" w:sz="4" w:space="0"/>
              <w:right w:val="single" w:color="auto" w:sz="4" w:space="0"/>
            </w:tcBorders>
          </w:tcPr>
          <w:p>
            <w:pPr>
              <w:pStyle w:val="11"/>
              <w:ind w:firstLine="0" w:firstLineChars="0"/>
              <w:jc w:val="center"/>
              <w:rPr>
                <w:b/>
                <w:bCs/>
                <w:color w:val="000000" w:themeColor="text1"/>
                <w:kern w:val="0"/>
                <w:sz w:val="24"/>
                <w:highlight w:val="none"/>
                <w14:textFill>
                  <w14:solidFill>
                    <w14:schemeClr w14:val="tx1"/>
                  </w14:solidFill>
                </w14:textFill>
              </w:rPr>
            </w:pPr>
            <w:r>
              <w:rPr>
                <w:b/>
                <w:bCs/>
                <w:color w:val="000000" w:themeColor="text1"/>
                <w:sz w:val="24"/>
                <w:highlight w:val="none"/>
                <w14:textFill>
                  <w14:solidFill>
                    <w14:schemeClr w14:val="tx1"/>
                  </w14:solidFill>
                </w14:textFill>
              </w:rPr>
              <w:t>货物名称</w:t>
            </w:r>
          </w:p>
        </w:tc>
        <w:tc>
          <w:tcPr>
            <w:tcW w:w="1305" w:type="dxa"/>
            <w:tcBorders>
              <w:top w:val="single" w:color="auto" w:sz="4" w:space="0"/>
              <w:left w:val="nil"/>
              <w:bottom w:val="single" w:color="auto" w:sz="4" w:space="0"/>
              <w:right w:val="single" w:color="auto" w:sz="4" w:space="0"/>
            </w:tcBorders>
          </w:tcPr>
          <w:p>
            <w:pPr>
              <w:pStyle w:val="11"/>
              <w:ind w:firstLine="0" w:firstLineChars="0"/>
              <w:jc w:val="center"/>
              <w:rPr>
                <w:b/>
                <w:bCs/>
                <w:color w:val="000000" w:themeColor="text1"/>
                <w:kern w:val="0"/>
                <w:sz w:val="24"/>
                <w:highlight w:val="none"/>
                <w14:textFill>
                  <w14:solidFill>
                    <w14:schemeClr w14:val="tx1"/>
                  </w14:solidFill>
                </w14:textFill>
              </w:rPr>
            </w:pPr>
            <w:r>
              <w:rPr>
                <w:b/>
                <w:bCs/>
                <w:color w:val="000000" w:themeColor="text1"/>
                <w:sz w:val="24"/>
                <w:highlight w:val="none"/>
                <w14:textFill>
                  <w14:solidFill>
                    <w14:schemeClr w14:val="tx1"/>
                  </w14:solidFill>
                </w14:textFill>
              </w:rPr>
              <w:t>单位</w:t>
            </w:r>
          </w:p>
        </w:tc>
        <w:tc>
          <w:tcPr>
            <w:tcW w:w="1097" w:type="dxa"/>
            <w:tcBorders>
              <w:top w:val="single" w:color="auto" w:sz="4" w:space="0"/>
              <w:left w:val="nil"/>
              <w:bottom w:val="single" w:color="auto" w:sz="4" w:space="0"/>
              <w:right w:val="single" w:color="auto" w:sz="4" w:space="0"/>
            </w:tcBorders>
          </w:tcPr>
          <w:p>
            <w:pPr>
              <w:pStyle w:val="11"/>
              <w:ind w:firstLine="0" w:firstLineChars="0"/>
              <w:jc w:val="center"/>
              <w:rPr>
                <w:b/>
                <w:bCs/>
                <w:color w:val="000000" w:themeColor="text1"/>
                <w:kern w:val="0"/>
                <w:sz w:val="24"/>
                <w:highlight w:val="none"/>
                <w14:textFill>
                  <w14:solidFill>
                    <w14:schemeClr w14:val="tx1"/>
                  </w14:solidFill>
                </w14:textFill>
              </w:rPr>
            </w:pPr>
            <w:r>
              <w:rPr>
                <w:b/>
                <w:bCs/>
                <w:color w:val="000000" w:themeColor="text1"/>
                <w:sz w:val="24"/>
                <w:highlight w:val="none"/>
                <w14:textFill>
                  <w14:solidFill>
                    <w14:schemeClr w14:val="tx1"/>
                  </w14:solidFill>
                </w14:textFill>
              </w:rPr>
              <w:t>数量</w:t>
            </w:r>
          </w:p>
        </w:tc>
      </w:tr>
      <w:tr>
        <w:tblPrEx>
          <w:tblCellMar>
            <w:top w:w="0" w:type="dxa"/>
            <w:left w:w="108" w:type="dxa"/>
            <w:bottom w:w="0" w:type="dxa"/>
            <w:right w:w="108" w:type="dxa"/>
          </w:tblCellMar>
        </w:tblPrEx>
        <w:trPr>
          <w:jc w:val="center"/>
        </w:trPr>
        <w:tc>
          <w:tcPr>
            <w:tcW w:w="843" w:type="dxa"/>
            <w:tcBorders>
              <w:top w:val="nil"/>
              <w:left w:val="single" w:color="auto" w:sz="4" w:space="0"/>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5276"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CPU计算节点服务器</w:t>
            </w:r>
          </w:p>
        </w:tc>
        <w:tc>
          <w:tcPr>
            <w:tcW w:w="1305"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套</w:t>
            </w:r>
          </w:p>
        </w:tc>
        <w:tc>
          <w:tcPr>
            <w:tcW w:w="1097"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tblPrEx>
          <w:tblCellMar>
            <w:top w:w="0" w:type="dxa"/>
            <w:left w:w="108" w:type="dxa"/>
            <w:bottom w:w="0" w:type="dxa"/>
            <w:right w:w="108" w:type="dxa"/>
          </w:tblCellMar>
        </w:tblPrEx>
        <w:trPr>
          <w:jc w:val="center"/>
        </w:trPr>
        <w:tc>
          <w:tcPr>
            <w:tcW w:w="843" w:type="dxa"/>
            <w:tcBorders>
              <w:top w:val="nil"/>
              <w:left w:val="single" w:color="auto" w:sz="4" w:space="0"/>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5276"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胖节点服务器</w:t>
            </w:r>
          </w:p>
        </w:tc>
        <w:tc>
          <w:tcPr>
            <w:tcW w:w="1305"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台</w:t>
            </w:r>
          </w:p>
        </w:tc>
        <w:tc>
          <w:tcPr>
            <w:tcW w:w="1097"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tblPrEx>
          <w:tblCellMar>
            <w:top w:w="0" w:type="dxa"/>
            <w:left w:w="108" w:type="dxa"/>
            <w:bottom w:w="0" w:type="dxa"/>
            <w:right w:w="108" w:type="dxa"/>
          </w:tblCellMar>
        </w:tblPrEx>
        <w:trPr>
          <w:jc w:val="center"/>
        </w:trPr>
        <w:tc>
          <w:tcPr>
            <w:tcW w:w="843" w:type="dxa"/>
            <w:tcBorders>
              <w:top w:val="nil"/>
              <w:left w:val="single" w:color="auto" w:sz="4" w:space="0"/>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5276" w:type="dxa"/>
            <w:tcBorders>
              <w:top w:val="nil"/>
              <w:left w:val="nil"/>
              <w:bottom w:val="single" w:color="auto" w:sz="4" w:space="0"/>
              <w:right w:val="single" w:color="auto" w:sz="4" w:space="0"/>
            </w:tcBorders>
            <w:vAlign w:val="center"/>
          </w:tcPr>
          <w:p>
            <w:pPr>
              <w:ind w:firstLine="480" w:firstLineChars="20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GPU计算节点服务器</w:t>
            </w:r>
          </w:p>
        </w:tc>
        <w:tc>
          <w:tcPr>
            <w:tcW w:w="1305"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台</w:t>
            </w:r>
          </w:p>
        </w:tc>
        <w:tc>
          <w:tcPr>
            <w:tcW w:w="1097"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tblPrEx>
          <w:tblCellMar>
            <w:top w:w="0" w:type="dxa"/>
            <w:left w:w="108" w:type="dxa"/>
            <w:bottom w:w="0" w:type="dxa"/>
            <w:right w:w="108" w:type="dxa"/>
          </w:tblCellMar>
        </w:tblPrEx>
        <w:trPr>
          <w:jc w:val="center"/>
        </w:trPr>
        <w:tc>
          <w:tcPr>
            <w:tcW w:w="843" w:type="dxa"/>
            <w:tcBorders>
              <w:top w:val="nil"/>
              <w:left w:val="single" w:color="auto" w:sz="4" w:space="0"/>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4</w:t>
            </w:r>
          </w:p>
        </w:tc>
        <w:tc>
          <w:tcPr>
            <w:tcW w:w="5276"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高性能存储服务器</w:t>
            </w:r>
          </w:p>
        </w:tc>
        <w:tc>
          <w:tcPr>
            <w:tcW w:w="1305"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套</w:t>
            </w:r>
          </w:p>
        </w:tc>
        <w:tc>
          <w:tcPr>
            <w:tcW w:w="1097"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tblPrEx>
          <w:tblCellMar>
            <w:top w:w="0" w:type="dxa"/>
            <w:left w:w="108" w:type="dxa"/>
            <w:bottom w:w="0" w:type="dxa"/>
            <w:right w:w="108" w:type="dxa"/>
          </w:tblCellMar>
        </w:tblPrEx>
        <w:trPr>
          <w:jc w:val="center"/>
        </w:trPr>
        <w:tc>
          <w:tcPr>
            <w:tcW w:w="843" w:type="dxa"/>
            <w:tcBorders>
              <w:top w:val="nil"/>
              <w:left w:val="single" w:color="auto" w:sz="4" w:space="0"/>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5</w:t>
            </w:r>
          </w:p>
        </w:tc>
        <w:tc>
          <w:tcPr>
            <w:tcW w:w="5276"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登录管理节点服务器</w:t>
            </w:r>
          </w:p>
        </w:tc>
        <w:tc>
          <w:tcPr>
            <w:tcW w:w="1305"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台</w:t>
            </w:r>
          </w:p>
        </w:tc>
        <w:tc>
          <w:tcPr>
            <w:tcW w:w="1097"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tblPrEx>
          <w:tblCellMar>
            <w:top w:w="0" w:type="dxa"/>
            <w:left w:w="108" w:type="dxa"/>
            <w:bottom w:w="0" w:type="dxa"/>
            <w:right w:w="108" w:type="dxa"/>
          </w:tblCellMar>
        </w:tblPrEx>
        <w:trPr>
          <w:jc w:val="center"/>
        </w:trPr>
        <w:tc>
          <w:tcPr>
            <w:tcW w:w="843" w:type="dxa"/>
            <w:tcBorders>
              <w:top w:val="nil"/>
              <w:left w:val="single" w:color="auto" w:sz="4" w:space="0"/>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6</w:t>
            </w:r>
          </w:p>
        </w:tc>
        <w:tc>
          <w:tcPr>
            <w:tcW w:w="5276"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文件管理服务器</w:t>
            </w:r>
          </w:p>
        </w:tc>
        <w:tc>
          <w:tcPr>
            <w:tcW w:w="1305"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台</w:t>
            </w:r>
          </w:p>
        </w:tc>
        <w:tc>
          <w:tcPr>
            <w:tcW w:w="1097"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tblPrEx>
          <w:tblCellMar>
            <w:top w:w="0" w:type="dxa"/>
            <w:left w:w="108" w:type="dxa"/>
            <w:bottom w:w="0" w:type="dxa"/>
            <w:right w:w="108" w:type="dxa"/>
          </w:tblCellMar>
        </w:tblPrEx>
        <w:trPr>
          <w:jc w:val="center"/>
        </w:trPr>
        <w:tc>
          <w:tcPr>
            <w:tcW w:w="843" w:type="dxa"/>
            <w:tcBorders>
              <w:top w:val="nil"/>
              <w:left w:val="single" w:color="auto" w:sz="4" w:space="0"/>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7</w:t>
            </w:r>
          </w:p>
        </w:tc>
        <w:tc>
          <w:tcPr>
            <w:tcW w:w="5276"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以太网交换机</w:t>
            </w:r>
          </w:p>
        </w:tc>
        <w:tc>
          <w:tcPr>
            <w:tcW w:w="1305"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台</w:t>
            </w:r>
          </w:p>
        </w:tc>
        <w:tc>
          <w:tcPr>
            <w:tcW w:w="1097"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tblPrEx>
          <w:tblCellMar>
            <w:top w:w="0" w:type="dxa"/>
            <w:left w:w="108" w:type="dxa"/>
            <w:bottom w:w="0" w:type="dxa"/>
            <w:right w:w="108" w:type="dxa"/>
          </w:tblCellMar>
        </w:tblPrEx>
        <w:trPr>
          <w:jc w:val="center"/>
        </w:trPr>
        <w:tc>
          <w:tcPr>
            <w:tcW w:w="843" w:type="dxa"/>
            <w:tcBorders>
              <w:top w:val="nil"/>
              <w:left w:val="single" w:color="auto" w:sz="4" w:space="0"/>
              <w:bottom w:val="single" w:color="auto" w:sz="4" w:space="0"/>
              <w:right w:val="single" w:color="auto" w:sz="4" w:space="0"/>
            </w:tcBorders>
            <w:vAlign w:val="center"/>
          </w:tcPr>
          <w:p>
            <w:pPr>
              <w:pStyle w:val="11"/>
              <w:ind w:firstLine="48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w:t>
            </w:r>
          </w:p>
        </w:tc>
        <w:tc>
          <w:tcPr>
            <w:tcW w:w="5276" w:type="dxa"/>
            <w:tcBorders>
              <w:top w:val="nil"/>
              <w:left w:val="nil"/>
              <w:bottom w:val="single" w:color="auto" w:sz="4" w:space="0"/>
              <w:right w:val="single" w:color="auto" w:sz="4" w:space="0"/>
            </w:tcBorders>
            <w:vAlign w:val="center"/>
          </w:tcPr>
          <w:p>
            <w:pPr>
              <w:pStyle w:val="11"/>
              <w:ind w:firstLine="48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高性能网络交换机</w:t>
            </w:r>
          </w:p>
        </w:tc>
        <w:tc>
          <w:tcPr>
            <w:tcW w:w="1305" w:type="dxa"/>
            <w:tcBorders>
              <w:top w:val="nil"/>
              <w:left w:val="nil"/>
              <w:bottom w:val="single" w:color="auto" w:sz="4" w:space="0"/>
              <w:right w:val="single" w:color="auto" w:sz="4" w:space="0"/>
            </w:tcBorders>
            <w:vAlign w:val="center"/>
          </w:tcPr>
          <w:p>
            <w:pPr>
              <w:pStyle w:val="11"/>
              <w:ind w:firstLine="48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套</w:t>
            </w:r>
          </w:p>
        </w:tc>
        <w:tc>
          <w:tcPr>
            <w:tcW w:w="1097" w:type="dxa"/>
            <w:tcBorders>
              <w:top w:val="nil"/>
              <w:left w:val="nil"/>
              <w:bottom w:val="single" w:color="auto" w:sz="4" w:space="0"/>
              <w:right w:val="single" w:color="auto" w:sz="4" w:space="0"/>
            </w:tcBorders>
            <w:vAlign w:val="center"/>
          </w:tcPr>
          <w:p>
            <w:pPr>
              <w:pStyle w:val="11"/>
              <w:ind w:firstLine="48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tblPrEx>
          <w:tblCellMar>
            <w:top w:w="0" w:type="dxa"/>
            <w:left w:w="108" w:type="dxa"/>
            <w:bottom w:w="0" w:type="dxa"/>
            <w:right w:w="108" w:type="dxa"/>
          </w:tblCellMar>
        </w:tblPrEx>
        <w:trPr>
          <w:jc w:val="center"/>
        </w:trPr>
        <w:tc>
          <w:tcPr>
            <w:tcW w:w="843" w:type="dxa"/>
            <w:tcBorders>
              <w:top w:val="nil"/>
              <w:left w:val="single" w:color="auto" w:sz="4" w:space="0"/>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9</w:t>
            </w:r>
          </w:p>
        </w:tc>
        <w:tc>
          <w:tcPr>
            <w:tcW w:w="5276"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不间断电源</w:t>
            </w:r>
          </w:p>
        </w:tc>
        <w:tc>
          <w:tcPr>
            <w:tcW w:w="1305"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套</w:t>
            </w:r>
          </w:p>
        </w:tc>
        <w:tc>
          <w:tcPr>
            <w:tcW w:w="1097" w:type="dxa"/>
            <w:tcBorders>
              <w:top w:val="nil"/>
              <w:left w:val="nil"/>
              <w:bottom w:val="single" w:color="auto" w:sz="4" w:space="0"/>
              <w:right w:val="single" w:color="auto" w:sz="4" w:space="0"/>
            </w:tcBorders>
            <w:vAlign w:val="center"/>
          </w:tcPr>
          <w:p>
            <w:pPr>
              <w:pStyle w:val="11"/>
              <w:ind w:firstLine="480"/>
              <w:jc w:val="center"/>
              <w:rPr>
                <w:color w:val="000000" w:themeColor="text1"/>
                <w:kern w:val="0"/>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bl>
    <w:p>
      <w:pPr>
        <w:rPr>
          <w:b/>
          <w:bCs/>
          <w:color w:val="000000" w:themeColor="text1"/>
          <w:kern w:val="0"/>
          <w:sz w:val="24"/>
          <w:highlight w:val="none"/>
          <w14:textFill>
            <w14:solidFill>
              <w14:schemeClr w14:val="tx1"/>
            </w14:solidFill>
          </w14:textFill>
        </w:rPr>
      </w:pPr>
    </w:p>
    <w:p>
      <w:pPr>
        <w:spacing w:line="400" w:lineRule="exact"/>
        <w:rPr>
          <w:b/>
          <w:bCs/>
          <w:color w:val="000000" w:themeColor="text1"/>
          <w:kern w:val="0"/>
          <w:sz w:val="24"/>
          <w:highlight w:val="none"/>
          <w14:textFill>
            <w14:solidFill>
              <w14:schemeClr w14:val="tx1"/>
            </w14:solidFill>
          </w14:textFill>
        </w:rPr>
      </w:pPr>
      <w:r>
        <w:rPr>
          <w:b/>
          <w:bCs/>
          <w:color w:val="000000" w:themeColor="text1"/>
          <w:kern w:val="0"/>
          <w:sz w:val="24"/>
          <w:highlight w:val="none"/>
          <w14:textFill>
            <w14:solidFill>
              <w14:schemeClr w14:val="tx1"/>
            </w14:solidFill>
          </w14:textFill>
        </w:rPr>
        <w:t>（二）技术参数</w:t>
      </w:r>
    </w:p>
    <w:p>
      <w:pPr>
        <w:pStyle w:val="12"/>
        <w:ind w:firstLine="480" w:firstLineChars="200"/>
        <w:rPr>
          <w:rFonts w:hint="eastAsia" w:eastAsia="宋体" w:cs="Times New Roman"/>
          <w:color w:val="000000" w:themeColor="text1"/>
          <w:highlight w:val="none"/>
          <w:lang w:val="en-US" w:eastAsia="zh-CN"/>
          <w14:textFill>
            <w14:solidFill>
              <w14:schemeClr w14:val="tx1"/>
            </w14:solidFill>
          </w14:textFill>
        </w:rPr>
      </w:pPr>
      <w:r>
        <w:rPr>
          <w:rFonts w:hint="default" w:cs="Times New Roman"/>
          <w:color w:val="000000" w:themeColor="text1"/>
          <w:highlight w:val="none"/>
          <w14:textFill>
            <w14:solidFill>
              <w14:schemeClr w14:val="tx1"/>
            </w14:solidFill>
          </w14:textFill>
        </w:rPr>
        <w:t>生物医学大数据分析系统 ，主要由CPU计算节点服务器、胖节点服务器、GPU计算服务器、高性能存储服务器、管理登录节点服务器、文件管理服务器、以太网交换机、高性能网络交换机8个部分组成</w:t>
      </w:r>
      <w:r>
        <w:rPr>
          <w:rFonts w:hint="eastAsia" w:cs="Times New Roman"/>
          <w:color w:val="000000" w:themeColor="text1"/>
          <w:highlight w:val="none"/>
          <w:lang w:val="en-US" w:eastAsia="zh-CN"/>
          <w14:textFill>
            <w14:solidFill>
              <w14:schemeClr w14:val="tx1"/>
            </w14:solidFill>
          </w14:textFill>
        </w:rPr>
        <w:t>.</w:t>
      </w:r>
    </w:p>
    <w:p>
      <w:pPr>
        <w:pStyle w:val="12"/>
        <w:ind w:firstLine="422"/>
        <w:rPr>
          <w:rFonts w:hint="default" w:cs="Times New Roman"/>
          <w:b/>
          <w:color w:val="000000" w:themeColor="text1"/>
          <w:szCs w:val="24"/>
          <w:highlight w:val="none"/>
          <w14:textFill>
            <w14:solidFill>
              <w14:schemeClr w14:val="tx1"/>
            </w14:solidFill>
          </w14:textFill>
        </w:rPr>
      </w:pPr>
      <w:r>
        <w:rPr>
          <w:rFonts w:hint="default" w:cs="Times New Roman"/>
          <w:b/>
          <w:color w:val="000000" w:themeColor="text1"/>
          <w:szCs w:val="24"/>
          <w:highlight w:val="none"/>
          <w14:textFill>
            <w14:solidFill>
              <w14:schemeClr w14:val="tx1"/>
            </w14:solidFill>
          </w14:textFill>
        </w:rPr>
        <w:t xml:space="preserve">1. CPU计算节点服务器  </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▲1.1 处理器：配置不低于英特尔第三代至强金牌CPU,服务器总核心数大于500核，总节点数不超过11个，且单颗CPU技术参数满足以下要求：基本主频≥2.0GHz；核心数量≥32核；缓存≥48MB。</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1.2 内存：≥ 2T DDR4，主频率≥ 3200MHz</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1.3 硬盘：每个节点配置≥2块480GB企业级SSD固态盘</w:t>
      </w:r>
    </w:p>
    <w:p>
      <w:pPr>
        <w:pStyle w:val="12"/>
        <w:rPr>
          <w:rFonts w:hint="default" w:cs="Times New Roman"/>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default" w:cs="Times New Roman"/>
          <w:color w:val="000000" w:themeColor="text1"/>
          <w:szCs w:val="24"/>
          <w:highlight w:val="none"/>
          <w14:textFill>
            <w14:solidFill>
              <w14:schemeClr w14:val="tx1"/>
            </w14:solidFill>
          </w14:textFill>
        </w:rPr>
        <w:t>1.4  网卡：每节点≥双口25GbE万兆光口网卡；每节点≥单口100Gb/s EDR Infiniband 网卡。</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1.5  电源：满配1+1冗余热插拔交流电源（含电源线缆）</w:t>
      </w:r>
    </w:p>
    <w:p>
      <w:pPr>
        <w:pStyle w:val="12"/>
        <w:rPr>
          <w:rFonts w:hint="default" w:cs="Times New Roman"/>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default" w:cs="Times New Roman"/>
          <w:color w:val="000000" w:themeColor="text1"/>
          <w:szCs w:val="24"/>
          <w:highlight w:val="none"/>
          <w14:textFill>
            <w14:solidFill>
              <w14:schemeClr w14:val="tx1"/>
            </w14:solidFill>
          </w14:textFill>
        </w:rPr>
        <w:t xml:space="preserve">1.6 远程管理：配置远程管理卡，具有单独的管理网口，支持移动管理 </w:t>
      </w:r>
    </w:p>
    <w:p>
      <w:pPr>
        <w:pStyle w:val="12"/>
        <w:ind w:firstLine="422"/>
        <w:rPr>
          <w:rFonts w:hint="default" w:cs="Times New Roman"/>
          <w:b/>
          <w:color w:val="000000" w:themeColor="text1"/>
          <w:szCs w:val="24"/>
          <w:highlight w:val="none"/>
          <w14:textFill>
            <w14:solidFill>
              <w14:schemeClr w14:val="tx1"/>
            </w14:solidFill>
          </w14:textFill>
        </w:rPr>
      </w:pPr>
      <w:r>
        <w:rPr>
          <w:rFonts w:hint="default" w:cs="Times New Roman"/>
          <w:b/>
          <w:color w:val="000000" w:themeColor="text1"/>
          <w:szCs w:val="24"/>
          <w:highlight w:val="none"/>
          <w14:textFill>
            <w14:solidFill>
              <w14:schemeClr w14:val="tx1"/>
            </w14:solidFill>
          </w14:textFill>
        </w:rPr>
        <w:t xml:space="preserve">2. 胖节点服务器 </w:t>
      </w:r>
    </w:p>
    <w:p>
      <w:pPr>
        <w:pStyle w:val="12"/>
        <w:rPr>
          <w:rFonts w:hint="default" w:cs="Times New Roman"/>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default" w:cs="Times New Roman"/>
          <w:color w:val="000000" w:themeColor="text1"/>
          <w:szCs w:val="24"/>
          <w:highlight w:val="none"/>
          <w14:textFill>
            <w14:solidFill>
              <w14:schemeClr w14:val="tx1"/>
            </w14:solidFill>
          </w14:textFill>
        </w:rPr>
        <w:t>2.1 外观：机架式服务器，与CPU计算节点为同一品牌，含安装导轨。</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▲2.2 处理器：配置不低于英特尔第三代至强金牌CPU，总核心数不低于80核，且单颗CPU技术参数满足以下要求：≥2.1GHz主频，≥20核心, ≥27.5MB缓存。</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2.3 内存：≥ 2T DDR4，主频率≥3200MHz</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2.4 硬盘：配置≥2块480GB企业级SSD固态盘</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▲2.5 网卡：配有双口≥ 25 GbE万兆光口网卡和单口≥ 100Gb/s EDR Infiniband 网卡</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2.6 电源：满配1+1冗余热插拔交流电源（含电源线缆）</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 w:val="36"/>
          <w:szCs w:val="24"/>
          <w:highlight w:val="none"/>
          <w14:textFill>
            <w14:solidFill>
              <w14:schemeClr w14:val="tx1"/>
            </w14:solidFill>
          </w14:textFill>
        </w:rPr>
        <w:t>●</w:t>
      </w:r>
      <w:r>
        <w:rPr>
          <w:rFonts w:hint="default" w:cs="Times New Roman"/>
          <w:color w:val="000000" w:themeColor="text1"/>
          <w:szCs w:val="24"/>
          <w:highlight w:val="none"/>
          <w14:textFill>
            <w14:solidFill>
              <w14:schemeClr w14:val="tx1"/>
            </w14:solidFill>
          </w14:textFill>
        </w:rPr>
        <w:t>2.7  功能要求：支持系统开箱监测、自动BIOS恢复。</w:t>
      </w:r>
    </w:p>
    <w:p>
      <w:pPr>
        <w:pStyle w:val="12"/>
        <w:ind w:firstLine="241" w:firstLineChars="100"/>
        <w:rPr>
          <w:rFonts w:hint="default" w:cs="Times New Roman"/>
          <w:b/>
          <w:color w:val="000000" w:themeColor="text1"/>
          <w:szCs w:val="24"/>
          <w:highlight w:val="none"/>
          <w14:textFill>
            <w14:solidFill>
              <w14:schemeClr w14:val="tx1"/>
            </w14:solidFill>
          </w14:textFill>
        </w:rPr>
      </w:pPr>
      <w:r>
        <w:rPr>
          <w:rFonts w:hint="default" w:cs="Times New Roman"/>
          <w:b/>
          <w:color w:val="000000" w:themeColor="text1"/>
          <w:szCs w:val="24"/>
          <w:highlight w:val="none"/>
          <w14:textFill>
            <w14:solidFill>
              <w14:schemeClr w14:val="tx1"/>
            </w14:solidFill>
          </w14:textFill>
        </w:rPr>
        <w:t>3. GPU计算节点服务器</w:t>
      </w:r>
    </w:p>
    <w:p>
      <w:pPr>
        <w:pStyle w:val="12"/>
        <w:rPr>
          <w:rFonts w:hint="default" w:cs="Times New Roman"/>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default" w:cs="Times New Roman"/>
          <w:color w:val="000000" w:themeColor="text1"/>
          <w:szCs w:val="24"/>
          <w:highlight w:val="none"/>
          <w14:textFill>
            <w14:solidFill>
              <w14:schemeClr w14:val="tx1"/>
            </w14:solidFill>
          </w14:textFill>
        </w:rPr>
        <w:t>3.1 外观：机架式服务器，与CPU计算节点为同一品牌，含安装导轨。2个42U机柜。</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▲3.2  处理器：配置不低于2颗英特尔至强金牌CPU，单颗CPU技术参数满足以下要求：≥2.2GHz主频，≥26核心, ≥39MB缓存。</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3.3 内存：≥512GB DDR4，主频率3200MHz</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3.4 硬盘：配置≥2块480GB企业级SSD固态盘</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 xml:space="preserve">▲3.5  GPU卡：配置不低于2个NVIDIA Ampere A100, PCIe, 300W, 80GB GPU </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▲3.6  网卡：配有不低于1GbE电口网卡，双口25 GbE万兆光口网卡和单口100Gb/s EDR Infiniband网卡</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3.7 电源：满配1+1冗余热插拔交流电源（含电源线缆）</w:t>
      </w:r>
    </w:p>
    <w:p>
      <w:pPr>
        <w:pStyle w:val="12"/>
        <w:ind w:firstLine="241" w:firstLineChars="100"/>
        <w:rPr>
          <w:rFonts w:hint="default" w:cs="Times New Roman"/>
          <w:b/>
          <w:color w:val="000000" w:themeColor="text1"/>
          <w:szCs w:val="24"/>
          <w:highlight w:val="none"/>
          <w14:textFill>
            <w14:solidFill>
              <w14:schemeClr w14:val="tx1"/>
            </w14:solidFill>
          </w14:textFill>
        </w:rPr>
      </w:pPr>
      <w:r>
        <w:rPr>
          <w:rFonts w:hint="default" w:cs="Times New Roman"/>
          <w:b/>
          <w:color w:val="000000" w:themeColor="text1"/>
          <w:szCs w:val="24"/>
          <w:highlight w:val="none"/>
          <w14:textFill>
            <w14:solidFill>
              <w14:schemeClr w14:val="tx1"/>
            </w14:solidFill>
          </w14:textFill>
        </w:rPr>
        <w:t xml:space="preserve">4.高性能存储服务器   </w:t>
      </w:r>
    </w:p>
    <w:p>
      <w:pPr>
        <w:pStyle w:val="12"/>
        <w:rPr>
          <w:rFonts w:hint="default" w:cs="Times New Roman"/>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default" w:cs="Times New Roman"/>
          <w:color w:val="000000" w:themeColor="text1"/>
          <w:szCs w:val="24"/>
          <w:highlight w:val="none"/>
          <w14:textFill>
            <w14:solidFill>
              <w14:schemeClr w14:val="tx1"/>
            </w14:solidFill>
          </w14:textFill>
        </w:rPr>
        <w:t>4.1  外观：机架式服务器，与CPU计算节点为同一品牌，含安装导轨</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▲4.2  处理器：配置不低于2颗英特尔第三代至强银牌CPU，单颗CPU技术参数满足以下要求：≥2.4GHz主频，≥16核心, ≥24MB缓存。</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4.3 内存：≥128GB DDR4，主频率≥3200MHz, 硬盘：配置≥2块480GB企业级SSD固态盘</w:t>
      </w:r>
    </w:p>
    <w:p>
      <w:pPr>
        <w:pStyle w:val="12"/>
        <w:rPr>
          <w:rFonts w:hint="default" w:cs="Times New Roman"/>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default" w:cs="Times New Roman"/>
          <w:color w:val="000000" w:themeColor="text1"/>
          <w:szCs w:val="24"/>
          <w:highlight w:val="none"/>
          <w14:textFill>
            <w14:solidFill>
              <w14:schemeClr w14:val="tx1"/>
            </w14:solidFill>
          </w14:textFill>
        </w:rPr>
        <w:t>4.4  网卡：双</w:t>
      </w:r>
      <w:r>
        <w:rPr>
          <w:rFonts w:hint="default" w:cs="Times New Roman"/>
          <w:highlight w:val="none"/>
        </w:rPr>
        <w:t>口不低于25GbE万兆光口网卡；每节点≥单口100Gb/s EDR Infiniband 网卡。</w:t>
      </w:r>
    </w:p>
    <w:p>
      <w:pPr>
        <w:pStyle w:val="12"/>
        <w:rPr>
          <w:rFonts w:ascii="宋体" w:hAnsi="宋体" w:eastAsia="宋体" w:cs="宋体"/>
          <w:sz w:val="24"/>
          <w:szCs w:val="24"/>
          <w:highlight w:val="none"/>
        </w:rPr>
      </w:pPr>
      <w:r>
        <w:rPr>
          <w:rFonts w:hint="default" w:cs="Times New Roman"/>
          <w:color w:val="000000" w:themeColor="text1"/>
          <w:szCs w:val="24"/>
          <w:highlight w:val="none"/>
          <w14:textFill>
            <w14:solidFill>
              <w14:schemeClr w14:val="tx1"/>
            </w14:solidFill>
          </w14:textFill>
        </w:rPr>
        <w:t>▲4.5  体系架构：</w:t>
      </w:r>
      <w:r>
        <w:rPr>
          <w:rFonts w:ascii="宋体" w:hAnsi="宋体" w:eastAsia="宋体" w:cs="宋体"/>
          <w:sz w:val="24"/>
          <w:szCs w:val="24"/>
          <w:highlight w:val="none"/>
        </w:rPr>
        <w:t>采用RAID 6及以上等级的数据保护模式，单LUN最大允许故障2块硬盘而不会丢失数据。要求配置的存储磁盘柜硬盘密度≥15块3.5英寸硬盘/1U空间。</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▲4.6  控制器配置：冗余双控制器架构，控制器为双活工作模式，可支持FC、iSCSI、SAS等协议。存储控制器内存配置≥32GB（不含任何性能加速模块或NAS缓存、FlashCache、PAM卡，SSD Cache等)，双控制器可支持≥8个16Gb FC/iSCSI SFP+/SAS 12Gb接口</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4.7 接口配置：≥8个12Gb SAS端口，线缆配置：≥4根2M 12Gb SAS线缆</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▲4.8 硬盘：≥36块12TB SAS 3.5英寸热插拔企业级硬盘，≥20块3.84T SAS 2.5英寸热插拔企业级固态硬盘，后续可进行扩容，最大支持配置≥80个硬盘槽位。</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4.9  多通道连接：配置多路径软件，提供服务器与存储阵列之间冗余数据路径的故障转移管理</w:t>
      </w:r>
    </w:p>
    <w:p>
      <w:pPr>
        <w:pStyle w:val="12"/>
        <w:rPr>
          <w:rFonts w:hint="default" w:cs="Times New Roman"/>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default" w:cs="Times New Roman"/>
          <w:color w:val="000000" w:themeColor="text1"/>
          <w:szCs w:val="24"/>
          <w:highlight w:val="none"/>
          <w14:textFill>
            <w14:solidFill>
              <w14:schemeClr w14:val="tx1"/>
            </w14:solidFill>
          </w14:textFill>
        </w:rPr>
        <w:t>4.10  数据分层：配置自动分层功能，支持在逻辑卷内实现根据数据热度的双向调度 ，支持SSD和HDD的冷热数据自动迁移。</w:t>
      </w:r>
    </w:p>
    <w:p>
      <w:pPr>
        <w:pStyle w:val="12"/>
        <w:rPr>
          <w:rFonts w:hint="default" w:cs="Times New Roman"/>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default" w:cs="Times New Roman"/>
          <w:color w:val="000000" w:themeColor="text1"/>
          <w:szCs w:val="24"/>
          <w:highlight w:val="none"/>
          <w14:textFill>
            <w14:solidFill>
              <w14:schemeClr w14:val="tx1"/>
            </w14:solidFill>
          </w14:textFill>
        </w:rPr>
        <w:t>4.11  功能需求： 配置全容量许可精简功能，实现存储空间超分配，后续扩容无需额外购买许可。配置远程复制功能，支持IP及光纤远程复制功能：可以实现异步复制，支持一对多或者多对一的复制模式。配置全容量许可快照功能，预防各种软故障的发生。</w:t>
      </w:r>
    </w:p>
    <w:p>
      <w:pPr>
        <w:pStyle w:val="12"/>
        <w:rPr>
          <w:rFonts w:hint="default" w:cs="Times New Roman"/>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default" w:cs="Times New Roman"/>
          <w:color w:val="000000" w:themeColor="text1"/>
          <w:szCs w:val="24"/>
          <w:highlight w:val="none"/>
          <w14:textFill>
            <w14:solidFill>
              <w14:schemeClr w14:val="tx1"/>
            </w14:solidFill>
          </w14:textFill>
        </w:rPr>
        <w:t>4.12  性能需求：配置存储性能收集分析工具，支持图形化界面操作，对存储的容量、带宽、延时、IOPS、队列深度和主机端的CPU、内存、磁盘容量以及主机操作系统版本摘要等进行能收集分析，并形成图形化专业报表；支持本地和远程Windows、Linux和Unix、虚拟机VMWARE, KVM, XenServer, Hyper-V等操作系统。存储所有软件特性无需额外付费购买授权，出厂默认包括存储所有软件特性，这些特性包括：ADAPT RAID、精简资源调配、SSD 读取高速缓存、复制、快照、3级分层、卷拷贝/克隆、虚拟化支持。</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4.13  电源：配置冗余电源、冗余风扇、冗余控制器，支持在线可热插拔更换，保证系统内无任何单点故障的隐患，单电源功率≥2200W。</w:t>
      </w:r>
    </w:p>
    <w:p>
      <w:pPr>
        <w:pStyle w:val="12"/>
        <w:ind w:firstLine="241" w:firstLineChars="100"/>
        <w:rPr>
          <w:rFonts w:hint="default" w:cs="Times New Roman"/>
          <w:b/>
          <w:color w:val="000000" w:themeColor="text1"/>
          <w:szCs w:val="24"/>
          <w:highlight w:val="none"/>
          <w14:textFill>
            <w14:solidFill>
              <w14:schemeClr w14:val="tx1"/>
            </w14:solidFill>
          </w14:textFill>
        </w:rPr>
      </w:pPr>
      <w:r>
        <w:rPr>
          <w:rFonts w:hint="default" w:cs="Times New Roman"/>
          <w:b/>
          <w:color w:val="000000" w:themeColor="text1"/>
          <w:szCs w:val="24"/>
          <w:highlight w:val="none"/>
          <w14:textFill>
            <w14:solidFill>
              <w14:schemeClr w14:val="tx1"/>
            </w14:solidFill>
          </w14:textFill>
        </w:rPr>
        <w:t>5.管理登录节点服务器</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5.1  配不低于2颗英特尔第三代至强银牌CPU，单颗处理器≥2.1GHz主频，≥12核心, ≥18MB缓存，内存大于64G DDR4，配置不低于2块480GB SSD固态盘</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5.2  网卡：配有双口不低于25 GbE万兆光口网卡和单口不低于100Gb/s EDR Infiniband 网卡，电源：满配1+1冗余热插拔交流电源（含电源线缆）</w:t>
      </w:r>
    </w:p>
    <w:p>
      <w:pPr>
        <w:pStyle w:val="12"/>
        <w:ind w:firstLine="241" w:firstLineChars="100"/>
        <w:rPr>
          <w:rFonts w:hint="default" w:cs="Times New Roman"/>
          <w:b/>
          <w:color w:val="000000" w:themeColor="text1"/>
          <w:szCs w:val="24"/>
          <w:highlight w:val="none"/>
          <w14:textFill>
            <w14:solidFill>
              <w14:schemeClr w14:val="tx1"/>
            </w14:solidFill>
          </w14:textFill>
        </w:rPr>
      </w:pPr>
      <w:r>
        <w:rPr>
          <w:rFonts w:hint="default" w:cs="Times New Roman"/>
          <w:b/>
          <w:color w:val="000000" w:themeColor="text1"/>
          <w:szCs w:val="24"/>
          <w:highlight w:val="none"/>
          <w14:textFill>
            <w14:solidFill>
              <w14:schemeClr w14:val="tx1"/>
            </w14:solidFill>
          </w14:textFill>
        </w:rPr>
        <w:t>6.文件管理服务器</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6.1  配不低于2颗英特尔第三代至强CPU，单颗处理器≥2.6GHz主频，≥8核心, ≥18MB缓存，内存大于64G DDR4，配置≥2块2.4TB SAS 2.5英寸热插拔硬盘</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6.2网卡：≥双口10GbE万兆光口网卡；≥双口1GbE电口网卡，电源：满配1+1冗余热插拔交流电源（含电源线缆）</w:t>
      </w:r>
    </w:p>
    <w:p>
      <w:pPr>
        <w:pStyle w:val="12"/>
        <w:rPr>
          <w:rFonts w:hint="default" w:cs="Times New Roman"/>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default" w:cs="Times New Roman"/>
          <w:color w:val="000000" w:themeColor="text1"/>
          <w:szCs w:val="24"/>
          <w:highlight w:val="none"/>
          <w14:textFill>
            <w14:solidFill>
              <w14:schemeClr w14:val="tx1"/>
            </w14:solidFill>
          </w14:textFill>
        </w:rPr>
        <w:t xml:space="preserve">6.3  前面板支持LCD液晶屏，对CPU、内存、硬盘、电源及风扇等关键部分的故障具有告警功能。 </w:t>
      </w:r>
    </w:p>
    <w:p>
      <w:pPr>
        <w:pStyle w:val="12"/>
        <w:ind w:firstLine="241" w:firstLineChars="100"/>
        <w:rPr>
          <w:rFonts w:hint="default" w:cs="Times New Roman"/>
          <w:b/>
          <w:color w:val="000000" w:themeColor="text1"/>
          <w:szCs w:val="24"/>
          <w:highlight w:val="none"/>
          <w14:textFill>
            <w14:solidFill>
              <w14:schemeClr w14:val="tx1"/>
            </w14:solidFill>
          </w14:textFill>
        </w:rPr>
      </w:pPr>
      <w:r>
        <w:rPr>
          <w:rFonts w:hint="default" w:cs="Times New Roman"/>
          <w:b/>
          <w:color w:val="000000" w:themeColor="text1"/>
          <w:szCs w:val="24"/>
          <w:highlight w:val="none"/>
          <w14:textFill>
            <w14:solidFill>
              <w14:schemeClr w14:val="tx1"/>
            </w14:solidFill>
          </w14:textFill>
        </w:rPr>
        <w:t xml:space="preserve">7.以太网交换机  </w:t>
      </w:r>
    </w:p>
    <w:p>
      <w:pPr>
        <w:pStyle w:val="12"/>
        <w:rPr>
          <w:rFonts w:hint="default" w:cs="Times New Roman"/>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default" w:cs="Times New Roman"/>
          <w:color w:val="000000" w:themeColor="text1"/>
          <w:szCs w:val="24"/>
          <w:highlight w:val="none"/>
          <w14:textFill>
            <w14:solidFill>
              <w14:schemeClr w14:val="tx1"/>
            </w14:solidFill>
          </w14:textFill>
        </w:rPr>
        <w:t>7.1  交换容量≥2.16Tbps，包转发率≥954Mpps，交换时延&lt;900纳秒。</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▲7.2  配置不少于4个100G QSFP28端口，不少于24个25G SFP28端口，内置冗余电源；配置不少于4个10GbE SR万兆模块，配置2根SFP+ 至 SFP+, 10GbE, 直连铜缆, 2 米；配置12根SFP28 至 SFP28, 25GbE, 直连铜缆, 2 米。每台带有双口25G网卡的服务器均配置4个25G模块。</w:t>
      </w:r>
    </w:p>
    <w:p>
      <w:pPr>
        <w:pStyle w:val="12"/>
        <w:ind w:firstLine="241" w:firstLineChars="100"/>
        <w:rPr>
          <w:rFonts w:hint="default" w:cs="Times New Roman"/>
          <w:b/>
          <w:color w:val="000000" w:themeColor="text1"/>
          <w:szCs w:val="24"/>
          <w:highlight w:val="none"/>
          <w14:textFill>
            <w14:solidFill>
              <w14:schemeClr w14:val="tx1"/>
            </w14:solidFill>
          </w14:textFill>
        </w:rPr>
      </w:pPr>
      <w:r>
        <w:rPr>
          <w:rFonts w:hint="default" w:cs="Times New Roman"/>
          <w:b/>
          <w:color w:val="000000" w:themeColor="text1"/>
          <w:szCs w:val="24"/>
          <w:highlight w:val="none"/>
          <w14:textFill>
            <w14:solidFill>
              <w14:schemeClr w14:val="tx1"/>
            </w14:solidFill>
          </w14:textFill>
        </w:rPr>
        <w:t>8.高性能网络交换机</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▲8.1 延迟要求：端到端延迟＜90ns，交换带宽需要支持7Tb/s以上的无阻赛交换</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▲8.2 网卡：≥12块InfiniBand  100Gb/s EDR, 兼容56Gb/s FDR，采用QSFP接口，单端口，配置≥12根3米IB铜缆线缆（含模块），支持100Gb/s EDR，兼容56Gb/s FDR。</w:t>
      </w:r>
    </w:p>
    <w:p>
      <w:pPr>
        <w:pStyle w:val="12"/>
        <w:rPr>
          <w:rFonts w:hint="default" w:cs="Times New Roman"/>
          <w:color w:val="000000" w:themeColor="text1"/>
          <w:szCs w:val="24"/>
          <w:highlight w:val="none"/>
          <w14:textFill>
            <w14:solidFill>
              <w14:schemeClr w14:val="tx1"/>
            </w14:solidFill>
          </w14:textFill>
        </w:rPr>
      </w:pPr>
      <w:r>
        <w:rPr>
          <w:rFonts w:hint="default" w:cs="Times New Roman"/>
          <w:color w:val="000000" w:themeColor="text1"/>
          <w:szCs w:val="24"/>
          <w:highlight w:val="none"/>
          <w14:textFill>
            <w14:solidFill>
              <w14:schemeClr w14:val="tx1"/>
            </w14:solidFill>
          </w14:textFill>
        </w:rPr>
        <w:t>8.3 操作系统兼容性：支持主流操作系统，包含但不限于RedHat6.5及以上，CentOS6.5及以上，Ubuntu 16.04及以上，Windows2012及以上，SLES 11及以上等操作系统。</w:t>
      </w:r>
    </w:p>
    <w:p>
      <w:pPr>
        <w:pStyle w:val="12"/>
        <w:ind w:firstLine="241" w:firstLineChars="100"/>
        <w:rPr>
          <w:rFonts w:hint="default" w:cs="Times New Roman"/>
          <w:b/>
          <w:color w:val="000000" w:themeColor="text1"/>
          <w:szCs w:val="24"/>
          <w:highlight w:val="none"/>
          <w14:textFill>
            <w14:solidFill>
              <w14:schemeClr w14:val="tx1"/>
            </w14:solidFill>
          </w14:textFill>
        </w:rPr>
      </w:pPr>
      <w:r>
        <w:rPr>
          <w:rFonts w:hint="default" w:cs="Times New Roman"/>
          <w:b/>
          <w:color w:val="000000" w:themeColor="text1"/>
          <w:szCs w:val="24"/>
          <w:highlight w:val="none"/>
          <w14:textFill>
            <w14:solidFill>
              <w14:schemeClr w14:val="tx1"/>
            </w14:solidFill>
          </w14:textFill>
        </w:rPr>
        <w:t>9.不间断电源</w:t>
      </w:r>
    </w:p>
    <w:p>
      <w:pPr>
        <w:pStyle w:val="12"/>
        <w:rPr>
          <w:rFonts w:hint="default" w:cs="Times New Roman"/>
          <w:color w:val="000000" w:themeColor="text1"/>
          <w:szCs w:val="24"/>
          <w:highlight w:val="none"/>
          <w14:textFill>
            <w14:solidFill>
              <w14:schemeClr w14:val="tx1"/>
            </w14:solidFill>
          </w14:textFill>
        </w:rPr>
      </w:pPr>
      <w:r>
        <w:rPr>
          <w:color w:val="000000" w:themeColor="text1"/>
          <w:szCs w:val="24"/>
          <w:highlight w:val="none"/>
          <w14:textFill>
            <w14:solidFill>
              <w14:schemeClr w14:val="tx1"/>
            </w14:solidFill>
          </w14:textFill>
        </w:rPr>
        <w:t>●</w:t>
      </w:r>
      <w:r>
        <w:rPr>
          <w:rFonts w:hint="default" w:cs="Times New Roman"/>
          <w:color w:val="000000" w:themeColor="text1"/>
          <w:szCs w:val="24"/>
          <w:highlight w:val="none"/>
          <w14:textFill>
            <w14:solidFill>
              <w14:schemeClr w14:val="tx1"/>
            </w14:solidFill>
          </w14:textFill>
        </w:rPr>
        <w:t>9.1 配备不间断电源一套：额定功率不低于20kVA,输入电压范围120V-275V,配套不少于16只12V 65 AH电池，一个电池柜，可支持断电保护时间不低于20分钟。</w:t>
      </w:r>
    </w:p>
    <w:p>
      <w:pPr>
        <w:pStyle w:val="12"/>
        <w:rPr>
          <w:rFonts w:hint="default" w:ascii="宋体" w:hAnsi="宋体"/>
          <w:b/>
          <w:color w:val="000000" w:themeColor="text1"/>
          <w:szCs w:val="24"/>
          <w:highlight w:val="none"/>
          <w14:textFill>
            <w14:solidFill>
              <w14:schemeClr w14:val="tx1"/>
            </w14:solidFill>
          </w14:textFill>
        </w:rPr>
      </w:pPr>
      <w:r>
        <w:rPr>
          <w:rFonts w:ascii="宋体" w:hAnsi="宋体"/>
          <w:b/>
          <w:color w:val="000000" w:themeColor="text1"/>
          <w:szCs w:val="24"/>
          <w:highlight w:val="none"/>
          <w14:textFill>
            <w14:solidFill>
              <w14:schemeClr w14:val="tx1"/>
            </w14:solidFill>
          </w14:textFill>
        </w:rPr>
        <w:t>（三）售后服务</w:t>
      </w:r>
    </w:p>
    <w:p>
      <w:pPr>
        <w:widowControl/>
        <w:spacing w:line="40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1.在用户所在地对用户进行免费现场的操作/维护培训，直至掌握。培训内容包括基本原理，仪器使用及基本维护等。</w:t>
      </w:r>
    </w:p>
    <w:p>
      <w:pPr>
        <w:widowControl/>
        <w:spacing w:line="400" w:lineRule="exact"/>
        <w:jc w:val="left"/>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在质量保证期内，正常的操作下，出现的任何故障及损失，成交供应商负责维修。如涉及失效零件更换，该零件应由中标人负责提供。质保期内，在24小时内对用户的服务要求作出响应，维修服务包括电话指导和现场维修；需要现场维修的，卖方工程师应在72小时内到达仪器现场。</w:t>
      </w:r>
    </w:p>
    <w:p>
      <w:pPr>
        <w:pStyle w:val="12"/>
        <w:ind w:firstLine="241" w:firstLineChars="100"/>
        <w:rPr>
          <w:rFonts w:hint="default" w:ascii="宋体" w:hAnsi="宋体"/>
          <w:b/>
          <w:color w:val="000000" w:themeColor="text1"/>
          <w:szCs w:val="24"/>
          <w:highlight w:val="none"/>
          <w14:textFill>
            <w14:solidFill>
              <w14:schemeClr w14:val="tx1"/>
            </w14:solidFill>
          </w14:textFill>
        </w:rPr>
      </w:pPr>
      <w:r>
        <w:rPr>
          <w:rFonts w:ascii="宋体" w:hAnsi="宋体"/>
          <w:b/>
          <w:color w:val="000000" w:themeColor="text1"/>
          <w:szCs w:val="24"/>
          <w:highlight w:val="none"/>
          <w14:textFill>
            <w14:solidFill>
              <w14:schemeClr w14:val="tx1"/>
            </w14:solidFill>
          </w14:textFill>
        </w:rPr>
        <w:t>★（四）采购标的的验收标准（提供书面承诺）</w:t>
      </w:r>
    </w:p>
    <w:p>
      <w:pPr>
        <w:adjustRightInd w:val="0"/>
        <w:snapToGrid w:val="0"/>
        <w:spacing w:line="400" w:lineRule="exact"/>
        <w:rPr>
          <w:rFonts w:cs="宋体"/>
          <w:bCs/>
          <w:color w:val="000000" w:themeColor="text1"/>
          <w:kern w:val="0"/>
          <w:sz w:val="24"/>
          <w:szCs w:val="18"/>
          <w:highlight w:val="none"/>
          <w14:textFill>
            <w14:solidFill>
              <w14:schemeClr w14:val="tx1"/>
            </w14:solidFill>
          </w14:textFill>
        </w:rPr>
      </w:pPr>
      <w:r>
        <w:rPr>
          <w:rFonts w:hint="eastAsia" w:cs="宋体"/>
          <w:bCs/>
          <w:color w:val="000000" w:themeColor="text1"/>
          <w:kern w:val="0"/>
          <w:sz w:val="24"/>
          <w:szCs w:val="18"/>
          <w:highlight w:val="none"/>
          <w14:textFill>
            <w14:solidFill>
              <w14:schemeClr w14:val="tx1"/>
            </w14:solidFill>
          </w14:textFill>
        </w:rPr>
        <w:t>1、货物安装调试完成，正常运行90日内，由采购项目负责人提出验收申请，实验室与设备管理处按照学校货物验收相关规定，结合采购文件、投标文件、合同等项目文件约定内容对项目进行验收。</w:t>
      </w:r>
    </w:p>
    <w:p>
      <w:pPr>
        <w:adjustRightInd w:val="0"/>
        <w:snapToGrid w:val="0"/>
        <w:spacing w:line="400" w:lineRule="exact"/>
        <w:rPr>
          <w:rFonts w:cs="宋体"/>
          <w:bCs/>
          <w:color w:val="000000" w:themeColor="text1"/>
          <w:kern w:val="0"/>
          <w:sz w:val="24"/>
          <w:szCs w:val="18"/>
          <w:highlight w:val="none"/>
          <w14:textFill>
            <w14:solidFill>
              <w14:schemeClr w14:val="tx1"/>
            </w14:solidFill>
          </w14:textFill>
        </w:rPr>
      </w:pPr>
      <w:r>
        <w:rPr>
          <w:rFonts w:hint="eastAsia" w:cs="宋体"/>
          <w:bCs/>
          <w:color w:val="000000" w:themeColor="text1"/>
          <w:kern w:val="0"/>
          <w:sz w:val="24"/>
          <w:szCs w:val="18"/>
          <w:highlight w:val="none"/>
          <w14:textFill>
            <w14:solidFill>
              <w14:schemeClr w14:val="tx1"/>
            </w14:solidFill>
          </w14:textFill>
        </w:rPr>
        <w:t>2、采购人应依据约定的质量标准进行验收。产品质量不符合约定标准的，采购人有权要求中标人更换货物或拒绝付款，重新供货，或要求退货，由此造成的损失由中标人承担。中标人若违约，采购人将依法追究相应法律责任。</w:t>
      </w:r>
    </w:p>
    <w:p>
      <w:pPr>
        <w:adjustRightInd w:val="0"/>
        <w:snapToGrid w:val="0"/>
        <w:spacing w:line="400" w:lineRule="exact"/>
        <w:rPr>
          <w:rFonts w:cs="宋体"/>
          <w:bCs/>
          <w:color w:val="000000" w:themeColor="text1"/>
          <w:kern w:val="0"/>
          <w:sz w:val="24"/>
          <w:szCs w:val="18"/>
          <w:highlight w:val="none"/>
          <w14:textFill>
            <w14:solidFill>
              <w14:schemeClr w14:val="tx1"/>
            </w14:solidFill>
          </w14:textFill>
        </w:rPr>
      </w:pPr>
      <w:r>
        <w:rPr>
          <w:rFonts w:hint="eastAsia" w:cs="宋体"/>
          <w:bCs/>
          <w:color w:val="000000" w:themeColor="text1"/>
          <w:kern w:val="0"/>
          <w:sz w:val="24"/>
          <w:szCs w:val="18"/>
          <w:highlight w:val="none"/>
          <w14:textFill>
            <w14:solidFill>
              <w14:schemeClr w14:val="tx1"/>
            </w14:solidFill>
          </w14:textFill>
        </w:rPr>
        <w:t>3、中标人不按照合同规定交付货物及安装调试，每延误一天，中标人方应按照合同总额1‰向采购人支付违约金;非乙方原因，甲方中途退货，应按合同总额10％向乙方支付违约金。</w:t>
      </w:r>
    </w:p>
    <w:p>
      <w:pPr>
        <w:pStyle w:val="12"/>
        <w:rPr>
          <w:rFonts w:hint="default" w:ascii="宋体" w:hAnsi="宋体"/>
          <w:bCs w:val="0"/>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t>4、若中标人未按约定提供质保服务，采购人有权自行委托第三方提供采购人所需要的技术支持和售后服务，所发生的费用由中标人承担，如因此造成采购人损失的，中标人应承担赔偿责任。</w:t>
      </w:r>
    </w:p>
    <w:p>
      <w:pPr>
        <w:pStyle w:val="12"/>
        <w:rPr>
          <w:rFonts w:hint="default" w:cs="Times New Roman"/>
          <w:color w:val="000000" w:themeColor="text1"/>
          <w:szCs w:val="24"/>
          <w:highlight w:val="none"/>
          <w14:textFill>
            <w14:solidFill>
              <w14:schemeClr w14:val="tx1"/>
            </w14:solidFill>
          </w14:textFill>
        </w:rPr>
      </w:pPr>
    </w:p>
    <w:p>
      <w:pPr>
        <w:pStyle w:val="12"/>
        <w:rPr>
          <w:rFonts w:hint="default" w:cs="Times New Roman"/>
          <w:color w:val="000000" w:themeColor="text1"/>
          <w:szCs w:val="24"/>
          <w:highlight w:val="none"/>
          <w14:textFill>
            <w14:solidFill>
              <w14:schemeClr w14:val="tx1"/>
            </w14:solidFill>
          </w14:textFill>
        </w:rPr>
      </w:pPr>
    </w:p>
    <w:tbl>
      <w:tblPr>
        <w:tblStyle w:val="8"/>
        <w:tblpPr w:leftFromText="180" w:rightFromText="180" w:vertAnchor="text" w:horzAnchor="page" w:tblpX="905" w:tblpY="380"/>
        <w:tblOverlap w:val="never"/>
        <w:tblW w:w="9607" w:type="dxa"/>
        <w:tblInd w:w="0" w:type="dxa"/>
        <w:tblLayout w:type="fixed"/>
        <w:tblCellMar>
          <w:top w:w="15" w:type="dxa"/>
          <w:left w:w="15" w:type="dxa"/>
          <w:bottom w:w="15" w:type="dxa"/>
          <w:right w:w="15" w:type="dxa"/>
        </w:tblCellMar>
      </w:tblPr>
      <w:tblGrid>
        <w:gridCol w:w="562"/>
        <w:gridCol w:w="1134"/>
        <w:gridCol w:w="426"/>
        <w:gridCol w:w="7485"/>
      </w:tblGrid>
      <w:tr>
        <w:trPr>
          <w:trHeight w:val="383" w:hRule="atLeast"/>
        </w:trPr>
        <w:tc>
          <w:tcPr>
            <w:tcW w:w="562" w:type="dxa"/>
            <w:tcBorders>
              <w:top w:val="single" w:color="000000" w:sz="4" w:space="0"/>
              <w:left w:val="single" w:color="000000" w:sz="4" w:space="0"/>
              <w:right w:val="single" w:color="000000" w:sz="4" w:space="0"/>
            </w:tcBorders>
            <w:vAlign w:val="center"/>
          </w:tcPr>
          <w:p>
            <w:pPr>
              <w:widowControl/>
              <w:spacing w:line="280" w:lineRule="exact"/>
              <w:jc w:val="center"/>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评标项目</w:t>
            </w:r>
          </w:p>
        </w:tc>
        <w:tc>
          <w:tcPr>
            <w:tcW w:w="1134" w:type="dxa"/>
            <w:tcBorders>
              <w:top w:val="single" w:color="000000" w:sz="4" w:space="0"/>
              <w:left w:val="single" w:color="000000" w:sz="4" w:space="0"/>
              <w:right w:val="single" w:color="000000" w:sz="4" w:space="0"/>
            </w:tcBorders>
            <w:vAlign w:val="center"/>
          </w:tcPr>
          <w:p>
            <w:pPr>
              <w:widowControl/>
              <w:spacing w:line="280" w:lineRule="exact"/>
              <w:jc w:val="center"/>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评审</w:t>
            </w:r>
          </w:p>
          <w:p>
            <w:pPr>
              <w:widowControl/>
              <w:spacing w:line="280" w:lineRule="exact"/>
              <w:jc w:val="center"/>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内容</w:t>
            </w:r>
          </w:p>
        </w:tc>
        <w:tc>
          <w:tcPr>
            <w:tcW w:w="426" w:type="dxa"/>
            <w:tcBorders>
              <w:top w:val="single" w:color="000000" w:sz="4" w:space="0"/>
              <w:left w:val="single" w:color="000000" w:sz="4" w:space="0"/>
              <w:right w:val="single" w:color="000000" w:sz="4" w:space="0"/>
            </w:tcBorders>
            <w:vAlign w:val="center"/>
          </w:tcPr>
          <w:p>
            <w:pPr>
              <w:widowControl/>
              <w:spacing w:line="280" w:lineRule="exact"/>
              <w:jc w:val="center"/>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分值</w:t>
            </w:r>
          </w:p>
        </w:tc>
        <w:tc>
          <w:tcPr>
            <w:tcW w:w="7485" w:type="dxa"/>
            <w:tcBorders>
              <w:top w:val="single" w:color="000000" w:sz="4" w:space="0"/>
              <w:left w:val="single" w:color="000000" w:sz="4" w:space="0"/>
              <w:right w:val="single" w:color="000000" w:sz="4" w:space="0"/>
            </w:tcBorders>
            <w:vAlign w:val="center"/>
          </w:tcPr>
          <w:p>
            <w:pPr>
              <w:widowControl/>
              <w:spacing w:line="280" w:lineRule="exact"/>
              <w:jc w:val="center"/>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评分标准</w:t>
            </w:r>
          </w:p>
        </w:tc>
      </w:tr>
      <w:tr>
        <w:tblPrEx>
          <w:tblCellMar>
            <w:top w:w="15" w:type="dxa"/>
            <w:left w:w="15" w:type="dxa"/>
            <w:bottom w:w="15" w:type="dxa"/>
            <w:right w:w="15" w:type="dxa"/>
          </w:tblCellMar>
        </w:tblPrEx>
        <w:trPr>
          <w:trHeight w:val="1193"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价格评审（30分）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报价得分</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w:t>
            </w:r>
          </w:p>
        </w:tc>
        <w:tc>
          <w:tcPr>
            <w:tcW w:w="74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分采用低价优先法计算，即：满足招标文件要求且投标价格最低的投标报价（以落实中小企业价格扣除后的评议价为准）为评标基准价，其价格为满分。其他投标人的价格分按照下列公式计算：投标报价得分＝（评标基准价/投标报价）×30%×100。</w:t>
            </w:r>
          </w:p>
        </w:tc>
      </w:tr>
      <w:tr>
        <w:tblPrEx>
          <w:tblCellMar>
            <w:top w:w="15" w:type="dxa"/>
            <w:left w:w="15" w:type="dxa"/>
            <w:bottom w:w="15" w:type="dxa"/>
            <w:right w:w="15" w:type="dxa"/>
          </w:tblCellMar>
        </w:tblPrEx>
        <w:trPr>
          <w:trHeight w:val="2276" w:hRule="atLeas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技术部分（</w:t>
            </w:r>
            <w:r>
              <w:rPr>
                <w:rFonts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技术响应</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8</w:t>
            </w:r>
          </w:p>
        </w:tc>
        <w:tc>
          <w:tcPr>
            <w:tcW w:w="748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textAlignment w:val="baseline"/>
              <w:rPr>
                <w:color w:val="000000" w:themeColor="text1"/>
                <w:sz w:val="24"/>
                <w:highlight w:val="none"/>
                <w14:textFill>
                  <w14:solidFill>
                    <w14:schemeClr w14:val="tx1"/>
                  </w14:solidFill>
                </w14:textFill>
              </w:rPr>
            </w:pPr>
            <w:bookmarkStart w:id="0" w:name="_Hlk109026557"/>
            <w:r>
              <w:rPr>
                <w:rFonts w:hint="eastAsia"/>
                <w:color w:val="000000" w:themeColor="text1"/>
                <w:sz w:val="24"/>
                <w:highlight w:val="none"/>
                <w14:textFill>
                  <w14:solidFill>
                    <w14:schemeClr w14:val="tx1"/>
                  </w14:solidFill>
                </w14:textFill>
              </w:rPr>
              <w:t xml:space="preserve">投标产品技术指标满足或优于招标文件要求得相应分值，满分 </w:t>
            </w: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color w:val="000000" w:themeColor="text1"/>
                <w:sz w:val="24"/>
                <w:highlight w:val="none"/>
                <w14:textFill>
                  <w14:solidFill>
                    <w14:schemeClr w14:val="tx1"/>
                  </w14:solidFill>
                </w14:textFill>
              </w:rPr>
              <w:t>分。</w:t>
            </w:r>
          </w:p>
          <w:p>
            <w:pPr>
              <w:spacing w:line="300" w:lineRule="exact"/>
              <w:jc w:val="left"/>
              <w:textAlignment w:val="baseline"/>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标注“</w:t>
            </w:r>
            <w:r>
              <w:rPr>
                <w:rFonts w:hint="eastAsia" w:ascii="宋体" w:hAnsi="宋体" w:cs="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”项为重要指标，共计13 项，满分26分，每有一项重要指标参数不满足扣2分，扣完为止；标注“●”项为次重要指标，共计</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 xml:space="preserve"> 项，满分</w:t>
            </w: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分，每有一项重要指标参数不满足扣1分，扣完为止；未标注指标为一般参数，共计18项，满分9分，每有一项一般技术参数不满足扣0.5分，扣完为止。</w:t>
            </w:r>
          </w:p>
          <w:bookmarkEnd w:id="0"/>
          <w:p>
            <w:pPr>
              <w:widowControl/>
              <w:spacing w:line="280" w:lineRule="exact"/>
              <w:jc w:val="left"/>
              <w:rPr>
                <w:rFonts w:ascii="宋体" w:hAnsi="宋体" w:cs="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须提供相关证明文件，无证明文件视为不满足。证明材料为所投产品对应的最新的公开产品宣传彩页，或打印的官网资料截图证明材料，或制造商出具的所投产品原始技术资料等相关证明材料进行评审；投标人应考虑提供的证明材料页码标注与各技术参数对应性差，而导致评分误差的风险。)</w:t>
            </w:r>
          </w:p>
        </w:tc>
      </w:tr>
      <w:tr>
        <w:tblPrEx>
          <w:tblCellMar>
            <w:top w:w="15" w:type="dxa"/>
            <w:left w:w="15" w:type="dxa"/>
            <w:bottom w:w="15" w:type="dxa"/>
            <w:right w:w="15" w:type="dxa"/>
          </w:tblCellMar>
        </w:tblPrEx>
        <w:trPr>
          <w:trHeight w:val="636" w:hRule="atLeast"/>
        </w:trPr>
        <w:tc>
          <w:tcPr>
            <w:tcW w:w="562" w:type="dxa"/>
            <w:vMerge w:val="restart"/>
            <w:tcBorders>
              <w:left w:val="single" w:color="000000" w:sz="4" w:space="0"/>
              <w:right w:val="single" w:color="000000" w:sz="4" w:space="0"/>
            </w:tcBorders>
            <w:vAlign w:val="center"/>
          </w:tcPr>
          <w:p>
            <w:pPr>
              <w:widowControl/>
              <w:spacing w:line="28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商务部分（2</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分）</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类似业绩</w:t>
            </w:r>
          </w:p>
        </w:tc>
        <w:tc>
          <w:tcPr>
            <w:tcW w:w="426"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w:t>
            </w:r>
          </w:p>
        </w:tc>
        <w:tc>
          <w:tcPr>
            <w:tcW w:w="748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投标人提供2017年1月1日至今以来完成大数据分析系统业绩，每个得2分，最高得4分（须提供合同或中标通知书）。</w:t>
            </w:r>
          </w:p>
        </w:tc>
      </w:tr>
      <w:tr>
        <w:tblPrEx>
          <w:tblCellMar>
            <w:top w:w="15" w:type="dxa"/>
            <w:left w:w="15" w:type="dxa"/>
            <w:bottom w:w="15" w:type="dxa"/>
            <w:right w:w="15" w:type="dxa"/>
          </w:tblCellMar>
        </w:tblPrEx>
        <w:trPr>
          <w:trHeight w:val="636" w:hRule="atLeast"/>
        </w:trPr>
        <w:tc>
          <w:tcPr>
            <w:tcW w:w="562" w:type="dxa"/>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themeColor="text1"/>
                <w:kern w:val="0"/>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客户评价</w:t>
            </w:r>
          </w:p>
        </w:tc>
        <w:tc>
          <w:tcPr>
            <w:tcW w:w="426"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p>
        </w:tc>
        <w:tc>
          <w:tcPr>
            <w:tcW w:w="748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投标人提供2017年1月1日至今以来完成过大数据分析系统评价意见，每提供一个正面评价意见得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分，累计最多得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分。（提供经客户盖章确认的相关证明材料，且用户评价和类似业绩一一对应才能得分。）</w:t>
            </w:r>
          </w:p>
        </w:tc>
      </w:tr>
      <w:tr>
        <w:tblPrEx>
          <w:tblCellMar>
            <w:top w:w="15" w:type="dxa"/>
            <w:left w:w="15" w:type="dxa"/>
            <w:bottom w:w="15" w:type="dxa"/>
            <w:right w:w="15" w:type="dxa"/>
          </w:tblCellMar>
        </w:tblPrEx>
        <w:trPr>
          <w:trHeight w:val="636" w:hRule="atLeast"/>
        </w:trPr>
        <w:tc>
          <w:tcPr>
            <w:tcW w:w="562" w:type="dxa"/>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themeColor="text1"/>
                <w:kern w:val="0"/>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环保要求</w:t>
            </w:r>
          </w:p>
        </w:tc>
        <w:tc>
          <w:tcPr>
            <w:tcW w:w="426"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p>
        </w:tc>
        <w:tc>
          <w:tcPr>
            <w:tcW w:w="7485"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CPU计算节点服务器、胖节点服务器、GPU计算服务器、高性能存储服务器、管理登录节点服务器、文件管理服务器获得环境标志产品认证的，每提供一个认证证明材料得0.5分，不提供不得分；本项最高分3分。</w:t>
            </w:r>
            <w:r>
              <w:rPr>
                <w:rFonts w:hint="eastAsia" w:ascii="宋体" w:cs="Arial"/>
                <w:b/>
                <w:color w:val="000000" w:themeColor="text1"/>
                <w:sz w:val="24"/>
                <w:highlight w:val="none"/>
                <w14:textFill>
                  <w14:solidFill>
                    <w14:schemeClr w14:val="tx1"/>
                  </w14:solidFill>
                </w14:textFill>
              </w:rPr>
              <w:t>须提供市场监管总局公告的相关认证机构出具的合格有效的环境标志产品认证证书。</w:t>
            </w:r>
          </w:p>
        </w:tc>
      </w:tr>
      <w:tr>
        <w:tblPrEx>
          <w:tblCellMar>
            <w:top w:w="15" w:type="dxa"/>
            <w:left w:w="15" w:type="dxa"/>
            <w:bottom w:w="15" w:type="dxa"/>
            <w:right w:w="15" w:type="dxa"/>
          </w:tblCellMar>
        </w:tblPrEx>
        <w:trPr>
          <w:trHeight w:val="636" w:hRule="atLeast"/>
        </w:trPr>
        <w:tc>
          <w:tcPr>
            <w:tcW w:w="562" w:type="dxa"/>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themeColor="text1"/>
                <w:kern w:val="0"/>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售后服务及应急保障</w:t>
            </w:r>
          </w:p>
        </w:tc>
        <w:tc>
          <w:tcPr>
            <w:tcW w:w="426" w:type="dxa"/>
            <w:tcBorders>
              <w:top w:val="single" w:color="auto" w:sz="4" w:space="0"/>
              <w:left w:val="single" w:color="000000" w:sz="4" w:space="0"/>
              <w:bottom w:val="single" w:color="auto" w:sz="4" w:space="0"/>
              <w:right w:val="single" w:color="auto" w:sz="4" w:space="0"/>
            </w:tcBorders>
            <w:vAlign w:val="center"/>
          </w:tcPr>
          <w:p>
            <w:pPr>
              <w:widowControl/>
              <w:spacing w:line="28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w:t>
            </w:r>
          </w:p>
        </w:tc>
        <w:tc>
          <w:tcPr>
            <w:tcW w:w="748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据投标人所提供的售后服务方案、突发事件时的应急预案及人员、设备保障等应急保障和违约处罚措施进行独立评审。内容详尽，完全满足项目需要，科学、合理、针对性强的得5分；内容完整，满足项目需要，基本可行得3分；内容有欠缺，基本满足项目需要，可行性不足的得1分；内容空泛、不符合实际要求的或未提供的得0分。</w:t>
            </w:r>
          </w:p>
        </w:tc>
      </w:tr>
      <w:tr>
        <w:tblPrEx>
          <w:tblCellMar>
            <w:top w:w="15" w:type="dxa"/>
            <w:left w:w="15" w:type="dxa"/>
            <w:bottom w:w="15" w:type="dxa"/>
            <w:right w:w="15" w:type="dxa"/>
          </w:tblCellMar>
        </w:tblPrEx>
        <w:trPr>
          <w:trHeight w:val="636" w:hRule="atLeast"/>
        </w:trPr>
        <w:tc>
          <w:tcPr>
            <w:tcW w:w="562" w:type="dxa"/>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themeColor="text1"/>
                <w:kern w:val="0"/>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培训计划</w:t>
            </w:r>
          </w:p>
        </w:tc>
        <w:tc>
          <w:tcPr>
            <w:tcW w:w="426" w:type="dxa"/>
            <w:tcBorders>
              <w:top w:val="single" w:color="auto" w:sz="4" w:space="0"/>
              <w:left w:val="single" w:color="000000" w:sz="4" w:space="0"/>
              <w:bottom w:val="single" w:color="auto" w:sz="4" w:space="0"/>
              <w:right w:val="single" w:color="auto" w:sz="4" w:space="0"/>
            </w:tcBorders>
            <w:vAlign w:val="center"/>
          </w:tcPr>
          <w:p>
            <w:pPr>
              <w:widowControl/>
              <w:tabs>
                <w:tab w:val="left" w:pos="351"/>
                <w:tab w:val="left" w:pos="816"/>
              </w:tabs>
              <w:spacing w:line="280" w:lineRule="exact"/>
              <w:ind w:right="-50" w:rightChars="-2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748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针对本项目所提供的培训计划内容进行独立评审。内容详尽，完全满足项目需要，科学、合理、针对性强的得3分；内容完整，满足项目需要，基本可行得2分；内容有欠缺，基本满足项目需要，可行性不足的得1分；内容空泛、不符合实际要求的或未提供的得0分。</w:t>
            </w:r>
          </w:p>
        </w:tc>
      </w:tr>
      <w:tr>
        <w:tblPrEx>
          <w:tblCellMar>
            <w:top w:w="15" w:type="dxa"/>
            <w:left w:w="15" w:type="dxa"/>
            <w:bottom w:w="15" w:type="dxa"/>
            <w:right w:w="15" w:type="dxa"/>
          </w:tblCellMar>
        </w:tblPrEx>
        <w:trPr>
          <w:trHeight w:val="525" w:hRule="atLeast"/>
        </w:trPr>
        <w:tc>
          <w:tcPr>
            <w:tcW w:w="562" w:type="dxa"/>
            <w:vMerge w:val="continue"/>
            <w:tcBorders>
              <w:left w:val="single" w:color="000000" w:sz="4" w:space="0"/>
              <w:bottom w:val="single" w:color="auto" w:sz="4" w:space="0"/>
              <w:right w:val="single" w:color="000000" w:sz="4" w:space="0"/>
            </w:tcBorders>
            <w:vAlign w:val="center"/>
          </w:tcPr>
          <w:p>
            <w:pPr>
              <w:widowControl/>
              <w:spacing w:line="280" w:lineRule="exact"/>
              <w:jc w:val="left"/>
              <w:rPr>
                <w:rFonts w:ascii="宋体" w:hAnsi="宋体" w:cs="宋体"/>
                <w:color w:val="000000" w:themeColor="text1"/>
                <w:kern w:val="0"/>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安装调试、验收组织</w:t>
            </w:r>
          </w:p>
        </w:tc>
        <w:tc>
          <w:tcPr>
            <w:tcW w:w="426" w:type="dxa"/>
            <w:tcBorders>
              <w:top w:val="single" w:color="auto" w:sz="4" w:space="0"/>
              <w:left w:val="single" w:color="000000" w:sz="4" w:space="0"/>
              <w:bottom w:val="single" w:color="auto" w:sz="4" w:space="0"/>
              <w:right w:val="single" w:color="auto" w:sz="4" w:space="0"/>
            </w:tcBorders>
            <w:vAlign w:val="center"/>
          </w:tcPr>
          <w:p>
            <w:pPr>
              <w:widowControl/>
              <w:spacing w:line="300" w:lineRule="exact"/>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p>
        </w:tc>
        <w:tc>
          <w:tcPr>
            <w:tcW w:w="7485"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投标人提供的安装调试及验收方案，从方案是否切实可行、测试及验收标准科学、合理、详细，是否符合国家、地方相关标准及有利于项目实施等方面进行独立评审。内容详尽，完全满足项目需要，科学、合理、针对性强的得3分；内容完整，满足项目需要，基本可行得2分；内容有欠缺，基本满足项目需要，可行性不足的得1分；内容空泛、不符合实际要求的或未提供的得0分。</w:t>
            </w:r>
          </w:p>
        </w:tc>
      </w:tr>
    </w:tbl>
    <w:p>
      <w:pPr>
        <w:pStyle w:val="6"/>
        <w:rPr>
          <w:rFonts w:hAnsi="宋体" w:eastAsia="仿宋" w:cs="宋体"/>
          <w:b/>
          <w:color w:val="000000" w:themeColor="text1"/>
          <w:kern w:val="0"/>
          <w:sz w:val="24"/>
          <w:szCs w:val="18"/>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二、</w:t>
      </w:r>
      <w:r>
        <w:rPr>
          <w:rFonts w:hint="eastAsia" w:ascii="宋体" w:cs="Arial"/>
          <w:b/>
          <w:color w:val="000000" w:themeColor="text1"/>
          <w:kern w:val="0"/>
          <w:sz w:val="24"/>
          <w:szCs w:val="24"/>
          <w:highlight w:val="none"/>
          <w14:textFill>
            <w14:solidFill>
              <w14:schemeClr w14:val="tx1"/>
            </w14:solidFill>
          </w14:textFill>
        </w:rPr>
        <w:t>评分标准表</w:t>
      </w:r>
    </w:p>
    <w:p>
      <w:pPr>
        <w:pStyle w:val="6"/>
        <w:rPr>
          <w:rFonts w:hAnsi="宋体" w:eastAsia="仿宋" w:cs="宋体"/>
          <w:b/>
          <w:color w:val="000000" w:themeColor="text1"/>
          <w:kern w:val="0"/>
          <w:sz w:val="24"/>
          <w:szCs w:val="18"/>
          <w:highlight w:val="none"/>
          <w14:textFill>
            <w14:solidFill>
              <w14:schemeClr w14:val="tx1"/>
            </w14:solidFill>
          </w14:textFill>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ODc5YzY2OTI1MThmNTNlOTEyY2JhZGJkZjBiNGYifQ=="/>
  </w:docVars>
  <w:rsids>
    <w:rsidRoot w:val="00000000"/>
    <w:rsid w:val="02B57C57"/>
    <w:rsid w:val="078614A7"/>
    <w:rsid w:val="0B7F7B23"/>
    <w:rsid w:val="18F8235F"/>
    <w:rsid w:val="237155CB"/>
    <w:rsid w:val="31E5372A"/>
    <w:rsid w:val="4DBF27B6"/>
    <w:rsid w:val="6586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annotation text"/>
    <w:basedOn w:val="1"/>
    <w:semiHidden/>
    <w:unhideWhenUsed/>
    <w:qFormat/>
    <w:uiPriority w:val="99"/>
    <w:pPr>
      <w:jc w:val="left"/>
    </w:pPr>
  </w:style>
  <w:style w:type="paragraph" w:styleId="6">
    <w:name w:val="Plain Text"/>
    <w:basedOn w:val="1"/>
    <w:qFormat/>
    <w:uiPriority w:val="0"/>
    <w:rPr>
      <w:rFonts w:ascii="宋体" w:hAnsi="Courier New"/>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styleId="10">
    <w:name w:val="annotation reference"/>
    <w:basedOn w:val="9"/>
    <w:semiHidden/>
    <w:unhideWhenUsed/>
    <w:qFormat/>
    <w:uiPriority w:val="99"/>
    <w:rPr>
      <w:sz w:val="21"/>
      <w:szCs w:val="21"/>
    </w:rPr>
  </w:style>
  <w:style w:type="paragraph" w:customStyle="1" w:styleId="11">
    <w:name w:val="列表段落1"/>
    <w:basedOn w:val="1"/>
    <w:qFormat/>
    <w:uiPriority w:val="34"/>
    <w:pPr>
      <w:ind w:firstLine="420" w:firstLineChars="200"/>
    </w:pPr>
  </w:style>
  <w:style w:type="paragraph" w:customStyle="1" w:styleId="12">
    <w:name w:val="表格字体"/>
    <w:basedOn w:val="1"/>
    <w:qFormat/>
    <w:uiPriority w:val="0"/>
    <w:pPr>
      <w:widowControl/>
      <w:spacing w:line="400" w:lineRule="exact"/>
    </w:pPr>
    <w:rPr>
      <w:rFonts w:hint="eastAsia" w:cs="宋体"/>
      <w:bCs/>
      <w:color w:val="000000"/>
      <w:kern w:val="0"/>
      <w:sz w:val="24"/>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4039</Words>
  <Characters>4908</Characters>
  <Lines>0</Lines>
  <Paragraphs>0</Paragraphs>
  <TotalTime>8</TotalTime>
  <ScaleCrop>false</ScaleCrop>
  <LinksUpToDate>false</LinksUpToDate>
  <CharactersWithSpaces>5086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2022-08-17T07:06:00Z</dcterms:created>
  <dc:creator>Administrator</dc:creator>
  <cp:lastModifiedBy>晓忆</cp:lastModifiedBy>
  <dcterms:modified xsi:type="dcterms:W3CDTF">2022-08-17T09:49:59Z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763329DE1C834CFCA5D3DE416AFDFE46</vt:lpwstr>
  </property>
</Properties>
</file>