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440"/>
        <w:jc w:val="left"/>
        <w:rPr>
          <w:rFonts w:ascii="仿宋" w:hAnsi="仿宋" w:eastAsia="仿宋" w:cs="宋体"/>
        </w:rPr>
      </w:pPr>
      <w:bookmarkStart w:id="0" w:name="_Toc99961550"/>
      <w:bookmarkStart w:id="1" w:name="_Toc258846099"/>
      <w:bookmarkStart w:id="2" w:name="_Toc111639289"/>
      <w:r>
        <w:rPr>
          <w:rFonts w:hint="eastAsia" w:ascii="仿宋" w:hAnsi="仿宋" w:eastAsia="仿宋" w:cs="宋体"/>
        </w:rPr>
        <w:t>第八章     服务需求一览表</w:t>
      </w:r>
      <w:bookmarkEnd w:id="0"/>
      <w:bookmarkEnd w:id="1"/>
      <w:r>
        <w:rPr>
          <w:rFonts w:hint="eastAsia" w:ascii="仿宋" w:hAnsi="仿宋" w:eastAsia="仿宋" w:cs="宋体"/>
        </w:rPr>
        <w:t>及项目要求</w:t>
      </w:r>
      <w:bookmarkEnd w:id="2"/>
    </w:p>
    <w:p>
      <w:pPr>
        <w:pStyle w:val="4"/>
        <w:rPr>
          <w:rFonts w:ascii="仿宋" w:hAnsi="仿宋" w:eastAsia="仿宋" w:cs="宋体"/>
          <w:szCs w:val="30"/>
        </w:rPr>
      </w:pPr>
      <w:bookmarkStart w:id="3" w:name="_Toc111639290"/>
      <w:bookmarkStart w:id="4" w:name="_Toc99960429"/>
      <w:bookmarkStart w:id="5" w:name="_Toc258846100"/>
      <w:bookmarkStart w:id="6" w:name="_Toc512937853"/>
      <w:bookmarkStart w:id="7" w:name="_Toc99961551"/>
      <w:r>
        <w:rPr>
          <w:rFonts w:hint="eastAsia" w:ascii="仿宋" w:hAnsi="仿宋" w:eastAsia="仿宋" w:cs="宋体"/>
          <w:szCs w:val="30"/>
        </w:rPr>
        <w:t>第一部分   服务需求一览表</w:t>
      </w:r>
      <w:bookmarkEnd w:id="3"/>
      <w:bookmarkEnd w:id="4"/>
      <w:bookmarkEnd w:id="5"/>
      <w:bookmarkEnd w:id="6"/>
      <w:bookmarkEnd w:id="7"/>
    </w:p>
    <w:p>
      <w:pPr>
        <w:tabs>
          <w:tab w:val="left" w:pos="1470"/>
        </w:tabs>
        <w:spacing w:line="360" w:lineRule="atLeast"/>
        <w:rPr>
          <w:rFonts w:ascii="仿宋" w:hAnsi="仿宋" w:eastAsia="仿宋" w:cs="宋体"/>
          <w:bCs/>
          <w:sz w:val="24"/>
        </w:rPr>
      </w:pPr>
      <w:r>
        <w:rPr>
          <w:rFonts w:hint="eastAsia" w:ascii="仿宋" w:hAnsi="仿宋" w:eastAsia="仿宋" w:cs="宋体"/>
          <w:bCs/>
          <w:sz w:val="24"/>
        </w:rPr>
        <w:t>招标编号：</w:t>
      </w:r>
      <w:r>
        <w:rPr>
          <w:rFonts w:ascii="仿宋" w:hAnsi="仿宋" w:eastAsia="仿宋" w:cs="宋体"/>
          <w:bCs/>
          <w:sz w:val="24"/>
        </w:rPr>
        <w:t>OITC-G220221318</w:t>
      </w:r>
    </w:p>
    <w:p>
      <w:pPr>
        <w:tabs>
          <w:tab w:val="left" w:pos="1470"/>
        </w:tabs>
        <w:spacing w:line="360" w:lineRule="atLeast"/>
        <w:rPr>
          <w:rFonts w:ascii="仿宋" w:hAnsi="仿宋" w:eastAsia="仿宋" w:cs="宋体"/>
          <w:bCs/>
          <w:sz w:val="24"/>
        </w:rPr>
      </w:pPr>
      <w:r>
        <w:rPr>
          <w:rFonts w:hint="eastAsia" w:ascii="仿宋" w:hAnsi="仿宋" w:eastAsia="仿宋" w:cs="宋体"/>
          <w:bCs/>
          <w:sz w:val="24"/>
        </w:rPr>
        <w:t>项目名称：中国纺织信息中心纺织行业数字化创意与协同设计重点实验室能力提升建设采购项目</w:t>
      </w:r>
    </w:p>
    <w:p>
      <w:pPr>
        <w:tabs>
          <w:tab w:val="left" w:pos="1470"/>
          <w:tab w:val="center" w:pos="4156"/>
        </w:tabs>
        <w:spacing w:line="360" w:lineRule="atLeast"/>
        <w:jc w:val="left"/>
        <w:rPr>
          <w:rFonts w:ascii="仿宋" w:hAnsi="仿宋" w:eastAsia="仿宋" w:cs="宋体"/>
          <w:bCs/>
          <w:sz w:val="24"/>
        </w:rPr>
      </w:pPr>
    </w:p>
    <w:p>
      <w:pPr>
        <w:tabs>
          <w:tab w:val="left" w:pos="1470"/>
          <w:tab w:val="center" w:pos="4156"/>
        </w:tabs>
        <w:spacing w:line="360" w:lineRule="atLeast"/>
        <w:jc w:val="left"/>
        <w:rPr>
          <w:rFonts w:ascii="仿宋" w:hAnsi="仿宋" w:eastAsia="仿宋" w:cs="宋体"/>
          <w:bCs/>
          <w:sz w:val="24"/>
        </w:rPr>
      </w:pPr>
      <w:r>
        <w:rPr>
          <w:rFonts w:hint="eastAsia" w:ascii="仿宋" w:hAnsi="仿宋" w:eastAsia="仿宋" w:cs="宋体"/>
          <w:bCs/>
          <w:sz w:val="24"/>
        </w:rPr>
        <w:t xml:space="preserve">服务名称和交付时间： </w:t>
      </w:r>
    </w:p>
    <w:tbl>
      <w:tblPr>
        <w:tblStyle w:val="6"/>
        <w:tblpPr w:leftFromText="180" w:rightFromText="180" w:vertAnchor="text" w:horzAnchor="margin" w:tblpY="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280"/>
        <w:gridCol w:w="1894"/>
        <w:gridCol w:w="131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3" w:type="pct"/>
            <w:vAlign w:val="center"/>
          </w:tcPr>
          <w:p>
            <w:pPr>
              <w:jc w:val="center"/>
              <w:rPr>
                <w:rFonts w:ascii="仿宋" w:hAnsi="仿宋" w:eastAsia="仿宋"/>
                <w:bCs/>
                <w:sz w:val="24"/>
              </w:rPr>
            </w:pPr>
            <w:r>
              <w:rPr>
                <w:rFonts w:hint="eastAsia" w:ascii="仿宋" w:hAnsi="仿宋" w:eastAsia="仿宋"/>
                <w:bCs/>
                <w:sz w:val="24"/>
              </w:rPr>
              <w:t>包号</w:t>
            </w:r>
          </w:p>
        </w:tc>
        <w:tc>
          <w:tcPr>
            <w:tcW w:w="1338" w:type="pct"/>
            <w:vAlign w:val="center"/>
          </w:tcPr>
          <w:p>
            <w:pPr>
              <w:jc w:val="center"/>
              <w:rPr>
                <w:rFonts w:ascii="仿宋" w:hAnsi="仿宋" w:eastAsia="仿宋"/>
                <w:sz w:val="24"/>
              </w:rPr>
            </w:pPr>
            <w:r>
              <w:rPr>
                <w:rFonts w:hint="eastAsia" w:ascii="仿宋" w:hAnsi="仿宋" w:eastAsia="仿宋"/>
                <w:sz w:val="24"/>
              </w:rPr>
              <w:t>服务名称</w:t>
            </w:r>
          </w:p>
        </w:tc>
        <w:tc>
          <w:tcPr>
            <w:tcW w:w="1111" w:type="pct"/>
            <w:vAlign w:val="center"/>
          </w:tcPr>
          <w:p>
            <w:pPr>
              <w:widowControl/>
              <w:jc w:val="center"/>
              <w:rPr>
                <w:rFonts w:ascii="仿宋" w:hAnsi="仿宋" w:eastAsia="仿宋"/>
                <w:sz w:val="24"/>
              </w:rPr>
            </w:pPr>
            <w:r>
              <w:rPr>
                <w:rFonts w:hint="eastAsia" w:ascii="仿宋" w:hAnsi="仿宋" w:eastAsia="仿宋"/>
                <w:sz w:val="24"/>
              </w:rPr>
              <w:t>交付时间</w:t>
            </w:r>
          </w:p>
        </w:tc>
        <w:tc>
          <w:tcPr>
            <w:tcW w:w="769" w:type="pct"/>
            <w:vAlign w:val="center"/>
          </w:tcPr>
          <w:p>
            <w:pPr>
              <w:widowControl/>
              <w:jc w:val="center"/>
              <w:rPr>
                <w:rFonts w:ascii="仿宋" w:hAnsi="仿宋" w:eastAsia="仿宋"/>
                <w:sz w:val="24"/>
              </w:rPr>
            </w:pPr>
            <w:r>
              <w:rPr>
                <w:rFonts w:hint="eastAsia" w:ascii="仿宋" w:hAnsi="仿宋" w:eastAsia="仿宋"/>
                <w:sz w:val="24"/>
              </w:rPr>
              <w:t>采购预算</w:t>
            </w:r>
          </w:p>
        </w:tc>
        <w:tc>
          <w:tcPr>
            <w:tcW w:w="1329" w:type="pct"/>
            <w:vAlign w:val="center"/>
          </w:tcPr>
          <w:p>
            <w:pPr>
              <w:widowControl/>
              <w:jc w:val="center"/>
              <w:rPr>
                <w:rFonts w:ascii="仿宋" w:hAnsi="仿宋" w:eastAsia="仿宋"/>
                <w:sz w:val="24"/>
              </w:rPr>
            </w:pPr>
            <w:r>
              <w:rPr>
                <w:rFonts w:hint="eastAsia" w:ascii="仿宋" w:hAnsi="仿宋" w:eastAsia="仿宋"/>
                <w:sz w:val="24"/>
              </w:rPr>
              <w:t>是否面向中小企业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1</w:t>
            </w:r>
          </w:p>
        </w:tc>
        <w:tc>
          <w:tcPr>
            <w:tcW w:w="13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cs="宋体"/>
                <w:bCs/>
                <w:sz w:val="24"/>
              </w:rPr>
              <w:t>纺织服装领域的计算机视觉技术研发</w:t>
            </w:r>
          </w:p>
        </w:tc>
        <w:tc>
          <w:tcPr>
            <w:tcW w:w="111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详见项目要求</w:t>
            </w:r>
          </w:p>
        </w:tc>
        <w:tc>
          <w:tcPr>
            <w:tcW w:w="7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6</w:t>
            </w:r>
            <w:r>
              <w:rPr>
                <w:rFonts w:ascii="仿宋" w:hAnsi="仿宋" w:eastAsia="仿宋"/>
                <w:sz w:val="24"/>
              </w:rPr>
              <w:t>4</w:t>
            </w:r>
            <w:r>
              <w:rPr>
                <w:rFonts w:hint="eastAsia" w:ascii="仿宋" w:hAnsi="仿宋" w:eastAsia="仿宋"/>
                <w:sz w:val="24"/>
              </w:rPr>
              <w:t>万元</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3" w:type="pct"/>
            <w:tcBorders>
              <w:top w:val="single" w:color="auto" w:sz="4" w:space="0"/>
              <w:left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2</w:t>
            </w:r>
          </w:p>
        </w:tc>
        <w:tc>
          <w:tcPr>
            <w:tcW w:w="13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Cs/>
                <w:sz w:val="24"/>
              </w:rPr>
            </w:pPr>
            <w:bookmarkStart w:id="8" w:name="_Hlk109742100"/>
            <w:r>
              <w:rPr>
                <w:rFonts w:hint="eastAsia" w:ascii="仿宋" w:hAnsi="仿宋" w:eastAsia="仿宋" w:cs="宋体"/>
                <w:bCs/>
                <w:sz w:val="24"/>
              </w:rPr>
              <w:t>纺织行业产品开发数据分析决策平台</w:t>
            </w:r>
            <w:bookmarkEnd w:id="8"/>
          </w:p>
        </w:tc>
        <w:tc>
          <w:tcPr>
            <w:tcW w:w="1111" w:type="pct"/>
            <w:tcBorders>
              <w:top w:val="single" w:color="auto" w:sz="4" w:space="0"/>
              <w:left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详见项目要求</w:t>
            </w:r>
          </w:p>
        </w:tc>
        <w:tc>
          <w:tcPr>
            <w:tcW w:w="769" w:type="pct"/>
            <w:tcBorders>
              <w:top w:val="single" w:color="auto" w:sz="4" w:space="0"/>
              <w:left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6</w:t>
            </w:r>
            <w:r>
              <w:rPr>
                <w:rFonts w:ascii="仿宋" w:hAnsi="仿宋" w:eastAsia="仿宋"/>
                <w:sz w:val="24"/>
              </w:rPr>
              <w:t>3</w:t>
            </w:r>
            <w:r>
              <w:rPr>
                <w:rFonts w:hint="eastAsia" w:ascii="仿宋" w:hAnsi="仿宋" w:eastAsia="仿宋"/>
                <w:sz w:val="24"/>
              </w:rPr>
              <w:t>万元</w:t>
            </w:r>
          </w:p>
        </w:tc>
        <w:tc>
          <w:tcPr>
            <w:tcW w:w="1329" w:type="pc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是</w:t>
            </w:r>
          </w:p>
        </w:tc>
      </w:tr>
    </w:tbl>
    <w:p>
      <w:pPr>
        <w:tabs>
          <w:tab w:val="left" w:pos="1470"/>
        </w:tabs>
        <w:spacing w:line="360" w:lineRule="atLeast"/>
        <w:jc w:val="left"/>
        <w:rPr>
          <w:rFonts w:ascii="仿宋" w:hAnsi="仿宋" w:eastAsia="仿宋" w:cs="宋体"/>
          <w:bCs/>
          <w:sz w:val="24"/>
        </w:rPr>
      </w:pPr>
    </w:p>
    <w:p>
      <w:pPr>
        <w:pStyle w:val="4"/>
        <w:rPr>
          <w:rFonts w:ascii="仿宋" w:hAnsi="仿宋" w:eastAsia="仿宋" w:cs="宋体"/>
          <w:szCs w:val="30"/>
        </w:rPr>
      </w:pPr>
      <w:r>
        <w:rPr>
          <w:rFonts w:hint="eastAsia" w:ascii="仿宋" w:hAnsi="仿宋" w:eastAsia="仿宋" w:cs="宋体"/>
        </w:rPr>
        <w:br w:type="page"/>
      </w:r>
      <w:bookmarkStart w:id="9" w:name="_Toc99961552"/>
      <w:bookmarkStart w:id="10" w:name="_Toc99960430"/>
      <w:bookmarkStart w:id="11" w:name="_Toc258846101"/>
      <w:bookmarkStart w:id="12" w:name="_Toc111639291"/>
      <w:r>
        <w:rPr>
          <w:rFonts w:hint="eastAsia" w:ascii="仿宋" w:hAnsi="仿宋" w:eastAsia="仿宋" w:cs="宋体"/>
          <w:szCs w:val="30"/>
        </w:rPr>
        <w:t xml:space="preserve">第二部分   </w:t>
      </w:r>
      <w:bookmarkEnd w:id="9"/>
      <w:bookmarkEnd w:id="10"/>
      <w:bookmarkEnd w:id="11"/>
      <w:r>
        <w:rPr>
          <w:rFonts w:hint="eastAsia" w:ascii="仿宋" w:hAnsi="仿宋" w:eastAsia="仿宋" w:cs="宋体"/>
          <w:szCs w:val="30"/>
        </w:rPr>
        <w:t>第1包项目要求</w:t>
      </w:r>
      <w:bookmarkEnd w:id="12"/>
    </w:p>
    <w:p>
      <w:pPr>
        <w:pStyle w:val="8"/>
        <w:numPr>
          <w:ilvl w:val="2"/>
          <w:numId w:val="1"/>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项目背景</w:t>
      </w:r>
    </w:p>
    <w:p>
      <w:pPr>
        <w:pStyle w:val="9"/>
        <w:ind w:firstLine="480"/>
      </w:pPr>
      <w:r>
        <w:rPr>
          <w:rFonts w:hint="eastAsia"/>
        </w:rPr>
        <w:t>招标方在日常业务运行过程中，积累了大量的非结构化数据，为了将非结构化信息转化为结构化信息，方便后续数据分析需求，为数据分析决策提供数据支撑，研发人工智能计算机视觉识别技术和自然语言处理技术，对非结构化数据中的信息进行抽取、存储。</w:t>
      </w:r>
    </w:p>
    <w:p>
      <w:pPr>
        <w:pStyle w:val="8"/>
        <w:numPr>
          <w:ilvl w:val="2"/>
          <w:numId w:val="1"/>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需求说明</w:t>
      </w:r>
    </w:p>
    <w:p>
      <w:pPr>
        <w:pStyle w:val="9"/>
        <w:numPr>
          <w:ilvl w:val="3"/>
          <w:numId w:val="1"/>
        </w:numPr>
        <w:tabs>
          <w:tab w:val="clear" w:pos="1680"/>
        </w:tabs>
        <w:ind w:left="567" w:firstLineChars="0"/>
        <w:rPr>
          <w:b/>
          <w:bCs/>
        </w:rPr>
      </w:pPr>
      <w:r>
        <w:rPr>
          <w:rFonts w:hint="eastAsia"/>
          <w:b/>
          <w:bCs/>
        </w:rPr>
        <w:t>色彩识别及检索</w:t>
      </w:r>
    </w:p>
    <w:p>
      <w:pPr>
        <w:pStyle w:val="9"/>
        <w:numPr>
          <w:ilvl w:val="1"/>
          <w:numId w:val="2"/>
        </w:numPr>
        <w:ind w:firstLineChars="0"/>
        <w:rPr>
          <w:b/>
          <w:bCs/>
        </w:rPr>
      </w:pPr>
      <w:r>
        <w:rPr>
          <w:rFonts w:hint="eastAsia"/>
          <w:b/>
          <w:bCs/>
        </w:rPr>
        <w:t>应用场景</w:t>
      </w:r>
    </w:p>
    <w:p>
      <w:pPr>
        <w:pStyle w:val="9"/>
        <w:ind w:firstLine="480"/>
        <w:rPr>
          <w:color w:val="auto"/>
        </w:rPr>
      </w:pPr>
      <w:r>
        <w:rPr>
          <w:rFonts w:hint="eastAsia"/>
        </w:rPr>
        <w:t>利用计算机视觉技术，提</w:t>
      </w:r>
      <w:r>
        <w:rPr>
          <w:rFonts w:hint="eastAsia"/>
          <w:color w:val="auto"/>
        </w:rPr>
        <w:t>取业务中采集的时</w:t>
      </w:r>
      <w:r>
        <w:rPr>
          <w:rFonts w:hint="eastAsia"/>
        </w:rPr>
        <w:t>尚图片中的色彩RGB值及其占比，色彩提取包括：全图色彩提取、图片主体色彩提取和背景色彩提取，图片主体在招标方的应用场景中</w:t>
      </w:r>
      <w:r>
        <w:rPr>
          <w:rFonts w:hint="eastAsia"/>
          <w:color w:val="auto"/>
        </w:rPr>
        <w:t>特指图片中的纺织品。</w:t>
      </w:r>
    </w:p>
    <w:p>
      <w:pPr>
        <w:pStyle w:val="9"/>
        <w:numPr>
          <w:ilvl w:val="1"/>
          <w:numId w:val="2"/>
        </w:numPr>
        <w:ind w:firstLineChars="0"/>
        <w:rPr>
          <w:b/>
          <w:bCs/>
        </w:rPr>
      </w:pPr>
      <w:r>
        <w:rPr>
          <w:rFonts w:hint="eastAsia"/>
          <w:b/>
          <w:bCs/>
        </w:rPr>
        <w:t>技术现状</w:t>
      </w:r>
    </w:p>
    <w:p>
      <w:pPr>
        <w:pStyle w:val="9"/>
        <w:ind w:firstLine="480"/>
      </w:pPr>
      <w:r>
        <w:rPr>
          <w:rFonts w:hint="eastAsia"/>
        </w:rPr>
        <w:t>招标方目前在A</w:t>
      </w:r>
      <w:r>
        <w:t>I</w:t>
      </w:r>
      <w:r>
        <w:rPr>
          <w:rFonts w:hint="eastAsia"/>
        </w:rPr>
        <w:t>色彩识别方面有一定的技术积累，技术路径为：</w:t>
      </w:r>
    </w:p>
    <w:p>
      <w:pPr>
        <w:pStyle w:val="9"/>
        <w:numPr>
          <w:ilvl w:val="0"/>
          <w:numId w:val="3"/>
        </w:numPr>
        <w:ind w:firstLineChars="0"/>
      </w:pPr>
      <w:r>
        <w:rPr>
          <w:rFonts w:hint="eastAsia"/>
        </w:rPr>
        <w:t>如果为全图色彩提取，直接进行色彩聚类；</w:t>
      </w:r>
    </w:p>
    <w:p>
      <w:pPr>
        <w:pStyle w:val="9"/>
        <w:numPr>
          <w:ilvl w:val="0"/>
          <w:numId w:val="3"/>
        </w:numPr>
        <w:ind w:firstLineChars="0"/>
      </w:pPr>
      <w:r>
        <w:rPr>
          <w:rFonts w:hint="eastAsia"/>
        </w:rPr>
        <w:t>如果为主体色彩提取，首先利用公有云接口进行图片中主体的分割，然后再利用聚类算法对分割出来的主体进行色彩聚类。</w:t>
      </w:r>
    </w:p>
    <w:p>
      <w:pPr>
        <w:pStyle w:val="9"/>
        <w:numPr>
          <w:ilvl w:val="1"/>
          <w:numId w:val="2"/>
        </w:numPr>
        <w:ind w:firstLineChars="0"/>
        <w:rPr>
          <w:b/>
          <w:bCs/>
        </w:rPr>
      </w:pPr>
      <w:r>
        <w:rPr>
          <w:rFonts w:hint="eastAsia"/>
          <w:b/>
          <w:bCs/>
        </w:rPr>
        <w:t>技术需求及性能要求</w:t>
      </w:r>
    </w:p>
    <w:p>
      <w:pPr>
        <w:pStyle w:val="9"/>
        <w:numPr>
          <w:ilvl w:val="0"/>
          <w:numId w:val="4"/>
        </w:numPr>
        <w:ind w:firstLineChars="0"/>
      </w:pPr>
      <w:r>
        <w:rPr>
          <w:rFonts w:hint="eastAsia"/>
        </w:rPr>
        <w:t>架构一套高可用色彩提取A</w:t>
      </w:r>
      <w:r>
        <w:t>PI</w:t>
      </w:r>
      <w:r>
        <w:rPr>
          <w:rFonts w:hint="eastAsia"/>
        </w:rPr>
        <w:t xml:space="preserve"> web</w:t>
      </w:r>
      <w:r>
        <w:t xml:space="preserve"> </w:t>
      </w:r>
      <w:r>
        <w:rPr>
          <w:rFonts w:hint="eastAsia"/>
        </w:rPr>
        <w:t>服务，服务Q</w:t>
      </w:r>
      <w:r>
        <w:t>PS</w:t>
      </w:r>
      <w:r>
        <w:rPr>
          <w:rFonts w:hint="eastAsia"/>
        </w:rPr>
        <w:t>≥1</w:t>
      </w:r>
      <w:r>
        <w:t>0</w:t>
      </w:r>
      <w:r>
        <w:rPr>
          <w:rFonts w:hint="eastAsia"/>
        </w:rPr>
        <w:t>；</w:t>
      </w:r>
    </w:p>
    <w:p>
      <w:pPr>
        <w:pStyle w:val="9"/>
        <w:numPr>
          <w:ilvl w:val="0"/>
          <w:numId w:val="4"/>
        </w:numPr>
        <w:ind w:firstLineChars="0"/>
      </w:pPr>
      <w:r>
        <w:rPr>
          <w:rFonts w:hint="eastAsia"/>
        </w:rPr>
        <w:t>优化聚类算法，解决目前算法在某些类型图片的色彩聚类过程中，发生的重要色彩丢失、识别不准确的情况，并提升聚类计算速度；</w:t>
      </w:r>
    </w:p>
    <w:p>
      <w:pPr>
        <w:pStyle w:val="9"/>
        <w:numPr>
          <w:ilvl w:val="0"/>
          <w:numId w:val="4"/>
        </w:numPr>
        <w:ind w:firstLineChars="0"/>
      </w:pPr>
      <w:r>
        <w:rPr>
          <w:rFonts w:hint="eastAsia"/>
        </w:rPr>
        <w:t>色彩识别准确率≥9</w:t>
      </w:r>
      <w:r>
        <w:t>0</w:t>
      </w:r>
      <w:r>
        <w:rPr>
          <w:rFonts w:hint="eastAsia"/>
        </w:rPr>
        <w:t>%，单图处理速度≤0</w:t>
      </w:r>
      <w:r>
        <w:t>.5</w:t>
      </w:r>
      <w:r>
        <w:rPr>
          <w:rFonts w:hint="eastAsia"/>
        </w:rPr>
        <w:t>S；</w:t>
      </w:r>
    </w:p>
    <w:p>
      <w:pPr>
        <w:pStyle w:val="9"/>
        <w:numPr>
          <w:ilvl w:val="0"/>
          <w:numId w:val="4"/>
        </w:numPr>
        <w:ind w:firstLineChars="0"/>
      </w:pPr>
      <w:r>
        <w:rPr>
          <w:rFonts w:hint="eastAsia"/>
        </w:rPr>
        <w:t>开发算法，实现通过色彩特征及配色占比综合进行图像检索，与招标方共同进行数据库技术选型，检索准确率≥8</w:t>
      </w:r>
      <w:r>
        <w:t>5</w:t>
      </w:r>
      <w:r>
        <w:rPr>
          <w:rFonts w:hint="eastAsia"/>
        </w:rPr>
        <w:t>%，千万级数据检索时间≤</w:t>
      </w:r>
      <w:r>
        <w:t>1</w:t>
      </w:r>
      <w:r>
        <w:rPr>
          <w:rFonts w:hint="eastAsia"/>
        </w:rPr>
        <w:t>S。</w:t>
      </w:r>
    </w:p>
    <w:p>
      <w:pPr>
        <w:pStyle w:val="9"/>
        <w:numPr>
          <w:ilvl w:val="3"/>
          <w:numId w:val="1"/>
        </w:numPr>
        <w:tabs>
          <w:tab w:val="clear" w:pos="1680"/>
        </w:tabs>
        <w:ind w:left="567" w:firstLineChars="0"/>
        <w:rPr>
          <w:b/>
          <w:bCs/>
        </w:rPr>
      </w:pPr>
      <w:r>
        <w:rPr>
          <w:rFonts w:hint="eastAsia"/>
          <w:b/>
          <w:bCs/>
        </w:rPr>
        <w:t>图案检测及检索</w:t>
      </w:r>
    </w:p>
    <w:p>
      <w:pPr>
        <w:pStyle w:val="8"/>
        <w:numPr>
          <w:ilvl w:val="0"/>
          <w:numId w:val="5"/>
        </w:numPr>
        <w:autoSpaceDE w:val="0"/>
        <w:autoSpaceDN w:val="0"/>
        <w:spacing w:before="120" w:after="120" w:line="360" w:lineRule="auto"/>
        <w:ind w:firstLineChars="0"/>
        <w:rPr>
          <w:rFonts w:ascii="Times New Roman" w:hAnsi="Times New Roman" w:eastAsia="仿宋" w:cs="宋体"/>
          <w:b/>
          <w:bCs/>
          <w:snapToGrid w:val="0"/>
          <w:vanish/>
          <w:color w:val="000000"/>
          <w:sz w:val="24"/>
          <w:szCs w:val="20"/>
        </w:rPr>
      </w:pPr>
    </w:p>
    <w:p>
      <w:pPr>
        <w:pStyle w:val="8"/>
        <w:numPr>
          <w:ilvl w:val="0"/>
          <w:numId w:val="5"/>
        </w:numPr>
        <w:autoSpaceDE w:val="0"/>
        <w:autoSpaceDN w:val="0"/>
        <w:spacing w:before="120" w:after="120" w:line="360" w:lineRule="auto"/>
        <w:ind w:firstLineChars="0"/>
        <w:rPr>
          <w:rFonts w:ascii="Times New Roman" w:hAnsi="Times New Roman" w:eastAsia="仿宋" w:cs="宋体"/>
          <w:b/>
          <w:bCs/>
          <w:snapToGrid w:val="0"/>
          <w:vanish/>
          <w:color w:val="000000"/>
          <w:sz w:val="24"/>
          <w:szCs w:val="20"/>
        </w:rPr>
      </w:pPr>
    </w:p>
    <w:p>
      <w:pPr>
        <w:pStyle w:val="9"/>
        <w:numPr>
          <w:ilvl w:val="1"/>
          <w:numId w:val="5"/>
        </w:numPr>
        <w:ind w:firstLineChars="0"/>
        <w:rPr>
          <w:b/>
          <w:bCs/>
        </w:rPr>
      </w:pPr>
      <w:r>
        <w:rPr>
          <w:rFonts w:hint="eastAsia"/>
          <w:b/>
          <w:bCs/>
        </w:rPr>
        <w:t>应用场景</w:t>
      </w:r>
    </w:p>
    <w:p>
      <w:pPr>
        <w:pStyle w:val="9"/>
        <w:ind w:firstLine="480"/>
      </w:pPr>
      <w:r>
        <w:rPr>
          <w:rFonts w:hint="eastAsia"/>
        </w:rPr>
        <w:t>利用计算机视觉技术，识别图片中服装上的印花图案类型。</w:t>
      </w:r>
    </w:p>
    <w:p>
      <w:pPr>
        <w:pStyle w:val="9"/>
        <w:numPr>
          <w:ilvl w:val="1"/>
          <w:numId w:val="5"/>
        </w:numPr>
        <w:ind w:firstLineChars="0"/>
        <w:rPr>
          <w:b/>
          <w:bCs/>
        </w:rPr>
      </w:pPr>
      <w:r>
        <w:rPr>
          <w:rFonts w:hint="eastAsia"/>
          <w:b/>
          <w:bCs/>
        </w:rPr>
        <w:t>技术现状</w:t>
      </w:r>
    </w:p>
    <w:p>
      <w:pPr>
        <w:pStyle w:val="9"/>
        <w:ind w:firstLine="480"/>
      </w:pPr>
      <w:r>
        <w:rPr>
          <w:rFonts w:hint="eastAsia"/>
        </w:rPr>
        <w:t>招标方目前在A</w:t>
      </w:r>
      <w:r>
        <w:t>I</w:t>
      </w:r>
      <w:r>
        <w:rPr>
          <w:rFonts w:hint="eastAsia"/>
        </w:rPr>
        <w:t>图案识别方面有一定的技术积累，利用百度B</w:t>
      </w:r>
      <w:r>
        <w:t>ML</w:t>
      </w:r>
      <w:r>
        <w:rPr>
          <w:rFonts w:hint="eastAsia"/>
        </w:rPr>
        <w:t>-全功能AI开发平台进行A</w:t>
      </w:r>
      <w:r>
        <w:t>I</w:t>
      </w:r>
      <w:r>
        <w:rPr>
          <w:rFonts w:hint="eastAsia"/>
        </w:rPr>
        <w:t>图案识别模型的训练，目前已经能够识别1</w:t>
      </w:r>
      <w:r>
        <w:t>8</w:t>
      </w:r>
      <w:r>
        <w:rPr>
          <w:rFonts w:hint="eastAsia"/>
        </w:rPr>
        <w:t>类纺织服装印花图案。</w:t>
      </w:r>
    </w:p>
    <w:p>
      <w:pPr>
        <w:pStyle w:val="9"/>
        <w:numPr>
          <w:ilvl w:val="1"/>
          <w:numId w:val="5"/>
        </w:numPr>
        <w:ind w:firstLineChars="0"/>
        <w:rPr>
          <w:b/>
          <w:bCs/>
        </w:rPr>
      </w:pPr>
      <w:r>
        <w:rPr>
          <w:rFonts w:hint="eastAsia"/>
          <w:b/>
          <w:bCs/>
        </w:rPr>
        <w:t>技术需求及性能要求</w:t>
      </w:r>
    </w:p>
    <w:p>
      <w:pPr>
        <w:pStyle w:val="9"/>
        <w:numPr>
          <w:ilvl w:val="0"/>
          <w:numId w:val="6"/>
        </w:numPr>
        <w:ind w:firstLineChars="0"/>
      </w:pPr>
      <w:r>
        <w:rPr>
          <w:rFonts w:hint="eastAsia"/>
        </w:rPr>
        <w:t>增加</w:t>
      </w:r>
      <w:r>
        <w:t>22</w:t>
      </w:r>
      <w:r>
        <w:rPr>
          <w:rFonts w:hint="eastAsia"/>
        </w:rPr>
        <w:t>个图案类别、</w:t>
      </w:r>
      <w:r>
        <w:t>4</w:t>
      </w:r>
      <w:r>
        <w:rPr>
          <w:rFonts w:hint="eastAsia"/>
        </w:rPr>
        <w:t>个维度（大/小、疏/密、规则/不规则、独幅/满印）进行单图多标签模型开发训练，单图推理时间≤1S，准确率、召回率≥9</w:t>
      </w:r>
      <w:r>
        <w:t>0</w:t>
      </w:r>
      <w:r>
        <w:rPr>
          <w:rFonts w:hint="eastAsia"/>
        </w:rPr>
        <w:t>%；</w:t>
      </w:r>
    </w:p>
    <w:p>
      <w:pPr>
        <w:pStyle w:val="9"/>
        <w:numPr>
          <w:ilvl w:val="0"/>
          <w:numId w:val="6"/>
        </w:numPr>
        <w:ind w:firstLineChars="0"/>
      </w:pPr>
      <w:r>
        <w:rPr>
          <w:rFonts w:hint="eastAsia"/>
        </w:rPr>
        <w:t>开发算法模型，对图片中的图案元素分别进行图形、色彩两个维度的特征提取，并存入数据库中，实现通过图形、</w:t>
      </w:r>
      <w:r>
        <w:rPr>
          <w:rFonts w:hint="eastAsia"/>
          <w:color w:val="auto"/>
        </w:rPr>
        <w:t>色彩特征及其比例等因素对</w:t>
      </w:r>
      <w:r>
        <w:rPr>
          <w:rFonts w:hint="eastAsia"/>
        </w:rPr>
        <w:t>图案进行检索，检索准确率≥8</w:t>
      </w:r>
      <w:r>
        <w:t>5</w:t>
      </w:r>
      <w:r>
        <w:rPr>
          <w:rFonts w:hint="eastAsia"/>
        </w:rPr>
        <w:t>%，千万级数据检索时间≤</w:t>
      </w:r>
      <w:r>
        <w:t>1</w:t>
      </w:r>
      <w:r>
        <w:rPr>
          <w:rFonts w:hint="eastAsia"/>
        </w:rPr>
        <w:t>S。</w:t>
      </w:r>
    </w:p>
    <w:p>
      <w:pPr>
        <w:pStyle w:val="9"/>
        <w:numPr>
          <w:ilvl w:val="3"/>
          <w:numId w:val="1"/>
        </w:numPr>
        <w:tabs>
          <w:tab w:val="clear" w:pos="1680"/>
        </w:tabs>
        <w:ind w:left="567" w:firstLineChars="0"/>
        <w:rPr>
          <w:b/>
          <w:bCs/>
        </w:rPr>
      </w:pPr>
      <w:r>
        <w:rPr>
          <w:rFonts w:hint="eastAsia"/>
          <w:b/>
          <w:bCs/>
        </w:rPr>
        <w:t>图像搜索</w:t>
      </w:r>
    </w:p>
    <w:p>
      <w:pPr>
        <w:pStyle w:val="9"/>
        <w:numPr>
          <w:ilvl w:val="1"/>
          <w:numId w:val="7"/>
        </w:numPr>
        <w:ind w:firstLineChars="0"/>
        <w:rPr>
          <w:b/>
          <w:bCs/>
        </w:rPr>
      </w:pPr>
      <w:r>
        <w:rPr>
          <w:rFonts w:hint="eastAsia"/>
          <w:b/>
          <w:bCs/>
        </w:rPr>
        <w:t>应用场景</w:t>
      </w:r>
    </w:p>
    <w:p>
      <w:pPr>
        <w:pStyle w:val="9"/>
        <w:ind w:firstLine="480"/>
      </w:pPr>
      <w:r>
        <w:rPr>
          <w:rFonts w:hint="eastAsia"/>
        </w:rPr>
        <w:t>针对招标方已有的海量图片库建立索引，实现图像的反向搜索功能。</w:t>
      </w:r>
    </w:p>
    <w:p>
      <w:pPr>
        <w:pStyle w:val="9"/>
        <w:numPr>
          <w:ilvl w:val="1"/>
          <w:numId w:val="7"/>
        </w:numPr>
        <w:ind w:firstLineChars="0"/>
        <w:rPr>
          <w:b/>
          <w:bCs/>
        </w:rPr>
      </w:pPr>
      <w:r>
        <w:rPr>
          <w:rFonts w:hint="eastAsia"/>
          <w:b/>
          <w:bCs/>
        </w:rPr>
        <w:t>技术现状</w:t>
      </w:r>
    </w:p>
    <w:p>
      <w:pPr>
        <w:pStyle w:val="9"/>
        <w:ind w:firstLine="480"/>
      </w:pPr>
      <w:r>
        <w:rPr>
          <w:rFonts w:hint="eastAsia"/>
        </w:rPr>
        <w:t>目前利用以下两项开源技术构建图像的反向搜索服务：</w:t>
      </w:r>
    </w:p>
    <w:p>
      <w:pPr>
        <w:pStyle w:val="9"/>
        <w:numPr>
          <w:ilvl w:val="0"/>
          <w:numId w:val="8"/>
        </w:numPr>
        <w:ind w:firstLineChars="0"/>
      </w:pPr>
      <w:r>
        <w:rPr>
          <w:rFonts w:hint="eastAsia"/>
        </w:rPr>
        <w:t>百度智能云提供的以图搜图服务；</w:t>
      </w:r>
    </w:p>
    <w:p>
      <w:pPr>
        <w:pStyle w:val="9"/>
        <w:numPr>
          <w:ilvl w:val="0"/>
          <w:numId w:val="8"/>
        </w:numPr>
        <w:ind w:firstLineChars="0"/>
      </w:pPr>
      <w:r>
        <w:rPr>
          <w:rFonts w:hint="eastAsia"/>
        </w:rPr>
        <w:t>通过YOLO</w:t>
      </w:r>
      <w:r>
        <w:t xml:space="preserve"> </w:t>
      </w:r>
      <w:r>
        <w:rPr>
          <w:rFonts w:hint="eastAsia"/>
        </w:rPr>
        <w:t>V</w:t>
      </w:r>
      <w:r>
        <w:t>5</w:t>
      </w:r>
      <w:r>
        <w:rPr>
          <w:rFonts w:hint="eastAsia"/>
        </w:rPr>
        <w:t>、ResNet</w:t>
      </w:r>
      <w:r>
        <w:t>50</w:t>
      </w:r>
      <w:r>
        <w:rPr>
          <w:rFonts w:hint="eastAsia"/>
        </w:rPr>
        <w:t>、Milvus。</w:t>
      </w:r>
    </w:p>
    <w:p>
      <w:pPr>
        <w:pStyle w:val="9"/>
        <w:numPr>
          <w:ilvl w:val="1"/>
          <w:numId w:val="7"/>
        </w:numPr>
        <w:ind w:firstLineChars="0"/>
        <w:rPr>
          <w:b/>
          <w:bCs/>
        </w:rPr>
      </w:pPr>
      <w:r>
        <w:rPr>
          <w:rFonts w:hint="eastAsia"/>
          <w:b/>
          <w:bCs/>
        </w:rPr>
        <w:t>技术需求及性能要求</w:t>
      </w:r>
    </w:p>
    <w:p>
      <w:pPr>
        <w:pStyle w:val="9"/>
        <w:numPr>
          <w:ilvl w:val="0"/>
          <w:numId w:val="9"/>
        </w:numPr>
        <w:ind w:firstLineChars="0"/>
      </w:pPr>
      <w:r>
        <w:rPr>
          <w:rFonts w:hint="eastAsia"/>
        </w:rPr>
        <w:t>改进现有的图像搜索服务，提升搜索结果的准确性和检索效率；</w:t>
      </w:r>
    </w:p>
    <w:p>
      <w:pPr>
        <w:pStyle w:val="9"/>
        <w:numPr>
          <w:ilvl w:val="0"/>
          <w:numId w:val="9"/>
        </w:numPr>
        <w:ind w:firstLineChars="0"/>
      </w:pPr>
      <w:r>
        <w:rPr>
          <w:rFonts w:hint="eastAsia"/>
        </w:rPr>
        <w:t>图像搜索准确率≥</w:t>
      </w:r>
      <w:r>
        <w:t>90</w:t>
      </w:r>
      <w:r>
        <w:rPr>
          <w:rFonts w:hint="eastAsia"/>
        </w:rPr>
        <w:t>%，千万级数据检索时间≤</w:t>
      </w:r>
      <w:r>
        <w:t>2</w:t>
      </w:r>
      <w:r>
        <w:rPr>
          <w:rFonts w:hint="eastAsia"/>
        </w:rPr>
        <w:t>S。</w:t>
      </w:r>
    </w:p>
    <w:p>
      <w:pPr>
        <w:pStyle w:val="8"/>
        <w:numPr>
          <w:ilvl w:val="2"/>
          <w:numId w:val="1"/>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项目实施要求</w:t>
      </w:r>
    </w:p>
    <w:p>
      <w:pPr>
        <w:pStyle w:val="8"/>
        <w:numPr>
          <w:ilvl w:val="3"/>
          <w:numId w:val="1"/>
        </w:numPr>
        <w:tabs>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项目实施周期</w:t>
      </w:r>
    </w:p>
    <w:p>
      <w:pPr>
        <w:pStyle w:val="9"/>
        <w:ind w:firstLine="480"/>
      </w:pPr>
      <w:r>
        <w:rPr>
          <w:rFonts w:hint="eastAsia"/>
        </w:rPr>
        <w:t>在接到招标方单位中标通知后，按照规定的日期进行实施，2</w:t>
      </w:r>
      <w:r>
        <w:t>022</w:t>
      </w:r>
      <w:r>
        <w:rPr>
          <w:rFonts w:hint="eastAsia"/>
        </w:rPr>
        <w:t>年1</w:t>
      </w:r>
      <w:r>
        <w:t>1</w:t>
      </w:r>
      <w:r>
        <w:rPr>
          <w:rFonts w:hint="eastAsia"/>
        </w:rPr>
        <w:t>月</w:t>
      </w:r>
      <w:r>
        <w:t>15</w:t>
      </w:r>
      <w:r>
        <w:rPr>
          <w:rFonts w:hint="eastAsia"/>
        </w:rPr>
        <w:t>前完成所有内容研发。</w:t>
      </w:r>
    </w:p>
    <w:p>
      <w:pPr>
        <w:pStyle w:val="8"/>
        <w:numPr>
          <w:ilvl w:val="3"/>
          <w:numId w:val="1"/>
        </w:numPr>
        <w:tabs>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项目交付</w:t>
      </w:r>
    </w:p>
    <w:p>
      <w:pPr>
        <w:pStyle w:val="9"/>
        <w:ind w:firstLine="480"/>
      </w:pPr>
      <w:r>
        <w:rPr>
          <w:rFonts w:hint="eastAsia"/>
        </w:rPr>
        <w:t>项目交付内容包括但不限于：项目技术成果、项目技术文件、项目管理文件等。</w:t>
      </w:r>
    </w:p>
    <w:p>
      <w:pPr>
        <w:pStyle w:val="9"/>
        <w:numPr>
          <w:ilvl w:val="0"/>
          <w:numId w:val="10"/>
        </w:numPr>
        <w:ind w:left="851" w:firstLineChars="0"/>
      </w:pPr>
      <w:r>
        <w:rPr>
          <w:rFonts w:hint="eastAsia"/>
        </w:rPr>
        <w:t>项目技术成果包括但不限于：算法原理、可用模型、源代码、标注数据等；</w:t>
      </w:r>
    </w:p>
    <w:p>
      <w:pPr>
        <w:pStyle w:val="9"/>
        <w:numPr>
          <w:ilvl w:val="0"/>
          <w:numId w:val="10"/>
        </w:numPr>
        <w:ind w:left="851" w:firstLineChars="0"/>
      </w:pPr>
      <w:r>
        <w:rPr>
          <w:rFonts w:hint="eastAsia"/>
        </w:rPr>
        <w:t>项目技术文件包括但不限于：蓝图设计方案、系统功能结构设计说明书、、软/硬件说明书、软件操作手册、软件安装调试指导书、数据库安装调试指导书、管理员安装/调试操作手册、管理员运维操作手册等；</w:t>
      </w:r>
    </w:p>
    <w:p>
      <w:pPr>
        <w:pStyle w:val="9"/>
        <w:numPr>
          <w:ilvl w:val="0"/>
          <w:numId w:val="10"/>
        </w:numPr>
        <w:spacing w:after="156" w:afterLines="50"/>
        <w:ind w:left="851" w:firstLineChars="0"/>
      </w:pPr>
      <w:r>
        <w:rPr>
          <w:rFonts w:hint="eastAsia"/>
        </w:rPr>
        <w:t>项目管理文件包括但不限于：《项目管理计划书》、《需求调研报告》、《需求确认书》、《系统测试报告》、《系统试运行报告》《系统上线检查报告》、《系统验收报告》、《售后服务说明函》、《项目周报及相关会议纪要》等。</w:t>
      </w:r>
    </w:p>
    <w:p>
      <w:pPr>
        <w:pStyle w:val="8"/>
        <w:numPr>
          <w:ilvl w:val="2"/>
          <w:numId w:val="1"/>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软件产品要求</w:t>
      </w:r>
    </w:p>
    <w:p>
      <w:pPr>
        <w:pStyle w:val="9"/>
        <w:numPr>
          <w:ilvl w:val="0"/>
          <w:numId w:val="11"/>
        </w:numPr>
        <w:tabs>
          <w:tab w:val="clear" w:pos="1896"/>
        </w:tabs>
        <w:ind w:left="567" w:firstLineChars="0"/>
      </w:pPr>
      <w:r>
        <w:rPr>
          <w:rFonts w:hint="eastAsia"/>
        </w:rPr>
        <w:t>深度学习框架优先飞桨（paddlepaddle）；</w:t>
      </w:r>
    </w:p>
    <w:p>
      <w:pPr>
        <w:pStyle w:val="9"/>
        <w:numPr>
          <w:ilvl w:val="0"/>
          <w:numId w:val="11"/>
        </w:numPr>
        <w:tabs>
          <w:tab w:val="clear" w:pos="1896"/>
        </w:tabs>
        <w:ind w:left="567" w:firstLineChars="0"/>
      </w:pPr>
      <w:r>
        <w:rPr>
          <w:rFonts w:hint="eastAsia"/>
        </w:rPr>
        <w:t>向量数据库优先选型Milvus；</w:t>
      </w:r>
    </w:p>
    <w:p>
      <w:pPr>
        <w:pStyle w:val="9"/>
        <w:numPr>
          <w:ilvl w:val="0"/>
          <w:numId w:val="11"/>
        </w:numPr>
        <w:tabs>
          <w:tab w:val="clear" w:pos="1896"/>
        </w:tabs>
        <w:ind w:left="567" w:firstLineChars="0"/>
      </w:pPr>
      <w:r>
        <w:rPr>
          <w:rFonts w:hint="eastAsia"/>
        </w:rPr>
        <w:t>算法模型能在最低配置为单台4核8GB内存的服务器上运行；</w:t>
      </w:r>
    </w:p>
    <w:p>
      <w:pPr>
        <w:pStyle w:val="9"/>
        <w:numPr>
          <w:ilvl w:val="0"/>
          <w:numId w:val="11"/>
        </w:numPr>
        <w:tabs>
          <w:tab w:val="clear" w:pos="1896"/>
        </w:tabs>
        <w:ind w:left="567" w:firstLineChars="0"/>
      </w:pPr>
      <w:r>
        <w:rPr>
          <w:rFonts w:hint="eastAsia"/>
        </w:rPr>
        <w:t>算法模型能兼容多数云平台虚拟机，如Azure云、百度云、阿里云等，并支持本地服务器部署。</w:t>
      </w:r>
    </w:p>
    <w:p>
      <w:pPr>
        <w:pStyle w:val="8"/>
        <w:numPr>
          <w:ilvl w:val="2"/>
          <w:numId w:val="1"/>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项目管理</w:t>
      </w:r>
    </w:p>
    <w:p>
      <w:pPr>
        <w:pStyle w:val="8"/>
        <w:numPr>
          <w:ilvl w:val="3"/>
          <w:numId w:val="1"/>
        </w:numPr>
        <w:tabs>
          <w:tab w:val="clear" w:pos="1680"/>
        </w:tabs>
        <w:spacing w:after="156" w:afterLines="50" w:line="360" w:lineRule="auto"/>
        <w:ind w:left="567" w:firstLineChars="0"/>
        <w:rPr>
          <w:rFonts w:ascii="华文楷体" w:hAnsi="华文楷体" w:eastAsia="华文楷体"/>
          <w:b/>
          <w:bCs/>
          <w:sz w:val="24"/>
        </w:rPr>
      </w:pPr>
      <w:bookmarkStart w:id="13" w:name="_Hlk110804109"/>
      <w:r>
        <w:rPr>
          <w:rFonts w:hint="eastAsia" w:ascii="华文楷体" w:hAnsi="华文楷体" w:eastAsia="华文楷体"/>
          <w:b/>
          <w:bCs/>
          <w:sz w:val="24"/>
        </w:rPr>
        <w:t>项目质量管理</w:t>
      </w:r>
    </w:p>
    <w:p>
      <w:pPr>
        <w:pStyle w:val="9"/>
        <w:ind w:firstLine="480"/>
      </w:pPr>
      <w:r>
        <w:rPr>
          <w:rFonts w:hint="eastAsia"/>
        </w:rPr>
        <w:t>投标方应根据实际解决方案，提供相应的项目开发计划和实施计划。</w:t>
      </w:r>
    </w:p>
    <w:p>
      <w:pPr>
        <w:pStyle w:val="9"/>
        <w:numPr>
          <w:ilvl w:val="0"/>
          <w:numId w:val="12"/>
        </w:numPr>
        <w:ind w:hanging="393" w:firstLineChars="0"/>
      </w:pPr>
      <w:r>
        <w:rPr>
          <w:rFonts w:hint="eastAsia"/>
        </w:rPr>
        <w:t>按照项目管理要求制定明确的项目开发计划和实施计划；</w:t>
      </w:r>
    </w:p>
    <w:p>
      <w:pPr>
        <w:pStyle w:val="9"/>
        <w:numPr>
          <w:ilvl w:val="0"/>
          <w:numId w:val="12"/>
        </w:numPr>
        <w:ind w:hanging="393" w:firstLineChars="0"/>
      </w:pPr>
      <w:r>
        <w:rPr>
          <w:rFonts w:hint="eastAsia"/>
        </w:rPr>
        <w:t>制定项目实施管理制度与管理规范，说明项目管理方法和项目质量风险管控机制；</w:t>
      </w:r>
    </w:p>
    <w:p>
      <w:pPr>
        <w:pStyle w:val="9"/>
        <w:numPr>
          <w:ilvl w:val="0"/>
          <w:numId w:val="12"/>
        </w:numPr>
        <w:ind w:hanging="393" w:firstLineChars="0"/>
        <w:rPr>
          <w:rFonts w:ascii="华文楷体" w:hAnsi="华文楷体" w:eastAsia="华文楷体"/>
          <w:szCs w:val="24"/>
        </w:rPr>
      </w:pPr>
      <w:r>
        <w:rPr>
          <w:rFonts w:hint="eastAsia"/>
        </w:rPr>
        <w:t>制定项目实施进度表，明确项目管理里程碑，并列明各阶段及各方人员安排（以天为单位）。</w:t>
      </w:r>
    </w:p>
    <w:p>
      <w:pPr>
        <w:pStyle w:val="8"/>
        <w:numPr>
          <w:ilvl w:val="3"/>
          <w:numId w:val="1"/>
        </w:numPr>
        <w:tabs>
          <w:tab w:val="clear" w:pos="1680"/>
        </w:tabs>
        <w:spacing w:after="156" w:afterLines="50" w:line="360" w:lineRule="auto"/>
        <w:ind w:left="567" w:firstLineChars="0"/>
        <w:rPr>
          <w:rFonts w:ascii="华文楷体" w:hAnsi="华文楷体" w:eastAsia="华文楷体"/>
          <w:b/>
          <w:bCs/>
          <w:sz w:val="24"/>
        </w:rPr>
      </w:pPr>
      <w:r>
        <w:rPr>
          <w:rFonts w:hint="eastAsia" w:ascii="华文楷体" w:hAnsi="华文楷体" w:eastAsia="华文楷体"/>
          <w:b/>
          <w:bCs/>
          <w:sz w:val="24"/>
        </w:rPr>
        <w:t>项目组织机构</w:t>
      </w:r>
    </w:p>
    <w:p>
      <w:pPr>
        <w:pStyle w:val="9"/>
        <w:ind w:firstLine="480"/>
      </w:pPr>
      <w:r>
        <w:rPr>
          <w:rFonts w:hint="eastAsia"/>
        </w:rPr>
        <w:t xml:space="preserve">由招标方、中标方双方共同组成项目管理组织机构，成立项目领导小组，实施领导小组下的项目经理负责制，并明确规范所属职责及协调关系。 </w:t>
      </w:r>
    </w:p>
    <w:p>
      <w:pPr>
        <w:pStyle w:val="9"/>
        <w:numPr>
          <w:ilvl w:val="0"/>
          <w:numId w:val="13"/>
        </w:numPr>
        <w:ind w:hanging="534" w:firstLineChars="0"/>
        <w:rPr>
          <w:color w:val="auto"/>
        </w:rPr>
      </w:pPr>
      <w:r>
        <w:rPr>
          <w:rFonts w:hint="eastAsia"/>
        </w:rPr>
        <w:t>投标人应建立专门的</w:t>
      </w:r>
      <w:r>
        <w:rPr>
          <w:rFonts w:hint="eastAsia"/>
          <w:color w:val="auto"/>
        </w:rPr>
        <w:t>项目管理小组和项目执行团队，指定项目负责人和技术负责人，确保项目按时按质进行。</w:t>
      </w:r>
    </w:p>
    <w:p>
      <w:pPr>
        <w:pStyle w:val="9"/>
        <w:ind w:firstLine="480"/>
      </w:pPr>
      <w:r>
        <w:rPr>
          <w:color w:val="auto"/>
        </w:rPr>
        <w:t>2</w:t>
      </w:r>
      <w:r>
        <w:rPr>
          <w:rFonts w:hint="eastAsia"/>
          <w:color w:val="auto"/>
        </w:rPr>
        <w:t>）</w:t>
      </w:r>
      <w:r>
        <w:rPr>
          <w:color w:val="auto"/>
        </w:rPr>
        <w:t xml:space="preserve"> </w:t>
      </w:r>
      <w:r>
        <w:rPr>
          <w:rFonts w:hint="eastAsia"/>
          <w:color w:val="auto"/>
        </w:rPr>
        <w:t>投标人应提供实施团队成员名单及技术资质证明，并说</w:t>
      </w:r>
      <w:r>
        <w:rPr>
          <w:rFonts w:hint="eastAsia"/>
        </w:rPr>
        <w:t>明在本项目中的岗位职责和具体任务。</w:t>
      </w:r>
    </w:p>
    <w:bookmarkEnd w:id="13"/>
    <w:p>
      <w:pPr>
        <w:pStyle w:val="8"/>
        <w:numPr>
          <w:ilvl w:val="3"/>
          <w:numId w:val="1"/>
        </w:numPr>
        <w:tabs>
          <w:tab w:val="clear" w:pos="1680"/>
        </w:tabs>
        <w:spacing w:after="156" w:afterLines="50" w:line="360" w:lineRule="auto"/>
        <w:ind w:left="567" w:firstLineChars="0"/>
        <w:rPr>
          <w:rFonts w:ascii="华文楷体" w:hAnsi="华文楷体" w:eastAsia="华文楷体"/>
          <w:b/>
          <w:bCs/>
          <w:sz w:val="24"/>
        </w:rPr>
      </w:pPr>
      <w:r>
        <w:rPr>
          <w:rFonts w:hint="eastAsia" w:ascii="华文楷体" w:hAnsi="华文楷体" w:eastAsia="华文楷体"/>
          <w:b/>
          <w:bCs/>
          <w:sz w:val="24"/>
        </w:rPr>
        <w:t xml:space="preserve">培训 </w:t>
      </w:r>
    </w:p>
    <w:p>
      <w:pPr>
        <w:pStyle w:val="9"/>
        <w:numPr>
          <w:ilvl w:val="0"/>
          <w:numId w:val="14"/>
        </w:numPr>
        <w:ind w:firstLineChars="0"/>
      </w:pPr>
      <w:r>
        <w:rPr>
          <w:rFonts w:hint="eastAsia"/>
        </w:rPr>
        <w:t>投标人应提供培训课程名称、课程大纲及培训人员的基本情况和简介。</w:t>
      </w:r>
    </w:p>
    <w:p>
      <w:pPr>
        <w:pStyle w:val="9"/>
        <w:numPr>
          <w:ilvl w:val="0"/>
          <w:numId w:val="14"/>
        </w:numPr>
        <w:ind w:firstLineChars="0"/>
      </w:pPr>
      <w:r>
        <w:rPr>
          <w:rFonts w:hint="eastAsia"/>
        </w:rPr>
        <w:t>为使合同平台能正常安装和运行，投标方有责任提供相应的培训，培训内容应与项目内容相一致。</w:t>
      </w:r>
    </w:p>
    <w:p>
      <w:pPr>
        <w:pStyle w:val="9"/>
        <w:numPr>
          <w:ilvl w:val="0"/>
          <w:numId w:val="14"/>
        </w:numPr>
        <w:ind w:firstLineChars="0"/>
      </w:pPr>
      <w:r>
        <w:rPr>
          <w:rFonts w:hint="eastAsia"/>
        </w:rPr>
        <w:t>培训的时间、人数、地点等具体内容由招标方及投标方商定。</w:t>
      </w:r>
    </w:p>
    <w:p>
      <w:pPr>
        <w:pStyle w:val="9"/>
        <w:numPr>
          <w:ilvl w:val="0"/>
          <w:numId w:val="14"/>
        </w:numPr>
        <w:ind w:firstLineChars="0"/>
      </w:pPr>
      <w:r>
        <w:rPr>
          <w:rFonts w:hint="eastAsia"/>
        </w:rPr>
        <w:t>投标方为招标方培训人员提供设备、场地、资料等培训条件。</w:t>
      </w:r>
    </w:p>
    <w:p>
      <w:pPr>
        <w:pStyle w:val="9"/>
        <w:numPr>
          <w:ilvl w:val="0"/>
          <w:numId w:val="14"/>
        </w:numPr>
        <w:ind w:firstLineChars="0"/>
      </w:pPr>
      <w:r>
        <w:rPr>
          <w:rFonts w:hint="eastAsia"/>
        </w:rPr>
        <w:t>培训计划和内容由投标方在投标文件中按下列格式列出。</w:t>
      </w:r>
    </w:p>
    <w:tbl>
      <w:tblPr>
        <w:tblStyle w:val="6"/>
        <w:tblW w:w="0" w:type="auto"/>
        <w:tblInd w:w="5" w:type="dxa"/>
        <w:tblLayout w:type="fixed"/>
        <w:tblCellMar>
          <w:top w:w="0" w:type="dxa"/>
          <w:left w:w="0" w:type="dxa"/>
          <w:bottom w:w="0" w:type="dxa"/>
          <w:right w:w="0" w:type="dxa"/>
        </w:tblCellMar>
      </w:tblPr>
      <w:tblGrid>
        <w:gridCol w:w="829"/>
        <w:gridCol w:w="2155"/>
        <w:gridCol w:w="1287"/>
        <w:gridCol w:w="1112"/>
        <w:gridCol w:w="1113"/>
        <w:gridCol w:w="1036"/>
        <w:gridCol w:w="1036"/>
      </w:tblGrid>
      <w:tr>
        <w:tblPrEx>
          <w:tblCellMar>
            <w:top w:w="0" w:type="dxa"/>
            <w:left w:w="0" w:type="dxa"/>
            <w:bottom w:w="0" w:type="dxa"/>
            <w:right w:w="0" w:type="dxa"/>
          </w:tblCellMar>
        </w:tblPrEx>
        <w:trPr>
          <w:trHeight w:val="534" w:hRule="exact"/>
        </w:trPr>
        <w:tc>
          <w:tcPr>
            <w:tcW w:w="829"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lang w:eastAsia="zh-CN"/>
              </w:rPr>
            </w:pPr>
          </w:p>
          <w:p>
            <w:pPr>
              <w:pStyle w:val="10"/>
              <w:ind w:left="169"/>
              <w:rPr>
                <w:rFonts w:ascii="华文楷体" w:hAnsi="华文楷体" w:eastAsia="华文楷体" w:cs="华文楷体"/>
                <w:bCs/>
                <w:sz w:val="24"/>
                <w:szCs w:val="24"/>
              </w:rPr>
            </w:pPr>
            <w:r>
              <w:rPr>
                <w:rFonts w:ascii="华文楷体" w:hAnsi="华文楷体" w:eastAsia="华文楷体" w:cs="华文楷体"/>
                <w:bCs/>
                <w:sz w:val="24"/>
                <w:szCs w:val="24"/>
              </w:rPr>
              <w:t>序号</w:t>
            </w:r>
          </w:p>
        </w:tc>
        <w:tc>
          <w:tcPr>
            <w:tcW w:w="2155"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591"/>
              <w:rPr>
                <w:rFonts w:ascii="华文楷体" w:hAnsi="华文楷体" w:eastAsia="华文楷体" w:cs="华文楷体"/>
                <w:bCs/>
                <w:sz w:val="24"/>
                <w:szCs w:val="24"/>
              </w:rPr>
            </w:pPr>
            <w:r>
              <w:rPr>
                <w:rFonts w:ascii="华文楷体" w:hAnsi="华文楷体" w:eastAsia="华文楷体" w:cs="华文楷体"/>
                <w:bCs/>
                <w:sz w:val="24"/>
                <w:szCs w:val="24"/>
              </w:rPr>
              <w:t>培训内容</w:t>
            </w:r>
          </w:p>
        </w:tc>
        <w:tc>
          <w:tcPr>
            <w:tcW w:w="1287"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38"/>
              <w:rPr>
                <w:rFonts w:ascii="华文楷体" w:hAnsi="华文楷体" w:eastAsia="华文楷体" w:cs="华文楷体"/>
                <w:bCs/>
                <w:sz w:val="24"/>
                <w:szCs w:val="24"/>
              </w:rPr>
            </w:pPr>
            <w:r>
              <w:rPr>
                <w:rFonts w:ascii="华文楷体" w:hAnsi="华文楷体" w:eastAsia="华文楷体" w:cs="华文楷体"/>
                <w:bCs/>
                <w:sz w:val="24"/>
                <w:szCs w:val="24"/>
              </w:rPr>
              <w:t>计划人天数</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left="386"/>
              <w:rPr>
                <w:rFonts w:ascii="华文楷体" w:hAnsi="华文楷体" w:eastAsia="华文楷体" w:cs="华文楷体"/>
                <w:bCs/>
                <w:sz w:val="24"/>
                <w:szCs w:val="24"/>
              </w:rPr>
            </w:pPr>
            <w:r>
              <w:rPr>
                <w:rFonts w:ascii="华文楷体" w:hAnsi="华文楷体" w:eastAsia="华文楷体" w:cs="华文楷体"/>
                <w:bCs/>
                <w:sz w:val="24"/>
                <w:szCs w:val="24"/>
              </w:rPr>
              <w:t>培训教师构成</w:t>
            </w:r>
          </w:p>
        </w:tc>
        <w:tc>
          <w:tcPr>
            <w:tcW w:w="1036"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272"/>
              <w:rPr>
                <w:rFonts w:ascii="华文楷体" w:hAnsi="华文楷体" w:eastAsia="华文楷体" w:cs="华文楷体"/>
                <w:bCs/>
                <w:sz w:val="24"/>
                <w:szCs w:val="24"/>
              </w:rPr>
            </w:pPr>
            <w:r>
              <w:rPr>
                <w:rFonts w:ascii="华文楷体" w:hAnsi="华文楷体" w:eastAsia="华文楷体" w:cs="华文楷体"/>
                <w:bCs/>
                <w:sz w:val="24"/>
                <w:szCs w:val="24"/>
              </w:rPr>
              <w:t>地点</w:t>
            </w:r>
          </w:p>
        </w:tc>
        <w:tc>
          <w:tcPr>
            <w:tcW w:w="1036"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272"/>
              <w:rPr>
                <w:rFonts w:ascii="华文楷体" w:hAnsi="华文楷体" w:eastAsia="华文楷体" w:cs="华文楷体"/>
                <w:bCs/>
                <w:sz w:val="24"/>
                <w:szCs w:val="24"/>
              </w:rPr>
            </w:pPr>
            <w:r>
              <w:rPr>
                <w:rFonts w:ascii="华文楷体" w:hAnsi="华文楷体" w:eastAsia="华文楷体" w:cs="华文楷体"/>
                <w:bCs/>
                <w:sz w:val="24"/>
                <w:szCs w:val="24"/>
              </w:rPr>
              <w:t>备注</w:t>
            </w:r>
          </w:p>
        </w:tc>
      </w:tr>
      <w:tr>
        <w:tblPrEx>
          <w:tblCellMar>
            <w:top w:w="0" w:type="dxa"/>
            <w:left w:w="0" w:type="dxa"/>
            <w:bottom w:w="0" w:type="dxa"/>
            <w:right w:w="0" w:type="dxa"/>
          </w:tblCellMar>
        </w:tblPrEx>
        <w:trPr>
          <w:trHeight w:val="534" w:hRule="exact"/>
        </w:trPr>
        <w:tc>
          <w:tcPr>
            <w:tcW w:w="829"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2155"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287"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left="310"/>
              <w:rPr>
                <w:rFonts w:ascii="华文楷体" w:hAnsi="华文楷体" w:eastAsia="华文楷体" w:cs="华文楷体"/>
                <w:bCs/>
                <w:sz w:val="24"/>
                <w:szCs w:val="24"/>
              </w:rPr>
            </w:pPr>
            <w:r>
              <w:rPr>
                <w:rFonts w:ascii="华文楷体" w:hAnsi="华文楷体" w:eastAsia="华文楷体" w:cs="华文楷体"/>
                <w:bCs/>
                <w:sz w:val="24"/>
                <w:szCs w:val="24"/>
              </w:rPr>
              <w:t>职称</w:t>
            </w:r>
          </w:p>
        </w:tc>
        <w:tc>
          <w:tcPr>
            <w:tcW w:w="1113"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left="310"/>
              <w:rPr>
                <w:rFonts w:ascii="华文楷体" w:hAnsi="华文楷体" w:eastAsia="华文楷体" w:cs="华文楷体"/>
                <w:bCs/>
                <w:sz w:val="24"/>
                <w:szCs w:val="24"/>
              </w:rPr>
            </w:pPr>
            <w:r>
              <w:rPr>
                <w:rFonts w:ascii="华文楷体" w:hAnsi="华文楷体" w:eastAsia="华文楷体" w:cs="华文楷体"/>
                <w:bCs/>
                <w:sz w:val="24"/>
                <w:szCs w:val="24"/>
              </w:rPr>
              <w:t>人数</w:t>
            </w:r>
          </w:p>
        </w:tc>
        <w:tc>
          <w:tcPr>
            <w:tcW w:w="1036"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r>
      <w:tr>
        <w:tblPrEx>
          <w:tblCellMar>
            <w:top w:w="0" w:type="dxa"/>
            <w:left w:w="0" w:type="dxa"/>
            <w:bottom w:w="0" w:type="dxa"/>
            <w:right w:w="0" w:type="dxa"/>
          </w:tblCellMar>
        </w:tblPrEx>
        <w:trPr>
          <w:trHeight w:val="534"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right="1"/>
              <w:jc w:val="center"/>
              <w:rPr>
                <w:rFonts w:ascii="华文楷体" w:hAnsi="华文楷体" w:eastAsia="华文楷体" w:cs="华文楷体"/>
                <w:bCs/>
                <w:sz w:val="24"/>
                <w:szCs w:val="24"/>
              </w:rPr>
            </w:pPr>
            <w:r>
              <w:rPr>
                <w:rFonts w:ascii="华文楷体"/>
                <w:bCs/>
                <w:w w:val="99"/>
                <w:sz w:val="24"/>
              </w:rPr>
              <w:t>1</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r>
      <w:tr>
        <w:tblPrEx>
          <w:tblCellMar>
            <w:top w:w="0" w:type="dxa"/>
            <w:left w:w="0" w:type="dxa"/>
            <w:bottom w:w="0" w:type="dxa"/>
            <w:right w:w="0" w:type="dxa"/>
          </w:tblCellMar>
        </w:tblPrEx>
        <w:trPr>
          <w:trHeight w:val="536"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8" w:lineRule="exact"/>
              <w:ind w:right="1"/>
              <w:jc w:val="center"/>
              <w:rPr>
                <w:rFonts w:ascii="华文楷体" w:hAnsi="华文楷体" w:eastAsia="华文楷体" w:cs="华文楷体"/>
                <w:bCs/>
                <w:sz w:val="24"/>
                <w:szCs w:val="24"/>
              </w:rPr>
            </w:pPr>
            <w:r>
              <w:rPr>
                <w:rFonts w:ascii="华文楷体"/>
                <w:bCs/>
                <w:w w:val="99"/>
                <w:sz w:val="24"/>
              </w:rPr>
              <w:t>2</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r>
    </w:tbl>
    <w:p>
      <w:pPr>
        <w:pStyle w:val="9"/>
        <w:ind w:firstLine="480"/>
      </w:pPr>
    </w:p>
    <w:p>
      <w:pPr>
        <w:pStyle w:val="8"/>
        <w:numPr>
          <w:ilvl w:val="2"/>
          <w:numId w:val="1"/>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售后服务承诺</w:t>
      </w:r>
    </w:p>
    <w:p>
      <w:pPr>
        <w:pStyle w:val="9"/>
        <w:ind w:firstLine="480"/>
      </w:pPr>
      <w:r>
        <w:rPr>
          <w:rFonts w:hint="eastAsia"/>
        </w:rPr>
        <w:t>技术支持力量和优良的服务是系统正常、安全运行的保障。投标方应据此制定系统详细的售后服务方案。投标人须作出无推诿承诺，即投标人应提供特殊措施，无论由于哪一方产生的问题而使系统发生不正常情况时，并在得到招标方通知后，须立即派投标产品的维护工程师到场，全力协助系统集成商和其它供应商，使系统尽快恢复正常。</w:t>
      </w:r>
    </w:p>
    <w:p>
      <w:pPr>
        <w:pStyle w:val="9"/>
        <w:ind w:firstLine="480"/>
      </w:pPr>
      <w:r>
        <w:rPr>
          <w:rFonts w:hint="eastAsia"/>
        </w:rPr>
        <w:t xml:space="preserve">投标方应至少提供以下两种服务支持并明确服务响应时间： </w:t>
      </w:r>
    </w:p>
    <w:p>
      <w:pPr>
        <w:pStyle w:val="9"/>
        <w:ind w:firstLine="480"/>
      </w:pPr>
      <w:r>
        <w:rPr>
          <w:rFonts w:hint="eastAsia"/>
        </w:rPr>
        <w:t>1)</w:t>
      </w:r>
      <w:r>
        <w:rPr>
          <w:rFonts w:hint="eastAsia"/>
        </w:rPr>
        <w:tab/>
      </w:r>
      <w:r>
        <w:rPr>
          <w:rFonts w:hint="eastAsia"/>
        </w:rPr>
        <w:t xml:space="preserve">远程服务：投标方在软件使用过程中遇到的技术问题，投标方应负责提供远程技术支持，如电话、电子邮件、微信、QQ等方式给与技术支持及咨询与服务。 </w:t>
      </w:r>
    </w:p>
    <w:p>
      <w:pPr>
        <w:pStyle w:val="9"/>
        <w:ind w:firstLine="480"/>
      </w:pPr>
      <w:r>
        <w:rPr>
          <w:rFonts w:hint="eastAsia"/>
        </w:rPr>
        <w:t>2)</w:t>
      </w:r>
      <w:r>
        <w:rPr>
          <w:rFonts w:hint="eastAsia"/>
        </w:rPr>
        <w:tab/>
      </w:r>
      <w:r>
        <w:rPr>
          <w:rFonts w:hint="eastAsia"/>
        </w:rPr>
        <w:t xml:space="preserve">上门服务：对于远程技术支持，如电话、电子邮件、微信、QQ等方式无法解决的使用问题，在招标方提出上门服务需求起 </w:t>
      </w:r>
      <w:r>
        <w:t>48</w:t>
      </w:r>
      <w:r>
        <w:rPr>
          <w:rFonts w:hint="eastAsia"/>
        </w:rPr>
        <w:t xml:space="preserve"> 小时内，投标方指派专门人员抵达现场解决。投标方应根据自身实际情况及上述要求提供售后服务方案，作为评标方的评分资料之一。</w:t>
      </w:r>
    </w:p>
    <w:p>
      <w:pPr>
        <w:pStyle w:val="2"/>
        <w:rPr>
          <w:rFonts w:eastAsia="仿宋" w:cs="宋体"/>
          <w:snapToGrid w:val="0"/>
          <w:color w:val="000000"/>
          <w:sz w:val="24"/>
          <w:szCs w:val="20"/>
        </w:rPr>
      </w:pPr>
      <w:r>
        <w:br w:type="page"/>
      </w:r>
    </w:p>
    <w:p>
      <w:pPr>
        <w:pStyle w:val="4"/>
        <w:rPr>
          <w:rFonts w:ascii="仿宋" w:hAnsi="仿宋" w:eastAsia="仿宋" w:cs="宋体"/>
          <w:szCs w:val="30"/>
        </w:rPr>
      </w:pPr>
      <w:bookmarkStart w:id="14" w:name="_Toc111639292"/>
      <w:r>
        <w:rPr>
          <w:rFonts w:hint="eastAsia" w:ascii="仿宋" w:hAnsi="仿宋" w:eastAsia="仿宋" w:cs="宋体"/>
          <w:szCs w:val="30"/>
        </w:rPr>
        <w:t>第三部分   第</w:t>
      </w:r>
      <w:r>
        <w:rPr>
          <w:rFonts w:ascii="仿宋" w:hAnsi="仿宋" w:eastAsia="仿宋" w:cs="宋体"/>
          <w:szCs w:val="30"/>
        </w:rPr>
        <w:t>2</w:t>
      </w:r>
      <w:r>
        <w:rPr>
          <w:rFonts w:hint="eastAsia" w:ascii="仿宋" w:hAnsi="仿宋" w:eastAsia="仿宋" w:cs="宋体"/>
          <w:szCs w:val="30"/>
        </w:rPr>
        <w:t>包项目要求</w:t>
      </w:r>
      <w:bookmarkEnd w:id="14"/>
    </w:p>
    <w:p>
      <w:pPr>
        <w:pStyle w:val="8"/>
        <w:numPr>
          <w:ilvl w:val="2"/>
          <w:numId w:val="15"/>
        </w:numPr>
        <w:tabs>
          <w:tab w:val="left" w:pos="360"/>
          <w:tab w:val="clear" w:pos="1560"/>
        </w:tabs>
        <w:snapToGrid w:val="0"/>
        <w:spacing w:line="360" w:lineRule="auto"/>
        <w:ind w:left="851" w:firstLineChars="0"/>
        <w:outlineLvl w:val="0"/>
        <w:rPr>
          <w:rFonts w:ascii="宋体" w:hAnsi="宋体" w:cs="宋体"/>
          <w:b/>
          <w:sz w:val="24"/>
        </w:rPr>
      </w:pPr>
      <w:r>
        <w:rPr>
          <w:rFonts w:hint="eastAsia" w:ascii="宋体" w:hAnsi="宋体" w:cs="宋体"/>
          <w:b/>
          <w:sz w:val="24"/>
        </w:rPr>
        <w:t>项目背景</w:t>
      </w:r>
    </w:p>
    <w:p>
      <w:pPr>
        <w:pStyle w:val="9"/>
        <w:ind w:firstLine="480"/>
      </w:pPr>
      <w:r>
        <w:rPr>
          <w:rFonts w:hint="eastAsia"/>
        </w:rPr>
        <w:t>招标方在日常业务运行过程中，积累了大量的结构化数据，为提升招标方内部利用数据进行技术研究与数据分析的专业性、时效性和便捷性，并可以将招标方内部数据与其客户资源集成、共享，开展多方数据交互分析决策，搭建纺织行业产品开发数据分析决策平台，提升招标方及其服务客户的数据洞察能力和数据分析效率。</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业务现状</w:t>
      </w:r>
    </w:p>
    <w:p>
      <w:pPr>
        <w:pStyle w:val="9"/>
        <w:ind w:firstLine="480"/>
      </w:pPr>
      <w:r>
        <w:rPr>
          <w:rFonts w:hint="eastAsia"/>
        </w:rPr>
        <w:t>招标方目前已建立多个业务数据库，最大的数据库容量达到将近1千万条数据，为多个前台业务提供数据服务，但存在以下问题：</w:t>
      </w:r>
    </w:p>
    <w:p>
      <w:pPr>
        <w:pStyle w:val="9"/>
        <w:numPr>
          <w:ilvl w:val="0"/>
          <w:numId w:val="16"/>
        </w:numPr>
        <w:tabs>
          <w:tab w:val="clear" w:pos="1896"/>
        </w:tabs>
        <w:ind w:left="567" w:firstLineChars="0"/>
      </w:pPr>
      <w:r>
        <w:rPr>
          <w:rFonts w:hint="eastAsia"/>
          <w:b/>
        </w:rPr>
        <w:t>数据的统一规范与标准：</w:t>
      </w:r>
      <w:r>
        <w:rPr>
          <w:rFonts w:hint="eastAsia"/>
        </w:rPr>
        <w:t>各业务系统采集的数据缺乏统一的规范，无法横向打通；无统一数据接口，各业务系统对外数据口径不统一、对外数据接口过多；数据获取成本高，不同系统、不同专业数据调取困难；数据共享困难，业务系统、运营系统和经营管理系统数据相对独立。</w:t>
      </w:r>
    </w:p>
    <w:p>
      <w:pPr>
        <w:pStyle w:val="9"/>
        <w:numPr>
          <w:ilvl w:val="0"/>
          <w:numId w:val="16"/>
        </w:numPr>
        <w:tabs>
          <w:tab w:val="clear" w:pos="1896"/>
        </w:tabs>
        <w:ind w:left="567" w:firstLineChars="0"/>
      </w:pPr>
      <w:r>
        <w:rPr>
          <w:rFonts w:hint="eastAsia"/>
          <w:b/>
          <w:color w:val="auto"/>
        </w:rPr>
        <w:t>数据</w:t>
      </w:r>
      <w:r>
        <w:rPr>
          <w:rFonts w:hint="eastAsia"/>
          <w:b/>
          <w:bCs/>
          <w:color w:val="auto"/>
        </w:rPr>
        <w:t>的</w:t>
      </w:r>
      <w:r>
        <w:rPr>
          <w:rFonts w:hint="eastAsia"/>
          <w:b/>
          <w:color w:val="auto"/>
        </w:rPr>
        <w:t>自动化处理：</w:t>
      </w:r>
      <w:r>
        <w:rPr>
          <w:rFonts w:hint="eastAsia"/>
        </w:rPr>
        <w:t>工作涉及大量人工取数、人工计算工作，自动化程度低。</w:t>
      </w:r>
    </w:p>
    <w:p>
      <w:pPr>
        <w:pStyle w:val="9"/>
        <w:numPr>
          <w:ilvl w:val="0"/>
          <w:numId w:val="16"/>
        </w:numPr>
        <w:tabs>
          <w:tab w:val="clear" w:pos="1896"/>
        </w:tabs>
        <w:ind w:left="567" w:firstLineChars="0"/>
      </w:pPr>
      <w:r>
        <w:rPr>
          <w:rFonts w:hint="eastAsia"/>
          <w:b/>
          <w:bCs/>
        </w:rPr>
        <w:t>数据的快速分析与可视化：</w:t>
      </w:r>
      <w:r>
        <w:rPr>
          <w:rFonts w:hint="eastAsia"/>
        </w:rPr>
        <w:t>传统分析报表无法及时满足需求快速变化的需要，现有产品的定制化水平、可钻取程度及扩展性较低；业务分析模型难以应对快速的业务发展和价值挖掘需要，多板块、多层级的复杂应用场景落地困难；无法实现不同源、不同构数据的关联查询、分析等需求。</w:t>
      </w:r>
    </w:p>
    <w:p>
      <w:pPr>
        <w:pStyle w:val="9"/>
        <w:numPr>
          <w:ilvl w:val="0"/>
          <w:numId w:val="16"/>
        </w:numPr>
        <w:tabs>
          <w:tab w:val="clear" w:pos="1896"/>
        </w:tabs>
        <w:ind w:left="567" w:firstLineChars="0"/>
      </w:pPr>
      <w:r>
        <w:rPr>
          <w:rFonts w:hint="eastAsia"/>
          <w:b/>
        </w:rPr>
        <w:t>大数据的优化：</w:t>
      </w:r>
      <w:r>
        <w:rPr>
          <w:rFonts w:hint="eastAsia"/>
        </w:rPr>
        <w:t>数据量过大，多表关联查询速度慢，无法满足业务需求。</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建设目标</w:t>
      </w:r>
    </w:p>
    <w:p>
      <w:pPr>
        <w:pStyle w:val="9"/>
        <w:ind w:firstLine="480"/>
      </w:pPr>
      <w:r>
        <w:rPr>
          <w:rFonts w:hint="eastAsia"/>
        </w:rPr>
        <w:t>整合招标方内外部数据资源，定制开发纺织行业产品数据分析决策平台，建立统一的数据平台和报表平台，包括数据采集、清洗、数据可视化建设和优化。从而提高数据治理和分析能力，从而提升产品开发方向分析与决策能力。</w:t>
      </w:r>
    </w:p>
    <w:p>
      <w:pPr>
        <w:pStyle w:val="9"/>
        <w:ind w:firstLine="480"/>
      </w:pPr>
      <w:r>
        <w:rPr>
          <w:rFonts w:hint="eastAsia"/>
        </w:rPr>
        <w:t>针对招标方内部业务，搭建一套从数据采集、清洗、存储、展示、分析、可视化的完整的数据平台体系，解决招标方目前数据分析决策的需求外，还能够支撑未来业务的扩展需求。</w:t>
      </w:r>
    </w:p>
    <w:p>
      <w:pPr>
        <w:pStyle w:val="9"/>
        <w:ind w:firstLine="480"/>
      </w:pPr>
      <w:r>
        <w:rPr>
          <w:rFonts w:hint="eastAsia"/>
        </w:rPr>
        <w:t>针对招标方服务的客户，搭建的平台能够支持外来数据的集成，招标方客户能够在此平台结合多方数据，实现针对产品开发决策的多方数据的综合可视化分析。</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平台需求说明</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总体需求</w:t>
      </w:r>
    </w:p>
    <w:p>
      <w:pPr>
        <w:pStyle w:val="9"/>
        <w:ind w:firstLine="480"/>
        <w:rPr>
          <w:color w:val="auto"/>
        </w:rPr>
      </w:pPr>
      <w:r>
        <w:rPr>
          <w:rFonts w:hint="eastAsia"/>
        </w:rPr>
        <w:t>通过搭建数据仓库，解决数据孤岛，构</w:t>
      </w:r>
      <w:r>
        <w:rPr>
          <w:rFonts w:hint="eastAsia"/>
          <w:color w:val="auto"/>
        </w:rPr>
        <w:t>建统一的企业级数据仓库和商业智能平台，兼具数据收集、存储、加工、分析展现功能，助力经营决策，为业务赋能。</w:t>
      </w:r>
    </w:p>
    <w:p>
      <w:pPr>
        <w:pStyle w:val="9"/>
        <w:numPr>
          <w:ilvl w:val="0"/>
          <w:numId w:val="17"/>
        </w:numPr>
        <w:ind w:firstLineChars="0"/>
        <w:rPr>
          <w:color w:val="auto"/>
        </w:rPr>
      </w:pPr>
      <w:r>
        <w:rPr>
          <w:rFonts w:hint="eastAsia"/>
          <w:color w:val="auto"/>
        </w:rPr>
        <w:t>优化现有数据库结构，提升前端页面展示、查询的速度。</w:t>
      </w:r>
    </w:p>
    <w:p>
      <w:pPr>
        <w:pStyle w:val="9"/>
        <w:numPr>
          <w:ilvl w:val="0"/>
          <w:numId w:val="17"/>
        </w:numPr>
        <w:ind w:firstLineChars="0"/>
      </w:pPr>
      <w:r>
        <w:rPr>
          <w:rFonts w:hint="eastAsia"/>
          <w:color w:val="auto"/>
        </w:rPr>
        <w:t>构建企业级数据仓库，有效集成各业</w:t>
      </w:r>
      <w:r>
        <w:rPr>
          <w:rFonts w:hint="eastAsia"/>
        </w:rPr>
        <w:t>务系统数据，解决跨系统数据应用受限问题，实现业务的综合分析。</w:t>
      </w:r>
    </w:p>
    <w:p>
      <w:pPr>
        <w:pStyle w:val="9"/>
        <w:numPr>
          <w:ilvl w:val="0"/>
          <w:numId w:val="17"/>
        </w:numPr>
        <w:ind w:firstLineChars="0"/>
      </w:pPr>
      <w:r>
        <w:rPr>
          <w:rFonts w:hint="eastAsia"/>
        </w:rPr>
        <w:t>提供高效的数据处理工具和平台，满足日常数据收集、存储、分析展现功能。</w:t>
      </w:r>
    </w:p>
    <w:p>
      <w:pPr>
        <w:pStyle w:val="9"/>
        <w:numPr>
          <w:ilvl w:val="0"/>
          <w:numId w:val="17"/>
        </w:numPr>
        <w:ind w:firstLineChars="0"/>
      </w:pPr>
      <w:r>
        <w:rPr>
          <w:rFonts w:hint="eastAsia"/>
        </w:rPr>
        <w:t>实现招标方及其用户基于纺织产品开发的数据分析、挖掘和决策工作，高效、便捷。</w:t>
      </w:r>
    </w:p>
    <w:p>
      <w:pPr>
        <w:pStyle w:val="9"/>
        <w:numPr>
          <w:ilvl w:val="0"/>
          <w:numId w:val="17"/>
        </w:numPr>
        <w:ind w:firstLineChars="0"/>
      </w:pPr>
      <w:r>
        <w:rPr>
          <w:rFonts w:hint="eastAsia"/>
        </w:rPr>
        <w:t>通过该项目的实施，推动数据治理体系建设，规范各相关业务系统基础数据标准，围绕数据的采集、加工、管理、应用等环节，明确相关部门角色定位，构建权责清晰、协同推进的工作机制。</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业务需求</w:t>
      </w:r>
    </w:p>
    <w:p>
      <w:pPr>
        <w:pStyle w:val="9"/>
        <w:ind w:firstLine="480"/>
      </w:pPr>
      <w:r>
        <w:rPr>
          <w:rFonts w:hint="eastAsia"/>
        </w:rPr>
        <w:t>梳理招标方业务执行过程中遇到的数据分析、可视化需求和维度，建立数据分析模型。</w:t>
      </w:r>
    </w:p>
    <w:p>
      <w:pPr>
        <w:pStyle w:val="9"/>
        <w:ind w:firstLine="480"/>
      </w:pPr>
      <w:r>
        <w:rPr>
          <w:rFonts w:hint="eastAsia"/>
        </w:rPr>
        <w:t>招标方内部的数据分析维度包括但不限于：市场分析、品牌分析、面料产品分析、服装产品分析等。</w:t>
      </w:r>
    </w:p>
    <w:p>
      <w:pPr>
        <w:pStyle w:val="9"/>
        <w:ind w:firstLine="480"/>
      </w:pPr>
      <w:r>
        <w:rPr>
          <w:rFonts w:hint="eastAsia"/>
        </w:rPr>
        <w:t>招标方服务客户的数据分析维度包括但不限于：纤维、纱线、面料、染整、后整理、客户、订单等。</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数据库建设需求</w:t>
      </w:r>
    </w:p>
    <w:p>
      <w:pPr>
        <w:pStyle w:val="9"/>
        <w:ind w:firstLine="480"/>
      </w:pPr>
      <w:r>
        <w:rPr>
          <w:rFonts w:hint="eastAsia"/>
        </w:rPr>
        <w:t>基于现有的业务数据库、业务需求、数据增长速度，合理规划数据库设计标准、设计模式，以满足现有业务在读取数据库进行数据展示时的效率需求，并设计合理的数据库扩展模式，为后续数据库的分库、分表打造基础。</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数据仓库建设需求</w:t>
      </w:r>
    </w:p>
    <w:p>
      <w:pPr>
        <w:pStyle w:val="9"/>
        <w:ind w:firstLine="480"/>
      </w:pPr>
      <w:r>
        <w:rPr>
          <w:rFonts w:hint="eastAsia"/>
          <w:color w:val="auto"/>
        </w:rPr>
        <w:t>在数据库建设基础上，以纺织产品开发数据分析和决策的业务系统数据为数据源，建立数据采集、加工、分析和整理数据仓库平台。统一数据</w:t>
      </w:r>
      <w:r>
        <w:rPr>
          <w:rFonts w:hint="eastAsia"/>
        </w:rPr>
        <w:t>采集、加工和管理，统一指标口径，统一向业务部门和BI系统提供基础数据支持。其中：</w:t>
      </w:r>
    </w:p>
    <w:p>
      <w:pPr>
        <w:pStyle w:val="9"/>
        <w:numPr>
          <w:ilvl w:val="0"/>
          <w:numId w:val="18"/>
        </w:numPr>
        <w:ind w:firstLineChars="0"/>
      </w:pPr>
      <w:r>
        <w:rPr>
          <w:rFonts w:hint="eastAsia"/>
        </w:rPr>
        <w:t>数据仓库需具有良好的扩展性，建立方便、灵活的数据入仓通道，支持已建、在建或未建的各类信息系统数据平稳顺利进入数据仓库。</w:t>
      </w:r>
    </w:p>
    <w:p>
      <w:pPr>
        <w:pStyle w:val="9"/>
        <w:numPr>
          <w:ilvl w:val="0"/>
          <w:numId w:val="18"/>
        </w:numPr>
        <w:ind w:firstLineChars="0"/>
      </w:pPr>
      <w:r>
        <w:rPr>
          <w:rFonts w:hint="eastAsia"/>
        </w:rPr>
        <w:t>支持系统自动对接、EXCEL导入等多种数据收集方式。</w:t>
      </w:r>
    </w:p>
    <w:p>
      <w:pPr>
        <w:pStyle w:val="9"/>
        <w:numPr>
          <w:ilvl w:val="0"/>
          <w:numId w:val="18"/>
        </w:numPr>
        <w:ind w:firstLineChars="0"/>
      </w:pPr>
      <w:r>
        <w:rPr>
          <w:rFonts w:hint="eastAsia"/>
        </w:rPr>
        <w:t>支持API接口以提供下游系统数据对接能力。</w:t>
      </w:r>
    </w:p>
    <w:p>
      <w:pPr>
        <w:pStyle w:val="9"/>
        <w:numPr>
          <w:ilvl w:val="0"/>
          <w:numId w:val="18"/>
        </w:numPr>
        <w:ind w:firstLineChars="0"/>
      </w:pPr>
      <w:r>
        <w:rPr>
          <w:rFonts w:hint="eastAsia"/>
        </w:rPr>
        <w:t>提供数据整合方案</w:t>
      </w:r>
      <w:r>
        <w:rPr>
          <w:rFonts w:hint="eastAsia"/>
          <w:color w:val="auto"/>
        </w:rPr>
        <w:t>，制定统一的数据表名、字段名命名规范，确定各个字段的类型、长度等技术标准。</w:t>
      </w:r>
    </w:p>
    <w:p>
      <w:pPr>
        <w:pStyle w:val="9"/>
        <w:numPr>
          <w:ilvl w:val="0"/>
          <w:numId w:val="18"/>
        </w:numPr>
        <w:ind w:firstLineChars="0"/>
      </w:pPr>
      <w:r>
        <w:rPr>
          <w:rFonts w:hint="eastAsia"/>
        </w:rPr>
        <w:t>制定历史数据采集和处理流程，日常增量数据采集和处理流程，部分业务实时数据采集和处理流程，数据采集失败后的再处理流程等统一的数据采集、清洗、加工、转换和管理流程。</w:t>
      </w:r>
    </w:p>
    <w:p>
      <w:pPr>
        <w:pStyle w:val="9"/>
        <w:numPr>
          <w:ilvl w:val="0"/>
          <w:numId w:val="18"/>
        </w:numPr>
        <w:ind w:firstLineChars="0"/>
      </w:pPr>
      <w:r>
        <w:rPr>
          <w:rFonts w:hint="eastAsia"/>
        </w:rPr>
        <w:t>制定合理的数据安全管理机制，实现对系统登录、数据读取、数据删除等权限管理。</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数据存储需求</w:t>
      </w:r>
    </w:p>
    <w:p>
      <w:pPr>
        <w:pStyle w:val="9"/>
        <w:numPr>
          <w:ilvl w:val="1"/>
          <w:numId w:val="19"/>
        </w:numPr>
        <w:ind w:left="770" w:hanging="350" w:firstLineChars="0"/>
        <w:rPr>
          <w:color w:val="auto"/>
        </w:rPr>
      </w:pPr>
      <w:r>
        <w:rPr>
          <w:rFonts w:hint="eastAsia"/>
        </w:rPr>
        <w:t>格式化要求：</w:t>
      </w:r>
      <w:r>
        <w:rPr>
          <w:rFonts w:hint="eastAsia"/>
          <w:color w:val="auto"/>
        </w:rPr>
        <w:t>建设具有存储格式化数据能力的分布式数据仓库，以满足</w:t>
      </w:r>
      <w:r>
        <w:rPr>
          <w:rFonts w:hint="eastAsia"/>
        </w:rPr>
        <w:t>数据分析决策平</w:t>
      </w:r>
      <w:r>
        <w:rPr>
          <w:rFonts w:hint="eastAsia"/>
          <w:color w:val="auto"/>
        </w:rPr>
        <w:t>台的数据分析、报表分析、数据服务等工作。</w:t>
      </w:r>
    </w:p>
    <w:p>
      <w:pPr>
        <w:pStyle w:val="9"/>
        <w:numPr>
          <w:ilvl w:val="1"/>
          <w:numId w:val="19"/>
        </w:numPr>
        <w:ind w:left="770" w:hanging="350" w:firstLineChars="0"/>
        <w:rPr>
          <w:color w:val="auto"/>
        </w:rPr>
      </w:pPr>
      <w:r>
        <w:rPr>
          <w:rFonts w:hint="eastAsia"/>
          <w:color w:val="auto"/>
        </w:rPr>
        <w:t>扩展性要求：具备弹性伸缩的能力，即高峰期可扩容平稳期可缩容的能力。</w:t>
      </w:r>
    </w:p>
    <w:p>
      <w:pPr>
        <w:pStyle w:val="9"/>
        <w:numPr>
          <w:ilvl w:val="1"/>
          <w:numId w:val="19"/>
        </w:numPr>
        <w:ind w:left="770" w:hanging="350" w:firstLineChars="0"/>
        <w:rPr>
          <w:color w:val="auto"/>
        </w:rPr>
      </w:pPr>
      <w:r>
        <w:rPr>
          <w:rFonts w:hint="eastAsia"/>
        </w:rPr>
        <w:t>兼容性要求：数据存储中的数据仓库必须支持标准SQL，具有导入主流关系型数据库的能力。</w:t>
      </w:r>
    </w:p>
    <w:p>
      <w:pPr>
        <w:pStyle w:val="9"/>
        <w:numPr>
          <w:ilvl w:val="1"/>
          <w:numId w:val="19"/>
        </w:numPr>
        <w:ind w:left="770" w:hanging="350" w:firstLineChars="0"/>
      </w:pPr>
      <w:r>
        <w:rPr>
          <w:rFonts w:hint="eastAsia"/>
        </w:rPr>
        <w:t>数据备份：</w:t>
      </w:r>
      <w:r>
        <w:rPr>
          <w:rFonts w:hint="eastAsia"/>
          <w:color w:val="auto"/>
        </w:rPr>
        <w:t>支持将不使用的历史数据放入对象存储，缓解数仓存储压力。</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数据分析决策平台需求</w:t>
      </w:r>
    </w:p>
    <w:p>
      <w:pPr>
        <w:pStyle w:val="9"/>
        <w:numPr>
          <w:ilvl w:val="0"/>
          <w:numId w:val="20"/>
        </w:numPr>
        <w:ind w:firstLineChars="0"/>
      </w:pPr>
      <w:r>
        <w:rPr>
          <w:rFonts w:hint="eastAsia"/>
        </w:rPr>
        <w:t>数据平台需支持SQL Sever、MySQL、</w:t>
      </w:r>
      <w:r>
        <w:t xml:space="preserve">Oracle </w:t>
      </w:r>
      <w:r>
        <w:rPr>
          <w:rFonts w:hint="eastAsia"/>
        </w:rPr>
        <w:t>等业务常用数据源的接入，数据模型支持业务自助分析需求，能帮助业务人员进行</w:t>
      </w:r>
      <w:r>
        <w:rPr>
          <w:rFonts w:hint="eastAsia"/>
          <w:color w:val="auto"/>
        </w:rPr>
        <w:t>实时业务数据分析。</w:t>
      </w:r>
    </w:p>
    <w:p>
      <w:pPr>
        <w:pStyle w:val="9"/>
        <w:numPr>
          <w:ilvl w:val="0"/>
          <w:numId w:val="20"/>
        </w:numPr>
        <w:ind w:firstLineChars="0"/>
      </w:pPr>
      <w:r>
        <w:rPr>
          <w:rFonts w:hint="eastAsia"/>
          <w:color w:val="auto"/>
        </w:rPr>
        <w:t>针对不同的业务需求，设计相应的数据分析模型架构，</w:t>
      </w:r>
      <w:r>
        <w:rPr>
          <w:rFonts w:hint="eastAsia"/>
        </w:rPr>
        <w:t>以便业务人员能够便捷获取数据，并进行相关分析。</w:t>
      </w:r>
    </w:p>
    <w:p>
      <w:pPr>
        <w:pStyle w:val="9"/>
        <w:numPr>
          <w:ilvl w:val="0"/>
          <w:numId w:val="20"/>
        </w:numPr>
        <w:ind w:firstLineChars="0"/>
      </w:pPr>
      <w:r>
        <w:rPr>
          <w:rFonts w:hint="eastAsia"/>
        </w:rPr>
        <w:t>数据模型支持自定义指标格式，可设置整数、小数、百分比、日期、时间、文本等格式。</w:t>
      </w:r>
    </w:p>
    <w:p>
      <w:pPr>
        <w:pStyle w:val="9"/>
        <w:numPr>
          <w:ilvl w:val="0"/>
          <w:numId w:val="20"/>
        </w:numPr>
        <w:ind w:firstLineChars="0"/>
      </w:pPr>
      <w:r>
        <w:rPr>
          <w:rFonts w:hint="eastAsia"/>
        </w:rPr>
        <w:t>数据模型支持分区，可以设置数据增量更新，以用于某些大型数据量场景的模型优化等。</w:t>
      </w:r>
    </w:p>
    <w:p>
      <w:pPr>
        <w:pStyle w:val="9"/>
        <w:numPr>
          <w:ilvl w:val="0"/>
          <w:numId w:val="20"/>
        </w:numPr>
        <w:ind w:firstLineChars="0"/>
      </w:pPr>
      <w:r>
        <w:rPr>
          <w:rFonts w:hint="eastAsia"/>
        </w:rPr>
        <w:t>数据模型支持设置数据角色，可以支持行级别、列级别、报表级别数据权限。</w:t>
      </w:r>
    </w:p>
    <w:p>
      <w:pPr>
        <w:pStyle w:val="9"/>
        <w:numPr>
          <w:ilvl w:val="0"/>
          <w:numId w:val="20"/>
        </w:numPr>
        <w:ind w:firstLineChars="0"/>
      </w:pPr>
      <w:r>
        <w:rPr>
          <w:rFonts w:hint="eastAsia"/>
        </w:rPr>
        <w:t>支持数据钻取，可以不限维度的进行数据穿透分析。</w:t>
      </w:r>
    </w:p>
    <w:p>
      <w:pPr>
        <w:pStyle w:val="9"/>
        <w:numPr>
          <w:ilvl w:val="0"/>
          <w:numId w:val="20"/>
        </w:numPr>
        <w:ind w:firstLineChars="0"/>
      </w:pPr>
      <w:r>
        <w:rPr>
          <w:rFonts w:hint="eastAsia"/>
        </w:rPr>
        <w:t>支持聚合报表，聚合多业务类型数据，可以生成展示复杂的大报表。</w:t>
      </w:r>
    </w:p>
    <w:p>
      <w:pPr>
        <w:pStyle w:val="9"/>
        <w:numPr>
          <w:ilvl w:val="0"/>
          <w:numId w:val="20"/>
        </w:numPr>
        <w:ind w:firstLineChars="0"/>
      </w:pPr>
      <w:r>
        <w:rPr>
          <w:rFonts w:hint="eastAsia"/>
        </w:rPr>
        <w:t>数据分析决策平台能够提供丰富的数据分析图表组件，以构建直观的可视化分析能力，有丰富的第三方的数据展示组件的支持能力，使得前端展示更丰富，直观，更能凸显数据价值。</w:t>
      </w:r>
    </w:p>
    <w:p>
      <w:pPr>
        <w:pStyle w:val="9"/>
        <w:numPr>
          <w:ilvl w:val="0"/>
          <w:numId w:val="20"/>
        </w:numPr>
        <w:ind w:firstLineChars="0"/>
      </w:pPr>
      <w:r>
        <w:rPr>
          <w:rFonts w:hint="eastAsia"/>
        </w:rPr>
        <w:t>提供决策报表设计功能，支持实现多维度分析类数据大屏。</w:t>
      </w:r>
    </w:p>
    <w:p>
      <w:pPr>
        <w:pStyle w:val="9"/>
        <w:numPr>
          <w:ilvl w:val="0"/>
          <w:numId w:val="20"/>
        </w:numPr>
        <w:ind w:firstLineChars="0"/>
      </w:pPr>
      <w:r>
        <w:rPr>
          <w:rFonts w:hint="eastAsia"/>
        </w:rPr>
        <w:t>数据分析决策平台支持自适应展现，在电脑、手机、PAD 类移动端、数据大屏等多种终端设备上自适应展现；支持移动端应用，支持与企业微信的对接。</w:t>
      </w:r>
    </w:p>
    <w:p>
      <w:pPr>
        <w:pStyle w:val="8"/>
        <w:numPr>
          <w:ilvl w:val="3"/>
          <w:numId w:val="15"/>
        </w:numPr>
        <w:tabs>
          <w:tab w:val="left" w:pos="360"/>
          <w:tab w:val="clear" w:pos="1680"/>
        </w:tabs>
        <w:snapToGrid w:val="0"/>
        <w:spacing w:line="360" w:lineRule="auto"/>
        <w:ind w:left="567" w:firstLineChars="0"/>
        <w:outlineLvl w:val="0"/>
        <w:rPr>
          <w:rFonts w:ascii="宋体" w:hAnsi="宋体" w:cs="宋体"/>
          <w:b/>
          <w:sz w:val="24"/>
        </w:rPr>
      </w:pPr>
      <w:r>
        <w:rPr>
          <w:rFonts w:hint="eastAsia" w:ascii="宋体" w:hAnsi="宋体" w:cs="宋体"/>
          <w:b/>
          <w:sz w:val="24"/>
        </w:rPr>
        <w:t>其他需求</w:t>
      </w:r>
    </w:p>
    <w:p>
      <w:pPr>
        <w:pStyle w:val="9"/>
        <w:numPr>
          <w:ilvl w:val="0"/>
          <w:numId w:val="21"/>
        </w:numPr>
        <w:ind w:firstLineChars="0"/>
      </w:pPr>
      <w:r>
        <w:rPr>
          <w:rFonts w:hint="eastAsia"/>
        </w:rPr>
        <w:t>提供目录管理功能，对报表系统的目录树进行增加、删除、修改等操作，目录可以自由调整位置顺序。</w:t>
      </w:r>
    </w:p>
    <w:p>
      <w:pPr>
        <w:pStyle w:val="9"/>
        <w:numPr>
          <w:ilvl w:val="0"/>
          <w:numId w:val="21"/>
        </w:numPr>
        <w:ind w:firstLineChars="0"/>
      </w:pPr>
      <w:r>
        <w:rPr>
          <w:rFonts w:hint="eastAsia"/>
        </w:rPr>
        <w:t>提供用户管理功能，支持批量添加用户及其角色。支持用户身份验证方式，支持SSO系统平台对接。</w:t>
      </w:r>
    </w:p>
    <w:p>
      <w:pPr>
        <w:pStyle w:val="9"/>
        <w:numPr>
          <w:ilvl w:val="0"/>
          <w:numId w:val="21"/>
        </w:numPr>
        <w:ind w:firstLineChars="0"/>
      </w:pPr>
      <w:r>
        <w:rPr>
          <w:rFonts w:hint="eastAsia"/>
        </w:rPr>
        <w:t>支持根据部门职位、角色、用户分配权限，用户可以访问而且只能访问自己被授权的资源。支持权限深化配置功能，可精确控制不同人访问同一张报表查看的页面不同。</w:t>
      </w:r>
    </w:p>
    <w:p>
      <w:pPr>
        <w:pStyle w:val="9"/>
        <w:numPr>
          <w:ilvl w:val="0"/>
          <w:numId w:val="21"/>
        </w:numPr>
        <w:ind w:firstLineChars="0"/>
      </w:pPr>
      <w:r>
        <w:rPr>
          <w:rFonts w:hint="eastAsia"/>
        </w:rPr>
        <w:t>支持定时发送邮件、嵌入企业微信/钉钉/OA等系统，支持企业微信/钉钉消息推送等。</w:t>
      </w:r>
    </w:p>
    <w:p>
      <w:pPr>
        <w:pStyle w:val="9"/>
        <w:numPr>
          <w:ilvl w:val="0"/>
          <w:numId w:val="21"/>
        </w:numPr>
        <w:ind w:firstLineChars="0"/>
      </w:pPr>
      <w:r>
        <w:rPr>
          <w:rFonts w:hint="eastAsia"/>
        </w:rPr>
        <w:t>支持用户浏览数据查看，可以方便的查看用户浏览数据情况。</w:t>
      </w:r>
    </w:p>
    <w:p>
      <w:pPr>
        <w:pStyle w:val="9"/>
        <w:numPr>
          <w:ilvl w:val="0"/>
          <w:numId w:val="21"/>
        </w:numPr>
        <w:ind w:firstLineChars="0"/>
      </w:pPr>
      <w:r>
        <w:rPr>
          <w:rFonts w:hint="eastAsia"/>
        </w:rPr>
        <w:t>支持用户角色管理，报表权限配置，平台菜单配置等功能。</w:t>
      </w:r>
    </w:p>
    <w:p>
      <w:pPr>
        <w:pStyle w:val="9"/>
        <w:numPr>
          <w:ilvl w:val="0"/>
          <w:numId w:val="21"/>
        </w:numPr>
        <w:ind w:firstLineChars="0"/>
      </w:pPr>
      <w:r>
        <w:rPr>
          <w:rFonts w:hint="eastAsia"/>
        </w:rPr>
        <w:t>支持报表打印，网页全屏，报表全屏，报表重载，刷新，收藏，设置默认首页等功能。</w:t>
      </w:r>
    </w:p>
    <w:p>
      <w:pPr>
        <w:pStyle w:val="9"/>
        <w:numPr>
          <w:ilvl w:val="0"/>
          <w:numId w:val="21"/>
        </w:numPr>
        <w:ind w:firstLineChars="0"/>
      </w:pPr>
      <w:r>
        <w:rPr>
          <w:rFonts w:hint="eastAsia"/>
        </w:rPr>
        <w:t>支持在标准平台功能基础上定制化开发业务需要的功能。</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预期效果</w:t>
      </w:r>
    </w:p>
    <w:p>
      <w:pPr>
        <w:pStyle w:val="9"/>
        <w:numPr>
          <w:ilvl w:val="3"/>
          <w:numId w:val="15"/>
        </w:numPr>
        <w:tabs>
          <w:tab w:val="clear" w:pos="1680"/>
        </w:tabs>
        <w:ind w:left="851" w:firstLineChars="0"/>
      </w:pPr>
      <w:r>
        <w:rPr>
          <w:rFonts w:hint="eastAsia"/>
        </w:rPr>
        <w:t>统一数据标准与服务平台</w:t>
      </w:r>
    </w:p>
    <w:p>
      <w:pPr>
        <w:pStyle w:val="9"/>
        <w:ind w:left="420" w:firstLine="420" w:firstLineChars="0"/>
      </w:pPr>
      <w:r>
        <w:rPr>
          <w:rFonts w:hint="eastAsia"/>
        </w:rPr>
        <w:t>消除系统之间的数据孤岛；</w:t>
      </w:r>
    </w:p>
    <w:p>
      <w:pPr>
        <w:pStyle w:val="9"/>
        <w:ind w:left="420" w:firstLine="420" w:firstLineChars="0"/>
      </w:pPr>
      <w:r>
        <w:rPr>
          <w:rFonts w:hint="eastAsia"/>
        </w:rPr>
        <w:t>实现各业务间数据共享；</w:t>
      </w:r>
    </w:p>
    <w:p>
      <w:pPr>
        <w:pStyle w:val="9"/>
        <w:ind w:left="360" w:firstLine="480"/>
      </w:pPr>
      <w:r>
        <w:rPr>
          <w:rFonts w:hint="eastAsia"/>
        </w:rPr>
        <w:t>提供统一的数据服务接口；</w:t>
      </w:r>
    </w:p>
    <w:p>
      <w:pPr>
        <w:pStyle w:val="9"/>
        <w:ind w:left="360" w:firstLine="480"/>
      </w:pPr>
      <w:r>
        <w:rPr>
          <w:rFonts w:hint="eastAsia"/>
        </w:rPr>
        <w:t>建立统一的数据输出平台；</w:t>
      </w:r>
    </w:p>
    <w:p>
      <w:pPr>
        <w:pStyle w:val="9"/>
        <w:ind w:left="360" w:firstLine="480"/>
      </w:pPr>
      <w:r>
        <w:rPr>
          <w:rFonts w:hint="eastAsia"/>
        </w:rPr>
        <w:t>平台能够支持招标方与客户数据互通。</w:t>
      </w:r>
    </w:p>
    <w:p>
      <w:pPr>
        <w:pStyle w:val="9"/>
        <w:numPr>
          <w:ilvl w:val="3"/>
          <w:numId w:val="15"/>
        </w:numPr>
        <w:tabs>
          <w:tab w:val="clear" w:pos="1680"/>
        </w:tabs>
        <w:ind w:left="851" w:firstLineChars="0"/>
      </w:pPr>
      <w:r>
        <w:rPr>
          <w:rFonts w:hint="eastAsia"/>
        </w:rPr>
        <w:t>提升数据分析能力</w:t>
      </w:r>
    </w:p>
    <w:p>
      <w:pPr>
        <w:pStyle w:val="9"/>
        <w:ind w:firstLine="420" w:firstLineChars="0"/>
      </w:pPr>
      <w:r>
        <w:tab/>
      </w:r>
      <w:r>
        <w:rPr>
          <w:rFonts w:hint="eastAsia"/>
        </w:rPr>
        <w:t>实现数据挖掘、统计和分析能力；</w:t>
      </w:r>
    </w:p>
    <w:p>
      <w:pPr>
        <w:pStyle w:val="9"/>
        <w:ind w:firstLine="849" w:firstLineChars="354"/>
      </w:pPr>
      <w:r>
        <w:rPr>
          <w:rFonts w:hint="eastAsia"/>
        </w:rPr>
        <w:t>实现数据可视化分析和展示；</w:t>
      </w:r>
      <w:r>
        <w:t></w:t>
      </w:r>
      <w:r>
        <w:tab/>
      </w:r>
    </w:p>
    <w:p>
      <w:pPr>
        <w:pStyle w:val="9"/>
        <w:ind w:firstLine="420" w:firstLineChars="0"/>
      </w:pPr>
      <w:r>
        <w:t></w:t>
      </w:r>
      <w:r>
        <w:tab/>
      </w:r>
      <w:r>
        <w:rPr>
          <w:rFonts w:hint="eastAsia"/>
        </w:rPr>
        <w:t>提供统一的企业报表平台。</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技术要求</w:t>
      </w:r>
    </w:p>
    <w:p>
      <w:pPr>
        <w:pStyle w:val="9"/>
        <w:ind w:firstLine="482"/>
        <w:rPr>
          <w:b/>
          <w:bCs/>
        </w:rPr>
      </w:pPr>
      <w:r>
        <w:rPr>
          <w:rFonts w:hint="eastAsia"/>
          <w:b/>
          <w:bCs/>
        </w:rPr>
        <w:t>1.</w:t>
      </w:r>
      <w:r>
        <w:rPr>
          <w:rFonts w:hint="eastAsia"/>
          <w:b/>
          <w:bCs/>
        </w:rPr>
        <w:tab/>
      </w:r>
      <w:r>
        <w:rPr>
          <w:rFonts w:hint="eastAsia"/>
          <w:b/>
          <w:bCs/>
        </w:rPr>
        <w:t>技术标准</w:t>
      </w:r>
    </w:p>
    <w:p>
      <w:pPr>
        <w:pStyle w:val="9"/>
        <w:ind w:firstLine="480"/>
      </w:pPr>
      <w:r>
        <w:rPr>
          <w:rFonts w:hint="eastAsia"/>
        </w:rPr>
        <w:t>遵守国家数据库建设、管理相关标准和安全政策，包括但不限于：</w:t>
      </w:r>
    </w:p>
    <w:p>
      <w:pPr>
        <w:pStyle w:val="9"/>
        <w:ind w:firstLine="480"/>
        <w:rPr>
          <w:rFonts w:ascii="Helvetica" w:hAnsi="Helvetica"/>
          <w:color w:val="333333"/>
          <w:shd w:val="clear" w:color="auto" w:fill="FFFFFF"/>
        </w:rPr>
      </w:pPr>
      <w:r>
        <w:rPr>
          <w:rFonts w:ascii="Helvetica" w:hAnsi="Helvetica"/>
          <w:color w:val="333333"/>
          <w:shd w:val="clear" w:color="auto" w:fill="FFFFFF"/>
        </w:rPr>
        <w:t>《 GB/T36073-2018 数据管理能力成熟度评估模型》</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34960.5-2018 </w:t>
      </w:r>
      <w:r>
        <w:rPr>
          <w:rFonts w:hint="eastAsia" w:ascii="Helvetica" w:hAnsi="Helvetica"/>
          <w:color w:val="333333"/>
          <w:shd w:val="clear" w:color="auto" w:fill="FFFFFF"/>
        </w:rPr>
        <w:t>信息技术服务 治理 第5部分：数据治理规范》</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SJT 11445.4-2017 </w:t>
      </w:r>
      <w:r>
        <w:rPr>
          <w:rFonts w:hint="eastAsia" w:ascii="Helvetica" w:hAnsi="Helvetica"/>
          <w:color w:val="333333"/>
          <w:shd w:val="clear" w:color="auto" w:fill="FFFFFF"/>
        </w:rPr>
        <w:t>信息技术服务 外包 第4部分：非结构化数据管理与服务规范 》</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35119-2017 </w:t>
      </w:r>
      <w:r>
        <w:rPr>
          <w:rFonts w:hint="eastAsia" w:ascii="Helvetica" w:hAnsi="Helvetica"/>
          <w:color w:val="333333"/>
          <w:shd w:val="clear" w:color="auto" w:fill="FFFFFF"/>
        </w:rPr>
        <w:t>产品生命周期数据管理规范》</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《GB/T 38672-2020 信息技术 大数据 接口基本要求》</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38667-2020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数据分类指南》</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38673-2020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大数据系统基本要求》</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38676-2020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存储与处理系统功能测试要求》</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38643-2020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分析系统功能测试要求》</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38675-2020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计算系统通用要求》</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38633-2020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系统运维和管理功能要求》</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38666-2020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工业应用参考架构》</w:t>
      </w:r>
    </w:p>
    <w:p>
      <w:pPr>
        <w:pStyle w:val="9"/>
        <w:ind w:firstLine="480"/>
        <w:rPr>
          <w:rFonts w:ascii="Helvetica" w:hAnsi="Helvetica"/>
          <w:color w:val="333333"/>
          <w:shd w:val="clear" w:color="auto" w:fill="FFFFFF"/>
        </w:rPr>
      </w:pPr>
      <w:r>
        <w:rPr>
          <w:rFonts w:hint="eastAsia" w:ascii="Helvetica" w:hAnsi="Helvetica"/>
          <w:color w:val="333333"/>
          <w:shd w:val="clear" w:color="auto" w:fill="FFFFFF"/>
        </w:rPr>
        <w:t>《</w:t>
      </w:r>
      <w:r>
        <w:rPr>
          <w:rFonts w:ascii="Helvetica" w:hAnsi="Helvetica"/>
          <w:color w:val="333333"/>
          <w:shd w:val="clear" w:color="auto" w:fill="FFFFFF"/>
        </w:rPr>
        <w:t xml:space="preserve">GB/T 38555-2020 </w:t>
      </w:r>
      <w:r>
        <w:rPr>
          <w:rFonts w:hint="eastAsia" w:ascii="Helvetica" w:hAnsi="Helvetica"/>
          <w:color w:val="333333"/>
          <w:shd w:val="clear" w:color="auto" w:fill="FFFFFF"/>
        </w:rPr>
        <w:t>信息技术</w:t>
      </w:r>
      <w:r>
        <w:rPr>
          <w:rFonts w:ascii="Helvetica" w:hAnsi="Helvetica"/>
          <w:color w:val="333333"/>
          <w:shd w:val="clear" w:color="auto" w:fill="FFFFFF"/>
        </w:rPr>
        <w:t xml:space="preserve"> </w:t>
      </w:r>
      <w:r>
        <w:rPr>
          <w:rFonts w:hint="eastAsia" w:ascii="Helvetica" w:hAnsi="Helvetica"/>
          <w:color w:val="333333"/>
          <w:shd w:val="clear" w:color="auto" w:fill="FFFFFF"/>
        </w:rPr>
        <w:t>大数据</w:t>
      </w:r>
      <w:r>
        <w:rPr>
          <w:rFonts w:ascii="Helvetica" w:hAnsi="Helvetica"/>
          <w:color w:val="333333"/>
          <w:shd w:val="clear" w:color="auto" w:fill="FFFFFF"/>
        </w:rPr>
        <w:t xml:space="preserve"> </w:t>
      </w:r>
      <w:r>
        <w:rPr>
          <w:rFonts w:hint="eastAsia" w:ascii="Helvetica" w:hAnsi="Helvetica"/>
          <w:color w:val="333333"/>
          <w:shd w:val="clear" w:color="auto" w:fill="FFFFFF"/>
        </w:rPr>
        <w:t>工业产品核心元数据》</w:t>
      </w:r>
    </w:p>
    <w:p>
      <w:pPr>
        <w:pStyle w:val="9"/>
        <w:ind w:firstLine="482"/>
        <w:rPr>
          <w:b/>
          <w:bCs/>
        </w:rPr>
      </w:pPr>
      <w:r>
        <w:rPr>
          <w:rFonts w:hint="eastAsia"/>
          <w:b/>
          <w:bCs/>
        </w:rPr>
        <w:t>2.</w:t>
      </w:r>
      <w:r>
        <w:rPr>
          <w:rFonts w:hint="eastAsia"/>
          <w:b/>
          <w:bCs/>
        </w:rPr>
        <w:tab/>
      </w:r>
      <w:r>
        <w:rPr>
          <w:rFonts w:hint="eastAsia"/>
          <w:b/>
          <w:bCs/>
        </w:rPr>
        <w:t>技术要求</w:t>
      </w:r>
    </w:p>
    <w:p>
      <w:pPr>
        <w:pStyle w:val="9"/>
        <w:ind w:firstLine="480"/>
      </w:pPr>
      <w:r>
        <w:rPr>
          <w:rFonts w:hint="eastAsia"/>
        </w:rPr>
        <w:t>标准化：系统设计必须符合实际需要，充分利用成熟的先进技术，符合主流技术发展趋势，还要避免盲目追求最新技术，以防止设计上存在的缺陷而造成系统严重缺陷；</w:t>
      </w:r>
    </w:p>
    <w:p>
      <w:pPr>
        <w:pStyle w:val="9"/>
        <w:ind w:firstLine="480"/>
      </w:pPr>
      <w:r>
        <w:rPr>
          <w:rFonts w:hint="eastAsia"/>
        </w:rPr>
        <w:t>良好扩展性：要求实施功能开放及灵活，能适应未来需求变化而进行必要的扩展；</w:t>
      </w:r>
    </w:p>
    <w:p>
      <w:pPr>
        <w:pStyle w:val="9"/>
        <w:ind w:firstLine="480"/>
      </w:pPr>
      <w:r>
        <w:rPr>
          <w:rFonts w:hint="eastAsia"/>
        </w:rPr>
        <w:t>实用易用性：系统的设计符合日常办公运作的需求，功能完备实用，简单易学，界面风格统一、美观，界面区域划分合理，提示信息简单明了；</w:t>
      </w:r>
    </w:p>
    <w:p>
      <w:pPr>
        <w:pStyle w:val="9"/>
        <w:ind w:firstLine="480"/>
      </w:pPr>
      <w:r>
        <w:rPr>
          <w:rFonts w:hint="eastAsia"/>
        </w:rPr>
        <w:t>易维护性：系统后期运维简单方便，系统日志清晰明了；</w:t>
      </w:r>
    </w:p>
    <w:p>
      <w:pPr>
        <w:pStyle w:val="9"/>
        <w:ind w:firstLine="480"/>
      </w:pPr>
      <w:r>
        <w:rPr>
          <w:rFonts w:hint="eastAsia"/>
        </w:rPr>
        <w:t>高效性：报表开发、部署简单高效。</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性能要求</w:t>
      </w:r>
    </w:p>
    <w:p>
      <w:pPr>
        <w:pStyle w:val="9"/>
        <w:numPr>
          <w:ilvl w:val="0"/>
          <w:numId w:val="22"/>
        </w:numPr>
        <w:ind w:firstLineChars="0"/>
      </w:pPr>
      <w:r>
        <w:rPr>
          <w:rFonts w:hint="eastAsia"/>
        </w:rPr>
        <w:t>系统有很好的扩展性、可靠性、快速访问和响应；</w:t>
      </w:r>
    </w:p>
    <w:p>
      <w:pPr>
        <w:pStyle w:val="9"/>
        <w:numPr>
          <w:ilvl w:val="0"/>
          <w:numId w:val="22"/>
        </w:numPr>
        <w:ind w:firstLineChars="0"/>
      </w:pPr>
      <w:r>
        <w:rPr>
          <w:rFonts w:hint="eastAsia"/>
        </w:rPr>
        <w:t>操作流程简单、提示清楚明了；</w:t>
      </w:r>
    </w:p>
    <w:p>
      <w:pPr>
        <w:pStyle w:val="9"/>
        <w:numPr>
          <w:ilvl w:val="0"/>
          <w:numId w:val="22"/>
        </w:numPr>
        <w:ind w:firstLineChars="0"/>
      </w:pPr>
      <w:r>
        <w:rPr>
          <w:rFonts w:hint="eastAsia"/>
        </w:rPr>
        <w:t>大部分报表的展现、钻取、导出等常用功能，应答时间需在</w:t>
      </w:r>
      <w:r>
        <w:t>2</w:t>
      </w:r>
      <w:r>
        <w:rPr>
          <w:rFonts w:hint="eastAsia"/>
        </w:rPr>
        <w:t>秒以内；对于逻辑或样式复杂的报表，需考虑使用特殊的方法进行处理，提高应答速度，应答时间不超过5秒；</w:t>
      </w:r>
    </w:p>
    <w:p>
      <w:pPr>
        <w:pStyle w:val="9"/>
        <w:numPr>
          <w:ilvl w:val="0"/>
          <w:numId w:val="22"/>
        </w:numPr>
        <w:ind w:firstLineChars="0"/>
      </w:pPr>
      <w:r>
        <w:rPr>
          <w:rFonts w:hint="eastAsia"/>
        </w:rPr>
        <w:t>多个用户同时访问时</w:t>
      </w:r>
      <w:r>
        <w:rPr>
          <w:rFonts w:hint="eastAsia"/>
          <w:color w:val="auto"/>
        </w:rPr>
        <w:t>，上述应答时间没有明显增加；</w:t>
      </w:r>
    </w:p>
    <w:p>
      <w:pPr>
        <w:pStyle w:val="9"/>
        <w:numPr>
          <w:ilvl w:val="0"/>
          <w:numId w:val="22"/>
        </w:numPr>
        <w:ind w:firstLineChars="0"/>
      </w:pPr>
      <w:r>
        <w:rPr>
          <w:rFonts w:hint="eastAsia"/>
        </w:rPr>
        <w:t>数据分析决策平台系统能满足</w:t>
      </w:r>
      <w:r>
        <w:t>7*24</w:t>
      </w:r>
      <w:r>
        <w:rPr>
          <w:rFonts w:hint="eastAsia"/>
        </w:rPr>
        <w:t>小时稳定运行；</w:t>
      </w:r>
    </w:p>
    <w:p>
      <w:pPr>
        <w:pStyle w:val="9"/>
        <w:numPr>
          <w:ilvl w:val="0"/>
          <w:numId w:val="22"/>
        </w:numPr>
        <w:ind w:firstLineChars="0"/>
      </w:pPr>
      <w:r>
        <w:rPr>
          <w:rFonts w:hint="eastAsia"/>
        </w:rPr>
        <w:t>该数据分析决策平台能够满足按照</w:t>
      </w:r>
      <w:r>
        <w:t>T+1</w:t>
      </w:r>
      <w:r>
        <w:rPr>
          <w:rFonts w:hint="eastAsia"/>
        </w:rPr>
        <w:t>频率更新数据。</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项目实施要求</w:t>
      </w:r>
    </w:p>
    <w:p>
      <w:pPr>
        <w:pStyle w:val="8"/>
        <w:numPr>
          <w:ilvl w:val="3"/>
          <w:numId w:val="16"/>
        </w:numPr>
        <w:snapToGrid w:val="0"/>
        <w:spacing w:line="360" w:lineRule="auto"/>
        <w:ind w:left="567" w:firstLineChars="0"/>
        <w:outlineLvl w:val="0"/>
        <w:rPr>
          <w:rFonts w:ascii="宋体" w:hAnsi="宋体" w:cs="宋体"/>
          <w:b/>
          <w:sz w:val="24"/>
        </w:rPr>
      </w:pPr>
      <w:r>
        <w:rPr>
          <w:rFonts w:hint="eastAsia" w:ascii="宋体" w:hAnsi="宋体" w:cs="宋体"/>
          <w:b/>
          <w:sz w:val="24"/>
        </w:rPr>
        <w:t>项目实施周期</w:t>
      </w:r>
    </w:p>
    <w:p>
      <w:pPr>
        <w:pStyle w:val="9"/>
        <w:ind w:firstLine="480"/>
      </w:pPr>
      <w:r>
        <w:rPr>
          <w:rFonts w:hint="eastAsia"/>
        </w:rPr>
        <w:t>在接到招标方单位中标通知后，按照规定的日期进行实施，2</w:t>
      </w:r>
      <w:r>
        <w:t>022</w:t>
      </w:r>
      <w:r>
        <w:rPr>
          <w:rFonts w:hint="eastAsia"/>
        </w:rPr>
        <w:t>年1</w:t>
      </w:r>
      <w:r>
        <w:t>0</w:t>
      </w:r>
      <w:r>
        <w:rPr>
          <w:rFonts w:hint="eastAsia"/>
        </w:rPr>
        <w:t>月</w:t>
      </w:r>
      <w:r>
        <w:t>31</w:t>
      </w:r>
      <w:r>
        <w:rPr>
          <w:rFonts w:hint="eastAsia"/>
        </w:rPr>
        <w:t>前完成所有内容研发。</w:t>
      </w:r>
    </w:p>
    <w:p>
      <w:pPr>
        <w:pStyle w:val="8"/>
        <w:numPr>
          <w:ilvl w:val="3"/>
          <w:numId w:val="16"/>
        </w:numPr>
        <w:snapToGrid w:val="0"/>
        <w:spacing w:line="360" w:lineRule="auto"/>
        <w:ind w:left="567" w:firstLineChars="0"/>
        <w:outlineLvl w:val="0"/>
        <w:rPr>
          <w:rFonts w:ascii="宋体" w:hAnsi="宋体" w:cs="宋体"/>
          <w:b/>
          <w:sz w:val="24"/>
        </w:rPr>
      </w:pPr>
      <w:r>
        <w:rPr>
          <w:rFonts w:hint="eastAsia" w:ascii="宋体" w:hAnsi="宋体" w:cs="宋体"/>
          <w:b/>
          <w:sz w:val="24"/>
        </w:rPr>
        <w:t>项目交付</w:t>
      </w:r>
    </w:p>
    <w:p>
      <w:pPr>
        <w:pStyle w:val="9"/>
        <w:numPr>
          <w:ilvl w:val="0"/>
          <w:numId w:val="23"/>
        </w:numPr>
        <w:ind w:left="851" w:firstLineChars="0"/>
      </w:pPr>
      <w:r>
        <w:rPr>
          <w:rFonts w:hint="eastAsia"/>
        </w:rPr>
        <w:t>项目实施过程中需提供及验收交付文件包括但不限于以下内容：培训资料、验收报告、项目实施成果。</w:t>
      </w:r>
    </w:p>
    <w:p>
      <w:pPr>
        <w:pStyle w:val="9"/>
        <w:numPr>
          <w:ilvl w:val="0"/>
          <w:numId w:val="23"/>
        </w:numPr>
        <w:ind w:left="851" w:firstLineChars="0"/>
      </w:pPr>
      <w:r>
        <w:rPr>
          <w:rFonts w:hint="eastAsia"/>
        </w:rPr>
        <w:t>验收报告包含但不限于：系统测试报告、软、硬件说明书、软件操作手册、软件安装调试指导书、数据库安装调试指导书、知识产权授权资料、软件介质等；</w:t>
      </w:r>
    </w:p>
    <w:p>
      <w:pPr>
        <w:pStyle w:val="9"/>
        <w:numPr>
          <w:ilvl w:val="0"/>
          <w:numId w:val="23"/>
        </w:numPr>
        <w:spacing w:after="156" w:afterLines="50"/>
        <w:ind w:left="851" w:firstLineChars="0"/>
      </w:pPr>
      <w:r>
        <w:rPr>
          <w:rFonts w:hint="eastAsia"/>
        </w:rPr>
        <w:t>项目交付其他文件，包括：《项目管理计划书》、《需求调研报告》、《需求确认书》、《蓝图设计方案》、《系统功能结构设计说明书》、《系统开发源程序代码》、《系统集成测试报告》、《系统试运行报告》《系统上线检查报告》、《系统验收报告》、《管理员安装/调试操作手册》《管理员运维操作手册》、《售后服务说明函》、《项目周报及相关会议纪要》。</w:t>
      </w: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项目管理</w:t>
      </w:r>
    </w:p>
    <w:p>
      <w:pPr>
        <w:pStyle w:val="8"/>
        <w:numPr>
          <w:ilvl w:val="3"/>
          <w:numId w:val="1"/>
        </w:numPr>
        <w:tabs>
          <w:tab w:val="clear" w:pos="1680"/>
        </w:tabs>
        <w:spacing w:after="156" w:afterLines="50" w:line="360" w:lineRule="auto"/>
        <w:ind w:left="567" w:firstLineChars="0"/>
        <w:rPr>
          <w:rFonts w:ascii="华文楷体" w:hAnsi="华文楷体" w:eastAsia="华文楷体"/>
          <w:b/>
          <w:bCs/>
          <w:sz w:val="24"/>
        </w:rPr>
      </w:pPr>
      <w:r>
        <w:rPr>
          <w:rFonts w:hint="eastAsia" w:ascii="华文楷体" w:hAnsi="华文楷体" w:eastAsia="华文楷体"/>
          <w:b/>
          <w:bCs/>
          <w:sz w:val="24"/>
        </w:rPr>
        <w:t>项目质量管理</w:t>
      </w:r>
    </w:p>
    <w:p>
      <w:pPr>
        <w:pStyle w:val="9"/>
        <w:ind w:firstLine="480"/>
      </w:pPr>
      <w:r>
        <w:rPr>
          <w:rFonts w:hint="eastAsia"/>
        </w:rPr>
        <w:t>投标方应根据实际解决方案，提供相应的项目开发计划和实施计划。</w:t>
      </w:r>
    </w:p>
    <w:p>
      <w:pPr>
        <w:pStyle w:val="9"/>
        <w:numPr>
          <w:ilvl w:val="0"/>
          <w:numId w:val="12"/>
        </w:numPr>
        <w:ind w:hanging="393" w:firstLineChars="0"/>
      </w:pPr>
      <w:r>
        <w:rPr>
          <w:rFonts w:hint="eastAsia"/>
        </w:rPr>
        <w:t>按照项目管理要求制定明确的项目开发计划和实施计划；</w:t>
      </w:r>
    </w:p>
    <w:p>
      <w:pPr>
        <w:pStyle w:val="9"/>
        <w:numPr>
          <w:ilvl w:val="0"/>
          <w:numId w:val="12"/>
        </w:numPr>
        <w:ind w:hanging="393" w:firstLineChars="0"/>
      </w:pPr>
      <w:r>
        <w:rPr>
          <w:rFonts w:hint="eastAsia"/>
        </w:rPr>
        <w:t>制定项目实施管理制度与管理规范，说明项目管理方法和项目质量风险管控机制；</w:t>
      </w:r>
    </w:p>
    <w:p>
      <w:pPr>
        <w:pStyle w:val="9"/>
        <w:numPr>
          <w:ilvl w:val="0"/>
          <w:numId w:val="12"/>
        </w:numPr>
        <w:ind w:hanging="393" w:firstLineChars="0"/>
        <w:rPr>
          <w:rFonts w:ascii="华文楷体" w:hAnsi="华文楷体" w:eastAsia="华文楷体"/>
          <w:szCs w:val="24"/>
        </w:rPr>
      </w:pPr>
      <w:r>
        <w:rPr>
          <w:rFonts w:hint="eastAsia"/>
        </w:rPr>
        <w:t>制定项目实施进度表，明确项目管理里程碑，并列明各阶段及各方人员安排（以天为单位）。</w:t>
      </w:r>
    </w:p>
    <w:p>
      <w:pPr>
        <w:pStyle w:val="8"/>
        <w:numPr>
          <w:ilvl w:val="3"/>
          <w:numId w:val="1"/>
        </w:numPr>
        <w:tabs>
          <w:tab w:val="clear" w:pos="1680"/>
        </w:tabs>
        <w:spacing w:after="156" w:afterLines="50" w:line="360" w:lineRule="auto"/>
        <w:ind w:left="567" w:firstLineChars="0"/>
        <w:rPr>
          <w:rFonts w:ascii="华文楷体" w:hAnsi="华文楷体" w:eastAsia="华文楷体"/>
          <w:b/>
          <w:bCs/>
          <w:sz w:val="24"/>
        </w:rPr>
      </w:pPr>
      <w:r>
        <w:rPr>
          <w:rFonts w:hint="eastAsia" w:ascii="华文楷体" w:hAnsi="华文楷体" w:eastAsia="华文楷体"/>
          <w:b/>
          <w:bCs/>
          <w:sz w:val="24"/>
        </w:rPr>
        <w:t>项目组织机构</w:t>
      </w:r>
    </w:p>
    <w:p>
      <w:pPr>
        <w:pStyle w:val="9"/>
        <w:ind w:firstLine="480"/>
      </w:pPr>
      <w:r>
        <w:rPr>
          <w:rFonts w:hint="eastAsia"/>
        </w:rPr>
        <w:t xml:space="preserve">由招标方、中标方双方共同组成项目管理组织机构，成立项目领导小组，实施领导小组下的项目经理负责制，并明确规范所属职责及协调关系。 </w:t>
      </w:r>
    </w:p>
    <w:p>
      <w:pPr>
        <w:pStyle w:val="9"/>
        <w:numPr>
          <w:ilvl w:val="0"/>
          <w:numId w:val="13"/>
        </w:numPr>
        <w:ind w:hanging="534" w:firstLineChars="0"/>
        <w:rPr>
          <w:color w:val="auto"/>
        </w:rPr>
      </w:pPr>
      <w:r>
        <w:rPr>
          <w:rFonts w:hint="eastAsia"/>
        </w:rPr>
        <w:t>投标人应建立专门的</w:t>
      </w:r>
      <w:r>
        <w:rPr>
          <w:rFonts w:hint="eastAsia"/>
          <w:color w:val="auto"/>
        </w:rPr>
        <w:t>项目管理小组和项目执行团队，指定项目负责人和技术负责人，确保项目按时按质进行。</w:t>
      </w:r>
    </w:p>
    <w:p>
      <w:pPr>
        <w:pStyle w:val="9"/>
        <w:ind w:firstLine="480"/>
      </w:pPr>
      <w:r>
        <w:rPr>
          <w:color w:val="auto"/>
        </w:rPr>
        <w:t>2</w:t>
      </w:r>
      <w:r>
        <w:rPr>
          <w:rFonts w:hint="eastAsia"/>
          <w:color w:val="auto"/>
        </w:rPr>
        <w:t>） 投标人应提供实施团队成员名单及技术资质证明，并说</w:t>
      </w:r>
      <w:r>
        <w:rPr>
          <w:rFonts w:hint="eastAsia"/>
        </w:rPr>
        <w:t>明在本项目中的岗位职责和具体任务。</w:t>
      </w:r>
    </w:p>
    <w:p>
      <w:pPr>
        <w:pStyle w:val="8"/>
        <w:numPr>
          <w:ilvl w:val="3"/>
          <w:numId w:val="1"/>
        </w:numPr>
        <w:tabs>
          <w:tab w:val="clear" w:pos="1680"/>
        </w:tabs>
        <w:spacing w:after="156" w:afterLines="50" w:line="360" w:lineRule="auto"/>
        <w:ind w:left="567" w:firstLineChars="0"/>
        <w:rPr>
          <w:rFonts w:ascii="华文楷体" w:hAnsi="华文楷体" w:eastAsia="华文楷体"/>
          <w:b/>
          <w:bCs/>
          <w:sz w:val="24"/>
        </w:rPr>
      </w:pPr>
      <w:r>
        <w:rPr>
          <w:rFonts w:hint="eastAsia" w:ascii="华文楷体" w:hAnsi="华文楷体" w:eastAsia="华文楷体"/>
          <w:b/>
          <w:bCs/>
          <w:sz w:val="24"/>
        </w:rPr>
        <w:t xml:space="preserve">培训 </w:t>
      </w:r>
    </w:p>
    <w:p>
      <w:pPr>
        <w:pStyle w:val="9"/>
        <w:numPr>
          <w:ilvl w:val="0"/>
          <w:numId w:val="24"/>
        </w:numPr>
        <w:ind w:firstLineChars="0"/>
      </w:pPr>
      <w:r>
        <w:rPr>
          <w:rFonts w:hint="eastAsia"/>
        </w:rPr>
        <w:t>投标人应提供培训课程名称、课程大纲及培训人员的基本情况和简介。</w:t>
      </w:r>
    </w:p>
    <w:p>
      <w:pPr>
        <w:pStyle w:val="9"/>
        <w:numPr>
          <w:ilvl w:val="0"/>
          <w:numId w:val="24"/>
        </w:numPr>
        <w:ind w:firstLineChars="0"/>
      </w:pPr>
      <w:r>
        <w:rPr>
          <w:rFonts w:hint="eastAsia"/>
        </w:rPr>
        <w:t>为使合同平台能正常安装和运行，投标方有责任提供相应的培训，培训内容应与项目内容相一致。</w:t>
      </w:r>
    </w:p>
    <w:p>
      <w:pPr>
        <w:pStyle w:val="9"/>
        <w:numPr>
          <w:ilvl w:val="0"/>
          <w:numId w:val="24"/>
        </w:numPr>
        <w:ind w:firstLineChars="0"/>
      </w:pPr>
      <w:r>
        <w:rPr>
          <w:rFonts w:hint="eastAsia"/>
        </w:rPr>
        <w:t>培训的时间、人数、地点等具体内容由招标方及投标方商定。</w:t>
      </w:r>
    </w:p>
    <w:p>
      <w:pPr>
        <w:pStyle w:val="9"/>
        <w:numPr>
          <w:ilvl w:val="0"/>
          <w:numId w:val="24"/>
        </w:numPr>
        <w:ind w:firstLineChars="0"/>
      </w:pPr>
      <w:r>
        <w:rPr>
          <w:rFonts w:hint="eastAsia"/>
        </w:rPr>
        <w:t>投标方为招标方培训人员提供设备、场地、资料等培训条件。</w:t>
      </w:r>
    </w:p>
    <w:p>
      <w:pPr>
        <w:pStyle w:val="9"/>
        <w:numPr>
          <w:ilvl w:val="0"/>
          <w:numId w:val="24"/>
        </w:numPr>
        <w:ind w:firstLineChars="0"/>
      </w:pPr>
      <w:r>
        <w:rPr>
          <w:rFonts w:hint="eastAsia"/>
        </w:rPr>
        <w:t>培训计划和内容由投标方在投标文件中按下列格式列出。</w:t>
      </w:r>
    </w:p>
    <w:tbl>
      <w:tblPr>
        <w:tblStyle w:val="6"/>
        <w:tblW w:w="0" w:type="auto"/>
        <w:tblInd w:w="5" w:type="dxa"/>
        <w:tblLayout w:type="fixed"/>
        <w:tblCellMar>
          <w:top w:w="0" w:type="dxa"/>
          <w:left w:w="0" w:type="dxa"/>
          <w:bottom w:w="0" w:type="dxa"/>
          <w:right w:w="0" w:type="dxa"/>
        </w:tblCellMar>
      </w:tblPr>
      <w:tblGrid>
        <w:gridCol w:w="829"/>
        <w:gridCol w:w="2155"/>
        <w:gridCol w:w="1287"/>
        <w:gridCol w:w="1112"/>
        <w:gridCol w:w="1113"/>
        <w:gridCol w:w="1036"/>
        <w:gridCol w:w="1036"/>
      </w:tblGrid>
      <w:tr>
        <w:tblPrEx>
          <w:tblCellMar>
            <w:top w:w="0" w:type="dxa"/>
            <w:left w:w="0" w:type="dxa"/>
            <w:bottom w:w="0" w:type="dxa"/>
            <w:right w:w="0" w:type="dxa"/>
          </w:tblCellMar>
        </w:tblPrEx>
        <w:trPr>
          <w:trHeight w:val="534" w:hRule="exact"/>
        </w:trPr>
        <w:tc>
          <w:tcPr>
            <w:tcW w:w="829"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lang w:eastAsia="zh-CN"/>
              </w:rPr>
            </w:pPr>
          </w:p>
          <w:p>
            <w:pPr>
              <w:pStyle w:val="10"/>
              <w:ind w:left="169"/>
              <w:rPr>
                <w:rFonts w:ascii="华文楷体" w:hAnsi="华文楷体" w:eastAsia="华文楷体" w:cs="华文楷体"/>
                <w:bCs/>
                <w:sz w:val="24"/>
                <w:szCs w:val="24"/>
              </w:rPr>
            </w:pPr>
            <w:r>
              <w:rPr>
                <w:rFonts w:ascii="华文楷体" w:hAnsi="华文楷体" w:eastAsia="华文楷体" w:cs="华文楷体"/>
                <w:bCs/>
                <w:sz w:val="24"/>
                <w:szCs w:val="24"/>
              </w:rPr>
              <w:t>序号</w:t>
            </w:r>
          </w:p>
        </w:tc>
        <w:tc>
          <w:tcPr>
            <w:tcW w:w="2155"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591"/>
              <w:rPr>
                <w:rFonts w:ascii="华文楷体" w:hAnsi="华文楷体" w:eastAsia="华文楷体" w:cs="华文楷体"/>
                <w:bCs/>
                <w:sz w:val="24"/>
                <w:szCs w:val="24"/>
              </w:rPr>
            </w:pPr>
            <w:r>
              <w:rPr>
                <w:rFonts w:ascii="华文楷体" w:hAnsi="华文楷体" w:eastAsia="华文楷体" w:cs="华文楷体"/>
                <w:bCs/>
                <w:sz w:val="24"/>
                <w:szCs w:val="24"/>
              </w:rPr>
              <w:t>培训内容</w:t>
            </w:r>
          </w:p>
        </w:tc>
        <w:tc>
          <w:tcPr>
            <w:tcW w:w="1287"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38"/>
              <w:rPr>
                <w:rFonts w:ascii="华文楷体" w:hAnsi="华文楷体" w:eastAsia="华文楷体" w:cs="华文楷体"/>
                <w:bCs/>
                <w:sz w:val="24"/>
                <w:szCs w:val="24"/>
              </w:rPr>
            </w:pPr>
            <w:r>
              <w:rPr>
                <w:rFonts w:ascii="华文楷体" w:hAnsi="华文楷体" w:eastAsia="华文楷体" w:cs="华文楷体"/>
                <w:bCs/>
                <w:sz w:val="24"/>
                <w:szCs w:val="24"/>
              </w:rPr>
              <w:t>计划人天数</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left="386"/>
              <w:rPr>
                <w:rFonts w:ascii="华文楷体" w:hAnsi="华文楷体" w:eastAsia="华文楷体" w:cs="华文楷体"/>
                <w:bCs/>
                <w:sz w:val="24"/>
                <w:szCs w:val="24"/>
              </w:rPr>
            </w:pPr>
            <w:r>
              <w:rPr>
                <w:rFonts w:ascii="华文楷体" w:hAnsi="华文楷体" w:eastAsia="华文楷体" w:cs="华文楷体"/>
                <w:bCs/>
                <w:sz w:val="24"/>
                <w:szCs w:val="24"/>
              </w:rPr>
              <w:t>培训教师构成</w:t>
            </w:r>
          </w:p>
        </w:tc>
        <w:tc>
          <w:tcPr>
            <w:tcW w:w="1036"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272"/>
              <w:rPr>
                <w:rFonts w:ascii="华文楷体" w:hAnsi="华文楷体" w:eastAsia="华文楷体" w:cs="华文楷体"/>
                <w:bCs/>
                <w:sz w:val="24"/>
                <w:szCs w:val="24"/>
              </w:rPr>
            </w:pPr>
            <w:r>
              <w:rPr>
                <w:rFonts w:ascii="华文楷体" w:hAnsi="华文楷体" w:eastAsia="华文楷体" w:cs="华文楷体"/>
                <w:bCs/>
                <w:sz w:val="24"/>
                <w:szCs w:val="24"/>
              </w:rPr>
              <w:t>地点</w:t>
            </w:r>
          </w:p>
        </w:tc>
        <w:tc>
          <w:tcPr>
            <w:tcW w:w="1036" w:type="dxa"/>
            <w:vMerge w:val="restart"/>
            <w:tcBorders>
              <w:top w:val="single" w:color="000000" w:sz="4" w:space="0"/>
              <w:left w:val="single" w:color="000000" w:sz="4" w:space="0"/>
              <w:right w:val="single" w:color="000000" w:sz="4" w:space="0"/>
            </w:tcBorders>
            <w:shd w:val="clear" w:color="auto" w:fill="auto"/>
          </w:tcPr>
          <w:p>
            <w:pPr>
              <w:pStyle w:val="10"/>
              <w:spacing w:before="3"/>
              <w:rPr>
                <w:rFonts w:ascii="华文楷体" w:hAnsi="华文楷体" w:eastAsia="华文楷体" w:cs="华文楷体"/>
                <w:bCs/>
                <w:sz w:val="15"/>
                <w:szCs w:val="15"/>
              </w:rPr>
            </w:pPr>
          </w:p>
          <w:p>
            <w:pPr>
              <w:pStyle w:val="10"/>
              <w:ind w:left="272"/>
              <w:rPr>
                <w:rFonts w:ascii="华文楷体" w:hAnsi="华文楷体" w:eastAsia="华文楷体" w:cs="华文楷体"/>
                <w:bCs/>
                <w:sz w:val="24"/>
                <w:szCs w:val="24"/>
              </w:rPr>
            </w:pPr>
            <w:r>
              <w:rPr>
                <w:rFonts w:ascii="华文楷体" w:hAnsi="华文楷体" w:eastAsia="华文楷体" w:cs="华文楷体"/>
                <w:bCs/>
                <w:sz w:val="24"/>
                <w:szCs w:val="24"/>
              </w:rPr>
              <w:t>备注</w:t>
            </w:r>
          </w:p>
        </w:tc>
      </w:tr>
      <w:tr>
        <w:tblPrEx>
          <w:tblCellMar>
            <w:top w:w="0" w:type="dxa"/>
            <w:left w:w="0" w:type="dxa"/>
            <w:bottom w:w="0" w:type="dxa"/>
            <w:right w:w="0" w:type="dxa"/>
          </w:tblCellMar>
        </w:tblPrEx>
        <w:trPr>
          <w:trHeight w:val="534" w:hRule="exact"/>
        </w:trPr>
        <w:tc>
          <w:tcPr>
            <w:tcW w:w="829"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2155"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287"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left="310"/>
              <w:rPr>
                <w:rFonts w:ascii="华文楷体" w:hAnsi="华文楷体" w:eastAsia="华文楷体" w:cs="华文楷体"/>
                <w:bCs/>
                <w:sz w:val="24"/>
                <w:szCs w:val="24"/>
              </w:rPr>
            </w:pPr>
            <w:r>
              <w:rPr>
                <w:rFonts w:ascii="华文楷体" w:hAnsi="华文楷体" w:eastAsia="华文楷体" w:cs="华文楷体"/>
                <w:bCs/>
                <w:sz w:val="24"/>
                <w:szCs w:val="24"/>
              </w:rPr>
              <w:t>职称</w:t>
            </w:r>
          </w:p>
        </w:tc>
        <w:tc>
          <w:tcPr>
            <w:tcW w:w="1113"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left="310"/>
              <w:rPr>
                <w:rFonts w:ascii="华文楷体" w:hAnsi="华文楷体" w:eastAsia="华文楷体" w:cs="华文楷体"/>
                <w:bCs/>
                <w:sz w:val="24"/>
                <w:szCs w:val="24"/>
              </w:rPr>
            </w:pPr>
            <w:r>
              <w:rPr>
                <w:rFonts w:ascii="华文楷体" w:hAnsi="华文楷体" w:eastAsia="华文楷体" w:cs="华文楷体"/>
                <w:bCs/>
                <w:sz w:val="24"/>
                <w:szCs w:val="24"/>
              </w:rPr>
              <w:t>人数</w:t>
            </w:r>
          </w:p>
        </w:tc>
        <w:tc>
          <w:tcPr>
            <w:tcW w:w="1036"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vMerge w:val="continue"/>
            <w:tcBorders>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r>
      <w:tr>
        <w:tblPrEx>
          <w:tblCellMar>
            <w:top w:w="0" w:type="dxa"/>
            <w:left w:w="0" w:type="dxa"/>
            <w:bottom w:w="0" w:type="dxa"/>
            <w:right w:w="0" w:type="dxa"/>
          </w:tblCellMar>
        </w:tblPrEx>
        <w:trPr>
          <w:trHeight w:val="534"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7" w:lineRule="exact"/>
              <w:ind w:right="1"/>
              <w:jc w:val="center"/>
              <w:rPr>
                <w:rFonts w:ascii="华文楷体" w:hAnsi="华文楷体" w:eastAsia="华文楷体" w:cs="华文楷体"/>
                <w:bCs/>
                <w:sz w:val="24"/>
                <w:szCs w:val="24"/>
              </w:rPr>
            </w:pPr>
            <w:r>
              <w:rPr>
                <w:rFonts w:ascii="华文楷体"/>
                <w:bCs/>
                <w:w w:val="99"/>
                <w:sz w:val="24"/>
              </w:rPr>
              <w:t>1</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r>
      <w:tr>
        <w:tblPrEx>
          <w:tblCellMar>
            <w:top w:w="0" w:type="dxa"/>
            <w:left w:w="0" w:type="dxa"/>
            <w:bottom w:w="0" w:type="dxa"/>
            <w:right w:w="0" w:type="dxa"/>
          </w:tblCellMar>
        </w:tblPrEx>
        <w:trPr>
          <w:trHeight w:val="536" w:hRule="exact"/>
        </w:trPr>
        <w:tc>
          <w:tcPr>
            <w:tcW w:w="829" w:type="dxa"/>
            <w:tcBorders>
              <w:top w:val="single" w:color="000000" w:sz="4" w:space="0"/>
              <w:left w:val="single" w:color="000000" w:sz="4" w:space="0"/>
              <w:bottom w:val="single" w:color="000000" w:sz="4" w:space="0"/>
              <w:right w:val="single" w:color="000000" w:sz="4" w:space="0"/>
            </w:tcBorders>
            <w:shd w:val="clear" w:color="auto" w:fill="auto"/>
          </w:tcPr>
          <w:p>
            <w:pPr>
              <w:pStyle w:val="10"/>
              <w:spacing w:line="308" w:lineRule="exact"/>
              <w:ind w:right="1"/>
              <w:jc w:val="center"/>
              <w:rPr>
                <w:rFonts w:ascii="华文楷体" w:hAnsi="华文楷体" w:eastAsia="华文楷体" w:cs="华文楷体"/>
                <w:bCs/>
                <w:sz w:val="24"/>
                <w:szCs w:val="24"/>
              </w:rPr>
            </w:pPr>
            <w:r>
              <w:rPr>
                <w:rFonts w:ascii="华文楷体"/>
                <w:bCs/>
                <w:w w:val="99"/>
                <w:sz w:val="24"/>
              </w:rPr>
              <w:t>2</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bCs/>
                <w:sz w:val="22"/>
                <w:szCs w:val="22"/>
              </w:rPr>
            </w:pPr>
          </w:p>
        </w:tc>
      </w:tr>
    </w:tbl>
    <w:p>
      <w:pPr>
        <w:pStyle w:val="9"/>
        <w:ind w:firstLine="480"/>
      </w:pPr>
    </w:p>
    <w:p>
      <w:pPr>
        <w:pStyle w:val="8"/>
        <w:numPr>
          <w:ilvl w:val="2"/>
          <w:numId w:val="15"/>
        </w:numPr>
        <w:tabs>
          <w:tab w:val="left" w:pos="360"/>
        </w:tabs>
        <w:snapToGrid w:val="0"/>
        <w:spacing w:line="360" w:lineRule="auto"/>
        <w:ind w:left="851" w:firstLineChars="0"/>
        <w:outlineLvl w:val="0"/>
        <w:rPr>
          <w:rFonts w:ascii="宋体" w:hAnsi="宋体" w:cs="宋体"/>
          <w:b/>
          <w:sz w:val="24"/>
        </w:rPr>
      </w:pPr>
      <w:r>
        <w:rPr>
          <w:rFonts w:hint="eastAsia" w:ascii="宋体" w:hAnsi="宋体" w:cs="宋体"/>
          <w:b/>
          <w:sz w:val="24"/>
        </w:rPr>
        <w:t>售后服务承诺</w:t>
      </w:r>
    </w:p>
    <w:p>
      <w:pPr>
        <w:pStyle w:val="9"/>
        <w:ind w:firstLine="480"/>
      </w:pPr>
      <w:r>
        <w:rPr>
          <w:rFonts w:hint="eastAsia"/>
        </w:rPr>
        <w:t>技术支持力量和优良的服务是系统正常、安全运行的保障。投标方应据此制定系统详细的售后服务方案。投标人须作出无推诿承诺，即投标人应提供特殊措施，无论由于哪一方产生的问题而使系统发生不正常情况时，并在得到招标方通知后，须立即派投标产品的维护工程师到场，全力协助系统集成商和其它供应商，使系统尽快恢复正常。</w:t>
      </w:r>
    </w:p>
    <w:p>
      <w:pPr>
        <w:pStyle w:val="9"/>
        <w:ind w:firstLine="480"/>
      </w:pPr>
      <w:r>
        <w:rPr>
          <w:rFonts w:hint="eastAsia"/>
        </w:rPr>
        <w:t xml:space="preserve">投标方应至少提供以下两种服务支持并明确服务响应时间： </w:t>
      </w:r>
    </w:p>
    <w:p>
      <w:pPr>
        <w:pStyle w:val="9"/>
        <w:ind w:firstLine="480"/>
      </w:pPr>
      <w:r>
        <w:rPr>
          <w:rFonts w:hint="eastAsia"/>
        </w:rPr>
        <w:t>1)</w:t>
      </w:r>
      <w:r>
        <w:rPr>
          <w:rFonts w:hint="eastAsia"/>
        </w:rPr>
        <w:tab/>
      </w:r>
      <w:r>
        <w:rPr>
          <w:rFonts w:hint="eastAsia"/>
        </w:rPr>
        <w:t xml:space="preserve">远程服务：投标方在软件使用过程中遇到的技术问题，投标方应负责提供远程技术支持，如电话、电子邮件、微信、QQ等方式给与技术支持及咨询与服务。 </w:t>
      </w:r>
    </w:p>
    <w:p>
      <w:pPr>
        <w:pStyle w:val="9"/>
        <w:ind w:firstLine="480"/>
      </w:pPr>
      <w:r>
        <w:rPr>
          <w:rFonts w:hint="eastAsia"/>
        </w:rPr>
        <w:t>2)</w:t>
      </w:r>
      <w:r>
        <w:rPr>
          <w:rFonts w:hint="eastAsia"/>
        </w:rPr>
        <w:tab/>
      </w:r>
      <w:r>
        <w:rPr>
          <w:rFonts w:hint="eastAsia"/>
        </w:rPr>
        <w:t xml:space="preserve">上门服务：对于远程技术支持，如电话、电子邮件、微信、QQ等方式无法解决的使用问题，在招标方提出上门服务需求起 </w:t>
      </w:r>
      <w:r>
        <w:t>48</w:t>
      </w:r>
      <w:r>
        <w:rPr>
          <w:rFonts w:hint="eastAsia"/>
        </w:rPr>
        <w:t xml:space="preserve"> 小时内，投标方指派专门人员抵达现场解决。投标方应根据自身实际情况及上述要求提供售后服务方案，作为评标方的评分资料之一。</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378A2"/>
    <w:multiLevelType w:val="multilevel"/>
    <w:tmpl w:val="006378A2"/>
    <w:lvl w:ilvl="0" w:tentative="0">
      <w:start w:val="1"/>
      <w:numFmt w:val="decimal"/>
      <w:lvlText w:val="%1."/>
      <w:lvlJc w:val="left"/>
      <w:pPr>
        <w:tabs>
          <w:tab w:val="left" w:pos="1896"/>
        </w:tabs>
        <w:ind w:left="1896" w:hanging="396"/>
      </w:pPr>
      <w:rPr>
        <w:rFonts w:hint="eastAsia"/>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96177F7"/>
    <w:multiLevelType w:val="multilevel"/>
    <w:tmpl w:val="096177F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5790692"/>
    <w:multiLevelType w:val="multilevel"/>
    <w:tmpl w:val="15790692"/>
    <w:lvl w:ilvl="0" w:tentative="0">
      <w:start w:val="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C050FFC"/>
    <w:multiLevelType w:val="multilevel"/>
    <w:tmpl w:val="1C050FFC"/>
    <w:lvl w:ilvl="0" w:tentative="0">
      <w:start w:val="1"/>
      <w:numFmt w:val="decimal"/>
      <w:suff w:val="space"/>
      <w:lvlText w:val="%1）"/>
      <w:lvlJc w:val="left"/>
      <w:pPr>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203F4C17"/>
    <w:multiLevelType w:val="multilevel"/>
    <w:tmpl w:val="203F4C17"/>
    <w:lvl w:ilvl="0" w:tentative="0">
      <w:start w:val="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A385E9A"/>
    <w:multiLevelType w:val="multilevel"/>
    <w:tmpl w:val="2A385E9A"/>
    <w:lvl w:ilvl="0" w:tentative="0">
      <w:start w:val="1"/>
      <w:numFmt w:val="decimal"/>
      <w:lvlText w:val="%1."/>
      <w:lvlJc w:val="left"/>
      <w:pPr>
        <w:tabs>
          <w:tab w:val="left" w:pos="1896"/>
        </w:tabs>
        <w:ind w:left="1896" w:hanging="396"/>
      </w:pPr>
      <w:rPr>
        <w:rFonts w:hint="eastAsia"/>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2191917"/>
    <w:multiLevelType w:val="multilevel"/>
    <w:tmpl w:val="32191917"/>
    <w:lvl w:ilvl="0" w:tentative="0">
      <w:start w:val="1"/>
      <w:numFmt w:val="decimal"/>
      <w:lvlText w:val="%1）"/>
      <w:lvlJc w:val="left"/>
      <w:pPr>
        <w:ind w:left="933" w:hanging="360"/>
      </w:pPr>
      <w:rPr>
        <w:rFonts w:hint="default"/>
      </w:r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abstractNum w:abstractNumId="7">
    <w:nsid w:val="340D02CF"/>
    <w:multiLevelType w:val="multilevel"/>
    <w:tmpl w:val="340D02CF"/>
    <w:lvl w:ilvl="0" w:tentative="0">
      <w:start w:val="3"/>
      <w:numFmt w:val="decimal"/>
      <w:lvlText w:val="%1"/>
      <w:lvlJc w:val="left"/>
      <w:pPr>
        <w:ind w:left="360" w:hanging="360"/>
      </w:pPr>
      <w:rPr>
        <w:rFonts w:hint="default"/>
      </w:rPr>
    </w:lvl>
    <w:lvl w:ilvl="1" w:tentative="0">
      <w:start w:val="1"/>
      <w:numFmt w:val="decimal"/>
      <w:lvlText w:val="%1.%2"/>
      <w:lvlJc w:val="left"/>
      <w:pPr>
        <w:ind w:left="502" w:hanging="36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146" w:hanging="720"/>
      </w:pPr>
      <w:rPr>
        <w:rFonts w:hint="default"/>
      </w:rPr>
    </w:lvl>
    <w:lvl w:ilvl="4" w:tentative="0">
      <w:start w:val="1"/>
      <w:numFmt w:val="decimal"/>
      <w:lvlText w:val="%1.%2.%3.%4.%5"/>
      <w:lvlJc w:val="left"/>
      <w:pPr>
        <w:ind w:left="1648" w:hanging="1080"/>
      </w:pPr>
      <w:rPr>
        <w:rFonts w:hint="default"/>
      </w:rPr>
    </w:lvl>
    <w:lvl w:ilvl="5" w:tentative="0">
      <w:start w:val="1"/>
      <w:numFmt w:val="decimal"/>
      <w:lvlText w:val="%1.%2.%3.%4.%5.%6"/>
      <w:lvlJc w:val="left"/>
      <w:pPr>
        <w:ind w:left="1790" w:hanging="1080"/>
      </w:pPr>
      <w:rPr>
        <w:rFonts w:hint="default"/>
      </w:rPr>
    </w:lvl>
    <w:lvl w:ilvl="6" w:tentative="0">
      <w:start w:val="1"/>
      <w:numFmt w:val="decimal"/>
      <w:lvlText w:val="%1.%2.%3.%4.%5.%6.%7"/>
      <w:lvlJc w:val="left"/>
      <w:pPr>
        <w:ind w:left="2292" w:hanging="1440"/>
      </w:pPr>
      <w:rPr>
        <w:rFonts w:hint="default"/>
      </w:rPr>
    </w:lvl>
    <w:lvl w:ilvl="7" w:tentative="0">
      <w:start w:val="1"/>
      <w:numFmt w:val="decimal"/>
      <w:lvlText w:val="%1.%2.%3.%4.%5.%6.%7.%8"/>
      <w:lvlJc w:val="left"/>
      <w:pPr>
        <w:ind w:left="2434" w:hanging="1440"/>
      </w:pPr>
      <w:rPr>
        <w:rFonts w:hint="default"/>
      </w:rPr>
    </w:lvl>
    <w:lvl w:ilvl="8" w:tentative="0">
      <w:start w:val="1"/>
      <w:numFmt w:val="decimal"/>
      <w:lvlText w:val="%1.%2.%3.%4.%5.%6.%7.%8.%9"/>
      <w:lvlJc w:val="left"/>
      <w:pPr>
        <w:ind w:left="2936" w:hanging="1800"/>
      </w:pPr>
      <w:rPr>
        <w:rFonts w:hint="default"/>
      </w:rPr>
    </w:lvl>
  </w:abstractNum>
  <w:abstractNum w:abstractNumId="8">
    <w:nsid w:val="3CE71BD7"/>
    <w:multiLevelType w:val="multilevel"/>
    <w:tmpl w:val="3CE71BD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FDC21A8"/>
    <w:multiLevelType w:val="multilevel"/>
    <w:tmpl w:val="3FDC21A8"/>
    <w:lvl w:ilvl="0" w:tentative="0">
      <w:start w:val="1"/>
      <w:numFmt w:val="decimal"/>
      <w:lvlText w:val="%1."/>
      <w:lvlJc w:val="left"/>
      <w:pPr>
        <w:tabs>
          <w:tab w:val="left" w:pos="1896"/>
        </w:tabs>
        <w:ind w:left="1896" w:hanging="396"/>
      </w:pPr>
      <w:rPr>
        <w:rFonts w:hint="eastAsia"/>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FEB6E77"/>
    <w:multiLevelType w:val="multilevel"/>
    <w:tmpl w:val="3FEB6E77"/>
    <w:lvl w:ilvl="0" w:tentative="0">
      <w:start w:val="1"/>
      <w:numFmt w:val="decimal"/>
      <w:lvlText w:val="%1"/>
      <w:lvlJc w:val="left"/>
      <w:pPr>
        <w:ind w:left="360" w:hanging="360"/>
      </w:pPr>
      <w:rPr>
        <w:rFonts w:hint="default"/>
      </w:rPr>
    </w:lvl>
    <w:lvl w:ilvl="1" w:tentative="0">
      <w:start w:val="1"/>
      <w:numFmt w:val="decimal"/>
      <w:lvlText w:val="%1.%2"/>
      <w:lvlJc w:val="left"/>
      <w:pPr>
        <w:ind w:left="560" w:hanging="360"/>
      </w:pPr>
      <w:rPr>
        <w:rFonts w:hint="default"/>
      </w:rPr>
    </w:lvl>
    <w:lvl w:ilvl="2" w:tentative="0">
      <w:start w:val="1"/>
      <w:numFmt w:val="decimal"/>
      <w:lvlText w:val="%1.%2.%3"/>
      <w:lvlJc w:val="left"/>
      <w:pPr>
        <w:ind w:left="1120" w:hanging="720"/>
      </w:pPr>
      <w:rPr>
        <w:rFonts w:hint="default"/>
      </w:rPr>
    </w:lvl>
    <w:lvl w:ilvl="3" w:tentative="0">
      <w:start w:val="1"/>
      <w:numFmt w:val="decimal"/>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640" w:hanging="144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400" w:hanging="1800"/>
      </w:pPr>
      <w:rPr>
        <w:rFonts w:hint="default"/>
      </w:rPr>
    </w:lvl>
  </w:abstractNum>
  <w:abstractNum w:abstractNumId="11">
    <w:nsid w:val="4E0979C2"/>
    <w:multiLevelType w:val="multilevel"/>
    <w:tmpl w:val="4E0979C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F832021"/>
    <w:multiLevelType w:val="multilevel"/>
    <w:tmpl w:val="4F832021"/>
    <w:lvl w:ilvl="0" w:tentative="0">
      <w:start w:val="1"/>
      <w:numFmt w:val="decimal"/>
      <w:lvlText w:val="(%1)"/>
      <w:lvlJc w:val="left"/>
      <w:pPr>
        <w:ind w:left="1017" w:hanging="420"/>
      </w:pPr>
      <w:rPr>
        <w:rFonts w:hint="eastAsia"/>
      </w:rPr>
    </w:lvl>
    <w:lvl w:ilvl="1" w:tentative="0">
      <w:start w:val="1"/>
      <w:numFmt w:val="lowerLetter"/>
      <w:lvlText w:val="%2)"/>
      <w:lvlJc w:val="left"/>
      <w:pPr>
        <w:ind w:left="1437" w:hanging="420"/>
      </w:pPr>
    </w:lvl>
    <w:lvl w:ilvl="2" w:tentative="0">
      <w:start w:val="1"/>
      <w:numFmt w:val="lowerRoman"/>
      <w:lvlText w:val="%3."/>
      <w:lvlJc w:val="right"/>
      <w:pPr>
        <w:ind w:left="1857" w:hanging="420"/>
      </w:pPr>
    </w:lvl>
    <w:lvl w:ilvl="3" w:tentative="0">
      <w:start w:val="1"/>
      <w:numFmt w:val="decimal"/>
      <w:lvlText w:val="%4."/>
      <w:lvlJc w:val="left"/>
      <w:pPr>
        <w:ind w:left="2277" w:hanging="420"/>
      </w:pPr>
    </w:lvl>
    <w:lvl w:ilvl="4" w:tentative="0">
      <w:start w:val="1"/>
      <w:numFmt w:val="lowerLetter"/>
      <w:lvlText w:val="%5)"/>
      <w:lvlJc w:val="left"/>
      <w:pPr>
        <w:ind w:left="2697" w:hanging="420"/>
      </w:pPr>
    </w:lvl>
    <w:lvl w:ilvl="5" w:tentative="0">
      <w:start w:val="1"/>
      <w:numFmt w:val="lowerRoman"/>
      <w:lvlText w:val="%6."/>
      <w:lvlJc w:val="right"/>
      <w:pPr>
        <w:ind w:left="3117" w:hanging="420"/>
      </w:pPr>
    </w:lvl>
    <w:lvl w:ilvl="6" w:tentative="0">
      <w:start w:val="1"/>
      <w:numFmt w:val="decimal"/>
      <w:lvlText w:val="%7."/>
      <w:lvlJc w:val="left"/>
      <w:pPr>
        <w:ind w:left="3537" w:hanging="420"/>
      </w:pPr>
    </w:lvl>
    <w:lvl w:ilvl="7" w:tentative="0">
      <w:start w:val="1"/>
      <w:numFmt w:val="lowerLetter"/>
      <w:lvlText w:val="%8)"/>
      <w:lvlJc w:val="left"/>
      <w:pPr>
        <w:ind w:left="3957" w:hanging="420"/>
      </w:pPr>
    </w:lvl>
    <w:lvl w:ilvl="8" w:tentative="0">
      <w:start w:val="1"/>
      <w:numFmt w:val="lowerRoman"/>
      <w:lvlText w:val="%9."/>
      <w:lvlJc w:val="right"/>
      <w:pPr>
        <w:ind w:left="4377" w:hanging="420"/>
      </w:pPr>
    </w:lvl>
  </w:abstractNum>
  <w:abstractNum w:abstractNumId="13">
    <w:nsid w:val="4FE0793D"/>
    <w:multiLevelType w:val="multilevel"/>
    <w:tmpl w:val="4FE0793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B8D7AC7"/>
    <w:multiLevelType w:val="multilevel"/>
    <w:tmpl w:val="5B8D7A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DE15015"/>
    <w:multiLevelType w:val="multilevel"/>
    <w:tmpl w:val="5DE15015"/>
    <w:lvl w:ilvl="0" w:tentative="0">
      <w:start w:val="1"/>
      <w:numFmt w:val="decimal"/>
      <w:suff w:val="space"/>
      <w:lvlText w:val="%1）"/>
      <w:lvlJc w:val="left"/>
      <w:pPr>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5EE83DDB"/>
    <w:multiLevelType w:val="multilevel"/>
    <w:tmpl w:val="5EE83DDB"/>
    <w:lvl w:ilvl="0" w:tentative="0">
      <w:start w:val="1"/>
      <w:numFmt w:val="decimal"/>
      <w:lvlText w:val="%1."/>
      <w:lvlJc w:val="left"/>
      <w:pPr>
        <w:tabs>
          <w:tab w:val="left" w:pos="1896"/>
        </w:tabs>
        <w:ind w:left="1896" w:hanging="396"/>
      </w:pPr>
      <w:rPr>
        <w:rFonts w:hint="eastAsia"/>
        <w:b w:val="0"/>
        <w:i w:val="0"/>
        <w:color w:val="auto"/>
      </w:rPr>
    </w:lvl>
    <w:lvl w:ilvl="1" w:tentative="0">
      <w:start w:val="1"/>
      <w:numFmt w:val="decimal"/>
      <w:suff w:val="space"/>
      <w:lvlText w:val="(%2)"/>
      <w:lvlJc w:val="left"/>
      <w:pPr>
        <w:ind w:left="1935" w:hanging="1515"/>
      </w:pPr>
      <w:rPr>
        <w:rFonts w:hint="eastAsia"/>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615F3E06"/>
    <w:multiLevelType w:val="multilevel"/>
    <w:tmpl w:val="615F3E06"/>
    <w:lvl w:ilvl="0" w:tentative="0">
      <w:start w:val="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8F84946"/>
    <w:multiLevelType w:val="multilevel"/>
    <w:tmpl w:val="68F84946"/>
    <w:lvl w:ilvl="0" w:tentative="0">
      <w:start w:val="1"/>
      <w:numFmt w:val="decimal"/>
      <w:lvlText w:val="%1."/>
      <w:lvlJc w:val="left"/>
      <w:pPr>
        <w:tabs>
          <w:tab w:val="left" w:pos="1896"/>
        </w:tabs>
        <w:ind w:left="1896" w:hanging="396"/>
      </w:pPr>
      <w:rPr>
        <w:rFonts w:hint="eastAsia"/>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C6A754B"/>
    <w:multiLevelType w:val="multilevel"/>
    <w:tmpl w:val="6C6A754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E394C65"/>
    <w:multiLevelType w:val="multilevel"/>
    <w:tmpl w:val="6E394C65"/>
    <w:lvl w:ilvl="0" w:tentative="0">
      <w:start w:val="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EF326BD"/>
    <w:multiLevelType w:val="multilevel"/>
    <w:tmpl w:val="6EF326BD"/>
    <w:lvl w:ilvl="0" w:tentative="0">
      <w:start w:val="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D341A2C"/>
    <w:multiLevelType w:val="multilevel"/>
    <w:tmpl w:val="7D341A2C"/>
    <w:lvl w:ilvl="0" w:tentative="0">
      <w:start w:val="1"/>
      <w:numFmt w:val="decimal"/>
      <w:lvlText w:val="%1"/>
      <w:lvlJc w:val="left"/>
      <w:pPr>
        <w:ind w:left="420" w:hanging="420"/>
      </w:pPr>
      <w:rPr>
        <w:rFonts w:hint="default"/>
      </w:rPr>
    </w:lvl>
    <w:lvl w:ilvl="1" w:tentative="0">
      <w:start w:val="1"/>
      <w:numFmt w:val="decimal"/>
      <w:lvlText w:val="%1.%2"/>
      <w:lvlJc w:val="left"/>
      <w:pPr>
        <w:ind w:left="567" w:hanging="420"/>
      </w:pPr>
      <w:rPr>
        <w:rFonts w:hint="default"/>
      </w:rPr>
    </w:lvl>
    <w:lvl w:ilvl="2" w:tentative="0">
      <w:start w:val="1"/>
      <w:numFmt w:val="decimal"/>
      <w:lvlText w:val="%1.%2.%3"/>
      <w:lvlJc w:val="left"/>
      <w:pPr>
        <w:ind w:left="1014" w:hanging="720"/>
      </w:pPr>
      <w:rPr>
        <w:rFonts w:hint="default"/>
      </w:rPr>
    </w:lvl>
    <w:lvl w:ilvl="3" w:tentative="0">
      <w:start w:val="1"/>
      <w:numFmt w:val="decimal"/>
      <w:lvlText w:val="%1.%2.%3.%4"/>
      <w:lvlJc w:val="left"/>
      <w:pPr>
        <w:ind w:left="1161" w:hanging="720"/>
      </w:pPr>
      <w:rPr>
        <w:rFonts w:hint="default"/>
      </w:rPr>
    </w:lvl>
    <w:lvl w:ilvl="4" w:tentative="0">
      <w:start w:val="1"/>
      <w:numFmt w:val="decimal"/>
      <w:lvlText w:val="%1.%2.%3.%4.%5"/>
      <w:lvlJc w:val="left"/>
      <w:pPr>
        <w:ind w:left="1668" w:hanging="1080"/>
      </w:pPr>
      <w:rPr>
        <w:rFonts w:hint="default"/>
      </w:rPr>
    </w:lvl>
    <w:lvl w:ilvl="5" w:tentative="0">
      <w:start w:val="1"/>
      <w:numFmt w:val="decimal"/>
      <w:lvlText w:val="%1.%2.%3.%4.%5.%6"/>
      <w:lvlJc w:val="left"/>
      <w:pPr>
        <w:ind w:left="1815" w:hanging="1080"/>
      </w:pPr>
      <w:rPr>
        <w:rFonts w:hint="default"/>
      </w:rPr>
    </w:lvl>
    <w:lvl w:ilvl="6" w:tentative="0">
      <w:start w:val="1"/>
      <w:numFmt w:val="decimal"/>
      <w:lvlText w:val="%1.%2.%3.%4.%5.%6.%7"/>
      <w:lvlJc w:val="left"/>
      <w:pPr>
        <w:ind w:left="2322" w:hanging="1440"/>
      </w:pPr>
      <w:rPr>
        <w:rFonts w:hint="default"/>
      </w:rPr>
    </w:lvl>
    <w:lvl w:ilvl="7" w:tentative="0">
      <w:start w:val="1"/>
      <w:numFmt w:val="decimal"/>
      <w:lvlText w:val="%1.%2.%3.%4.%5.%6.%7.%8"/>
      <w:lvlJc w:val="left"/>
      <w:pPr>
        <w:ind w:left="2469" w:hanging="1440"/>
      </w:pPr>
      <w:rPr>
        <w:rFonts w:hint="default"/>
      </w:rPr>
    </w:lvl>
    <w:lvl w:ilvl="8" w:tentative="0">
      <w:start w:val="1"/>
      <w:numFmt w:val="decimal"/>
      <w:lvlText w:val="%1.%2.%3.%4.%5.%6.%7.%8.%9"/>
      <w:lvlJc w:val="left"/>
      <w:pPr>
        <w:ind w:left="2976" w:hanging="1800"/>
      </w:pPr>
      <w:rPr>
        <w:rFonts w:hint="default"/>
      </w:rPr>
    </w:lvl>
  </w:abstractNum>
  <w:abstractNum w:abstractNumId="23">
    <w:nsid w:val="7F175B28"/>
    <w:multiLevelType w:val="multilevel"/>
    <w:tmpl w:val="7F175B2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8"/>
  </w:num>
  <w:num w:numId="2">
    <w:abstractNumId w:val="10"/>
  </w:num>
  <w:num w:numId="3">
    <w:abstractNumId w:val="13"/>
  </w:num>
  <w:num w:numId="4">
    <w:abstractNumId w:val="6"/>
  </w:num>
  <w:num w:numId="5">
    <w:abstractNumId w:val="22"/>
  </w:num>
  <w:num w:numId="6">
    <w:abstractNumId w:val="19"/>
  </w:num>
  <w:num w:numId="7">
    <w:abstractNumId w:val="7"/>
  </w:num>
  <w:num w:numId="8">
    <w:abstractNumId w:val="8"/>
  </w:num>
  <w:num w:numId="9">
    <w:abstractNumId w:val="21"/>
  </w:num>
  <w:num w:numId="10">
    <w:abstractNumId w:val="15"/>
  </w:num>
  <w:num w:numId="11">
    <w:abstractNumId w:val="5"/>
  </w:num>
  <w:num w:numId="12">
    <w:abstractNumId w:val="2"/>
  </w:num>
  <w:num w:numId="13">
    <w:abstractNumId w:val="17"/>
  </w:num>
  <w:num w:numId="14">
    <w:abstractNumId w:val="20"/>
  </w:num>
  <w:num w:numId="15">
    <w:abstractNumId w:val="0"/>
  </w:num>
  <w:num w:numId="16">
    <w:abstractNumId w:val="9"/>
  </w:num>
  <w:num w:numId="17">
    <w:abstractNumId w:val="14"/>
  </w:num>
  <w:num w:numId="18">
    <w:abstractNumId w:val="1"/>
  </w:num>
  <w:num w:numId="19">
    <w:abstractNumId w:val="16"/>
  </w:num>
  <w:num w:numId="20">
    <w:abstractNumId w:val="23"/>
  </w:num>
  <w:num w:numId="21">
    <w:abstractNumId w:val="12"/>
  </w:num>
  <w:num w:numId="22">
    <w:abstractNumId w:val="1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199D1E99"/>
    <w:rsid w:val="199D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uiPriority w:val="0"/>
    <w:pPr>
      <w:autoSpaceDE w:val="0"/>
      <w:autoSpaceDN w:val="0"/>
      <w:adjustRightInd w:val="0"/>
      <w:ind w:firstLine="420"/>
      <w:jc w:val="left"/>
    </w:pPr>
    <w:rPr>
      <w:rFonts w:ascii="宋体"/>
      <w:kern w:val="0"/>
      <w:sz w:val="24"/>
      <w:szCs w:val="20"/>
    </w:r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报告正文"/>
    <w:basedOn w:val="1"/>
    <w:qFormat/>
    <w:uiPriority w:val="0"/>
    <w:pPr>
      <w:autoSpaceDE w:val="0"/>
      <w:autoSpaceDN w:val="0"/>
      <w:spacing w:before="120" w:after="120" w:line="360" w:lineRule="auto"/>
      <w:ind w:firstLine="200" w:firstLineChars="200"/>
    </w:pPr>
    <w:rPr>
      <w:rFonts w:eastAsia="仿宋" w:cs="宋体"/>
      <w:snapToGrid w:val="0"/>
      <w:color w:val="000000"/>
      <w:sz w:val="24"/>
      <w:szCs w:val="20"/>
    </w:rPr>
  </w:style>
  <w:style w:type="paragraph" w:customStyle="1" w:styleId="10">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2022-08-17T07:00:00Z</dcterms:created>
  <dc:creator>Robin</dc:creator>
  <cp:lastModifiedBy>Robin</cp:lastModifiedBy>
  <dcterms:modified xsi:type="dcterms:W3CDTF">2022-08-17T07:01:18Z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B35F354AD7F9477A92F7E3419760AF7C</vt:lpwstr>
  </property>
</Properties>
</file>