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rPr>
      </w:pPr>
      <w:bookmarkStart w:id="0" w:name="_GoBack"/>
      <w:r>
        <w:rPr>
          <w:rFonts w:hint="eastAsia" w:ascii="黑体" w:hAnsi="黑体" w:eastAsia="黑体"/>
          <w:sz w:val="28"/>
        </w:rPr>
        <w:t>采购清单</w:t>
      </w:r>
    </w:p>
    <w:bookmarkEnd w:id="0"/>
    <w:tbl>
      <w:tblPr>
        <w:tblStyle w:val="3"/>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560"/>
        <w:gridCol w:w="4740"/>
        <w:gridCol w:w="70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shd w:val="clear" w:color="auto" w:fill="auto"/>
            <w:noWrap/>
            <w:vAlign w:val="center"/>
          </w:tcPr>
          <w:p>
            <w:pPr>
              <w:adjustRightInd/>
              <w:snapToGrid/>
              <w:spacing w:after="0"/>
              <w:jc w:val="center"/>
              <w:rPr>
                <w:rFonts w:cs="宋体" w:asciiTheme="minorEastAsia" w:hAnsiTheme="minorEastAsia" w:eastAsiaTheme="minorEastAsia"/>
                <w:b/>
                <w:bCs/>
                <w:color w:val="000000"/>
                <w:sz w:val="24"/>
                <w:szCs w:val="28"/>
              </w:rPr>
            </w:pPr>
            <w:r>
              <w:rPr>
                <w:rFonts w:hint="eastAsia" w:cs="宋体" w:asciiTheme="minorEastAsia" w:hAnsiTheme="minorEastAsia" w:eastAsiaTheme="minorEastAsia"/>
                <w:b/>
                <w:bCs/>
                <w:color w:val="000000"/>
                <w:sz w:val="24"/>
                <w:szCs w:val="28"/>
              </w:rPr>
              <w:t>序号</w:t>
            </w:r>
          </w:p>
        </w:tc>
        <w:tc>
          <w:tcPr>
            <w:tcW w:w="1560" w:type="dxa"/>
            <w:shd w:val="clear" w:color="auto" w:fill="auto"/>
            <w:noWrap/>
            <w:vAlign w:val="center"/>
          </w:tcPr>
          <w:p>
            <w:pPr>
              <w:adjustRightInd/>
              <w:snapToGrid/>
              <w:spacing w:after="0"/>
              <w:jc w:val="center"/>
              <w:rPr>
                <w:rFonts w:cs="宋体" w:asciiTheme="minorEastAsia" w:hAnsiTheme="minorEastAsia" w:eastAsiaTheme="minorEastAsia"/>
                <w:b/>
                <w:bCs/>
                <w:color w:val="000000"/>
                <w:sz w:val="24"/>
                <w:szCs w:val="28"/>
              </w:rPr>
            </w:pPr>
            <w:r>
              <w:rPr>
                <w:rFonts w:hint="eastAsia" w:cs="宋体" w:asciiTheme="minorEastAsia" w:hAnsiTheme="minorEastAsia" w:eastAsiaTheme="minorEastAsia"/>
                <w:b/>
                <w:bCs/>
                <w:color w:val="000000"/>
                <w:sz w:val="24"/>
                <w:szCs w:val="28"/>
              </w:rPr>
              <w:t>设备名称</w:t>
            </w:r>
          </w:p>
        </w:tc>
        <w:tc>
          <w:tcPr>
            <w:tcW w:w="5528" w:type="dxa"/>
            <w:shd w:val="clear" w:color="auto" w:fill="auto"/>
            <w:vAlign w:val="center"/>
          </w:tcPr>
          <w:p>
            <w:pPr>
              <w:adjustRightInd/>
              <w:snapToGrid/>
              <w:spacing w:after="0"/>
              <w:jc w:val="center"/>
              <w:rPr>
                <w:rFonts w:cs="宋体" w:asciiTheme="minorEastAsia" w:hAnsiTheme="minorEastAsia" w:eastAsiaTheme="minorEastAsia"/>
                <w:b/>
                <w:bCs/>
                <w:color w:val="000000"/>
                <w:sz w:val="24"/>
                <w:szCs w:val="28"/>
              </w:rPr>
            </w:pPr>
            <w:r>
              <w:rPr>
                <w:rFonts w:hint="eastAsia" w:cs="宋体" w:asciiTheme="minorEastAsia" w:hAnsiTheme="minorEastAsia" w:eastAsiaTheme="minorEastAsia"/>
                <w:b/>
                <w:bCs/>
                <w:color w:val="000000"/>
                <w:sz w:val="24"/>
                <w:szCs w:val="28"/>
              </w:rPr>
              <w:t>参数</w:t>
            </w:r>
          </w:p>
        </w:tc>
        <w:tc>
          <w:tcPr>
            <w:tcW w:w="709" w:type="dxa"/>
            <w:shd w:val="clear" w:color="auto" w:fill="auto"/>
            <w:noWrap/>
            <w:vAlign w:val="center"/>
          </w:tcPr>
          <w:p>
            <w:pPr>
              <w:adjustRightInd/>
              <w:snapToGrid/>
              <w:spacing w:after="0"/>
              <w:jc w:val="center"/>
              <w:rPr>
                <w:rFonts w:cs="宋体" w:asciiTheme="minorEastAsia" w:hAnsiTheme="minorEastAsia" w:eastAsiaTheme="minorEastAsia"/>
                <w:b/>
                <w:bCs/>
                <w:color w:val="000000"/>
                <w:sz w:val="24"/>
                <w:szCs w:val="28"/>
              </w:rPr>
            </w:pPr>
            <w:r>
              <w:rPr>
                <w:rFonts w:hint="eastAsia" w:cs="宋体" w:asciiTheme="minorEastAsia" w:hAnsiTheme="minorEastAsia" w:eastAsiaTheme="minorEastAsia"/>
                <w:b/>
                <w:bCs/>
                <w:color w:val="000000"/>
                <w:sz w:val="24"/>
                <w:szCs w:val="28"/>
              </w:rPr>
              <w:t>单位</w:t>
            </w:r>
          </w:p>
        </w:tc>
        <w:tc>
          <w:tcPr>
            <w:tcW w:w="838" w:type="dxa"/>
            <w:shd w:val="clear" w:color="auto" w:fill="auto"/>
            <w:noWrap/>
            <w:vAlign w:val="center"/>
          </w:tcPr>
          <w:p>
            <w:pPr>
              <w:adjustRightInd/>
              <w:snapToGrid/>
              <w:spacing w:after="0"/>
              <w:jc w:val="center"/>
              <w:rPr>
                <w:rFonts w:cs="宋体" w:asciiTheme="minorEastAsia" w:hAnsiTheme="minorEastAsia" w:eastAsiaTheme="minorEastAsia"/>
                <w:b/>
                <w:bCs/>
                <w:color w:val="000000"/>
                <w:sz w:val="24"/>
                <w:szCs w:val="28"/>
              </w:rPr>
            </w:pPr>
            <w:r>
              <w:rPr>
                <w:rFonts w:hint="eastAsia" w:cs="宋体" w:asciiTheme="minorEastAsia" w:hAnsiTheme="minorEastAsia" w:eastAsiaTheme="minorEastAsia"/>
                <w:b/>
                <w:bCs/>
                <w:color w:val="000000"/>
                <w:sz w:val="24"/>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1560" w:type="dxa"/>
            <w:shd w:val="clear" w:color="auto" w:fill="auto"/>
            <w:noWrap/>
            <w:vAlign w:val="center"/>
          </w:tcPr>
          <w:p>
            <w:pPr>
              <w:pStyle w:val="2"/>
              <w:widowControl/>
              <w:rPr>
                <w:rFonts w:cs="宋体" w:asciiTheme="minorEastAsia" w:hAnsiTheme="minorEastAsia"/>
                <w:b/>
                <w:bCs/>
                <w:sz w:val="18"/>
                <w:szCs w:val="18"/>
              </w:rPr>
            </w:pPr>
            <w:r>
              <w:rPr>
                <w:rFonts w:hint="eastAsia" w:cs="宋体" w:asciiTheme="minorEastAsia" w:hAnsiTheme="minorEastAsia"/>
                <w:color w:val="000000"/>
                <w:sz w:val="18"/>
                <w:szCs w:val="18"/>
              </w:rPr>
              <w:t>LED显示屏</w:t>
            </w:r>
          </w:p>
        </w:tc>
        <w:tc>
          <w:tcPr>
            <w:tcW w:w="5528" w:type="dxa"/>
            <w:shd w:val="clear" w:color="auto" w:fill="auto"/>
            <w:vAlign w:val="center"/>
          </w:tcPr>
          <w:p>
            <w:pPr>
              <w:pStyle w:val="2"/>
              <w:widowControl/>
              <w:spacing w:beforeAutospacing="0" w:afterAutospacing="0"/>
              <w:rPr>
                <w:rFonts w:cs="宋体" w:asciiTheme="minorEastAsia" w:hAnsiTheme="minorEastAsia"/>
                <w:b/>
                <w:sz w:val="18"/>
                <w:szCs w:val="18"/>
              </w:rPr>
            </w:pPr>
            <w:r>
              <w:rPr>
                <w:rFonts w:hint="eastAsia" w:cs="宋体" w:asciiTheme="minorEastAsia" w:hAnsiTheme="minorEastAsia"/>
                <w:b/>
                <w:sz w:val="18"/>
                <w:szCs w:val="18"/>
              </w:rPr>
              <w:t>模组LED灯须采用金线封装（</w:t>
            </w:r>
            <w:r>
              <w:rPr>
                <w:rFonts w:hint="eastAsia" w:cs="宋体" w:asciiTheme="minorEastAsia" w:hAnsiTheme="minorEastAsia"/>
                <w:b/>
                <w:bCs/>
                <w:color w:val="FF0000"/>
                <w:sz w:val="18"/>
                <w:szCs w:val="18"/>
              </w:rPr>
              <w:t>中标后签订合同前前提供厂方针对本项目的授权函原件，否则取消成交资格</w:t>
            </w:r>
            <w:r>
              <w:rPr>
                <w:rFonts w:hint="eastAsia" w:cs="宋体" w:asciiTheme="minorEastAsia" w:hAnsiTheme="minorEastAsia"/>
                <w:b/>
                <w:color w:val="FF0000"/>
                <w:sz w:val="18"/>
                <w:szCs w:val="18"/>
              </w:rPr>
              <w:t>）</w:t>
            </w:r>
          </w:p>
          <w:p>
            <w:pPr>
              <w:pStyle w:val="2"/>
              <w:widowControl/>
              <w:spacing w:beforeAutospacing="0" w:afterAutospacing="0"/>
              <w:rPr>
                <w:rFonts w:cs="宋体" w:asciiTheme="minorEastAsia" w:hAnsiTheme="minorEastAsia"/>
                <w:b/>
                <w:sz w:val="18"/>
                <w:szCs w:val="18"/>
              </w:rPr>
            </w:pPr>
            <w:r>
              <w:rPr>
                <w:rFonts w:hint="eastAsia" w:cs="宋体" w:asciiTheme="minorEastAsia" w:hAnsiTheme="minorEastAsia"/>
                <w:b/>
                <w:sz w:val="18"/>
                <w:szCs w:val="18"/>
              </w:rPr>
              <w:t>总量额外加5块单元模组，供产品抽样检测和后期应急备件使用</w:t>
            </w:r>
          </w:p>
          <w:p>
            <w:pPr>
              <w:pStyle w:val="2"/>
              <w:widowControl/>
              <w:spacing w:beforeAutospacing="0" w:afterAutospacing="0"/>
              <w:rPr>
                <w:rFonts w:cs="宋体" w:asciiTheme="minorEastAsia" w:hAnsiTheme="minorEastAsia"/>
                <w:b/>
                <w:sz w:val="18"/>
                <w:szCs w:val="18"/>
              </w:rPr>
            </w:pPr>
            <w:r>
              <w:rPr>
                <w:rFonts w:hint="eastAsia" w:cs="宋体" w:asciiTheme="minorEastAsia" w:hAnsiTheme="minorEastAsia"/>
                <w:b/>
                <w:sz w:val="18"/>
                <w:szCs w:val="18"/>
              </w:rPr>
              <w:t>所有模组必须同批次同型号</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屏幕尺寸：6.08*3.2m</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★像素构成：表贴三合一2020（1R1G1B）；</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★点间距：2.5mm</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扫描方式：1/32 扫描</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★模组分辨率：128点*64点；</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★模组尺寸：320mm*160mm*14.8mm ；</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★平整度：≤0.2mm</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工作电压：5V；</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★最大功耗：≤488W/㎡；</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★平均功耗：≤244W/㎡；</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★白平衡亮度：≥800cd/㎡；</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★刷新频率：≥3840Hz；</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★寿命典型值：＞100000hrs；</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（★部分中标后签订合同前提供检测报告复印件并加盖公章</w:t>
            </w:r>
            <w:r>
              <w:rPr>
                <w:rFonts w:hint="eastAsia" w:cs="宋体" w:asciiTheme="minorEastAsia" w:hAnsiTheme="minorEastAsia"/>
                <w:b/>
                <w:bCs/>
                <w:color w:val="FF0000"/>
                <w:sz w:val="18"/>
                <w:szCs w:val="18"/>
              </w:rPr>
              <w:t>，否则取消成交资格</w:t>
            </w:r>
            <w:r>
              <w:rPr>
                <w:rFonts w:hint="eastAsia" w:cs="宋体" w:asciiTheme="minorEastAsia" w:hAnsiTheme="minorEastAsia"/>
                <w:sz w:val="18"/>
                <w:szCs w:val="18"/>
              </w:rPr>
              <w:t>），</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同时提供由CNAS检测机构出具的投标LED显示屏高温、低温、温度变化实验等检测报告。</w:t>
            </w:r>
          </w:p>
        </w:tc>
        <w:tc>
          <w:tcPr>
            <w:tcW w:w="709"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sz w:val="18"/>
                <w:szCs w:val="18"/>
              </w:rPr>
              <w:t>平米</w:t>
            </w:r>
          </w:p>
        </w:tc>
        <w:tc>
          <w:tcPr>
            <w:tcW w:w="838" w:type="dxa"/>
            <w:shd w:val="clear" w:color="auto" w:fill="auto"/>
            <w:noWrap/>
            <w:vAlign w:val="center"/>
          </w:tcPr>
          <w:p>
            <w:pPr>
              <w:pStyle w:val="5"/>
              <w:jc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19.456</w:t>
            </w:r>
            <w:r>
              <w:rPr>
                <w:rFonts w:cs="宋体" w:asciiTheme="minorEastAsia" w:hAnsiTheme="minorEastAsia" w:eastAsia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1560" w:type="dxa"/>
            <w:shd w:val="clear" w:color="auto" w:fill="auto"/>
            <w:noWrap/>
            <w:vAlign w:val="center"/>
          </w:tcPr>
          <w:p>
            <w:pPr>
              <w:pStyle w:val="2"/>
              <w:widowControl/>
              <w:rPr>
                <w:rFonts w:cs="宋体" w:asciiTheme="minorEastAsia" w:hAnsiTheme="minorEastAsia"/>
                <w:b/>
                <w:bCs/>
                <w:sz w:val="18"/>
                <w:szCs w:val="18"/>
              </w:rPr>
            </w:pPr>
            <w:r>
              <w:rPr>
                <w:rFonts w:hint="eastAsia" w:cs="宋体" w:asciiTheme="minorEastAsia" w:hAnsiTheme="minorEastAsia"/>
                <w:color w:val="000000"/>
                <w:sz w:val="18"/>
                <w:szCs w:val="18"/>
              </w:rPr>
              <w:t>显示屏发送系统</w:t>
            </w:r>
          </w:p>
        </w:tc>
        <w:tc>
          <w:tcPr>
            <w:tcW w:w="5528" w:type="dxa"/>
            <w:shd w:val="clear" w:color="auto" w:fill="auto"/>
            <w:vAlign w:val="center"/>
          </w:tcPr>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不少于以下视频及音频信号输入1路DVI，1路HDMI，2路VGA ，2路CVBS，4路1/8" TRS 音频。</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不少于以下视频及音频信号输出6路网口输出，整机分辨率可达390万像素，支持自定义分辨率，最宽可达3840像素，最高可达1536像素；1路1/4" TRS音频。</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支持音频与视频信号进行关联，可实现视频信号与音频信号同步切换；</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能够对图像进行实时处理，提升其动态范围，使得显示屏在播放普通SDR图像素材时可以实现HDR显示效果。</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支持切换特效：在两个信号间进行切换时，具有淡入淡出的特效，不同类型的信号切换过程无黑屏、停顿、闪烁等现象</w:t>
            </w:r>
          </w:p>
        </w:tc>
        <w:tc>
          <w:tcPr>
            <w:tcW w:w="709"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sz w:val="18"/>
                <w:szCs w:val="18"/>
              </w:rPr>
              <w:t>套</w:t>
            </w:r>
          </w:p>
        </w:tc>
        <w:tc>
          <w:tcPr>
            <w:tcW w:w="838" w:type="dxa"/>
            <w:shd w:val="clear" w:color="auto" w:fill="auto"/>
            <w:noWrap/>
            <w:vAlign w:val="center"/>
          </w:tcPr>
          <w:p>
            <w:pPr>
              <w:pStyle w:val="2"/>
              <w:widowControl/>
              <w:jc w:val="center"/>
              <w:rPr>
                <w:rFonts w:cs="宋体" w:asciiTheme="minorEastAsia" w:hAnsiTheme="minorEastAsia"/>
                <w:b/>
                <w:bCs/>
                <w:sz w:val="18"/>
                <w:szCs w:val="18"/>
              </w:rPr>
            </w:pPr>
            <w:r>
              <w:rPr>
                <w:rFonts w:hint="eastAsia" w:cs="宋体" w:asciiTheme="minorEastAsia" w:hAnsiTheme="minorEastAsia"/>
                <w:color w:val="000000"/>
                <w:sz w:val="18"/>
                <w:szCs w:val="18"/>
              </w:rPr>
              <w:t>1</w:t>
            </w:r>
            <w:r>
              <w:rPr>
                <w:rFonts w:cs="宋体" w:asciiTheme="minorEastAsia" w:hAnsiTheme="minorEastAsia"/>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1560" w:type="dxa"/>
            <w:shd w:val="clear" w:color="auto" w:fill="auto"/>
            <w:noWrap/>
            <w:vAlign w:val="center"/>
          </w:tcPr>
          <w:p>
            <w:pPr>
              <w:pStyle w:val="2"/>
              <w:widowControl/>
              <w:rPr>
                <w:rFonts w:cs="宋体" w:asciiTheme="minorEastAsia" w:hAnsiTheme="minorEastAsia"/>
                <w:b/>
                <w:bCs/>
                <w:sz w:val="18"/>
                <w:szCs w:val="18"/>
              </w:rPr>
            </w:pPr>
            <w:r>
              <w:rPr>
                <w:rFonts w:hint="eastAsia" w:cs="宋体" w:asciiTheme="minorEastAsia" w:hAnsiTheme="minorEastAsia"/>
                <w:color w:val="000000"/>
                <w:sz w:val="18"/>
                <w:szCs w:val="18"/>
              </w:rPr>
              <w:t>显示屏接收系统</w:t>
            </w:r>
          </w:p>
        </w:tc>
        <w:tc>
          <w:tcPr>
            <w:tcW w:w="5528" w:type="dxa"/>
            <w:shd w:val="clear" w:color="auto" w:fill="auto"/>
            <w:vAlign w:val="center"/>
          </w:tcPr>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单卡12个标准HUB75E接口，输出24组RGB数据。</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支持向导式设置，用户根据软件提示即可完成操作，便于完成模组的点亮</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支持一键修缝功能，可消除显示单元间的亮暗线，且不影响原始校正系数。</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支持各种PWM芯片、双锁存芯片、通用芯片；支持静态屏、1/2~1/64扫之间的任意扫描类型。</w:t>
            </w:r>
          </w:p>
          <w:p>
            <w:pPr>
              <w:pStyle w:val="2"/>
              <w:widowControl/>
              <w:spacing w:beforeAutospacing="0" w:afterAutospacing="0"/>
              <w:rPr>
                <w:rFonts w:cs="宋体" w:asciiTheme="minorEastAsia" w:hAnsiTheme="minorEastAsia"/>
                <w:sz w:val="18"/>
                <w:szCs w:val="18"/>
              </w:rPr>
            </w:pPr>
            <w:r>
              <w:rPr>
                <w:rFonts w:hint="eastAsia" w:cs="宋体" w:asciiTheme="minorEastAsia" w:hAnsiTheme="minorEastAsia"/>
                <w:sz w:val="18"/>
                <w:szCs w:val="18"/>
              </w:rPr>
              <w:t>支持智能串线功能，无需了解接收卡串线顺序，用户可根据屏幕闪烁提示，在软件上完成映射设置</w:t>
            </w:r>
          </w:p>
        </w:tc>
        <w:tc>
          <w:tcPr>
            <w:tcW w:w="709"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sz w:val="18"/>
                <w:szCs w:val="18"/>
              </w:rPr>
              <w:t>套</w:t>
            </w:r>
          </w:p>
        </w:tc>
        <w:tc>
          <w:tcPr>
            <w:tcW w:w="838" w:type="dxa"/>
            <w:shd w:val="clear" w:color="auto" w:fill="auto"/>
            <w:noWrap/>
            <w:vAlign w:val="center"/>
          </w:tcPr>
          <w:p>
            <w:pPr>
              <w:pStyle w:val="2"/>
              <w:widowControl/>
              <w:jc w:val="center"/>
              <w:rPr>
                <w:rFonts w:cs="宋体" w:asciiTheme="minorEastAsia" w:hAnsiTheme="minorEastAsia"/>
                <w:b/>
                <w:bCs/>
                <w:sz w:val="18"/>
                <w:szCs w:val="18"/>
              </w:rPr>
            </w:pPr>
            <w:r>
              <w:rPr>
                <w:rFonts w:hint="eastAsia" w:cs="宋体" w:asciiTheme="minorEastAsia" w:hAnsiTheme="minorEastAsia"/>
                <w:color w:val="000000"/>
                <w:sz w:val="18"/>
                <w:szCs w:val="18"/>
              </w:rPr>
              <w:t>1</w:t>
            </w:r>
            <w:r>
              <w:rPr>
                <w:rFonts w:cs="宋体" w:asciiTheme="minorEastAsia" w:hAnsiTheme="minorEastAsia"/>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1560" w:type="dxa"/>
            <w:shd w:val="clear" w:color="auto" w:fill="auto"/>
            <w:noWrap/>
            <w:vAlign w:val="center"/>
          </w:tcPr>
          <w:p>
            <w:pPr>
              <w:pStyle w:val="2"/>
              <w:widowControl/>
              <w:rPr>
                <w:rFonts w:cs="宋体" w:asciiTheme="minorEastAsia" w:hAnsiTheme="minorEastAsia"/>
                <w:b/>
                <w:bCs/>
                <w:sz w:val="18"/>
                <w:szCs w:val="18"/>
              </w:rPr>
            </w:pPr>
            <w:r>
              <w:rPr>
                <w:rFonts w:hint="eastAsia" w:cs="宋体" w:asciiTheme="minorEastAsia" w:hAnsiTheme="minorEastAsia"/>
                <w:color w:val="000000"/>
                <w:sz w:val="18"/>
                <w:szCs w:val="18"/>
              </w:rPr>
              <w:t>钢结构</w:t>
            </w:r>
          </w:p>
        </w:tc>
        <w:tc>
          <w:tcPr>
            <w:tcW w:w="5528" w:type="dxa"/>
            <w:shd w:val="clear" w:color="auto" w:fill="auto"/>
            <w:vAlign w:val="center"/>
          </w:tcPr>
          <w:p>
            <w:pPr>
              <w:pStyle w:val="2"/>
              <w:widowControl/>
              <w:rPr>
                <w:rFonts w:cs="宋体" w:asciiTheme="minorEastAsia" w:hAnsiTheme="minorEastAsia"/>
                <w:color w:val="000000"/>
                <w:sz w:val="18"/>
                <w:szCs w:val="18"/>
              </w:rPr>
            </w:pPr>
            <w:r>
              <w:rPr>
                <w:rFonts w:hint="eastAsia" w:cs="宋体" w:asciiTheme="minorEastAsia" w:hAnsiTheme="minorEastAsia"/>
                <w:color w:val="000000"/>
                <w:sz w:val="18"/>
                <w:szCs w:val="18"/>
              </w:rPr>
              <w:t>钢结构：钢架构件（含接合板）采用Q235B钢制作，结构用钢应符合《GB50017-2003钢结构设计规范》规定的Q235要求，保证其抗拉强度、伸长率、屈服点，碳、硫、磷的极限含量；2、焊条：手工焊：Q235连接用E43系列焊条；3、自动焊：Q235连接用H08系列焊条；4、要求：平整度不大于±1mm；5、包边：不锈钢包边；</w:t>
            </w:r>
          </w:p>
        </w:tc>
        <w:tc>
          <w:tcPr>
            <w:tcW w:w="709"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sz w:val="18"/>
                <w:szCs w:val="18"/>
              </w:rPr>
              <w:t>套</w:t>
            </w:r>
          </w:p>
        </w:tc>
        <w:tc>
          <w:tcPr>
            <w:tcW w:w="838" w:type="dxa"/>
            <w:shd w:val="clear" w:color="auto" w:fill="auto"/>
            <w:noWrap/>
            <w:vAlign w:val="center"/>
          </w:tcPr>
          <w:p>
            <w:pPr>
              <w:pStyle w:val="2"/>
              <w:widowControl/>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r>
              <w:rPr>
                <w:rFonts w:cs="宋体" w:asciiTheme="minorEastAsia" w:hAnsiTheme="minorEastAsia"/>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1560" w:type="dxa"/>
            <w:shd w:val="clear" w:color="auto" w:fill="auto"/>
            <w:noWrap/>
            <w:vAlign w:val="center"/>
          </w:tcPr>
          <w:p>
            <w:pPr>
              <w:pStyle w:val="2"/>
              <w:widowControl/>
              <w:rPr>
                <w:rFonts w:cs="宋体" w:asciiTheme="minorEastAsia" w:hAnsiTheme="minorEastAsia"/>
                <w:b/>
                <w:bCs/>
                <w:sz w:val="18"/>
                <w:szCs w:val="18"/>
              </w:rPr>
            </w:pPr>
            <w:r>
              <w:rPr>
                <w:rFonts w:hint="eastAsia" w:cs="宋体" w:asciiTheme="minorEastAsia" w:hAnsiTheme="minorEastAsia"/>
                <w:color w:val="000000"/>
                <w:sz w:val="18"/>
                <w:szCs w:val="18"/>
              </w:rPr>
              <w:t>计算机</w:t>
            </w:r>
          </w:p>
        </w:tc>
        <w:tc>
          <w:tcPr>
            <w:tcW w:w="5528" w:type="dxa"/>
            <w:shd w:val="clear" w:color="auto" w:fill="auto"/>
            <w:vAlign w:val="center"/>
          </w:tcPr>
          <w:p>
            <w:pPr>
              <w:pStyle w:val="2"/>
              <w:widowControl/>
              <w:rPr>
                <w:rFonts w:cs="宋体" w:asciiTheme="minorEastAsia" w:hAnsiTheme="minorEastAsia"/>
                <w:color w:val="000000"/>
                <w:sz w:val="18"/>
                <w:szCs w:val="18"/>
              </w:rPr>
            </w:pPr>
            <w:r>
              <w:rPr>
                <w:rFonts w:hint="eastAsia" w:cs="宋体" w:asciiTheme="minorEastAsia" w:hAnsiTheme="minorEastAsia"/>
                <w:color w:val="000000"/>
                <w:sz w:val="18"/>
                <w:szCs w:val="18"/>
              </w:rPr>
              <w:t>I5十代，内存8G，硬盘128SSD+1T  pci  VGI输入，DVI输出  23.8显示器</w:t>
            </w:r>
          </w:p>
        </w:tc>
        <w:tc>
          <w:tcPr>
            <w:tcW w:w="709"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sz w:val="18"/>
                <w:szCs w:val="18"/>
              </w:rPr>
              <w:t>台</w:t>
            </w:r>
          </w:p>
        </w:tc>
        <w:tc>
          <w:tcPr>
            <w:tcW w:w="838" w:type="dxa"/>
            <w:shd w:val="clear" w:color="auto" w:fill="auto"/>
            <w:noWrap/>
            <w:vAlign w:val="center"/>
          </w:tcPr>
          <w:p>
            <w:pPr>
              <w:pStyle w:val="2"/>
              <w:widowControl/>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r>
              <w:rPr>
                <w:rFonts w:cs="宋体" w:asciiTheme="minorEastAsia" w:hAnsiTheme="minorEastAsia"/>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1560" w:type="dxa"/>
            <w:shd w:val="clear" w:color="auto" w:fill="auto"/>
            <w:noWrap/>
            <w:vAlign w:val="center"/>
          </w:tcPr>
          <w:p>
            <w:pPr>
              <w:pStyle w:val="2"/>
              <w:widowControl/>
              <w:rPr>
                <w:rFonts w:cs="宋体" w:asciiTheme="minorEastAsia" w:hAnsiTheme="minorEastAsia"/>
                <w:b/>
                <w:bCs/>
                <w:sz w:val="18"/>
                <w:szCs w:val="18"/>
              </w:rPr>
            </w:pPr>
            <w:r>
              <w:rPr>
                <w:rFonts w:hint="eastAsia" w:cs="宋体" w:asciiTheme="minorEastAsia" w:hAnsiTheme="minorEastAsia"/>
                <w:color w:val="000000"/>
                <w:sz w:val="18"/>
                <w:szCs w:val="18"/>
              </w:rPr>
              <w:t>开关电源</w:t>
            </w:r>
          </w:p>
        </w:tc>
        <w:tc>
          <w:tcPr>
            <w:tcW w:w="5528" w:type="dxa"/>
            <w:shd w:val="clear" w:color="auto" w:fill="auto"/>
            <w:vAlign w:val="center"/>
          </w:tcPr>
          <w:p>
            <w:pPr>
              <w:pStyle w:val="2"/>
              <w:widowControl/>
              <w:rPr>
                <w:rFonts w:cs="宋体" w:asciiTheme="minorEastAsia" w:hAnsiTheme="minorEastAsia"/>
                <w:color w:val="000000"/>
                <w:sz w:val="18"/>
                <w:szCs w:val="18"/>
              </w:rPr>
            </w:pPr>
            <w:r>
              <w:rPr>
                <w:rFonts w:hint="eastAsia" w:cs="宋体" w:asciiTheme="minorEastAsia" w:hAnsiTheme="minorEastAsia"/>
                <w:color w:val="000000"/>
                <w:sz w:val="18"/>
                <w:szCs w:val="18"/>
              </w:rPr>
              <w:t>电源尺寸为：长 190mm、宽 82mm、高30mm电源的额定输入电压范围：200～240V工作温度：-30～+60℃工作相对湿度：10～50% RH,无冷凝最大输入电流：≦2.5A输出额定电压：5.0V负载调整率：±2%输出电压上升时间：&lt;0.5S绝缘耐压输入对输出：2500Vac/10mA/1Min电源上标有熔断器的标识。电源在高温、低温情况下各功能正常，</w:t>
            </w:r>
          </w:p>
        </w:tc>
        <w:tc>
          <w:tcPr>
            <w:tcW w:w="709" w:type="dxa"/>
            <w:shd w:val="clear" w:color="auto" w:fill="auto"/>
            <w:noWrap/>
            <w:vAlign w:val="center"/>
          </w:tcPr>
          <w:p>
            <w:pPr>
              <w:adjustRightInd/>
              <w:snapToGrid/>
              <w:spacing w:after="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sz w:val="18"/>
                <w:szCs w:val="18"/>
              </w:rPr>
              <w:t>只</w:t>
            </w:r>
          </w:p>
        </w:tc>
        <w:tc>
          <w:tcPr>
            <w:tcW w:w="838" w:type="dxa"/>
            <w:shd w:val="clear" w:color="auto" w:fill="auto"/>
            <w:noWrap/>
            <w:vAlign w:val="center"/>
          </w:tcPr>
          <w:p>
            <w:pPr>
              <w:pStyle w:val="2"/>
              <w:widowControl/>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68</w:t>
            </w:r>
            <w:r>
              <w:rPr>
                <w:rFonts w:cs="宋体" w:asciiTheme="minorEastAsia" w:hAnsiTheme="minorEastAsia"/>
                <w:color w:val="000000"/>
                <w:sz w:val="18"/>
                <w:szCs w:val="18"/>
              </w:rPr>
              <w:t xml:space="preserve"> </w:t>
            </w:r>
          </w:p>
        </w:tc>
      </w:tr>
    </w:tbl>
    <w:p>
      <w:pPr>
        <w:spacing w:after="0" w:line="440" w:lineRule="exact"/>
        <w:rPr>
          <w:rFonts w:ascii="宋体" w:hAnsi="宋体" w:eastAsia="宋体"/>
          <w:b/>
          <w:bCs/>
          <w:sz w:val="24"/>
          <w:szCs w:val="24"/>
        </w:rPr>
      </w:pPr>
      <w:r>
        <w:rPr>
          <w:rFonts w:hint="eastAsia" w:ascii="宋体" w:hAnsi="宋体" w:eastAsia="宋体"/>
          <w:b/>
          <w:bCs/>
          <w:sz w:val="24"/>
          <w:szCs w:val="24"/>
        </w:rPr>
        <w:t>注：采购文件及清单中如涉及的产品品牌或型号，是采购人根据项目所要实现的功能推荐的品牌或型号，并不是限制条件，供应商可以采用不低于推荐的产品档次参与竞争。供应商应根据技术说明和要求，明确所选材料和货物的型号规格和选用品牌。</w:t>
      </w:r>
    </w:p>
    <w:p>
      <w:pPr>
        <w:spacing w:after="0" w:line="440" w:lineRule="exact"/>
        <w:rPr>
          <w:rFonts w:ascii="黑体" w:hAnsi="黑体" w:eastAsia="黑体"/>
          <w:b/>
          <w:bCs/>
          <w:sz w:val="28"/>
        </w:rPr>
      </w:pPr>
      <w:r>
        <w:rPr>
          <w:rFonts w:hint="eastAsia" w:ascii="宋体" w:hAnsi="宋体" w:eastAsia="宋体"/>
          <w:b/>
          <w:bCs/>
          <w:sz w:val="24"/>
          <w:szCs w:val="24"/>
        </w:rPr>
        <w:t>投标供应商所投产品技术参数及功能必须满足或优于采购人提供的技术参数，低于询价文件标准的，将视为无效响应文件，作无效投标处理。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DYzYjdlMTEzOGNhNmY1YzFmMmY2YmU1ZjRmMmQifQ=="/>
  </w:docVars>
  <w:rsids>
    <w:rsidRoot w:val="0D0D121B"/>
    <w:rsid w:val="021360FF"/>
    <w:rsid w:val="056D6E1C"/>
    <w:rsid w:val="0D0D121B"/>
    <w:rsid w:val="0F5C55A5"/>
    <w:rsid w:val="19AC3606"/>
    <w:rsid w:val="232605D7"/>
    <w:rsid w:val="27D94954"/>
    <w:rsid w:val="2B783C50"/>
    <w:rsid w:val="2D696D72"/>
    <w:rsid w:val="35BA49E7"/>
    <w:rsid w:val="3C7E09B5"/>
    <w:rsid w:val="3F333C62"/>
    <w:rsid w:val="4203128E"/>
    <w:rsid w:val="5240252D"/>
    <w:rsid w:val="53BA7D1D"/>
    <w:rsid w:val="5B8350C4"/>
    <w:rsid w:val="5F604EEA"/>
    <w:rsid w:val="647628E3"/>
    <w:rsid w:val="6A275728"/>
    <w:rsid w:val="6CD31955"/>
    <w:rsid w:val="763C128A"/>
    <w:rsid w:val="78D20980"/>
    <w:rsid w:val="7EED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adjustRightInd/>
      <w:snapToGrid/>
      <w:spacing w:beforeAutospacing="1" w:after="0" w:afterAutospacing="1"/>
    </w:pPr>
    <w:rPr>
      <w:rFonts w:asciiTheme="minorHAnsi" w:hAnsiTheme="minorHAnsi" w:eastAsiaTheme="minorEastAsia"/>
      <w:sz w:val="24"/>
    </w:rPr>
  </w:style>
  <w:style w:type="paragraph" w:customStyle="1" w:styleId="5">
    <w:name w:val="正文 New New"/>
    <w:next w:val="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2022-08-16T12:09:00Z</dcterms:created>
  <dc:creator>刘云云</dc:creator>
  <cp:lastModifiedBy>刘云云</cp:lastModifiedBy>
  <dcterms:modified xsi:type="dcterms:W3CDTF">2022-08-16T12:09:36Z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A1FDF4D54E6E458E902B547369AFB4A6</vt:lpwstr>
  </property>
</Properties>
</file>