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b/>
          <w:color w:val="auto"/>
          <w:sz w:val="36"/>
          <w:szCs w:val="36"/>
        </w:rPr>
      </w:pPr>
      <w:r>
        <w:rPr>
          <w:b/>
          <w:bCs/>
          <w:color w:val="auto"/>
          <w:sz w:val="24"/>
        </w:rPr>
        <w:t>货物需求一览表</w:t>
      </w: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8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b/>
                <w:color w:val="auto"/>
                <w:kern w:val="0"/>
                <w:sz w:val="20"/>
                <w:szCs w:val="21"/>
              </w:rPr>
            </w:pPr>
            <w:r>
              <w:rPr>
                <w:rFonts w:hint="eastAsia" w:asciiTheme="minorEastAsia" w:hAnsiTheme="minorEastAsia"/>
                <w:b/>
                <w:color w:val="auto"/>
                <w:kern w:val="0"/>
                <w:sz w:val="20"/>
                <w:szCs w:val="21"/>
              </w:rPr>
              <w:t>序号</w:t>
            </w:r>
          </w:p>
        </w:tc>
        <w:tc>
          <w:tcPr>
            <w:tcW w:w="1134" w:type="dxa"/>
            <w:shd w:val="clear" w:color="auto" w:fill="auto"/>
            <w:vAlign w:val="center"/>
          </w:tcPr>
          <w:p>
            <w:pPr>
              <w:jc w:val="center"/>
              <w:rPr>
                <w:rFonts w:asciiTheme="minorEastAsia" w:hAnsiTheme="minorEastAsia"/>
                <w:b/>
                <w:color w:val="auto"/>
                <w:kern w:val="0"/>
                <w:sz w:val="20"/>
                <w:szCs w:val="21"/>
              </w:rPr>
            </w:pPr>
            <w:r>
              <w:rPr>
                <w:rFonts w:hint="eastAsia" w:asciiTheme="minorEastAsia" w:hAnsiTheme="minorEastAsia"/>
                <w:b/>
                <w:color w:val="auto"/>
                <w:kern w:val="0"/>
                <w:sz w:val="20"/>
                <w:szCs w:val="21"/>
              </w:rPr>
              <w:t>产品名称</w:t>
            </w:r>
          </w:p>
        </w:tc>
        <w:tc>
          <w:tcPr>
            <w:tcW w:w="6804" w:type="dxa"/>
            <w:shd w:val="clear" w:color="auto" w:fill="auto"/>
            <w:vAlign w:val="center"/>
          </w:tcPr>
          <w:p>
            <w:pPr>
              <w:jc w:val="center"/>
              <w:rPr>
                <w:rFonts w:asciiTheme="minorEastAsia" w:hAnsiTheme="minorEastAsia"/>
                <w:b/>
                <w:color w:val="auto"/>
                <w:kern w:val="0"/>
                <w:sz w:val="20"/>
                <w:szCs w:val="21"/>
              </w:rPr>
            </w:pPr>
            <w:r>
              <w:rPr>
                <w:rFonts w:hint="eastAsia" w:asciiTheme="minorEastAsia" w:hAnsiTheme="minorEastAsia"/>
                <w:b/>
                <w:color w:val="auto"/>
                <w:kern w:val="0"/>
                <w:sz w:val="20"/>
                <w:szCs w:val="21"/>
              </w:rPr>
              <w:t>技术参数</w:t>
            </w:r>
          </w:p>
        </w:tc>
        <w:tc>
          <w:tcPr>
            <w:tcW w:w="851" w:type="dxa"/>
            <w:shd w:val="clear" w:color="auto" w:fill="auto"/>
            <w:vAlign w:val="center"/>
          </w:tcPr>
          <w:p>
            <w:pPr>
              <w:jc w:val="center"/>
              <w:rPr>
                <w:rFonts w:asciiTheme="minorEastAsia" w:hAnsiTheme="minorEastAsia"/>
                <w:b/>
                <w:color w:val="auto"/>
                <w:kern w:val="0"/>
                <w:sz w:val="20"/>
                <w:szCs w:val="21"/>
              </w:rPr>
            </w:pPr>
            <w:r>
              <w:rPr>
                <w:rFonts w:hint="eastAsia" w:asciiTheme="minorEastAsia" w:hAnsiTheme="minorEastAsia"/>
                <w:b/>
                <w:color w:val="auto"/>
                <w:kern w:val="0"/>
                <w:sz w:val="20"/>
                <w:szCs w:val="21"/>
              </w:rPr>
              <w:t>数量（</w:t>
            </w:r>
            <w:r>
              <w:rPr>
                <w:rFonts w:asciiTheme="minorEastAsia" w:hAnsiTheme="minorEastAsia"/>
                <w:b/>
                <w:color w:val="auto"/>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heme="minorEastAsia" w:hAnsiTheme="minorEastAsia"/>
                <w:color w:val="auto"/>
                <w:kern w:val="0"/>
                <w:sz w:val="20"/>
                <w:szCs w:val="21"/>
              </w:rPr>
            </w:pPr>
            <w:r>
              <w:rPr>
                <w:rFonts w:asciiTheme="minorEastAsia" w:hAnsiTheme="minorEastAsia"/>
                <w:color w:val="auto"/>
                <w:kern w:val="0"/>
                <w:sz w:val="20"/>
                <w:szCs w:val="21"/>
              </w:rPr>
              <w:t>1</w:t>
            </w:r>
          </w:p>
        </w:tc>
        <w:tc>
          <w:tcPr>
            <w:tcW w:w="1134" w:type="dxa"/>
            <w:vAlign w:val="center"/>
          </w:tcPr>
          <w:p>
            <w:pPr>
              <w:jc w:val="center"/>
              <w:rPr>
                <w:rFonts w:ascii="宋体" w:hAnsi="宋体" w:eastAsia="宋体"/>
                <w:color w:val="auto"/>
                <w:szCs w:val="21"/>
              </w:rPr>
            </w:pPr>
            <w:r>
              <w:rPr>
                <w:rFonts w:hint="eastAsia" w:ascii="宋体" w:hAnsi="宋体" w:eastAsia="宋体" w:cs="Arial"/>
                <w:color w:val="auto"/>
                <w:szCs w:val="21"/>
              </w:rPr>
              <w:t>LED教室灯</w:t>
            </w:r>
          </w:p>
        </w:tc>
        <w:tc>
          <w:tcPr>
            <w:tcW w:w="6804" w:type="dxa"/>
            <w:vAlign w:val="center"/>
          </w:tcPr>
          <w:p>
            <w:pPr>
              <w:jc w:val="left"/>
              <w:rPr>
                <w:rFonts w:ascii="宋体" w:hAnsi="宋体" w:eastAsia="宋体" w:cs="Arial"/>
                <w:color w:val="auto"/>
                <w:szCs w:val="21"/>
              </w:rPr>
            </w:pPr>
            <w:r>
              <w:rPr>
                <w:rFonts w:hint="eastAsia" w:ascii="宋体" w:hAnsi="宋体" w:eastAsia="宋体" w:cs="Arial"/>
                <w:color w:val="auto"/>
                <w:szCs w:val="21"/>
              </w:rPr>
              <w:t>1、LED教室灯额定功率≤55W。</w:t>
            </w:r>
          </w:p>
          <w:p>
            <w:pPr>
              <w:jc w:val="left"/>
              <w:rPr>
                <w:rFonts w:ascii="宋体" w:hAnsi="宋体" w:eastAsia="宋体" w:cs="Arial"/>
                <w:color w:val="auto"/>
                <w:szCs w:val="21"/>
              </w:rPr>
            </w:pPr>
            <w:r>
              <w:rPr>
                <w:rFonts w:hint="eastAsia" w:ascii="宋体" w:hAnsi="宋体" w:eastAsia="宋体" w:cs="Arial"/>
                <w:color w:val="auto"/>
                <w:szCs w:val="21"/>
              </w:rPr>
              <w:t>2、LED教室灯长度≥1000mm；为一体式微晶</w:t>
            </w:r>
            <w:r>
              <w:rPr>
                <w:rFonts w:ascii="宋体" w:hAnsi="宋体" w:eastAsia="宋体" w:cs="Arial"/>
                <w:color w:val="auto"/>
                <w:szCs w:val="21"/>
              </w:rPr>
              <w:t>防眩面板灯</w:t>
            </w:r>
            <w:r>
              <w:rPr>
                <w:rFonts w:hint="eastAsia" w:ascii="宋体" w:hAnsi="宋体" w:eastAsia="宋体" w:cs="Arial"/>
                <w:color w:val="auto"/>
                <w:szCs w:val="21"/>
              </w:rPr>
              <w:t>，灯具外形应平整、无凹陷和毛刺，焊缝无透光现象，表面均匀、光洁，无流挂现象。</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3、LED教室灯色温（或相关色温）在初始测试（0小时）及正常燃点30000小时或以上时间均满足3300-5300K，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4、LED教室灯显色指数在初始测试（0小时）及正常燃点30000小时或以上时间均满足Ra≥90、R9≥50，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5、LED教室灯色容差（或色品容差）正常燃点30000小时或以上时间后与初始测试（0小时）的差值（绝对值）≤5 SDCM，提供第三方检测机构出具的封面带有CMA及CNAS标志的检测报告（报告上的检测起止时间须为正常燃点时间）及全国认证认可信息公共服务平台检测报告编号查询证明复印件。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6、LED教室灯正常燃点30000小时或以上的光</w:t>
            </w:r>
            <w:r>
              <w:rPr>
                <w:rFonts w:ascii="宋体" w:hAnsi="宋体" w:eastAsia="宋体" w:cs="Arial"/>
                <w:color w:val="auto"/>
                <w:szCs w:val="21"/>
              </w:rPr>
              <w:t>通维持率≥93%</w:t>
            </w:r>
            <w:r>
              <w:rPr>
                <w:rFonts w:hint="eastAsia" w:ascii="宋体" w:hAnsi="宋体" w:eastAsia="宋体" w:cs="Arial"/>
                <w:color w:val="auto"/>
                <w:szCs w:val="21"/>
              </w:rPr>
              <w:t>，提供第三方检测机构出具的封面带有CMA及CNAS标志的检测报告（报告上的检测起止时间须为正常燃点时间）及全国认证认可信息公共服务平台检测报告编号查询证明复印件。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7、LED教室灯人体电磁辐射测试满足20kHz-10MHz感应电流密度系数≤0.85，提供第三方检测机构出具的封面带有CMA及CNAS标志的检测报告及全国认证认可信息公共服务平台检测报告编号查询证明复印件。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8、LED教室灯依据《GB 7793-2010》《GB 50034-2013》及《GB/T 5700-2008》满足灯具距离桌面的最低悬挂高度不应低于1.7m，平均照度维持率≥95%，且百勒克斯照明功率密度≤1.8 W/㎡/100 lx，提供第三方检测机构出具的封面带有CMA及CNAS标志的检测报告及全国认证认可信息公共服务平台检测报告编号查询证明复印件。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9、LED教室灯依据《GB 7793-2010》《GB 50034-2013》及《GB/T 5700-2008》满足发光面法线方向亮度≤15000cd/㎡，长边γ1=60°及短边γ2=60°角度内亮度均≤10000cd/㎡，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10、LED教室灯依据《GB/T 26572-2011》及《GB/T 26125-2011》标准通过电器电子产品认证，提供第三方认证机构出具的认证证书（证书上须体现产品型号及认证标准）及全国认证认可信息公共服务平台证书状态为“有效”查询证明复印件。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11、LED教室灯频闪质量特征为无危害频闪或无频闪危害或无显著影响，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12、LED教室灯蓝光危害等级为RG0（或0类危险），提供第三方认证机构出具的认证证书（证书上须体现产品型号及认证标准）及全国认证认可信息公共服务平台证书状态为“有效”查询证明复印件。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13、LED教室灯护眼质量特征为眼舒适或更优特征，提供第三方认证机构出具的认证证书（证书上须体现产品型号及认证标准）及全国认证认可信息公共服务平台证书状态为“有效”查询证明复印件。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14、LED教室灯依据《GB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7000.1-2015》标准通过光环境认证，提供第三方认证机构出具的认证证书（证书上须体现产品型号及认证标准）及全国认证认可信息公共服务平台证书状态为“有效”查询证明复印件。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w:t>
            </w:r>
            <w:r>
              <w:rPr>
                <w:rFonts w:ascii="宋体" w:hAnsi="宋体" w:eastAsia="宋体" w:cs="Arial"/>
                <w:color w:val="auto"/>
                <w:szCs w:val="21"/>
              </w:rPr>
              <w:t>5</w:t>
            </w:r>
            <w:r>
              <w:rPr>
                <w:rFonts w:hint="eastAsia" w:ascii="宋体" w:hAnsi="宋体" w:eastAsia="宋体" w:cs="Arial"/>
                <w:color w:val="auto"/>
                <w:szCs w:val="21"/>
              </w:rPr>
              <w:t>、LED教室灯依据《GB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w:t>
            </w:r>
            <w:r>
              <w:rPr>
                <w:rFonts w:hint="eastAsia" w:ascii="宋体" w:hAnsi="宋体" w:cs="Arial"/>
                <w:color w:val="auto"/>
                <w:szCs w:val="21"/>
              </w:rPr>
              <w:t>设备</w:t>
            </w:r>
            <w:r>
              <w:rPr>
                <w:rFonts w:ascii="宋体" w:hAnsi="宋体" w:cs="Arial"/>
                <w:color w:val="auto"/>
                <w:szCs w:val="21"/>
              </w:rPr>
              <w:t>节能</w:t>
            </w:r>
            <w:r>
              <w:rPr>
                <w:rFonts w:hint="eastAsia" w:ascii="宋体" w:hAnsi="宋体" w:eastAsia="宋体" w:cs="Arial"/>
                <w:color w:val="auto"/>
                <w:szCs w:val="21"/>
              </w:rPr>
              <w:t>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w:t>
            </w:r>
            <w:r>
              <w:rPr>
                <w:rFonts w:ascii="宋体" w:hAnsi="宋体" w:eastAsia="宋体" w:cs="Arial"/>
                <w:color w:val="auto"/>
                <w:szCs w:val="21"/>
              </w:rPr>
              <w:t>6</w:t>
            </w:r>
            <w:r>
              <w:rPr>
                <w:rFonts w:hint="eastAsia" w:ascii="宋体" w:hAnsi="宋体" w:eastAsia="宋体" w:cs="Arial"/>
                <w:color w:val="auto"/>
                <w:szCs w:val="21"/>
              </w:rPr>
              <w:t>、LED教室灯依据《GB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7000.1-2015》标准通过绿色健康认证，提供第三方认证机构出具的认证证书（证书上须体现产品型号及认证标准）及全国认证认可信息公共服务平台证书状态为“有效”查询证明复印件。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17、LED教室</w:t>
            </w:r>
            <w:r>
              <w:rPr>
                <w:rFonts w:ascii="宋体" w:hAnsi="宋体" w:eastAsia="宋体" w:cs="Arial"/>
                <w:color w:val="auto"/>
                <w:szCs w:val="21"/>
              </w:rPr>
              <w:t>灯应符合</w:t>
            </w:r>
            <w:r>
              <w:rPr>
                <w:rFonts w:hint="eastAsia" w:ascii="宋体" w:hAnsi="宋体" w:eastAsia="宋体" w:cs="Arial"/>
                <w:color w:val="auto"/>
                <w:szCs w:val="21"/>
              </w:rPr>
              <w:t>《GB 40070-2021 儿童青少年学习用品近视防控卫生要求》及</w:t>
            </w:r>
            <w:r>
              <w:rPr>
                <w:rFonts w:ascii="宋体" w:hAnsi="宋体" w:eastAsia="宋体" w:cs="Arial"/>
                <w:color w:val="auto"/>
                <w:szCs w:val="21"/>
              </w:rPr>
              <w:t>《</w:t>
            </w:r>
            <w:r>
              <w:rPr>
                <w:rFonts w:hint="eastAsia" w:ascii="宋体" w:hAnsi="宋体" w:eastAsia="宋体" w:cs="Arial"/>
                <w:color w:val="auto"/>
                <w:szCs w:val="21"/>
              </w:rPr>
              <w:t>GB</w:t>
            </w:r>
            <w:r>
              <w:rPr>
                <w:rFonts w:ascii="宋体" w:hAnsi="宋体" w:eastAsia="宋体" w:cs="Arial"/>
                <w:color w:val="auto"/>
                <w:szCs w:val="21"/>
              </w:rPr>
              <w:t>/</w:t>
            </w:r>
            <w:r>
              <w:rPr>
                <w:rFonts w:hint="eastAsia" w:ascii="宋体" w:hAnsi="宋体" w:eastAsia="宋体" w:cs="Arial"/>
                <w:color w:val="auto"/>
                <w:szCs w:val="21"/>
              </w:rPr>
              <w:t>T 36876-2018</w:t>
            </w:r>
            <w:r>
              <w:rPr>
                <w:rFonts w:ascii="宋体" w:hAnsi="宋体" w:eastAsia="宋体" w:cs="Arial"/>
                <w:color w:val="auto"/>
                <w:szCs w:val="21"/>
              </w:rPr>
              <w:t xml:space="preserve"> </w:t>
            </w:r>
            <w:r>
              <w:rPr>
                <w:rFonts w:hint="eastAsia" w:ascii="宋体" w:hAnsi="宋体" w:eastAsia="宋体" w:cs="Arial"/>
                <w:color w:val="auto"/>
                <w:szCs w:val="21"/>
              </w:rPr>
              <w:t>中小学校普通教室照明设计安装卫生要求</w:t>
            </w:r>
            <w:r>
              <w:rPr>
                <w:rFonts w:ascii="宋体" w:hAnsi="宋体" w:eastAsia="宋体" w:cs="Arial"/>
                <w:color w:val="auto"/>
                <w:szCs w:val="21"/>
              </w:rPr>
              <w:t>》</w:t>
            </w:r>
            <w:r>
              <w:rPr>
                <w:rFonts w:hint="eastAsia" w:ascii="宋体" w:hAnsi="宋体" w:eastAsia="宋体" w:cs="Arial"/>
                <w:color w:val="auto"/>
                <w:szCs w:val="21"/>
              </w:rPr>
              <w:t>。</w:t>
            </w:r>
          </w:p>
        </w:tc>
        <w:tc>
          <w:tcPr>
            <w:tcW w:w="851" w:type="dxa"/>
            <w:vAlign w:val="center"/>
          </w:tcPr>
          <w:p>
            <w:pPr>
              <w:jc w:val="center"/>
              <w:rPr>
                <w:rFonts w:hint="default" w:eastAsia="宋体" w:cs="Arial" w:asciiTheme="minorEastAsia" w:hAnsiTheme="minorEastAsia"/>
                <w:color w:val="auto"/>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heme="minorEastAsia" w:hAnsiTheme="minorEastAsia"/>
                <w:color w:val="auto"/>
                <w:kern w:val="0"/>
                <w:sz w:val="20"/>
                <w:szCs w:val="21"/>
              </w:rPr>
            </w:pPr>
            <w:r>
              <w:rPr>
                <w:rFonts w:hint="eastAsia" w:asciiTheme="minorEastAsia" w:hAnsiTheme="minorEastAsia"/>
                <w:color w:val="auto"/>
                <w:kern w:val="0"/>
                <w:sz w:val="20"/>
                <w:szCs w:val="21"/>
              </w:rPr>
              <w:t>2</w:t>
            </w:r>
          </w:p>
        </w:tc>
        <w:tc>
          <w:tcPr>
            <w:tcW w:w="1134" w:type="dxa"/>
            <w:vAlign w:val="center"/>
          </w:tcPr>
          <w:p>
            <w:pPr>
              <w:jc w:val="center"/>
              <w:rPr>
                <w:rFonts w:ascii="宋体" w:hAnsi="宋体" w:eastAsia="宋体"/>
                <w:color w:val="auto"/>
                <w:szCs w:val="21"/>
              </w:rPr>
            </w:pPr>
            <w:r>
              <w:rPr>
                <w:rFonts w:hint="eastAsia" w:ascii="宋体" w:hAnsi="宋体" w:eastAsia="宋体" w:cs="Arial"/>
                <w:color w:val="auto"/>
                <w:szCs w:val="21"/>
              </w:rPr>
              <w:t>LED黑板灯</w:t>
            </w:r>
          </w:p>
        </w:tc>
        <w:tc>
          <w:tcPr>
            <w:tcW w:w="6804" w:type="dxa"/>
            <w:vAlign w:val="center"/>
          </w:tcPr>
          <w:p>
            <w:pPr>
              <w:jc w:val="left"/>
              <w:rPr>
                <w:rFonts w:ascii="宋体" w:hAnsi="宋体" w:eastAsia="宋体" w:cs="Arial"/>
                <w:color w:val="auto"/>
                <w:szCs w:val="21"/>
              </w:rPr>
            </w:pPr>
            <w:r>
              <w:rPr>
                <w:rFonts w:hint="eastAsia" w:ascii="宋体" w:hAnsi="宋体" w:eastAsia="宋体" w:cs="Arial"/>
                <w:color w:val="auto"/>
                <w:szCs w:val="21"/>
              </w:rPr>
              <w:t>1、LED黑板灯额定功率≤55W。</w:t>
            </w:r>
          </w:p>
          <w:p>
            <w:pPr>
              <w:jc w:val="left"/>
              <w:rPr>
                <w:rFonts w:ascii="宋体" w:hAnsi="宋体" w:eastAsia="宋体" w:cs="Arial"/>
                <w:color w:val="auto"/>
                <w:szCs w:val="21"/>
              </w:rPr>
            </w:pPr>
            <w:r>
              <w:rPr>
                <w:rFonts w:hint="eastAsia" w:ascii="宋体" w:hAnsi="宋体" w:eastAsia="宋体" w:cs="Arial"/>
                <w:color w:val="auto"/>
                <w:szCs w:val="21"/>
              </w:rPr>
              <w:t>2、LED黑板灯长度≥1</w:t>
            </w:r>
            <w:r>
              <w:rPr>
                <w:rFonts w:ascii="宋体" w:hAnsi="宋体" w:eastAsia="宋体" w:cs="Arial"/>
                <w:color w:val="auto"/>
                <w:szCs w:val="21"/>
              </w:rPr>
              <w:t>2</w:t>
            </w:r>
            <w:r>
              <w:rPr>
                <w:rFonts w:hint="eastAsia" w:ascii="宋体" w:hAnsi="宋体" w:eastAsia="宋体" w:cs="Arial"/>
                <w:color w:val="auto"/>
                <w:szCs w:val="21"/>
              </w:rPr>
              <w:t>00mm；为一体式防眩</w:t>
            </w:r>
            <w:r>
              <w:rPr>
                <w:rFonts w:ascii="宋体" w:hAnsi="宋体" w:eastAsia="宋体" w:cs="Arial"/>
                <w:color w:val="auto"/>
                <w:szCs w:val="21"/>
              </w:rPr>
              <w:t>灯具</w:t>
            </w:r>
            <w:r>
              <w:rPr>
                <w:rFonts w:hint="eastAsia" w:ascii="宋体" w:hAnsi="宋体" w:eastAsia="宋体" w:cs="Arial"/>
                <w:color w:val="auto"/>
                <w:szCs w:val="21"/>
              </w:rPr>
              <w:t>，灯具外形应平整、无凹陷和毛刺，焊缝无透光现象，表面均匀、光洁，无流挂现象。</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3、LED黑板灯色温（或相关色温）在初始测试（0小时）及正常燃点30000小时或以上时间均满足3300-5300K，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4、LED黑板灯显色指数在初始测试（0小时）及正常燃点30000小时或以上时间均满足Ra≥90、R9≥50，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5、LED黑板灯色容差（或色品容差）正常燃点30000小时或以上时间后与初始测试（0小时）的差值（绝对值）≤5 SDCM，提供第三方检测机构出具的封面带有CMA及CNAS标志的检测报告（报告上的检测起止时间须为正常燃点时间）及全国认证认可信息公共服务平台检测报告编号查询证明复印件。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6、LED黑板灯正常燃点30000小时或以上的光</w:t>
            </w:r>
            <w:r>
              <w:rPr>
                <w:rFonts w:ascii="宋体" w:hAnsi="宋体" w:eastAsia="宋体" w:cs="Arial"/>
                <w:color w:val="auto"/>
                <w:szCs w:val="21"/>
              </w:rPr>
              <w:t>通维持率≥93%</w:t>
            </w:r>
            <w:r>
              <w:rPr>
                <w:rFonts w:hint="eastAsia" w:ascii="宋体" w:hAnsi="宋体" w:eastAsia="宋体" w:cs="Arial"/>
                <w:color w:val="auto"/>
                <w:szCs w:val="21"/>
              </w:rPr>
              <w:t>，提供第三方检测机构出具的封面带有CMA及CNAS标志的检测报告（报告上的检测起止时间须为正常燃点时间）及全国认证认可信息公共服务平台检测报告编号查询证明复印件。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7、LED黑板灯人体电磁辐射测试满足20kHz-10MHz感应电流密度系数≤0.85，提供第三方检测机构出具的封面带有CMA及CNAS标志的检测报告及全国认证认可信息公共服务平台检测报告编号查询证明复印件。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8、LED黑板灯依据《GB 7793-2010》《GB 50034-2013》及《GB/T 5700-2008》满足平均照度维持率≥95%，提供第三方检测机构出具的封面带有CMA及CNAS标志的检测报告及全国认证认可信息公共服务平台检测报告编号查询证明复印件。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9、LED黑板灯依据《GB 7793-2010》《GB 50034-2013》及《GB/T 5700-2008》满足发光面法线方向亮度≤15000cd/㎡，长边γ1=60°及短边γ2=60°角度内亮度均≤10000cd/㎡，提供第三方检测机构出具的封面带有CMA及CNAS标志的检测报告及全国认证认可信息公共服务平台检测报告编号查询证明复印件。</w:t>
            </w:r>
          </w:p>
          <w:p>
            <w:pPr>
              <w:jc w:val="left"/>
              <w:rPr>
                <w:rFonts w:ascii="宋体" w:hAnsi="宋体" w:eastAsia="宋体" w:cs="Arial"/>
                <w:color w:val="auto"/>
                <w:szCs w:val="21"/>
              </w:rPr>
            </w:pPr>
            <w:r>
              <w:rPr>
                <w:rFonts w:hint="eastAsia" w:ascii="宋体" w:hAnsi="宋体" w:eastAsia="宋体" w:cs="Arial"/>
                <w:color w:val="auto"/>
                <w:szCs w:val="21"/>
              </w:rPr>
              <w:t>10、LED黑板灯依据《GB/T 26572-2011》及《GB/T 26125-2011》标准通过电器电子产品认证，提供第三方认证机构出具的认证证书（证书上须体现产品型号及认证标准）及全国认证认可信息公共服务平台证书状态为“有效”查询证明复印件。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11、LED黑板灯频闪质量特征为无危害频闪或无频闪危害或无显著影响，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12、LED黑板灯蓝光危害等级为RG0（或0类危险），提供第三方认证机构出具的认证证书（证书上须体现产品型号及认证标准）及全国认证认可信息公共服务平台证书状态为“有效”查询证明复印件。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13、LED黑板灯护眼质量特征为眼舒适或更优特征，提供第三方认证机构出具的认证证书（证书上须体现产品型号及认证标准）及全国认证认可信息公共服务平台证书状态为“有效”查询证明复印件。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14、LED黑板灯依据《GB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7000.1-2015》标准通过光环境认证，提供第三方认证机构出具的认证证书（证书上须体现产品型号及认证标准）及全国认证认可信息公共服务平台证书状态为“有效”查询证明复印件。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w:t>
            </w:r>
            <w:r>
              <w:rPr>
                <w:rFonts w:ascii="宋体" w:hAnsi="宋体" w:eastAsia="宋体" w:cs="Arial"/>
                <w:color w:val="auto"/>
                <w:szCs w:val="21"/>
              </w:rPr>
              <w:t>5</w:t>
            </w:r>
            <w:r>
              <w:rPr>
                <w:rFonts w:hint="eastAsia" w:ascii="宋体" w:hAnsi="宋体" w:eastAsia="宋体" w:cs="Arial"/>
                <w:color w:val="auto"/>
                <w:szCs w:val="21"/>
              </w:rPr>
              <w:t>、LED黑板灯依据《GB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w:t>
            </w:r>
            <w:r>
              <w:rPr>
                <w:rFonts w:hint="eastAsia" w:ascii="宋体" w:hAnsi="宋体" w:cs="Arial"/>
                <w:color w:val="auto"/>
                <w:szCs w:val="21"/>
              </w:rPr>
              <w:t>设备</w:t>
            </w:r>
            <w:r>
              <w:rPr>
                <w:rFonts w:ascii="宋体" w:hAnsi="宋体" w:cs="Arial"/>
                <w:color w:val="auto"/>
                <w:szCs w:val="21"/>
              </w:rPr>
              <w:t>节能</w:t>
            </w:r>
            <w:r>
              <w:rPr>
                <w:rFonts w:hint="eastAsia" w:ascii="宋体" w:hAnsi="宋体" w:eastAsia="宋体" w:cs="Arial"/>
                <w:color w:val="auto"/>
                <w:szCs w:val="21"/>
              </w:rPr>
              <w:t>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b/>
                <w:color w:val="auto"/>
                <w:szCs w:val="21"/>
              </w:rPr>
              <w:t>#</w:t>
            </w:r>
            <w:r>
              <w:rPr>
                <w:rFonts w:hint="eastAsia" w:ascii="宋体" w:hAnsi="宋体" w:eastAsia="宋体" w:cs="Arial"/>
                <w:color w:val="auto"/>
                <w:szCs w:val="21"/>
              </w:rPr>
              <w:t>1</w:t>
            </w:r>
            <w:r>
              <w:rPr>
                <w:rFonts w:ascii="宋体" w:hAnsi="宋体" w:eastAsia="宋体" w:cs="Arial"/>
                <w:color w:val="auto"/>
                <w:szCs w:val="21"/>
              </w:rPr>
              <w:t>6</w:t>
            </w:r>
            <w:r>
              <w:rPr>
                <w:rFonts w:hint="eastAsia" w:ascii="宋体" w:hAnsi="宋体" w:eastAsia="宋体" w:cs="Arial"/>
                <w:color w:val="auto"/>
                <w:szCs w:val="21"/>
              </w:rPr>
              <w:t>、LED黑板灯依据《GB 7793-2010》《GB 50034-2013》《GB/T 5700-2008》</w:t>
            </w:r>
            <w:r>
              <w:rPr>
                <w:rFonts w:hint="eastAsia" w:cs="Arial" w:asciiTheme="minorEastAsia" w:hAnsiTheme="minorEastAsia"/>
                <w:color w:val="auto"/>
                <w:szCs w:val="21"/>
              </w:rPr>
              <w:t>《</w:t>
            </w:r>
            <w:r>
              <w:rPr>
                <w:rFonts w:cs="Arial" w:asciiTheme="minorEastAsia" w:hAnsiTheme="minorEastAsia"/>
                <w:color w:val="auto"/>
                <w:szCs w:val="21"/>
              </w:rPr>
              <w:t>T</w:t>
            </w:r>
            <w:r>
              <w:rPr>
                <w:rFonts w:hint="eastAsia" w:cs="Arial" w:asciiTheme="minorEastAsia" w:hAnsiTheme="minorEastAsia"/>
                <w:color w:val="auto"/>
                <w:szCs w:val="21"/>
              </w:rPr>
              <w:t>/</w:t>
            </w:r>
            <w:r>
              <w:rPr>
                <w:rFonts w:cs="Arial" w:asciiTheme="minorEastAsia" w:hAnsiTheme="minorEastAsia"/>
                <w:color w:val="auto"/>
                <w:szCs w:val="21"/>
              </w:rPr>
              <w:t>JYBZ005-2018</w:t>
            </w:r>
            <w:r>
              <w:rPr>
                <w:rFonts w:hint="eastAsia" w:cs="Arial" w:asciiTheme="minorEastAsia" w:hAnsiTheme="minorEastAsia"/>
                <w:color w:val="auto"/>
                <w:szCs w:val="21"/>
              </w:rPr>
              <w:t>》</w:t>
            </w:r>
            <w:r>
              <w:rPr>
                <w:rFonts w:hint="eastAsia" w:ascii="宋体" w:hAnsi="宋体" w:eastAsia="宋体" w:cs="Arial"/>
                <w:color w:val="auto"/>
                <w:szCs w:val="21"/>
              </w:rPr>
              <w:t>及《GB 7000.1-2015》标准通过绿色健康认证，提供第三方认证机构出具的认证证书（证书上须体现产品型号及认证标准）及全国认证认可信息公共服务平台证书状态为“有效”查询证明复印件。</w:t>
            </w:r>
          </w:p>
          <w:p>
            <w:pPr>
              <w:jc w:val="left"/>
              <w:rPr>
                <w:rFonts w:ascii="宋体" w:hAnsi="宋体" w:eastAsia="宋体" w:cs="Arial"/>
                <w:color w:val="auto"/>
                <w:szCs w:val="21"/>
              </w:rPr>
            </w:pPr>
            <w:r>
              <w:rPr>
                <w:rFonts w:hint="eastAsia" w:ascii="宋体" w:hAnsi="宋体" w:eastAsia="宋体" w:cs="Arial"/>
                <w:color w:val="auto"/>
                <w:szCs w:val="21"/>
              </w:rPr>
              <w:t>17、LED黑板</w:t>
            </w:r>
            <w:r>
              <w:rPr>
                <w:rFonts w:ascii="宋体" w:hAnsi="宋体" w:eastAsia="宋体" w:cs="Arial"/>
                <w:color w:val="auto"/>
                <w:szCs w:val="21"/>
              </w:rPr>
              <w:t>灯应符合</w:t>
            </w:r>
            <w:r>
              <w:rPr>
                <w:rFonts w:hint="eastAsia" w:ascii="宋体" w:hAnsi="宋体" w:eastAsia="宋体" w:cs="Arial"/>
                <w:color w:val="auto"/>
                <w:szCs w:val="21"/>
              </w:rPr>
              <w:t>《GB 40070-2021 儿童青少年学习用品近视防控卫生要求》及</w:t>
            </w:r>
            <w:r>
              <w:rPr>
                <w:rFonts w:ascii="宋体" w:hAnsi="宋体" w:eastAsia="宋体" w:cs="Arial"/>
                <w:color w:val="auto"/>
                <w:szCs w:val="21"/>
              </w:rPr>
              <w:t>《</w:t>
            </w:r>
            <w:r>
              <w:rPr>
                <w:rFonts w:hint="eastAsia" w:ascii="宋体" w:hAnsi="宋体" w:eastAsia="宋体" w:cs="Arial"/>
                <w:color w:val="auto"/>
                <w:szCs w:val="21"/>
              </w:rPr>
              <w:t>GB</w:t>
            </w:r>
            <w:r>
              <w:rPr>
                <w:rFonts w:ascii="宋体" w:hAnsi="宋体" w:eastAsia="宋体" w:cs="Arial"/>
                <w:color w:val="auto"/>
                <w:szCs w:val="21"/>
              </w:rPr>
              <w:t>/</w:t>
            </w:r>
            <w:r>
              <w:rPr>
                <w:rFonts w:hint="eastAsia" w:ascii="宋体" w:hAnsi="宋体" w:eastAsia="宋体" w:cs="Arial"/>
                <w:color w:val="auto"/>
                <w:szCs w:val="21"/>
              </w:rPr>
              <w:t>T 36876-2018</w:t>
            </w:r>
            <w:r>
              <w:rPr>
                <w:rFonts w:ascii="宋体" w:hAnsi="宋体" w:eastAsia="宋体" w:cs="Arial"/>
                <w:color w:val="auto"/>
                <w:szCs w:val="21"/>
              </w:rPr>
              <w:t xml:space="preserve"> </w:t>
            </w:r>
            <w:r>
              <w:rPr>
                <w:rFonts w:hint="eastAsia" w:ascii="宋体" w:hAnsi="宋体" w:eastAsia="宋体" w:cs="Arial"/>
                <w:color w:val="auto"/>
                <w:szCs w:val="21"/>
              </w:rPr>
              <w:t>中小学校普通教室照明设计安装卫生要求</w:t>
            </w:r>
            <w:r>
              <w:rPr>
                <w:rFonts w:ascii="宋体" w:hAnsi="宋体" w:eastAsia="宋体" w:cs="Arial"/>
                <w:color w:val="auto"/>
                <w:szCs w:val="21"/>
              </w:rPr>
              <w:t>》</w:t>
            </w:r>
            <w:r>
              <w:rPr>
                <w:rFonts w:hint="eastAsia" w:ascii="宋体" w:hAnsi="宋体" w:eastAsia="宋体" w:cs="Arial"/>
                <w:color w:val="auto"/>
                <w:szCs w:val="21"/>
              </w:rPr>
              <w:t>。</w:t>
            </w:r>
          </w:p>
        </w:tc>
        <w:tc>
          <w:tcPr>
            <w:tcW w:w="851" w:type="dxa"/>
            <w:vAlign w:val="center"/>
          </w:tcPr>
          <w:p>
            <w:pPr>
              <w:jc w:val="center"/>
              <w:rPr>
                <w:rFonts w:hint="default" w:eastAsia="宋体" w:cs="Arial" w:asciiTheme="minorEastAsia" w:hAnsiTheme="minorEastAsia"/>
                <w:color w:val="auto"/>
                <w:kern w:val="0"/>
                <w:sz w:val="20"/>
                <w:szCs w:val="21"/>
                <w:lang w:val="en-US" w:eastAsia="zh-CN"/>
              </w:rPr>
            </w:pPr>
          </w:p>
        </w:tc>
      </w:tr>
    </w:tbl>
    <w:p>
      <w:pPr>
        <w:pStyle w:val="3"/>
        <w:ind w:left="0" w:leftChars="0" w:firstLine="0" w:firstLineChars="0"/>
        <w:rPr>
          <w:color w:val="auto"/>
        </w:rPr>
      </w:pPr>
    </w:p>
    <w:p>
      <w:pPr>
        <w:pStyle w:val="3"/>
        <w:ind w:left="0" w:leftChars="0" w:firstLine="0" w:firstLineChars="0"/>
        <w:rPr>
          <w:rFonts w:hint="eastAsia" w:cs="Times New Roman"/>
          <w:b/>
          <w:bCs/>
          <w:color w:val="auto"/>
          <w:kern w:val="2"/>
          <w:sz w:val="24"/>
          <w:szCs w:val="24"/>
          <w:lang w:val="en-US" w:eastAsia="zh-CN" w:bidi="ar-SA"/>
        </w:rPr>
      </w:pPr>
    </w:p>
    <w:p>
      <w:pPr>
        <w:pStyle w:val="3"/>
        <w:ind w:left="0" w:leftChars="0" w:firstLine="0" w:firstLineChars="0"/>
        <w:rPr>
          <w:rFonts w:hint="eastAsia" w:cs="Times New Roman"/>
          <w:b/>
          <w:bCs/>
          <w:color w:val="auto"/>
          <w:kern w:val="2"/>
          <w:sz w:val="24"/>
          <w:szCs w:val="24"/>
          <w:lang w:val="en-US" w:eastAsia="zh-CN" w:bidi="ar-SA"/>
        </w:rPr>
      </w:pPr>
    </w:p>
    <w:p>
      <w:pPr>
        <w:pStyle w:val="3"/>
        <w:ind w:left="0" w:leftChars="0" w:firstLine="0" w:firstLineChars="0"/>
        <w:rPr>
          <w:rFonts w:hint="eastAsia" w:cs="Times New Roman"/>
          <w:b/>
          <w:bCs/>
          <w:color w:val="auto"/>
          <w:kern w:val="2"/>
          <w:sz w:val="24"/>
          <w:szCs w:val="24"/>
          <w:lang w:val="en-US" w:eastAsia="zh-CN" w:bidi="ar-SA"/>
        </w:rPr>
      </w:pPr>
    </w:p>
    <w:p>
      <w:pPr>
        <w:pStyle w:val="3"/>
        <w:ind w:left="0" w:leftChars="0" w:firstLine="0" w:firstLineChars="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各学校</w:t>
      </w:r>
      <w:r>
        <w:rPr>
          <w:rFonts w:hint="eastAsia" w:ascii="Times New Roman" w:hAnsi="Times New Roman" w:eastAsia="宋体" w:cs="Times New Roman"/>
          <w:b/>
          <w:bCs/>
          <w:color w:val="auto"/>
          <w:kern w:val="2"/>
          <w:sz w:val="24"/>
          <w:szCs w:val="24"/>
          <w:lang w:val="en-US" w:eastAsia="zh-CN" w:bidi="ar-SA"/>
        </w:rPr>
        <w:t>教室数量：</w:t>
      </w:r>
    </w:p>
    <w:tbl>
      <w:tblPr>
        <w:tblStyle w:val="4"/>
        <w:tblW w:w="9525"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3850"/>
        <w:gridCol w:w="1431"/>
        <w:gridCol w:w="1404"/>
        <w:gridCol w:w="1013"/>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学校名称</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学校类型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所属镇街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乡村校/其他校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改造教室数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昌平区燕丹学校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九年一贯制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昌平区西府冠华学校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九年一贯制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首都师范大学附属中学昌平学校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完中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北师大二附中未来科技城学校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完中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5</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昌平区北七家中心小学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乡村校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6</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平西府中心小学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乡村校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7</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平西府中心白庙小学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乡村校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8</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平西府中心东沙各庄小学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乡村校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9</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北京师范大学实验小学未来科技城学校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10</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黄城根小学昌平学校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北京市中关村二小昌平学校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北七家镇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12</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昌平一中中滩学校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东小口镇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13</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清华大学附属小学昌平学校（陈营校区）</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东小口镇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14</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昌平区霍营中心半截塔小学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东小口镇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15</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天通苑小学东小口学校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东小口镇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乡村校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16</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昌平区天通苑小学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天通苑南街道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17</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清华大学附属小学昌平学校（天通苑校区）</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小学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天通苑南街道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其他校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ZDYxNDgyM2YyODdmMmYyMjNkOGJkNDM2N2MwMzYifQ=="/>
  </w:docVars>
  <w:rsids>
    <w:rsidRoot w:val="00000000"/>
    <w:rsid w:val="0D844FB0"/>
    <w:rsid w:val="209C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sz w:val="24"/>
    </w:rPr>
  </w:style>
  <w:style w:type="paragraph" w:styleId="3">
    <w:name w:val="Body Text Indent"/>
    <w:basedOn w:val="1"/>
    <w:next w:val="2"/>
    <w:qFormat/>
    <w:uiPriority w:val="0"/>
    <w:pPr>
      <w:spacing w:line="360" w:lineRule="auto"/>
      <w:ind w:firstLine="570"/>
    </w:pPr>
    <w:rPr>
      <w:sz w:val="24"/>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3558</Words>
  <Characters>4461</Characters>
  <Lines>0</Lines>
  <Paragraphs>0</Paragraphs>
  <TotalTime>0</TotalTime>
  <ScaleCrop>false</ScaleCrop>
  <LinksUpToDate>false</LinksUpToDate>
  <CharactersWithSpaces>4513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2022-08-16T02:43:00Z</dcterms:created>
  <dc:creator>Administrator</dc:creator>
  <cp:lastModifiedBy>怎样共勉</cp:lastModifiedBy>
  <dcterms:modified xsi:type="dcterms:W3CDTF">2022-08-16T02:55:04Z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7D9566886AEA4DCA92FA8CDE4C6833CA</vt:lpwstr>
  </property>
</Properties>
</file>