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utoSpaceDE/>
        <w:autoSpaceDN/>
        <w:spacing w:before="75" w:beforeAutospacing="0" w:after="75" w:afterAutospacing="0"/>
        <w:jc w:val="center"/>
        <w:rPr>
          <w:rStyle w:val="7"/>
          <w:rFonts w:hint="eastAsia" w:ascii="仿宋" w:hAnsi="仿宋" w:eastAsia="宋体" w:cs="仿宋"/>
          <w:b w:val="0"/>
          <w:bCs w:val="0"/>
          <w:color w:val="auto"/>
          <w:sz w:val="24"/>
          <w:szCs w:val="24"/>
          <w:highlight w:val="none"/>
          <w:lang w:val="en-US" w:eastAsia="zh-CN"/>
        </w:rPr>
      </w:pPr>
      <w:r>
        <w:rPr>
          <w:rStyle w:val="7"/>
          <w:rFonts w:hint="eastAsia" w:hAnsi="宋体" w:cs="宋体"/>
          <w:b/>
          <w:bCs/>
          <w:color w:val="auto"/>
          <w:sz w:val="31"/>
          <w:szCs w:val="31"/>
          <w:highlight w:val="none"/>
          <w:lang w:eastAsia="zh-CN"/>
        </w:rPr>
        <w:t>招标公告</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single"/>
        </w:rPr>
        <w:t>泉州市中佳项目管理有限公司</w:t>
      </w:r>
      <w:r>
        <w:rPr>
          <w:rFonts w:hint="eastAsia" w:ascii="宋体" w:hAnsi="宋体" w:eastAsia="宋体" w:cs="宋体"/>
          <w:b w:val="0"/>
          <w:bCs w:val="0"/>
          <w:color w:val="auto"/>
          <w:sz w:val="24"/>
          <w:szCs w:val="24"/>
        </w:rPr>
        <w:t>受</w:t>
      </w:r>
      <w:r>
        <w:rPr>
          <w:rFonts w:hint="eastAsia" w:ascii="宋体" w:hAnsi="宋体" w:eastAsia="宋体" w:cs="宋体"/>
          <w:b w:val="0"/>
          <w:bCs w:val="0"/>
          <w:color w:val="auto"/>
          <w:sz w:val="24"/>
          <w:szCs w:val="24"/>
          <w:u w:val="single"/>
          <w:lang w:eastAsia="zh-CN"/>
        </w:rPr>
        <w:t>永春县魁星文旅发展有限公司</w:t>
      </w:r>
      <w:r>
        <w:rPr>
          <w:rFonts w:hint="eastAsia" w:ascii="宋体" w:hAnsi="宋体" w:eastAsia="宋体" w:cs="宋体"/>
          <w:b w:val="0"/>
          <w:bCs w:val="0"/>
          <w:color w:val="auto"/>
          <w:sz w:val="24"/>
          <w:szCs w:val="24"/>
        </w:rPr>
        <w:t xml:space="preserve">委托，采用 </w:t>
      </w:r>
      <w:r>
        <w:rPr>
          <w:rFonts w:hint="eastAsia" w:ascii="宋体" w:hAnsi="宋体" w:eastAsia="宋体" w:cs="宋体"/>
          <w:b w:val="0"/>
          <w:bCs w:val="0"/>
          <w:color w:val="auto"/>
          <w:sz w:val="24"/>
          <w:szCs w:val="24"/>
          <w:u w:val="single"/>
        </w:rPr>
        <w:t>公开招标</w:t>
      </w:r>
      <w:r>
        <w:rPr>
          <w:rFonts w:hint="eastAsia" w:ascii="宋体" w:hAnsi="宋体" w:eastAsia="宋体" w:cs="宋体"/>
          <w:b w:val="0"/>
          <w:bCs w:val="0"/>
          <w:color w:val="auto"/>
          <w:sz w:val="24"/>
          <w:szCs w:val="24"/>
        </w:rPr>
        <w:t xml:space="preserve"> 方式组织 </w:t>
      </w:r>
      <w:r>
        <w:rPr>
          <w:rFonts w:hint="eastAsia" w:ascii="宋体" w:hAnsi="宋体" w:eastAsia="宋体" w:cs="宋体"/>
          <w:b w:val="0"/>
          <w:bCs w:val="0"/>
          <w:color w:val="auto"/>
          <w:sz w:val="24"/>
          <w:szCs w:val="24"/>
          <w:u w:val="single"/>
          <w:lang w:eastAsia="zh-CN"/>
        </w:rPr>
        <w:t>魁星岩·星宿文化亲子研学景区修建性详细规划及魁星书院施工图设计服务采购项目</w:t>
      </w:r>
      <w:r>
        <w:rPr>
          <w:rFonts w:hint="eastAsia" w:ascii="宋体" w:hAnsi="宋体" w:eastAsia="宋体" w:cs="宋体"/>
          <w:b w:val="0"/>
          <w:bCs w:val="0"/>
          <w:color w:val="auto"/>
          <w:sz w:val="24"/>
          <w:szCs w:val="24"/>
        </w:rPr>
        <w:t>（以下简称：“本项目”）的招标活动，现邀请各投标人参加投标。</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1、招标编号：</w:t>
      </w:r>
      <w:r>
        <w:rPr>
          <w:rFonts w:hint="eastAsia" w:ascii="宋体" w:hAnsi="宋体" w:eastAsia="宋体" w:cs="宋体"/>
          <w:b w:val="0"/>
          <w:bCs w:val="0"/>
          <w:color w:val="auto"/>
          <w:sz w:val="24"/>
          <w:szCs w:val="24"/>
          <w:u w:val="single"/>
        </w:rPr>
        <w:t xml:space="preserve">QZZJCG2022029 </w:t>
      </w:r>
      <w:r>
        <w:rPr>
          <w:rFonts w:hint="eastAsia" w:ascii="宋体" w:hAnsi="宋体" w:eastAsia="宋体" w:cs="宋体"/>
          <w:b w:val="0"/>
          <w:bCs w:val="0"/>
          <w:color w:val="auto"/>
          <w:sz w:val="24"/>
          <w:szCs w:val="24"/>
        </w:rPr>
        <w:t>。</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2、预算金额、最高限价：详见《</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标的一览表》。</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3、招标内容及要求：详见《</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标的一览表》及招标文件第五章。</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4、需要落实的采购政策:信用记录，适用于（本项目），按照下列规定执行：（1）投标人应在招标文件要求的截止时点前分别通过“信用中国”网站</w:t>
      </w:r>
      <w:r>
        <w:rPr>
          <w:rFonts w:hint="eastAsia" w:ascii="宋体" w:hAnsi="宋体" w:eastAsia="宋体" w:cs="宋体"/>
          <w:b w:val="0"/>
          <w:bCs w:val="0"/>
          <w:color w:val="auto"/>
          <w:spacing w:val="-20"/>
          <w:sz w:val="24"/>
          <w:szCs w:val="24"/>
        </w:rPr>
        <w:t>（www.creditchina.gov.cn）</w:t>
      </w:r>
      <w:r>
        <w:rPr>
          <w:rFonts w:hint="eastAsia" w:ascii="宋体" w:hAnsi="宋体" w:eastAsia="宋体" w:cs="宋体"/>
          <w:b w:val="0"/>
          <w:bCs w:val="0"/>
          <w:color w:val="auto"/>
          <w:sz w:val="24"/>
          <w:szCs w:val="24"/>
        </w:rPr>
        <w:t>、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bookmarkStart w:id="0" w:name="_GoBack"/>
      <w:bookmarkEnd w:id="0"/>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5、投标人的资格要求</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5.1法定条件：符合采购法第二十二条规定的条件。</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5.2特定条件：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69" w:type="dxa"/>
            <w:noWrap w:val="0"/>
            <w:vAlign w:val="center"/>
          </w:tcPr>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明  细</w:t>
            </w:r>
          </w:p>
        </w:tc>
        <w:tc>
          <w:tcPr>
            <w:tcW w:w="7479" w:type="dxa"/>
            <w:noWrap w:val="0"/>
            <w:vAlign w:val="center"/>
          </w:tcPr>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jc w:val="left"/>
              <w:textAlignment w:val="top"/>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t>招标文件规定的其他资格证明文件</w:t>
            </w:r>
          </w:p>
        </w:tc>
        <w:tc>
          <w:tcPr>
            <w:tcW w:w="7479" w:type="dxa"/>
            <w:noWrap w:val="0"/>
            <w:vAlign w:val="top"/>
          </w:tcPr>
          <w:p>
            <w:pPr>
              <w:keepNext w:val="0"/>
              <w:keepLines w:val="0"/>
              <w:pageBreakBefore w:val="0"/>
              <w:widowControl/>
              <w:numPr>
                <w:ilvl w:val="0"/>
                <w:numId w:val="1"/>
              </w:numPr>
              <w:kinsoku/>
              <w:wordWrap/>
              <w:overflowPunct/>
              <w:topLinePunct w:val="0"/>
              <w:autoSpaceDE w:val="0"/>
              <w:autoSpaceDN w:val="0"/>
              <w:bidi w:val="0"/>
              <w:adjustRightInd/>
              <w:snapToGrid/>
              <w:spacing w:beforeAutospacing="0" w:afterAutospacing="0" w:line="360" w:lineRule="auto"/>
              <w:ind w:right="0" w:rightChars="0"/>
              <w:jc w:val="left"/>
              <w:textAlignment w:val="top"/>
              <w:rPr>
                <w:rFonts w:hint="eastAsia"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须具备城乡规划编制乙级及以上资质。（2）投标人须具有[工程设计综合甲级资质]或者[工程设计建筑行业乙级及以上]或者[工程设计建筑行业（建筑工程）专业乙级及以上]资质。</w:t>
            </w:r>
          </w:p>
          <w:p>
            <w:pPr>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right="0" w:rightChars="0"/>
              <w:jc w:val="left"/>
              <w:textAlignment w:val="top"/>
              <w:rPr>
                <w:rFonts w:hint="eastAsia" w:ascii="宋体" w:hAnsi="宋体" w:eastAsia="宋体" w:cs="宋体"/>
                <w:color w:val="auto"/>
                <w:sz w:val="24"/>
              </w:rPr>
            </w:pPr>
            <w:r>
              <w:rPr>
                <w:rFonts w:hint="eastAsia"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提供的相应证明材料复印件均应符合：内容完整、清晰、整洁，并由投标人加盖其单位公章。</w:t>
            </w:r>
          </w:p>
        </w:tc>
      </w:tr>
    </w:tbl>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right="0" w:rightChars="0" w:firstLine="480" w:firstLineChars="200"/>
        <w:jc w:val="left"/>
        <w:rPr>
          <w:rStyle w:val="7"/>
          <w:rFonts w:hint="eastAsia" w:ascii="宋体" w:hAnsi="宋体" w:eastAsia="宋体" w:cs="宋体"/>
          <w:b w:val="0"/>
          <w:color w:val="auto"/>
          <w:kern w:val="0"/>
          <w:sz w:val="24"/>
          <w:szCs w:val="24"/>
          <w:lang w:val="en-US" w:eastAsia="zh-CN" w:bidi="ar-SA"/>
        </w:rPr>
      </w:pPr>
      <w:r>
        <w:rPr>
          <w:rStyle w:val="7"/>
          <w:rFonts w:hint="eastAsia" w:ascii="宋体" w:hAnsi="宋体" w:eastAsia="宋体" w:cs="宋体"/>
          <w:b w:val="0"/>
          <w:color w:val="auto"/>
          <w:kern w:val="0"/>
          <w:sz w:val="24"/>
          <w:szCs w:val="24"/>
          <w:lang w:val="en-US" w:eastAsia="zh-CN" w:bidi="ar-SA"/>
        </w:rPr>
        <w:t>5.3是否接受联合体投标：</w:t>
      </w:r>
      <w:r>
        <w:rPr>
          <w:rStyle w:val="7"/>
          <w:rFonts w:hint="eastAsia" w:hAnsi="宋体" w:cs="宋体"/>
          <w:b w:val="0"/>
          <w:color w:val="auto"/>
          <w:kern w:val="0"/>
          <w:sz w:val="24"/>
          <w:szCs w:val="24"/>
          <w:lang w:val="en-US" w:eastAsia="zh-CN" w:bidi="ar-SA"/>
        </w:rPr>
        <w:t>不</w:t>
      </w:r>
      <w:r>
        <w:rPr>
          <w:rStyle w:val="7"/>
          <w:rFonts w:hint="eastAsia" w:ascii="宋体" w:hAnsi="宋体" w:eastAsia="宋体" w:cs="宋体"/>
          <w:b w:val="0"/>
          <w:color w:val="auto"/>
          <w:kern w:val="0"/>
          <w:sz w:val="24"/>
          <w:szCs w:val="24"/>
          <w:lang w:val="en-US" w:eastAsia="zh-CN" w:bidi="ar-SA"/>
        </w:rPr>
        <w:t>接受。</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jc w:val="both"/>
        <w:rPr>
          <w:rFonts w:hint="eastAsia" w:ascii="宋体" w:hAnsi="宋体" w:eastAsia="宋体" w:cs="宋体"/>
          <w:color w:val="auto"/>
        </w:rPr>
      </w:pPr>
      <w:r>
        <w:rPr>
          <w:rStyle w:val="7"/>
          <w:rFonts w:hint="eastAsia" w:ascii="宋体" w:hAnsi="宋体" w:eastAsia="宋体" w:cs="宋体"/>
          <w:b w:val="0"/>
          <w:color w:val="auto"/>
        </w:rPr>
        <w:t>※根据上述资格要求，投标文件中应提交的“投标人的资格及资信证明文件”详见招标文件第四章。</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6、详见招标公告或更正公告（若有），若不一致，以更正公告（若有）为准。</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7、招标文件的获取：凡有意参加投标者，请于2022年</w:t>
      </w:r>
      <w:r>
        <w:rPr>
          <w:rFonts w:hint="eastAsia" w:hAnsi="宋体" w:cs="宋体"/>
          <w:b w:val="0"/>
          <w:bCs/>
          <w:color w:val="auto"/>
          <w:szCs w:val="24"/>
          <w:highlight w:val="none"/>
          <w:lang w:val="en-US" w:eastAsia="zh-CN"/>
        </w:rPr>
        <w:t>8</w:t>
      </w:r>
      <w:r>
        <w:rPr>
          <w:rFonts w:hint="eastAsia" w:hAnsi="宋体" w:cs="宋体"/>
          <w:b w:val="0"/>
          <w:bCs/>
          <w:color w:val="auto"/>
          <w:szCs w:val="24"/>
          <w:highlight w:val="none"/>
        </w:rPr>
        <w:t>月</w:t>
      </w:r>
      <w:r>
        <w:rPr>
          <w:rFonts w:hint="eastAsia" w:hAnsi="宋体" w:cs="宋体"/>
          <w:b w:val="0"/>
          <w:bCs/>
          <w:color w:val="auto"/>
          <w:szCs w:val="24"/>
          <w:highlight w:val="none"/>
          <w:lang w:val="en-US" w:eastAsia="zh-CN"/>
        </w:rPr>
        <w:t>17</w:t>
      </w:r>
      <w:r>
        <w:rPr>
          <w:rFonts w:hint="eastAsia" w:hAnsi="宋体" w:cs="宋体"/>
          <w:b w:val="0"/>
          <w:bCs/>
          <w:color w:val="auto"/>
          <w:szCs w:val="24"/>
          <w:highlight w:val="none"/>
        </w:rPr>
        <w:t>日至2022年</w:t>
      </w:r>
      <w:r>
        <w:rPr>
          <w:rFonts w:hint="eastAsia" w:hAnsi="宋体" w:cs="宋体"/>
          <w:b w:val="0"/>
          <w:bCs/>
          <w:color w:val="auto"/>
          <w:szCs w:val="24"/>
          <w:highlight w:val="none"/>
          <w:lang w:val="en-US" w:eastAsia="zh-CN"/>
        </w:rPr>
        <w:t>8</w:t>
      </w:r>
      <w:r>
        <w:rPr>
          <w:rFonts w:hint="eastAsia" w:hAnsi="宋体" w:cs="宋体"/>
          <w:b w:val="0"/>
          <w:bCs/>
          <w:color w:val="auto"/>
          <w:szCs w:val="24"/>
          <w:highlight w:val="none"/>
        </w:rPr>
        <w:t>月</w:t>
      </w:r>
      <w:r>
        <w:rPr>
          <w:rFonts w:hint="eastAsia" w:hAnsi="宋体" w:cs="宋体"/>
          <w:b w:val="0"/>
          <w:bCs/>
          <w:color w:val="auto"/>
          <w:szCs w:val="24"/>
          <w:highlight w:val="none"/>
          <w:lang w:val="en-US" w:eastAsia="zh-CN"/>
        </w:rPr>
        <w:t>23</w:t>
      </w:r>
      <w:r>
        <w:rPr>
          <w:rFonts w:hint="eastAsia" w:hAnsi="宋体" w:cs="宋体"/>
          <w:b w:val="0"/>
          <w:bCs/>
          <w:color w:val="auto"/>
          <w:szCs w:val="24"/>
          <w:highlight w:val="none"/>
        </w:rPr>
        <w:t>日北京时间8:</w:t>
      </w:r>
      <w:r>
        <w:rPr>
          <w:rFonts w:hint="eastAsia" w:hAnsi="宋体" w:cs="宋体"/>
          <w:b w:val="0"/>
          <w:bCs/>
          <w:color w:val="auto"/>
          <w:szCs w:val="24"/>
          <w:highlight w:val="none"/>
          <w:lang w:val="en-US" w:eastAsia="zh-CN"/>
        </w:rPr>
        <w:t>3</w:t>
      </w:r>
      <w:r>
        <w:rPr>
          <w:rFonts w:hint="eastAsia" w:hAnsi="宋体" w:cs="宋体"/>
          <w:b w:val="0"/>
          <w:bCs/>
          <w:color w:val="auto"/>
          <w:szCs w:val="24"/>
          <w:highlight w:val="none"/>
        </w:rPr>
        <w:t>0-12:00，14:30-1</w:t>
      </w:r>
      <w:r>
        <w:rPr>
          <w:rFonts w:hint="eastAsia" w:hAnsi="宋体" w:cs="宋体"/>
          <w:b w:val="0"/>
          <w:bCs/>
          <w:color w:val="auto"/>
          <w:szCs w:val="24"/>
          <w:highlight w:val="none"/>
          <w:lang w:val="en-US" w:eastAsia="zh-CN"/>
        </w:rPr>
        <w:t>8</w:t>
      </w:r>
      <w:r>
        <w:rPr>
          <w:rFonts w:hint="eastAsia" w:hAnsi="宋体" w:cs="宋体"/>
          <w:b w:val="0"/>
          <w:bCs/>
          <w:color w:val="auto"/>
          <w:szCs w:val="24"/>
          <w:highlight w:val="none"/>
        </w:rPr>
        <w:t>:</w:t>
      </w:r>
      <w:r>
        <w:rPr>
          <w:rFonts w:hint="eastAsia" w:hAnsi="宋体" w:cs="宋体"/>
          <w:b w:val="0"/>
          <w:bCs/>
          <w:color w:val="auto"/>
          <w:szCs w:val="24"/>
          <w:highlight w:val="none"/>
          <w:lang w:val="en-US" w:eastAsia="zh-CN"/>
        </w:rPr>
        <w:t>0</w:t>
      </w:r>
      <w:r>
        <w:rPr>
          <w:rFonts w:hint="eastAsia" w:hAnsi="宋体" w:cs="宋体"/>
          <w:b w:val="0"/>
          <w:bCs/>
          <w:color w:val="auto"/>
          <w:szCs w:val="24"/>
          <w:highlight w:val="none"/>
        </w:rPr>
        <w:t>0（节假日休息），按下述地址到泉州市中佳项目管理有限公司（地址：泉州市丰泽区安吉路星光耀广场14号楼411、412</w:t>
      </w:r>
      <w:r>
        <w:rPr>
          <w:rFonts w:hint="eastAsia" w:hAnsi="宋体" w:cs="宋体"/>
          <w:b w:val="0"/>
          <w:bCs/>
          <w:color w:val="auto"/>
          <w:szCs w:val="24"/>
          <w:highlight w:val="none"/>
          <w:lang w:eastAsia="zh-CN"/>
        </w:rPr>
        <w:t>、</w:t>
      </w:r>
      <w:r>
        <w:rPr>
          <w:rFonts w:hint="eastAsia" w:hAnsi="宋体" w:cs="宋体"/>
          <w:b w:val="0"/>
          <w:bCs/>
          <w:color w:val="auto"/>
          <w:szCs w:val="24"/>
          <w:highlight w:val="none"/>
          <w:lang w:val="en-US" w:eastAsia="zh-CN"/>
        </w:rPr>
        <w:t>413</w:t>
      </w:r>
      <w:r>
        <w:rPr>
          <w:rFonts w:hint="eastAsia" w:hAnsi="宋体" w:cs="宋体"/>
          <w:b w:val="0"/>
          <w:bCs/>
          <w:color w:val="auto"/>
          <w:szCs w:val="24"/>
          <w:highlight w:val="none"/>
        </w:rPr>
        <w:t>室）购买招标文件，招标文件售价人民币300元。招标文件一经出售，谢绝退还，未购买招标文件的投标人，其投标将被拒绝。</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8、投标截止时间、开标时间及地点</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8.1投标截止时间：2022年</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月</w:t>
      </w:r>
      <w:r>
        <w:rPr>
          <w:rFonts w:hint="eastAsia" w:hAnsi="宋体" w:cs="宋体"/>
          <w:b w:val="0"/>
          <w:bCs/>
          <w:color w:val="auto"/>
          <w:szCs w:val="24"/>
          <w:highlight w:val="none"/>
          <w:lang w:val="en-US" w:eastAsia="zh-CN"/>
        </w:rPr>
        <w:t>5</w:t>
      </w:r>
      <w:r>
        <w:rPr>
          <w:rFonts w:hint="eastAsia" w:hAnsi="宋体" w:cs="宋体"/>
          <w:b w:val="0"/>
          <w:bCs/>
          <w:color w:val="auto"/>
          <w:szCs w:val="24"/>
          <w:highlight w:val="none"/>
        </w:rPr>
        <w:t>日上午09：30时（北京时间）前提交到泉州市中佳项目管理有限公司，逾期收到的或不符合规定的投标文件将被拒绝。</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8.2开标时间：2022年</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月</w:t>
      </w:r>
      <w:r>
        <w:rPr>
          <w:rFonts w:hint="eastAsia" w:hAnsi="宋体" w:cs="宋体"/>
          <w:b w:val="0"/>
          <w:bCs/>
          <w:color w:val="auto"/>
          <w:szCs w:val="24"/>
          <w:highlight w:val="none"/>
          <w:lang w:val="en-US" w:eastAsia="zh-CN"/>
        </w:rPr>
        <w:t>5</w:t>
      </w:r>
      <w:r>
        <w:rPr>
          <w:rFonts w:hint="eastAsia" w:hAnsi="宋体" w:cs="宋体"/>
          <w:b w:val="0"/>
          <w:bCs/>
          <w:color w:val="auto"/>
          <w:szCs w:val="24"/>
          <w:highlight w:val="none"/>
        </w:rPr>
        <w:t>日上午09：30时（北京时间）。</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8.3递交投标文件及开标地点：泉州市中佳项目管理有限公司（地址：泉州市丰泽区安吉路星光耀广场14号楼411、412</w:t>
      </w:r>
      <w:r>
        <w:rPr>
          <w:rFonts w:hint="eastAsia" w:hAnsi="宋体" w:cs="宋体"/>
          <w:b w:val="0"/>
          <w:bCs/>
          <w:color w:val="auto"/>
          <w:szCs w:val="24"/>
          <w:highlight w:val="none"/>
          <w:lang w:eastAsia="zh-CN"/>
        </w:rPr>
        <w:t>、</w:t>
      </w:r>
      <w:r>
        <w:rPr>
          <w:rFonts w:hint="eastAsia" w:hAnsi="宋体" w:cs="宋体"/>
          <w:b w:val="0"/>
          <w:bCs/>
          <w:color w:val="auto"/>
          <w:szCs w:val="24"/>
          <w:highlight w:val="none"/>
          <w:lang w:val="en-US" w:eastAsia="zh-CN"/>
        </w:rPr>
        <w:t>413</w:t>
      </w:r>
      <w:r>
        <w:rPr>
          <w:rFonts w:hint="eastAsia" w:hAnsi="宋体" w:cs="宋体"/>
          <w:b w:val="0"/>
          <w:bCs/>
          <w:color w:val="auto"/>
          <w:szCs w:val="24"/>
          <w:highlight w:val="none"/>
        </w:rPr>
        <w:t>室）。</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9、公告期限</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9.1招标公告的公告期限：发布公告之日起 5 个工作日。</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9.2招标文件公告期限：发布公告之日起 5 个工作日。</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10、根据《中华人民共和国政府采购法》第五十二条规定，供应商认为采购文件、采购过程和中标结果使自己的权益受到损害的，可根据中华人民共和国国务院令第658号令《中华人民共和国政府采购法实施条例》第五十三条提出质疑：对采购文件质疑的，可以在收到采购文件之日或者采购文件公告期限届满之日起七个工作日内提出；对采购过程质疑的，可以在各采购程序环节结束之日起七个工作日内提出；对中标结果质疑的，可以在中标结果公告期限届满之日起七个工作日内提出；均以书面形式向采购人提出质疑澄清，口头质疑不予接受。</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11、有关本项目招标的相关信息（包括采购文件若有修改）都将在中国政府采购网（http://www.ccgp.gov.cn/等）上公布，不作另行通知，一经公告视为所有</w:t>
      </w:r>
      <w:r>
        <w:rPr>
          <w:rFonts w:hint="eastAsia" w:hAnsi="宋体" w:cs="宋体"/>
          <w:b w:val="0"/>
          <w:bCs/>
          <w:color w:val="auto"/>
          <w:szCs w:val="24"/>
          <w:highlight w:val="none"/>
          <w:lang w:eastAsia="zh-CN"/>
        </w:rPr>
        <w:t>投标人</w:t>
      </w:r>
      <w:r>
        <w:rPr>
          <w:rFonts w:hint="eastAsia" w:hAnsi="宋体" w:cs="宋体"/>
          <w:b w:val="0"/>
          <w:bCs/>
          <w:color w:val="auto"/>
          <w:szCs w:val="24"/>
          <w:highlight w:val="none"/>
        </w:rPr>
        <w:t>已知悉相关消息，请潜在投标人随时关注相关网站，以免错漏重要信息。</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cs="宋体"/>
          <w:b w:val="0"/>
          <w:bCs/>
          <w:color w:val="auto"/>
          <w:szCs w:val="24"/>
          <w:highlight w:val="none"/>
        </w:rPr>
      </w:pP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cs="宋体"/>
          <w:b w:val="0"/>
          <w:bCs/>
          <w:color w:val="auto"/>
          <w:szCs w:val="24"/>
          <w:highlight w:val="none"/>
          <w:lang w:eastAsia="zh-CN"/>
        </w:rPr>
      </w:pPr>
      <w:r>
        <w:rPr>
          <w:rFonts w:hint="eastAsia" w:hAnsi="宋体" w:cs="宋体"/>
          <w:b w:val="0"/>
          <w:bCs/>
          <w:color w:val="auto"/>
          <w:szCs w:val="24"/>
          <w:highlight w:val="none"/>
        </w:rPr>
        <w:t>12、采购人：</w:t>
      </w:r>
      <w:r>
        <w:rPr>
          <w:rFonts w:hint="eastAsia" w:hAnsi="宋体" w:cs="宋体"/>
          <w:b w:val="0"/>
          <w:bCs/>
          <w:color w:val="auto"/>
          <w:szCs w:val="24"/>
          <w:highlight w:val="none"/>
          <w:lang w:eastAsia="zh-CN"/>
        </w:rPr>
        <w:t>永春县魁星文旅发展有限公司</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eastAsia="宋体" w:cs="宋体"/>
          <w:b w:val="0"/>
          <w:bCs/>
          <w:color w:val="auto"/>
          <w:szCs w:val="24"/>
          <w:highlight w:val="none"/>
          <w:lang w:eastAsia="zh-CN"/>
        </w:rPr>
      </w:pPr>
      <w:r>
        <w:rPr>
          <w:rFonts w:hint="eastAsia" w:hAnsi="宋体" w:cs="宋体"/>
          <w:b w:val="0"/>
          <w:bCs/>
          <w:color w:val="auto"/>
          <w:szCs w:val="24"/>
          <w:highlight w:val="none"/>
        </w:rPr>
        <w:t>联系人：</w:t>
      </w:r>
      <w:r>
        <w:rPr>
          <w:rFonts w:hint="eastAsia" w:hAnsi="宋体" w:cs="宋体"/>
          <w:b w:val="0"/>
          <w:bCs/>
          <w:color w:val="auto"/>
          <w:szCs w:val="24"/>
          <w:highlight w:val="none"/>
          <w:lang w:eastAsia="zh-CN"/>
        </w:rPr>
        <w:t>许先生</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eastAsia="宋体" w:cs="宋体"/>
          <w:b w:val="0"/>
          <w:bCs/>
          <w:color w:val="auto"/>
          <w:szCs w:val="24"/>
          <w:highlight w:val="none"/>
          <w:lang w:eastAsia="zh-CN"/>
        </w:rPr>
      </w:pPr>
      <w:r>
        <w:rPr>
          <w:rFonts w:hint="eastAsia" w:hAnsi="宋体" w:cs="宋体"/>
          <w:b w:val="0"/>
          <w:bCs/>
          <w:color w:val="auto"/>
          <w:szCs w:val="24"/>
          <w:highlight w:val="none"/>
        </w:rPr>
        <w:t>地址：</w:t>
      </w:r>
      <w:r>
        <w:rPr>
          <w:rFonts w:hint="eastAsia" w:hAnsi="宋体" w:cs="宋体"/>
          <w:b w:val="0"/>
          <w:bCs/>
          <w:color w:val="auto"/>
          <w:szCs w:val="24"/>
          <w:highlight w:val="none"/>
          <w:lang w:eastAsia="zh-CN"/>
        </w:rPr>
        <w:t>永春县</w:t>
      </w:r>
      <w:r>
        <w:rPr>
          <w:rFonts w:hint="eastAsia" w:hAnsi="宋体" w:cs="宋体"/>
          <w:b w:val="0"/>
          <w:bCs/>
          <w:color w:val="auto"/>
          <w:szCs w:val="24"/>
          <w:highlight w:val="none"/>
          <w:lang w:val="en-US" w:eastAsia="zh-CN"/>
        </w:rPr>
        <w:t>石鼓镇石鼓社区270号209室</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cs="宋体"/>
          <w:b w:val="0"/>
          <w:bCs/>
          <w:color w:val="auto"/>
          <w:szCs w:val="24"/>
          <w:highlight w:val="none"/>
          <w:lang w:val="en-US" w:eastAsia="zh-CN"/>
        </w:rPr>
      </w:pPr>
      <w:r>
        <w:rPr>
          <w:rFonts w:hint="eastAsia" w:hAnsi="宋体" w:cs="宋体"/>
          <w:b w:val="0"/>
          <w:bCs/>
          <w:color w:val="auto"/>
          <w:szCs w:val="24"/>
          <w:highlight w:val="none"/>
        </w:rPr>
        <w:t>联系方法：0595-</w:t>
      </w:r>
      <w:r>
        <w:rPr>
          <w:rFonts w:hint="eastAsia" w:hAnsi="宋体" w:cs="宋体"/>
          <w:b w:val="0"/>
          <w:bCs/>
          <w:color w:val="auto"/>
          <w:szCs w:val="24"/>
          <w:highlight w:val="none"/>
          <w:lang w:val="en-US" w:eastAsia="zh-CN"/>
        </w:rPr>
        <w:t>23822002</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代理机构：泉州市中佳项目管理有限公司</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eastAsia="宋体" w:cs="宋体"/>
          <w:b w:val="0"/>
          <w:bCs/>
          <w:color w:val="auto"/>
          <w:szCs w:val="24"/>
          <w:highlight w:val="none"/>
          <w:lang w:eastAsia="zh-CN"/>
        </w:rPr>
      </w:pPr>
      <w:r>
        <w:rPr>
          <w:rFonts w:hint="eastAsia" w:hAnsi="宋体" w:cs="宋体"/>
          <w:b w:val="0"/>
          <w:bCs/>
          <w:color w:val="auto"/>
          <w:szCs w:val="24"/>
          <w:highlight w:val="none"/>
        </w:rPr>
        <w:t>联系人：小</w:t>
      </w:r>
      <w:r>
        <w:rPr>
          <w:rFonts w:hint="eastAsia" w:hAnsi="宋体" w:cs="宋体"/>
          <w:b w:val="0"/>
          <w:bCs/>
          <w:color w:val="auto"/>
          <w:szCs w:val="24"/>
          <w:highlight w:val="none"/>
          <w:lang w:eastAsia="zh-CN"/>
        </w:rPr>
        <w:t>张</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Ansi="宋体" w:cs="宋体"/>
          <w:b w:val="0"/>
          <w:bCs/>
          <w:color w:val="auto"/>
          <w:szCs w:val="24"/>
          <w:highlight w:val="none"/>
        </w:rPr>
      </w:pPr>
      <w:r>
        <w:rPr>
          <w:rFonts w:hint="eastAsia" w:hAnsi="宋体" w:cs="宋体"/>
          <w:b w:val="0"/>
          <w:bCs/>
          <w:color w:val="auto"/>
          <w:szCs w:val="24"/>
          <w:highlight w:val="none"/>
        </w:rPr>
        <w:t>地址：泉州市丰泽区安吉路星光耀广场14号楼411、412</w:t>
      </w:r>
      <w:r>
        <w:rPr>
          <w:rFonts w:hint="eastAsia" w:hAnsi="宋体" w:cs="宋体"/>
          <w:b w:val="0"/>
          <w:bCs/>
          <w:color w:val="auto"/>
          <w:szCs w:val="24"/>
          <w:highlight w:val="none"/>
          <w:lang w:eastAsia="zh-CN"/>
        </w:rPr>
        <w:t>、</w:t>
      </w:r>
      <w:r>
        <w:rPr>
          <w:rFonts w:hint="eastAsia" w:hAnsi="宋体" w:cs="宋体"/>
          <w:b w:val="0"/>
          <w:bCs/>
          <w:color w:val="auto"/>
          <w:szCs w:val="24"/>
          <w:highlight w:val="none"/>
          <w:lang w:val="en-US" w:eastAsia="zh-CN"/>
        </w:rPr>
        <w:t>413</w:t>
      </w:r>
      <w:r>
        <w:rPr>
          <w:rFonts w:hint="eastAsia" w:hAnsi="宋体" w:cs="宋体"/>
          <w:b w:val="0"/>
          <w:bCs/>
          <w:color w:val="auto"/>
          <w:szCs w:val="24"/>
          <w:highlight w:val="none"/>
        </w:rPr>
        <w:t>室</w:t>
      </w:r>
    </w:p>
    <w:p>
      <w:pPr>
        <w:pStyle w:val="4"/>
        <w:keepNext w:val="0"/>
        <w:keepLines w:val="0"/>
        <w:pageBreakBefore w:val="0"/>
        <w:widowControl/>
        <w:kinsoku/>
        <w:wordWrap/>
        <w:overflowPunct/>
        <w:topLinePunct w:val="0"/>
        <w:autoSpaceDE w:val="0"/>
        <w:autoSpaceDN w:val="0"/>
        <w:bidi w:val="0"/>
        <w:adjustRightInd/>
        <w:snapToGrid/>
        <w:spacing w:beforeAutospacing="0" w:afterAutospacing="0" w:line="360" w:lineRule="auto"/>
        <w:ind w:right="0" w:rightChars="0" w:firstLine="480"/>
        <w:rPr>
          <w:rFonts w:hint="eastAsia" w:hAnsi="宋体"/>
          <w:color w:val="auto"/>
          <w:szCs w:val="24"/>
        </w:rPr>
      </w:pPr>
      <w:r>
        <w:rPr>
          <w:rFonts w:hint="eastAsia" w:hAnsi="宋体" w:cs="宋体"/>
          <w:b w:val="0"/>
          <w:bCs/>
          <w:color w:val="auto"/>
          <w:szCs w:val="24"/>
          <w:highlight w:val="none"/>
        </w:rPr>
        <w:t>联系方法：0595-22578088、15159507988</w:t>
      </w:r>
    </w:p>
    <w:p>
      <w:pPr>
        <w:rPr>
          <w:rFonts w:hint="eastAsia" w:hAnsi="宋体"/>
          <w:color w:val="auto"/>
          <w:szCs w:val="24"/>
        </w:rPr>
      </w:pPr>
    </w:p>
    <w:p>
      <w:pPr>
        <w:rPr>
          <w:rFonts w:hAnsi="宋体"/>
          <w:color w:val="auto"/>
          <w:szCs w:val="24"/>
        </w:rPr>
      </w:pPr>
      <w:r>
        <w:rPr>
          <w:rFonts w:hint="eastAsia" w:hAnsi="宋体"/>
          <w:color w:val="auto"/>
          <w:szCs w:val="24"/>
        </w:rPr>
        <w:t>附1：账户信息</w:t>
      </w:r>
    </w:p>
    <w:tbl>
      <w:tblPr>
        <w:tblStyle w:val="5"/>
        <w:tblW w:w="88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80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jc w:val="center"/>
              <w:rPr>
                <w:b w:val="0"/>
                <w:bCs/>
                <w:color w:val="auto"/>
              </w:rPr>
            </w:pPr>
            <w:r>
              <w:rPr>
                <w:rStyle w:val="7"/>
                <w:rFonts w:hint="eastAsia" w:hAnsi="宋体" w:cs="宋体"/>
                <w:b w:val="0"/>
                <w:bCs/>
                <w:color w:val="auto"/>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pacing w:beforeAutospacing="0" w:afterAutospacing="0"/>
              <w:rPr>
                <w:b w:val="0"/>
                <w:bCs/>
                <w:color w:val="auto"/>
              </w:rPr>
            </w:pPr>
            <w:r>
              <w:rPr>
                <w:rFonts w:hint="eastAsia" w:hAnsi="宋体" w:cs="宋体"/>
                <w:b w:val="0"/>
                <w:bCs/>
                <w:color w:val="auto"/>
                <w:szCs w:val="24"/>
              </w:rPr>
              <w:t>开户名称：</w:t>
            </w:r>
            <w:r>
              <w:rPr>
                <w:rFonts w:hint="eastAsia" w:hAnsi="宋体" w:cs="宋体"/>
                <w:b w:val="0"/>
                <w:bCs/>
                <w:color w:val="auto"/>
                <w:szCs w:val="24"/>
                <w:shd w:val="clear" w:color="auto" w:fill="FFFFFF"/>
              </w:rPr>
              <w:t>泉州市中佳项目管理有限公司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pacing w:beforeAutospacing="0" w:afterAutospacing="0"/>
              <w:rPr>
                <w:b w:val="0"/>
                <w:bCs/>
                <w:color w:val="auto"/>
              </w:rPr>
            </w:pPr>
            <w:r>
              <w:rPr>
                <w:rFonts w:hint="eastAsia" w:hAnsi="宋体" w:cs="宋体"/>
                <w:b w:val="0"/>
                <w:bCs/>
                <w:color w:val="auto"/>
                <w:szCs w:val="24"/>
              </w:rPr>
              <w:t>开户银行：中国工商银行股份有限公司泉州安吉路支行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pacing w:beforeAutospacing="0" w:afterAutospacing="0"/>
              <w:rPr>
                <w:b w:val="0"/>
                <w:bCs/>
                <w:color w:val="auto"/>
              </w:rPr>
            </w:pPr>
            <w:r>
              <w:rPr>
                <w:rFonts w:hint="eastAsia" w:hAnsi="宋体" w:cs="宋体"/>
                <w:b w:val="0"/>
                <w:bCs/>
                <w:color w:val="auto"/>
                <w:szCs w:val="24"/>
              </w:rPr>
              <w:t>银行账号：1408051419100013862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widowControl/>
              <w:spacing w:beforeAutospacing="0" w:afterAutospacing="0"/>
              <w:jc w:val="center"/>
              <w:rPr>
                <w:b w:val="0"/>
                <w:bCs/>
                <w:color w:val="auto"/>
              </w:rPr>
            </w:pPr>
            <w:r>
              <w:rPr>
                <w:rStyle w:val="7"/>
                <w:rFonts w:hint="eastAsia" w:hAnsi="宋体" w:cs="宋体"/>
                <w:b w:val="0"/>
                <w:bCs/>
                <w:color w:val="auto"/>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8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pacing w:beforeAutospacing="0" w:afterAutospacing="0"/>
              <w:rPr>
                <w:b w:val="0"/>
                <w:bCs/>
                <w:color w:val="auto"/>
              </w:rPr>
            </w:pPr>
            <w:r>
              <w:rPr>
                <w:rFonts w:hint="eastAsia" w:hAnsi="宋体" w:cs="宋体"/>
                <w:b w:val="0"/>
                <w:bCs/>
                <w:color w:val="auto"/>
                <w:szCs w:val="24"/>
              </w:rPr>
              <w:t>1、投标人应认真核对账户信息，将投标保证金汇入以上账户，并自行承担因汇错投标保证金而产生的一切后果。</w:t>
            </w:r>
          </w:p>
          <w:p>
            <w:pPr>
              <w:pStyle w:val="4"/>
              <w:widowControl/>
              <w:spacing w:beforeAutospacing="0" w:afterAutospacing="0"/>
              <w:rPr>
                <w:rFonts w:hAnsi="宋体"/>
                <w:b w:val="0"/>
                <w:bCs/>
                <w:color w:val="auto"/>
                <w:szCs w:val="24"/>
              </w:rPr>
            </w:pPr>
            <w:r>
              <w:rPr>
                <w:rFonts w:hint="eastAsia" w:hAnsi="宋体" w:cs="宋体"/>
                <w:b w:val="0"/>
                <w:bCs/>
                <w:color w:val="auto"/>
                <w:szCs w:val="24"/>
              </w:rPr>
              <w:t>2、投标人在转账或电汇的凭证上应按照以下格式注明，以便核对：“（招标编号：</w:t>
            </w:r>
            <w:r>
              <w:rPr>
                <w:rFonts w:ascii="Times New Roman" w:hAnsi="Times New Roman"/>
                <w:b w:val="0"/>
                <w:bCs/>
                <w:color w:val="auto"/>
                <w:szCs w:val="24"/>
              </w:rPr>
              <w:t>***</w:t>
            </w:r>
            <w:r>
              <w:rPr>
                <w:rFonts w:hint="eastAsia" w:hAnsi="宋体" w:cs="宋体"/>
                <w:b w:val="0"/>
                <w:bCs/>
                <w:color w:val="auto"/>
                <w:szCs w:val="24"/>
              </w:rPr>
              <w:t>、合同包：</w:t>
            </w:r>
            <w:r>
              <w:rPr>
                <w:rFonts w:ascii="Times New Roman" w:hAnsi="Times New Roman"/>
                <w:b w:val="0"/>
                <w:bCs/>
                <w:color w:val="auto"/>
                <w:szCs w:val="24"/>
              </w:rPr>
              <w:t>***</w:t>
            </w:r>
            <w:r>
              <w:rPr>
                <w:rFonts w:hint="eastAsia" w:hAnsi="宋体" w:cs="宋体"/>
                <w:b w:val="0"/>
                <w:bCs/>
                <w:color w:val="auto"/>
                <w:szCs w:val="24"/>
              </w:rPr>
              <w:t>）的投标保证金”。</w:t>
            </w:r>
          </w:p>
          <w:p>
            <w:pPr>
              <w:pStyle w:val="4"/>
              <w:widowControl/>
              <w:spacing w:beforeAutospacing="0" w:afterAutospacing="0"/>
              <w:rPr>
                <w:rFonts w:hAnsi="宋体"/>
                <w:b w:val="0"/>
                <w:bCs/>
                <w:color w:val="auto"/>
                <w:szCs w:val="24"/>
              </w:rPr>
            </w:pPr>
            <w:r>
              <w:rPr>
                <w:rFonts w:hint="eastAsia" w:hAnsi="宋体" w:cs="宋体"/>
                <w:b w:val="0"/>
                <w:bCs/>
                <w:color w:val="auto"/>
                <w:szCs w:val="24"/>
              </w:rPr>
              <w:t>3、投标保证金于</w:t>
            </w:r>
            <w:r>
              <w:rPr>
                <w:rFonts w:hint="eastAsia" w:hAnsi="宋体" w:cs="宋体"/>
                <w:color w:val="auto"/>
                <w:szCs w:val="24"/>
              </w:rPr>
              <w:t>投标截止时间前</w:t>
            </w:r>
            <w:r>
              <w:rPr>
                <w:rFonts w:hint="eastAsia" w:hAnsi="宋体" w:cs="宋体"/>
                <w:b w:val="0"/>
                <w:bCs/>
                <w:color w:val="auto"/>
                <w:szCs w:val="24"/>
              </w:rPr>
              <w:t>到达提供的账户上，交纳投标保证金单位名称必须与参加投标的投标人名称一致。</w:t>
            </w:r>
          </w:p>
          <w:p>
            <w:pPr>
              <w:pStyle w:val="4"/>
              <w:widowControl/>
              <w:spacing w:beforeAutospacing="0" w:afterAutospacing="0"/>
              <w:rPr>
                <w:rFonts w:hAnsi="宋体"/>
                <w:b w:val="0"/>
                <w:bCs/>
                <w:color w:val="auto"/>
                <w:szCs w:val="24"/>
              </w:rPr>
            </w:pPr>
            <w:r>
              <w:rPr>
                <w:rFonts w:hint="eastAsia" w:hAnsi="宋体" w:cs="宋体"/>
                <w:b w:val="0"/>
                <w:bCs/>
                <w:color w:val="auto"/>
                <w:szCs w:val="24"/>
              </w:rPr>
              <w:t>4、未按以上规定提交投标保证金的投标，以无效标处理。</w:t>
            </w:r>
          </w:p>
        </w:tc>
      </w:tr>
    </w:tbl>
    <w:p>
      <w:pPr>
        <w:rPr>
          <w:rFonts w:hAnsi="宋体"/>
          <w:color w:val="auto"/>
          <w:szCs w:val="24"/>
          <w:highlight w:val="none"/>
        </w:rPr>
      </w:pPr>
    </w:p>
    <w:p>
      <w:pPr>
        <w:pStyle w:val="4"/>
        <w:widowControl/>
        <w:spacing w:before="75" w:beforeAutospacing="0" w:after="75" w:afterAutospacing="0"/>
        <w:rPr>
          <w:color w:val="auto"/>
          <w:highlight w:val="none"/>
        </w:rPr>
      </w:pPr>
      <w:r>
        <w:rPr>
          <w:rFonts w:hint="eastAsia" w:hAnsi="宋体" w:cs="宋体"/>
          <w:color w:val="auto"/>
          <w:szCs w:val="24"/>
          <w:highlight w:val="none"/>
        </w:rPr>
        <w:t>附</w:t>
      </w:r>
      <w:r>
        <w:rPr>
          <w:color w:val="auto"/>
          <w:szCs w:val="24"/>
          <w:highlight w:val="none"/>
        </w:rPr>
        <w:t>2</w:t>
      </w:r>
      <w:r>
        <w:rPr>
          <w:rFonts w:hint="eastAsia" w:hAnsi="宋体" w:cs="宋体"/>
          <w:color w:val="auto"/>
          <w:szCs w:val="24"/>
          <w:highlight w:val="none"/>
        </w:rPr>
        <w:t>：采购标的一览表</w:t>
      </w:r>
    </w:p>
    <w:tbl>
      <w:tblPr>
        <w:tblStyle w:val="5"/>
        <w:tblpPr w:leftFromText="180" w:rightFromText="180" w:vertAnchor="text" w:horzAnchor="page" w:tblpX="1723" w:tblpY="456"/>
        <w:tblOverlap w:val="never"/>
        <w:tblW w:w="86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5"/>
        <w:gridCol w:w="582"/>
        <w:gridCol w:w="2527"/>
        <w:gridCol w:w="1324"/>
        <w:gridCol w:w="930"/>
        <w:gridCol w:w="1350"/>
        <w:gridCol w:w="10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0" w:hRule="atLeast"/>
          <w:tblHeader/>
        </w:trPr>
        <w:tc>
          <w:tcPr>
            <w:tcW w:w="90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b/>
                <w:bCs/>
                <w:color w:val="auto"/>
                <w:sz w:val="24"/>
              </w:rPr>
            </w:pPr>
            <w:r>
              <w:rPr>
                <w:rFonts w:hint="eastAsia" w:ascii="宋体" w:hAnsi="宋体" w:eastAsia="宋体" w:cs="宋体"/>
                <w:b/>
                <w:bCs/>
                <w:color w:val="auto"/>
                <w:kern w:val="0"/>
                <w:sz w:val="24"/>
                <w:lang w:bidi="ar"/>
              </w:rPr>
              <w:t>合同包</w:t>
            </w:r>
          </w:p>
        </w:tc>
        <w:tc>
          <w:tcPr>
            <w:tcW w:w="58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b/>
                <w:bCs/>
                <w:color w:val="auto"/>
                <w:sz w:val="24"/>
              </w:rPr>
            </w:pPr>
            <w:r>
              <w:rPr>
                <w:rFonts w:hint="eastAsia" w:ascii="宋体" w:hAnsi="宋体" w:eastAsia="宋体" w:cs="宋体"/>
                <w:b/>
                <w:bCs/>
                <w:color w:val="auto"/>
                <w:kern w:val="0"/>
                <w:sz w:val="24"/>
                <w:lang w:bidi="ar"/>
              </w:rPr>
              <w:t>品目号</w:t>
            </w:r>
          </w:p>
        </w:tc>
        <w:tc>
          <w:tcPr>
            <w:tcW w:w="252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b/>
                <w:bCs/>
                <w:color w:val="auto"/>
                <w:sz w:val="24"/>
              </w:rPr>
            </w:pPr>
            <w:r>
              <w:rPr>
                <w:rFonts w:hint="eastAsia" w:ascii="宋体" w:hAnsi="宋体" w:eastAsia="宋体" w:cs="宋体"/>
                <w:b/>
                <w:bCs/>
                <w:color w:val="auto"/>
                <w:kern w:val="0"/>
                <w:sz w:val="24"/>
                <w:lang w:bidi="ar"/>
              </w:rPr>
              <w:t>采购标的</w:t>
            </w:r>
          </w:p>
        </w:tc>
        <w:tc>
          <w:tcPr>
            <w:tcW w:w="132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允许</w:t>
            </w:r>
          </w:p>
          <w:p>
            <w:pPr>
              <w:widowControl/>
              <w:spacing w:line="400" w:lineRule="exact"/>
              <w:jc w:val="center"/>
              <w:textAlignment w:val="top"/>
              <w:rPr>
                <w:rFonts w:hint="eastAsia" w:ascii="宋体" w:hAnsi="宋体" w:eastAsia="宋体" w:cs="宋体"/>
                <w:b/>
                <w:bCs/>
                <w:color w:val="auto"/>
                <w:sz w:val="24"/>
              </w:rPr>
            </w:pPr>
            <w:r>
              <w:rPr>
                <w:rFonts w:hint="eastAsia" w:ascii="宋体" w:hAnsi="宋体" w:eastAsia="宋体" w:cs="宋体"/>
                <w:b/>
                <w:bCs/>
                <w:color w:val="auto"/>
                <w:kern w:val="0"/>
                <w:sz w:val="24"/>
                <w:lang w:bidi="ar"/>
              </w:rPr>
              <w:t>进口</w:t>
            </w:r>
          </w:p>
        </w:tc>
        <w:tc>
          <w:tcPr>
            <w:tcW w:w="9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13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Style w:val="7"/>
                <w:rFonts w:hint="eastAsia" w:ascii="宋体" w:hAnsi="宋体" w:eastAsia="宋体" w:cs="宋体"/>
                <w:b w:val="0"/>
                <w:color w:val="auto"/>
                <w:kern w:val="0"/>
                <w:sz w:val="24"/>
                <w:szCs w:val="22"/>
                <w:lang w:bidi="ar"/>
              </w:rPr>
            </w:pPr>
            <w:r>
              <w:rPr>
                <w:rStyle w:val="7"/>
                <w:rFonts w:hint="eastAsia" w:hAnsi="宋体" w:cs="宋体"/>
                <w:b w:val="0"/>
                <w:color w:val="auto"/>
                <w:kern w:val="0"/>
                <w:sz w:val="24"/>
                <w:szCs w:val="22"/>
                <w:lang w:eastAsia="zh-CN" w:bidi="ar"/>
              </w:rPr>
              <w:t>预算</w:t>
            </w:r>
            <w:r>
              <w:rPr>
                <w:rStyle w:val="7"/>
                <w:rFonts w:hint="eastAsia" w:ascii="宋体" w:hAnsi="宋体" w:eastAsia="宋体" w:cs="宋体"/>
                <w:b w:val="0"/>
                <w:color w:val="auto"/>
                <w:kern w:val="0"/>
                <w:sz w:val="24"/>
                <w:szCs w:val="22"/>
                <w:lang w:bidi="ar"/>
              </w:rPr>
              <w:t>价</w:t>
            </w:r>
          </w:p>
          <w:p>
            <w:pPr>
              <w:widowControl/>
              <w:spacing w:line="400" w:lineRule="exact"/>
              <w:jc w:val="center"/>
              <w:textAlignment w:val="top"/>
              <w:rPr>
                <w:rStyle w:val="7"/>
                <w:rFonts w:hint="eastAsia" w:ascii="宋体" w:hAnsi="宋体" w:eastAsia="宋体" w:cs="宋体"/>
                <w:b w:val="0"/>
                <w:color w:val="auto"/>
                <w:kern w:val="0"/>
                <w:sz w:val="24"/>
                <w:szCs w:val="22"/>
                <w:lang w:bidi="ar"/>
              </w:rPr>
            </w:pPr>
            <w:r>
              <w:rPr>
                <w:rStyle w:val="7"/>
                <w:rFonts w:hint="eastAsia" w:ascii="宋体" w:hAnsi="宋体" w:eastAsia="宋体" w:cs="宋体"/>
                <w:b w:val="0"/>
                <w:color w:val="auto"/>
                <w:kern w:val="0"/>
                <w:sz w:val="24"/>
                <w:szCs w:val="22"/>
                <w:lang w:bidi="ar"/>
              </w:rPr>
              <w:t>（元）</w:t>
            </w:r>
          </w:p>
        </w:tc>
        <w:tc>
          <w:tcPr>
            <w:tcW w:w="106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Style w:val="7"/>
                <w:rFonts w:hint="eastAsia" w:ascii="宋体" w:hAnsi="宋体" w:eastAsia="宋体" w:cs="宋体"/>
                <w:b w:val="0"/>
                <w:color w:val="auto"/>
                <w:kern w:val="0"/>
                <w:sz w:val="24"/>
                <w:lang w:bidi="ar"/>
              </w:rPr>
            </w:pPr>
            <w:r>
              <w:rPr>
                <w:rStyle w:val="7"/>
                <w:rFonts w:hint="eastAsia" w:ascii="宋体" w:hAnsi="宋体" w:eastAsia="宋体" w:cs="宋体"/>
                <w:b w:val="0"/>
                <w:color w:val="auto"/>
                <w:kern w:val="0"/>
                <w:sz w:val="24"/>
                <w:lang w:bidi="ar"/>
              </w:rPr>
              <w:t>投标保证金(元)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71" w:hRule="atLeast"/>
          <w:tblHeader/>
        </w:trPr>
        <w:tc>
          <w:tcPr>
            <w:tcW w:w="905" w:type="dxa"/>
            <w:tcBorders>
              <w:top w:val="outset" w:color="auto" w:sz="6" w:space="0"/>
              <w:left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58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1-1</w:t>
            </w:r>
          </w:p>
        </w:tc>
        <w:tc>
          <w:tcPr>
            <w:tcW w:w="252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szCs w:val="24"/>
                <w:lang w:val="en-US" w:eastAsia="zh-CN" w:bidi="ar-SA"/>
              </w:rPr>
              <w:t>魁星岩·星宿文化亲子研学景区修建性详细规划及魁星书院施工图设计服务采购项目</w:t>
            </w:r>
          </w:p>
        </w:tc>
        <w:tc>
          <w:tcPr>
            <w:tcW w:w="1324"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否</w:t>
            </w:r>
          </w:p>
        </w:tc>
        <w:tc>
          <w:tcPr>
            <w:tcW w:w="93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textAlignment w:val="top"/>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1项</w:t>
            </w:r>
          </w:p>
        </w:tc>
        <w:tc>
          <w:tcPr>
            <w:tcW w:w="1350" w:type="dxa"/>
            <w:tcBorders>
              <w:top w:val="outset" w:color="auto" w:sz="6" w:space="0"/>
              <w:left w:val="outset" w:color="auto" w:sz="6" w:space="0"/>
              <w:right w:val="outset" w:color="auto" w:sz="6" w:space="0"/>
            </w:tcBorders>
            <w:noWrap w:val="0"/>
            <w:vAlign w:val="center"/>
          </w:tcPr>
          <w:p>
            <w:pPr>
              <w:autoSpaceDE w:val="0"/>
              <w:autoSpaceDN w:val="0"/>
              <w:adjustRightInd w:val="0"/>
              <w:spacing w:line="360" w:lineRule="exact"/>
              <w:jc w:val="center"/>
              <w:rPr>
                <w:rFonts w:hint="default" w:ascii="宋体" w:hAnsi="宋体" w:eastAsia="宋体" w:cs="宋体"/>
                <w:color w:val="auto"/>
                <w:kern w:val="0"/>
                <w:sz w:val="24"/>
                <w:lang w:val="en-US" w:eastAsia="zh-CN"/>
              </w:rPr>
            </w:pPr>
            <w:r>
              <w:rPr>
                <w:rFonts w:hint="eastAsia" w:hAnsi="宋体" w:cs="宋体"/>
                <w:color w:val="auto"/>
                <w:kern w:val="0"/>
                <w:sz w:val="24"/>
                <w:lang w:val="en-US" w:eastAsia="zh-CN" w:bidi="ar"/>
              </w:rPr>
              <w:t>1650000</w:t>
            </w:r>
          </w:p>
        </w:tc>
        <w:tc>
          <w:tcPr>
            <w:tcW w:w="1061" w:type="dxa"/>
            <w:tcBorders>
              <w:top w:val="outset" w:color="auto" w:sz="6" w:space="0"/>
              <w:left w:val="outset" w:color="auto" w:sz="6" w:space="0"/>
              <w:right w:val="outset" w:color="auto" w:sz="6" w:space="0"/>
            </w:tcBorders>
            <w:noWrap w:val="0"/>
            <w:vAlign w:val="center"/>
          </w:tcPr>
          <w:p>
            <w:pPr>
              <w:widowControl/>
              <w:spacing w:line="400" w:lineRule="exact"/>
              <w:jc w:val="center"/>
              <w:textAlignment w:val="top"/>
              <w:rPr>
                <w:rFonts w:hint="default" w:ascii="宋体" w:hAnsi="宋体" w:eastAsia="宋体" w:cs="宋体"/>
                <w:color w:val="auto"/>
                <w:kern w:val="0"/>
                <w:sz w:val="24"/>
                <w:lang w:val="en-US" w:eastAsia="zh-CN" w:bidi="ar"/>
              </w:rPr>
            </w:pPr>
            <w:r>
              <w:rPr>
                <w:rFonts w:hint="eastAsia" w:hAnsi="宋体" w:cs="宋体"/>
                <w:color w:val="auto"/>
                <w:kern w:val="0"/>
                <w:sz w:val="24"/>
                <w:lang w:val="en-US" w:eastAsia="zh-CN" w:bidi="ar"/>
              </w:rPr>
              <w:t>30000</w:t>
            </w:r>
          </w:p>
        </w:tc>
      </w:tr>
    </w:tbl>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DIzMDBkMmQwNzVjOWNlZjk2OTZlZDY1NzQ5MmEifQ=="/>
  </w:docVars>
  <w:rsids>
    <w:rsidRoot w:val="2DA46C22"/>
    <w:rsid w:val="13CF1F63"/>
    <w:rsid w:val="1555679E"/>
    <w:rsid w:val="2DA46C22"/>
    <w:rsid w:val="50CE3399"/>
    <w:rsid w:val="5BE13CEC"/>
    <w:rsid w:val="5F7D571D"/>
    <w:rsid w:val="710D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等线" w:eastAsia="宋体" w:cs="宋体"/>
      <w:b/>
      <w:sz w:val="24"/>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firstLineChars="200"/>
    </w:pPr>
  </w:style>
  <w:style w:type="paragraph" w:styleId="3">
    <w:name w:val="Body Text Indent"/>
    <w:basedOn w:val="1"/>
    <w:next w:val="1"/>
    <w:qFormat/>
    <w:uiPriority w:val="0"/>
    <w:pPr>
      <w:spacing w:after="120"/>
      <w:ind w:left="420" w:leftChars="200"/>
    </w:pPr>
  </w:style>
  <w:style w:type="paragraph" w:styleId="4">
    <w:name w:val="Normal (Web)"/>
    <w:basedOn w:val="1"/>
    <w:qFormat/>
    <w:uiPriority w:val="0"/>
    <w:pPr>
      <w:spacing w:beforeAutospacing="1" w:afterAutospacing="1"/>
    </w:pPr>
    <w:rPr>
      <w:rFonts w:cs="Times New Roman"/>
      <w:lang w:val="en-US"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1968</Words>
  <Characters>2188</Characters>
  <Lines>0</Lines>
  <Paragraphs>0</Paragraphs>
  <TotalTime>70</TotalTime>
  <ScaleCrop>false</ScaleCrop>
  <LinksUpToDate>false</LinksUpToDate>
  <CharactersWithSpaces>2200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2022-08-16T10:11:00Z</dcterms:created>
  <dc:creator>Alan</dc:creator>
  <cp:lastModifiedBy>陈三岁</cp:lastModifiedBy>
  <dcterms:modified xsi:type="dcterms:W3CDTF">2022-08-16T12:38:26Z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92372DAF05BA47E78DE717F522DDAD2D</vt:lpwstr>
  </property>
</Properties>
</file>