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120" w:after="120" w:line="360" w:lineRule="auto"/>
        <w:jc w:val="center"/>
        <w:rPr>
          <w:rFonts w:hint="eastAsia" w:ascii="宋体" w:hAnsi="宋体" w:cs="宋体"/>
          <w:sz w:val="44"/>
          <w:szCs w:val="44"/>
          <w:lang w:val="en-US" w:eastAsia="zh-CN"/>
        </w:rPr>
      </w:pPr>
      <w:bookmarkStart w:id="2" w:name="_GoBack"/>
      <w:bookmarkEnd w:id="2"/>
      <w:r>
        <w:rPr>
          <w:rFonts w:hint="eastAsia" w:ascii="宋体" w:hAnsi="宋体" w:cs="宋体"/>
          <w:sz w:val="44"/>
          <w:szCs w:val="44"/>
          <w:lang w:val="en-US" w:eastAsia="zh-CN"/>
        </w:rPr>
        <w:t>采购需求</w:t>
      </w:r>
    </w:p>
    <w:p>
      <w:pPr>
        <w:pStyle w:val="4"/>
        <w:spacing w:before="120" w:after="120" w:line="360" w:lineRule="auto"/>
        <w:rPr>
          <w:rFonts w:hint="eastAsia" w:ascii="宋体" w:hAnsi="宋体" w:cs="宋体"/>
        </w:rPr>
      </w:pPr>
      <w:r>
        <w:rPr>
          <w:rFonts w:hint="eastAsia" w:ascii="宋体" w:hAnsi="宋体" w:cs="宋体"/>
        </w:rPr>
        <w:t>一、总说明</w:t>
      </w:r>
    </w:p>
    <w:p>
      <w:pPr>
        <w:spacing w:line="360" w:lineRule="auto"/>
        <w:ind w:firstLine="480" w:firstLineChars="200"/>
        <w:rPr>
          <w:rFonts w:hint="eastAsia" w:ascii="宋体" w:hAnsi="宋体" w:cs="宋体"/>
          <w:sz w:val="24"/>
        </w:rPr>
      </w:pPr>
      <w:r>
        <w:rPr>
          <w:rFonts w:hint="eastAsia" w:ascii="宋体" w:hAnsi="宋体" w:cs="宋体"/>
          <w:sz w:val="24"/>
        </w:rPr>
        <w:t>1.本章标注“*”条款为实质性要求，不允许负偏离，否则投标无效。针对“*”条款，招标文件已要求提供证明材料的，按照要求提供；未要求提供证明材料的，投标人可以以应答或承诺方式响应，也可提供证明材料佐证。</w:t>
      </w:r>
    </w:p>
    <w:p>
      <w:pPr>
        <w:spacing w:line="360" w:lineRule="auto"/>
        <w:ind w:firstLine="480" w:firstLineChars="200"/>
        <w:rPr>
          <w:rFonts w:hint="eastAsia" w:ascii="宋体" w:hAnsi="宋体" w:cs="宋体"/>
          <w:sz w:val="24"/>
        </w:rPr>
      </w:pPr>
      <w:r>
        <w:rPr>
          <w:rFonts w:hint="eastAsia" w:ascii="宋体" w:hAnsi="宋体" w:cs="宋体"/>
          <w:sz w:val="24"/>
        </w:rPr>
        <w:t>2.“▲”条款为重要参数，不满足的将被扣分。</w:t>
      </w:r>
    </w:p>
    <w:p>
      <w:pPr>
        <w:pStyle w:val="4"/>
        <w:spacing w:before="120" w:after="120" w:line="360" w:lineRule="auto"/>
        <w:rPr>
          <w:rFonts w:hint="eastAsia" w:ascii="宋体" w:hAnsi="宋体" w:cs="宋体"/>
        </w:rPr>
      </w:pPr>
      <w:r>
        <w:rPr>
          <w:rFonts w:hint="eastAsia" w:ascii="宋体" w:hAnsi="宋体" w:cs="宋体"/>
        </w:rPr>
        <w:t>二、采购清单及参数要求</w:t>
      </w:r>
    </w:p>
    <w:p>
      <w:pPr>
        <w:pStyle w:val="4"/>
        <w:spacing w:before="120" w:after="120"/>
        <w:rPr>
          <w:rFonts w:hint="eastAsia" w:ascii="宋体" w:hAnsi="宋体" w:cs="宋体"/>
        </w:rPr>
      </w:pPr>
      <w:r>
        <w:rPr>
          <w:rFonts w:hint="eastAsia" w:ascii="宋体" w:hAnsi="宋体" w:cs="宋体"/>
        </w:rPr>
        <w:t>*（一）采购清单</w:t>
      </w:r>
    </w:p>
    <w:tbl>
      <w:tblPr>
        <w:tblStyle w:val="5"/>
        <w:tblW w:w="8990" w:type="dxa"/>
        <w:jc w:val="center"/>
        <w:tblLayout w:type="fixed"/>
        <w:tblCellMar>
          <w:top w:w="0" w:type="dxa"/>
          <w:left w:w="108" w:type="dxa"/>
          <w:bottom w:w="0" w:type="dxa"/>
          <w:right w:w="108" w:type="dxa"/>
        </w:tblCellMar>
      </w:tblPr>
      <w:tblGrid>
        <w:gridCol w:w="769"/>
        <w:gridCol w:w="825"/>
        <w:gridCol w:w="2988"/>
        <w:gridCol w:w="875"/>
        <w:gridCol w:w="922"/>
        <w:gridCol w:w="1385"/>
        <w:gridCol w:w="1226"/>
      </w:tblGrid>
      <w:tr>
        <w:trPr>
          <w:trHeight w:val="855" w:hRule="atLeast"/>
          <w:jc w:val="center"/>
        </w:trPr>
        <w:tc>
          <w:tcPr>
            <w:tcW w:w="7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包号</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标的名称</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单位</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数量</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ascii="宋体" w:hAnsi="宋体" w:cs="宋体"/>
                <w:color w:val="000000"/>
                <w:kern w:val="0"/>
                <w:sz w:val="24"/>
                <w:lang w:bidi="ar"/>
              </w:rPr>
              <w:t>最高限价</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（万元）</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是否允许进口</w:t>
            </w:r>
          </w:p>
        </w:tc>
      </w:tr>
      <w:tr>
        <w:tblPrEx>
          <w:tblCellMar>
            <w:top w:w="0" w:type="dxa"/>
            <w:left w:w="108" w:type="dxa"/>
            <w:bottom w:w="0" w:type="dxa"/>
            <w:right w:w="108" w:type="dxa"/>
          </w:tblCellMar>
        </w:tblPrEx>
        <w:trPr>
          <w:trHeight w:val="560" w:hRule="atLeast"/>
          <w:jc w:val="center"/>
        </w:trPr>
        <w:tc>
          <w:tcPr>
            <w:tcW w:w="76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全自动洗胃机</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7.3</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否</w:t>
            </w:r>
          </w:p>
        </w:tc>
      </w:tr>
      <w:tr>
        <w:tblPrEx>
          <w:tblCellMar>
            <w:top w:w="0" w:type="dxa"/>
            <w:left w:w="108" w:type="dxa"/>
            <w:bottom w:w="0" w:type="dxa"/>
            <w:right w:w="108" w:type="dxa"/>
          </w:tblCellMar>
        </w:tblPrEx>
        <w:trPr>
          <w:trHeight w:val="560"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转运负压吸引器</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0.786</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否</w:t>
            </w:r>
          </w:p>
        </w:tc>
      </w:tr>
      <w:tr>
        <w:tblPrEx>
          <w:tblCellMar>
            <w:top w:w="0" w:type="dxa"/>
            <w:left w:w="108" w:type="dxa"/>
            <w:bottom w:w="0" w:type="dxa"/>
            <w:right w:w="108" w:type="dxa"/>
          </w:tblCellMar>
        </w:tblPrEx>
        <w:trPr>
          <w:trHeight w:val="560" w:hRule="atLeast"/>
          <w:jc w:val="center"/>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lang w:eastAsia="zh-CN"/>
              </w:rPr>
            </w:pPr>
            <w:r>
              <w:rPr>
                <w:rFonts w:hint="eastAsia" w:ascii="宋体" w:hAnsi="宋体" w:cs="宋体"/>
                <w:color w:val="000000"/>
                <w:kern w:val="0"/>
                <w:sz w:val="24"/>
                <w:lang w:val="en-US" w:eastAsia="zh-CN" w:bidi="ar"/>
              </w:rPr>
              <w:t>3</w:t>
            </w:r>
          </w:p>
        </w:tc>
        <w:tc>
          <w:tcPr>
            <w:tcW w:w="29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舌下微循环成像系统</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台</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3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44.6</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否</w:t>
            </w:r>
          </w:p>
        </w:tc>
      </w:tr>
    </w:tbl>
    <w:p>
      <w:pPr>
        <w:pStyle w:val="4"/>
        <w:spacing w:before="120" w:after="120"/>
        <w:rPr>
          <w:rFonts w:hint="eastAsia" w:ascii="宋体" w:hAnsi="宋体" w:cs="宋体"/>
        </w:rPr>
      </w:pPr>
      <w:r>
        <w:rPr>
          <w:rFonts w:hint="eastAsia" w:ascii="宋体" w:hAnsi="宋体" w:cs="宋体"/>
        </w:rPr>
        <w:t>（二）参数要求</w:t>
      </w:r>
    </w:p>
    <w:p>
      <w:pPr>
        <w:spacing w:before="120" w:beforeLines="50" w:after="120" w:afterLines="50"/>
        <w:jc w:val="center"/>
        <w:outlineLvl w:val="2"/>
        <w:rPr>
          <w:rFonts w:hint="eastAsia" w:ascii="宋体" w:hAnsi="宋体" w:cs="宋体"/>
          <w:b/>
          <w:bCs/>
          <w:sz w:val="24"/>
        </w:rPr>
      </w:pPr>
      <w:r>
        <w:rPr>
          <w:rFonts w:hint="eastAsia" w:ascii="宋体" w:hAnsi="宋体" w:cs="宋体"/>
          <w:b/>
          <w:bCs/>
          <w:sz w:val="24"/>
        </w:rPr>
        <w:t>第1包  序号1  全自动洗胃机</w:t>
      </w:r>
    </w:p>
    <w:p>
      <w:pPr>
        <w:spacing w:line="360" w:lineRule="auto"/>
        <w:rPr>
          <w:rFonts w:hint="eastAsia" w:ascii="宋体" w:hAnsi="宋体" w:cs="宋体"/>
          <w:sz w:val="24"/>
        </w:rPr>
      </w:pPr>
      <w:r>
        <w:rPr>
          <w:rFonts w:hint="eastAsia" w:ascii="宋体" w:hAnsi="宋体" w:cs="宋体"/>
          <w:sz w:val="24"/>
        </w:rPr>
        <w:t>1、采用单片机实现自动压力反馈控制，具有强力换向防堵塞结构。</w:t>
      </w:r>
    </w:p>
    <w:p>
      <w:pPr>
        <w:spacing w:line="360" w:lineRule="auto"/>
        <w:rPr>
          <w:rFonts w:hint="eastAsia" w:ascii="宋体" w:hAnsi="宋体" w:cs="宋体"/>
          <w:sz w:val="24"/>
        </w:rPr>
      </w:pPr>
      <w:r>
        <w:rPr>
          <w:rFonts w:hint="eastAsia" w:ascii="宋体" w:hAnsi="宋体" w:cs="宋体"/>
          <w:sz w:val="24"/>
        </w:rPr>
        <w:t>2、具备点动控制进出胃液量平衡控制功能。</w:t>
      </w:r>
    </w:p>
    <w:p>
      <w:pPr>
        <w:spacing w:line="360" w:lineRule="auto"/>
        <w:rPr>
          <w:rFonts w:hint="eastAsia" w:ascii="宋体" w:hAnsi="宋体" w:cs="宋体"/>
          <w:sz w:val="24"/>
        </w:rPr>
      </w:pPr>
      <w:r>
        <w:rPr>
          <w:rFonts w:hint="eastAsia" w:ascii="宋体" w:hAnsi="宋体" w:cs="宋体"/>
          <w:sz w:val="24"/>
        </w:rPr>
        <w:t>3、具备数字式进出胃压力显示。</w:t>
      </w:r>
    </w:p>
    <w:p>
      <w:pPr>
        <w:spacing w:line="360" w:lineRule="auto"/>
        <w:rPr>
          <w:rFonts w:hint="eastAsia" w:ascii="宋体" w:hAnsi="宋体" w:cs="宋体"/>
          <w:sz w:val="24"/>
        </w:rPr>
      </w:pPr>
      <w:r>
        <w:rPr>
          <w:rFonts w:hint="eastAsia" w:ascii="宋体" w:hAnsi="宋体" w:cs="宋体"/>
          <w:sz w:val="24"/>
        </w:rPr>
        <w:t>▲4、进出胃液路分离控制结构（由内部完全独立的进出胃液路、外部独立进出胃插口和一次性使用连接管组成的进出胃分离控制结构。）</w:t>
      </w:r>
    </w:p>
    <w:p>
      <w:pPr>
        <w:spacing w:line="360" w:lineRule="auto"/>
        <w:rPr>
          <w:rFonts w:hint="eastAsia" w:ascii="宋体" w:hAnsi="宋体" w:cs="宋体"/>
          <w:sz w:val="24"/>
        </w:rPr>
      </w:pPr>
      <w:r>
        <w:rPr>
          <w:rFonts w:hint="eastAsia" w:ascii="宋体" w:hAnsi="宋体" w:cs="宋体"/>
          <w:sz w:val="24"/>
        </w:rPr>
        <w:t>5、具备压力、液量预警传感器，提供双重安全保护。</w:t>
      </w:r>
    </w:p>
    <w:p>
      <w:pPr>
        <w:spacing w:line="360" w:lineRule="auto"/>
        <w:rPr>
          <w:rFonts w:hint="eastAsia" w:ascii="宋体" w:hAnsi="宋体" w:cs="宋体"/>
          <w:sz w:val="24"/>
        </w:rPr>
      </w:pPr>
      <w:r>
        <w:rPr>
          <w:rFonts w:hint="eastAsia" w:ascii="宋体" w:hAnsi="宋体" w:cs="宋体"/>
          <w:sz w:val="24"/>
        </w:rPr>
        <w:t>6、采用无油膜式真空泵。</w:t>
      </w:r>
    </w:p>
    <w:p>
      <w:pPr>
        <w:spacing w:line="360" w:lineRule="auto"/>
        <w:rPr>
          <w:rFonts w:hint="eastAsia" w:ascii="宋体" w:hAnsi="宋体" w:cs="宋体"/>
          <w:sz w:val="24"/>
        </w:rPr>
      </w:pPr>
      <w:r>
        <w:rPr>
          <w:rFonts w:hint="eastAsia" w:ascii="宋体" w:hAnsi="宋体" w:cs="宋体"/>
          <w:sz w:val="24"/>
        </w:rPr>
        <w:t>▲7、强吸功能，可用于强吸出胃，高效饱腹洗胃。</w:t>
      </w:r>
    </w:p>
    <w:p>
      <w:pPr>
        <w:spacing w:line="360" w:lineRule="auto"/>
        <w:rPr>
          <w:rFonts w:hint="eastAsia" w:ascii="宋体" w:hAnsi="宋体" w:cs="宋体"/>
          <w:sz w:val="24"/>
        </w:rPr>
      </w:pPr>
      <w:r>
        <w:rPr>
          <w:rFonts w:hint="eastAsia" w:ascii="宋体" w:hAnsi="宋体" w:cs="宋体"/>
          <w:sz w:val="24"/>
        </w:rPr>
        <w:t>▲8、进出胃压力可预先设置调节，压力范围: 47kPa-60 kPa。</w:t>
      </w:r>
    </w:p>
    <w:p>
      <w:pPr>
        <w:spacing w:line="360" w:lineRule="auto"/>
        <w:rPr>
          <w:rFonts w:hint="eastAsia" w:ascii="宋体" w:hAnsi="宋体" w:cs="宋体"/>
          <w:sz w:val="24"/>
        </w:rPr>
      </w:pPr>
      <w:r>
        <w:rPr>
          <w:rFonts w:hint="eastAsia" w:ascii="宋体" w:hAnsi="宋体" w:cs="宋体"/>
          <w:sz w:val="24"/>
        </w:rPr>
        <w:t>9、洗胃压力：47kPa-55kPa。</w:t>
      </w:r>
    </w:p>
    <w:p>
      <w:pPr>
        <w:spacing w:line="360" w:lineRule="auto"/>
        <w:rPr>
          <w:rFonts w:hint="eastAsia" w:ascii="宋体" w:hAnsi="宋体" w:cs="宋体"/>
          <w:sz w:val="24"/>
        </w:rPr>
      </w:pPr>
      <w:r>
        <w:rPr>
          <w:rFonts w:hint="eastAsia" w:ascii="宋体" w:hAnsi="宋体" w:cs="宋体"/>
          <w:sz w:val="24"/>
        </w:rPr>
        <w:t>10、出胃液量：≤450ml/次，进胃液量：≤350ml/次，液量平衡：≤250ml/次。</w:t>
      </w:r>
    </w:p>
    <w:p>
      <w:pPr>
        <w:spacing w:line="360" w:lineRule="auto"/>
        <w:rPr>
          <w:rFonts w:hint="eastAsia" w:ascii="宋体" w:hAnsi="宋体" w:cs="宋体"/>
          <w:sz w:val="24"/>
        </w:rPr>
      </w:pPr>
      <w:r>
        <w:rPr>
          <w:rFonts w:hint="eastAsia" w:ascii="宋体" w:hAnsi="宋体" w:cs="宋体"/>
          <w:sz w:val="24"/>
        </w:rPr>
        <w:t>11、强吸出胃液量：≤450 ml/次。</w:t>
      </w:r>
    </w:p>
    <w:p>
      <w:pPr>
        <w:spacing w:line="360" w:lineRule="auto"/>
        <w:rPr>
          <w:rFonts w:hint="eastAsia" w:ascii="宋体" w:hAnsi="宋体" w:cs="宋体"/>
          <w:sz w:val="24"/>
        </w:rPr>
      </w:pPr>
      <w:r>
        <w:rPr>
          <w:rFonts w:hint="eastAsia" w:ascii="宋体" w:hAnsi="宋体" w:cs="宋体"/>
          <w:sz w:val="24"/>
        </w:rPr>
        <w:t>12、配置：</w:t>
      </w:r>
    </w:p>
    <w:p>
      <w:pPr>
        <w:spacing w:line="360" w:lineRule="auto"/>
        <w:rPr>
          <w:rFonts w:hint="eastAsia" w:ascii="宋体" w:hAnsi="宋体" w:cs="宋体"/>
          <w:sz w:val="24"/>
        </w:rPr>
      </w:pPr>
      <w:r>
        <w:rPr>
          <w:rFonts w:hint="eastAsia" w:ascii="宋体" w:hAnsi="宋体" w:cs="宋体"/>
          <w:sz w:val="24"/>
        </w:rPr>
        <w:t>一次性使用负压引流管≥15套；</w:t>
      </w:r>
    </w:p>
    <w:p>
      <w:pPr>
        <w:spacing w:line="360" w:lineRule="auto"/>
        <w:rPr>
          <w:rFonts w:hint="eastAsia" w:ascii="宋体" w:hAnsi="宋体" w:cs="宋体"/>
          <w:sz w:val="24"/>
        </w:rPr>
      </w:pPr>
      <w:r>
        <w:rPr>
          <w:rFonts w:hint="eastAsia" w:ascii="宋体" w:hAnsi="宋体" w:cs="宋体"/>
          <w:sz w:val="24"/>
        </w:rPr>
        <w:t>一次性使用胃管≥15根；</w:t>
      </w:r>
    </w:p>
    <w:p>
      <w:pPr>
        <w:spacing w:line="360" w:lineRule="auto"/>
        <w:rPr>
          <w:rFonts w:hint="eastAsia" w:ascii="宋体" w:hAnsi="宋体" w:cs="宋体"/>
          <w:sz w:val="24"/>
        </w:rPr>
      </w:pPr>
      <w:r>
        <w:rPr>
          <w:rFonts w:hint="eastAsia" w:ascii="宋体" w:hAnsi="宋体" w:cs="宋体"/>
          <w:sz w:val="24"/>
        </w:rPr>
        <w:t>医用硅胶液管≥4根；</w:t>
      </w:r>
    </w:p>
    <w:p>
      <w:pPr>
        <w:spacing w:line="360" w:lineRule="auto"/>
        <w:rPr>
          <w:rFonts w:hint="eastAsia" w:ascii="宋体" w:hAnsi="宋体" w:cs="宋体"/>
          <w:sz w:val="24"/>
        </w:rPr>
      </w:pPr>
      <w:r>
        <w:rPr>
          <w:rFonts w:hint="eastAsia" w:ascii="宋体" w:hAnsi="宋体" w:cs="宋体"/>
          <w:sz w:val="24"/>
        </w:rPr>
        <w:t>强吸连接管≥2根</w:t>
      </w:r>
    </w:p>
    <w:p>
      <w:pPr>
        <w:spacing w:line="360" w:lineRule="auto"/>
        <w:rPr>
          <w:rFonts w:hint="eastAsia" w:ascii="宋体" w:hAnsi="宋体" w:cs="宋体"/>
          <w:sz w:val="24"/>
        </w:rPr>
      </w:pPr>
      <w:r>
        <w:rPr>
          <w:rFonts w:hint="eastAsia" w:ascii="宋体" w:hAnsi="宋体" w:cs="宋体"/>
          <w:sz w:val="24"/>
        </w:rPr>
        <w:t>2000ml储液瓶≥1个；</w:t>
      </w:r>
    </w:p>
    <w:p>
      <w:pPr>
        <w:spacing w:before="120" w:beforeLines="50" w:after="120" w:afterLines="50" w:line="360" w:lineRule="auto"/>
        <w:jc w:val="center"/>
        <w:outlineLvl w:val="2"/>
        <w:rPr>
          <w:rFonts w:hint="eastAsia" w:ascii="宋体" w:hAnsi="宋体" w:cs="宋体"/>
          <w:b/>
          <w:bCs/>
          <w:sz w:val="24"/>
        </w:rPr>
      </w:pPr>
      <w:r>
        <w:rPr>
          <w:rFonts w:hint="eastAsia" w:ascii="宋体" w:hAnsi="宋体" w:cs="宋体"/>
          <w:b/>
          <w:bCs/>
          <w:sz w:val="24"/>
        </w:rPr>
        <w:t>第1包  序号2  转运负压吸引器</w:t>
      </w:r>
    </w:p>
    <w:p>
      <w:pPr>
        <w:spacing w:line="360" w:lineRule="auto"/>
        <w:rPr>
          <w:rFonts w:hint="eastAsia" w:ascii="宋体" w:hAnsi="宋体" w:cs="宋体"/>
          <w:sz w:val="24"/>
        </w:rPr>
      </w:pPr>
      <w:r>
        <w:rPr>
          <w:rFonts w:hint="eastAsia" w:ascii="宋体" w:hAnsi="宋体" w:cs="宋体"/>
          <w:sz w:val="24"/>
        </w:rPr>
        <w:t xml:space="preserve">1、电源：AC220V±10﹪  50HZ </w:t>
      </w:r>
    </w:p>
    <w:p>
      <w:pPr>
        <w:spacing w:line="360" w:lineRule="auto"/>
        <w:rPr>
          <w:rFonts w:hint="eastAsia" w:ascii="宋体" w:hAnsi="宋体" w:cs="宋体"/>
          <w:sz w:val="24"/>
        </w:rPr>
      </w:pPr>
      <w:r>
        <w:rPr>
          <w:rFonts w:hint="eastAsia" w:ascii="宋体" w:hAnsi="宋体" w:cs="宋体"/>
          <w:sz w:val="24"/>
        </w:rPr>
        <w:t>2、功率：≤120VA</w:t>
      </w:r>
    </w:p>
    <w:p>
      <w:pPr>
        <w:spacing w:line="360" w:lineRule="auto"/>
        <w:rPr>
          <w:rFonts w:hint="eastAsia" w:ascii="宋体" w:hAnsi="宋体" w:cs="宋体"/>
          <w:sz w:val="24"/>
        </w:rPr>
      </w:pPr>
      <w:r>
        <w:rPr>
          <w:rFonts w:hint="eastAsia" w:ascii="宋体" w:hAnsi="宋体" w:cs="宋体"/>
          <w:sz w:val="24"/>
        </w:rPr>
        <w:t>3、噪声：≤55dB（A）</w:t>
      </w:r>
    </w:p>
    <w:p>
      <w:pPr>
        <w:spacing w:line="360" w:lineRule="auto"/>
        <w:rPr>
          <w:rFonts w:hint="eastAsia" w:ascii="宋体" w:hAnsi="宋体" w:cs="宋体"/>
          <w:sz w:val="24"/>
        </w:rPr>
      </w:pPr>
      <w:r>
        <w:rPr>
          <w:rFonts w:hint="eastAsia" w:ascii="宋体" w:hAnsi="宋体" w:cs="宋体"/>
          <w:sz w:val="24"/>
        </w:rPr>
        <w:t>4、极限负压:  ≥-0.08MPa／600mmHg</w:t>
      </w:r>
    </w:p>
    <w:p>
      <w:pPr>
        <w:spacing w:line="360" w:lineRule="auto"/>
        <w:rPr>
          <w:rFonts w:hint="eastAsia" w:ascii="宋体" w:hAnsi="宋体" w:cs="宋体"/>
          <w:sz w:val="24"/>
        </w:rPr>
      </w:pPr>
      <w:r>
        <w:rPr>
          <w:rFonts w:hint="eastAsia" w:ascii="宋体" w:hAnsi="宋体" w:cs="宋体"/>
          <w:sz w:val="24"/>
        </w:rPr>
        <w:t>5、负压调节范围-0.01~0.08MPa</w:t>
      </w:r>
    </w:p>
    <w:p>
      <w:pPr>
        <w:spacing w:line="360" w:lineRule="auto"/>
        <w:rPr>
          <w:rFonts w:hint="eastAsia" w:ascii="宋体" w:hAnsi="宋体" w:cs="宋体"/>
          <w:sz w:val="24"/>
        </w:rPr>
      </w:pPr>
      <w:r>
        <w:rPr>
          <w:rFonts w:hint="eastAsia" w:ascii="宋体" w:hAnsi="宋体" w:cs="宋体"/>
          <w:sz w:val="24"/>
        </w:rPr>
        <w:t>6、瞬时抽气速率:≥20L/min</w:t>
      </w:r>
    </w:p>
    <w:p>
      <w:pPr>
        <w:spacing w:line="360" w:lineRule="auto"/>
        <w:rPr>
          <w:rFonts w:hint="eastAsia" w:ascii="宋体" w:hAnsi="宋体" w:cs="宋体"/>
          <w:sz w:val="24"/>
        </w:rPr>
      </w:pPr>
      <w:r>
        <w:rPr>
          <w:rFonts w:hint="eastAsia" w:ascii="宋体" w:hAnsi="宋体" w:cs="宋体"/>
          <w:sz w:val="24"/>
        </w:rPr>
        <w:t>7、交直流两用，可急救车充电使用</w:t>
      </w:r>
    </w:p>
    <w:p>
      <w:pPr>
        <w:spacing w:line="360" w:lineRule="auto"/>
        <w:rPr>
          <w:rFonts w:hint="eastAsia" w:ascii="宋体" w:hAnsi="宋体" w:cs="宋体"/>
          <w:sz w:val="24"/>
        </w:rPr>
      </w:pPr>
      <w:r>
        <w:rPr>
          <w:rFonts w:hint="eastAsia" w:ascii="宋体" w:hAnsi="宋体" w:cs="宋体"/>
          <w:sz w:val="24"/>
        </w:rPr>
        <w:t>8、液晶数字显示</w:t>
      </w:r>
    </w:p>
    <w:p>
      <w:pPr>
        <w:spacing w:line="360" w:lineRule="auto"/>
        <w:rPr>
          <w:rFonts w:hint="eastAsia" w:ascii="宋体" w:hAnsi="宋体" w:cs="宋体"/>
          <w:sz w:val="24"/>
        </w:rPr>
      </w:pPr>
      <w:r>
        <w:rPr>
          <w:rFonts w:hint="eastAsia" w:ascii="宋体" w:hAnsi="宋体" w:cs="宋体"/>
          <w:sz w:val="24"/>
        </w:rPr>
        <w:t>9、快速充电，3h至少可达电池电量80%</w:t>
      </w:r>
    </w:p>
    <w:p>
      <w:pPr>
        <w:spacing w:line="360" w:lineRule="auto"/>
        <w:rPr>
          <w:rFonts w:hint="eastAsia" w:ascii="宋体" w:hAnsi="宋体" w:cs="宋体"/>
          <w:sz w:val="24"/>
        </w:rPr>
      </w:pPr>
      <w:r>
        <w:rPr>
          <w:rFonts w:hint="eastAsia" w:ascii="宋体" w:hAnsi="宋体" w:cs="宋体"/>
          <w:sz w:val="24"/>
        </w:rPr>
        <w:t>▲10、无需工具可快速换电池</w:t>
      </w:r>
    </w:p>
    <w:p>
      <w:pPr>
        <w:spacing w:line="360" w:lineRule="auto"/>
        <w:rPr>
          <w:rFonts w:hint="eastAsia" w:ascii="宋体" w:hAnsi="宋体" w:cs="宋体"/>
          <w:sz w:val="24"/>
        </w:rPr>
      </w:pPr>
      <w:r>
        <w:rPr>
          <w:rFonts w:hint="eastAsia" w:ascii="宋体" w:hAnsi="宋体" w:cs="宋体"/>
          <w:sz w:val="24"/>
        </w:rPr>
        <w:t>11、电池电量显示、自检提示</w:t>
      </w:r>
    </w:p>
    <w:p>
      <w:pPr>
        <w:spacing w:line="360" w:lineRule="auto"/>
        <w:rPr>
          <w:rFonts w:hint="eastAsia" w:ascii="宋体" w:hAnsi="宋体" w:cs="宋体"/>
          <w:sz w:val="24"/>
        </w:rPr>
      </w:pPr>
      <w:r>
        <w:rPr>
          <w:rFonts w:hint="eastAsia" w:ascii="宋体" w:hAnsi="宋体" w:cs="宋体"/>
          <w:sz w:val="24"/>
        </w:rPr>
        <w:t>12、电池工作时间≥60分钟</w:t>
      </w:r>
    </w:p>
    <w:p>
      <w:pPr>
        <w:spacing w:before="120" w:beforeLines="50" w:after="120" w:afterLines="50"/>
        <w:jc w:val="center"/>
        <w:outlineLvl w:val="2"/>
        <w:rPr>
          <w:rFonts w:hint="eastAsia" w:ascii="宋体" w:hAnsi="宋体" w:cs="宋体"/>
          <w:b/>
          <w:bCs/>
          <w:sz w:val="24"/>
        </w:rPr>
      </w:pPr>
      <w:r>
        <w:rPr>
          <w:rFonts w:hint="eastAsia" w:ascii="宋体" w:hAnsi="宋体" w:cs="宋体"/>
          <w:b/>
          <w:bCs/>
          <w:sz w:val="24"/>
          <w:lang w:eastAsia="zh-CN"/>
        </w:rPr>
        <w:t>第3包</w:t>
      </w:r>
      <w:r>
        <w:rPr>
          <w:rFonts w:hint="eastAsia" w:ascii="宋体" w:hAnsi="宋体" w:cs="宋体"/>
          <w:b/>
          <w:bCs/>
          <w:sz w:val="24"/>
        </w:rPr>
        <w:t xml:space="preserve">  舌下微循环成像系统</w:t>
      </w:r>
    </w:p>
    <w:p>
      <w:pPr>
        <w:spacing w:line="360" w:lineRule="auto"/>
        <w:rPr>
          <w:rFonts w:hint="eastAsia"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适用于观察舌下微循环，对舌下组织内微循环的红细胞流动情况进行放大观察；同时可用于人体及动物的实质性器官、胃肠道、生殖器等进行直观的组织微循环观察；</w:t>
      </w:r>
    </w:p>
    <w:p>
      <w:pPr>
        <w:spacing w:line="360" w:lineRule="auto"/>
        <w:rPr>
          <w:rFonts w:hint="eastAsia"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产品由微循环成像硬件、软件与一次性镜片组成；</w:t>
      </w:r>
    </w:p>
    <w:p>
      <w:pPr>
        <w:spacing w:line="360" w:lineRule="auto"/>
        <w:rPr>
          <w:rFonts w:hint="eastAsia"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光源：LED灯持续照明，波长范围515nm-525nm；</w:t>
      </w:r>
    </w:p>
    <w:p>
      <w:pPr>
        <w:spacing w:line="360" w:lineRule="auto"/>
        <w:rPr>
          <w:rFonts w:hint="eastAsia"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采用光纤导光并成角度聚焦照明，光源不在探头前端；</w:t>
      </w:r>
    </w:p>
    <w:p>
      <w:pPr>
        <w:spacing w:line="360" w:lineRule="auto"/>
        <w:rPr>
          <w:rFonts w:hint="eastAsia" w:ascii="宋体" w:hAnsi="宋体" w:cs="宋体"/>
          <w:sz w:val="24"/>
        </w:rPr>
      </w:pPr>
      <w:r>
        <w:rPr>
          <w:rFonts w:hint="eastAsia" w:ascii="宋体" w:hAnsi="宋体" w:cs="宋体"/>
          <w:sz w:val="24"/>
        </w:rPr>
        <w:t>5.</w:t>
      </w:r>
      <w:r>
        <w:rPr>
          <w:rFonts w:hint="eastAsia" w:ascii="宋体" w:hAnsi="宋体" w:cs="宋体"/>
          <w:sz w:val="24"/>
        </w:rPr>
        <w:tab/>
      </w:r>
      <w:r>
        <w:rPr>
          <w:rFonts w:hint="eastAsia" w:ascii="宋体" w:hAnsi="宋体" w:cs="宋体"/>
          <w:sz w:val="24"/>
        </w:rPr>
        <w:t>光源功率≥3mw；</w:t>
      </w:r>
    </w:p>
    <w:p>
      <w:pPr>
        <w:spacing w:line="360" w:lineRule="auto"/>
        <w:rPr>
          <w:rFonts w:hint="eastAsia" w:ascii="宋体" w:hAnsi="宋体" w:cs="宋体"/>
          <w:sz w:val="24"/>
        </w:rPr>
      </w:pPr>
      <w:r>
        <w:rPr>
          <w:rFonts w:hint="eastAsia" w:ascii="宋体" w:hAnsi="宋体" w:cs="宋体"/>
          <w:sz w:val="24"/>
        </w:rPr>
        <w:t>6.</w:t>
      </w:r>
      <w:r>
        <w:rPr>
          <w:rFonts w:hint="eastAsia" w:ascii="宋体" w:hAnsi="宋体" w:cs="宋体"/>
          <w:sz w:val="24"/>
        </w:rPr>
        <w:tab/>
      </w:r>
      <w:r>
        <w:rPr>
          <w:rFonts w:hint="eastAsia" w:ascii="宋体" w:hAnsi="宋体" w:cs="宋体"/>
          <w:sz w:val="24"/>
        </w:rPr>
        <w:t>操作手柄：长≤300mm，宽度≤50mm、高度≤50mm；</w:t>
      </w:r>
    </w:p>
    <w:p>
      <w:pPr>
        <w:spacing w:line="360" w:lineRule="auto"/>
        <w:rPr>
          <w:rFonts w:hint="eastAsia" w:ascii="宋体" w:hAnsi="宋体" w:cs="宋体"/>
          <w:sz w:val="24"/>
        </w:rPr>
      </w:pPr>
      <w:r>
        <w:rPr>
          <w:rFonts w:hint="eastAsia" w:ascii="宋体" w:hAnsi="宋体" w:cs="宋体"/>
          <w:sz w:val="24"/>
        </w:rPr>
        <w:t>7.</w:t>
      </w:r>
      <w:r>
        <w:rPr>
          <w:rFonts w:hint="eastAsia" w:ascii="宋体" w:hAnsi="宋体" w:cs="宋体"/>
          <w:sz w:val="24"/>
        </w:rPr>
        <w:tab/>
      </w:r>
      <w:r>
        <w:rPr>
          <w:rFonts w:hint="eastAsia" w:ascii="宋体" w:hAnsi="宋体" w:cs="宋体"/>
          <w:sz w:val="24"/>
        </w:rPr>
        <w:t>摄像头分辨率≥130LP/mm；</w:t>
      </w:r>
    </w:p>
    <w:p>
      <w:pPr>
        <w:spacing w:line="360" w:lineRule="auto"/>
        <w:rPr>
          <w:rFonts w:hint="eastAsia" w:ascii="宋体" w:hAnsi="宋体" w:cs="宋体"/>
          <w:sz w:val="24"/>
        </w:rPr>
      </w:pPr>
      <w:r>
        <w:rPr>
          <w:rFonts w:hint="eastAsia" w:ascii="宋体" w:hAnsi="宋体" w:cs="宋体"/>
          <w:sz w:val="24"/>
        </w:rPr>
        <w:t>8.</w:t>
      </w:r>
      <w:r>
        <w:rPr>
          <w:rFonts w:hint="eastAsia" w:ascii="宋体" w:hAnsi="宋体" w:cs="宋体"/>
          <w:sz w:val="24"/>
        </w:rPr>
        <w:tab/>
      </w:r>
      <w:r>
        <w:rPr>
          <w:rFonts w:hint="eastAsia" w:ascii="宋体" w:hAnsi="宋体" w:cs="宋体"/>
          <w:sz w:val="24"/>
        </w:rPr>
        <w:t>CCD分辨率≥600×400；</w:t>
      </w:r>
    </w:p>
    <w:p>
      <w:pPr>
        <w:spacing w:line="360" w:lineRule="auto"/>
        <w:rPr>
          <w:rFonts w:hint="eastAsia" w:ascii="宋体" w:hAnsi="宋体" w:cs="宋体"/>
          <w:sz w:val="24"/>
        </w:rPr>
      </w:pPr>
      <w:r>
        <w:rPr>
          <w:rFonts w:hint="eastAsia" w:ascii="宋体" w:hAnsi="宋体" w:cs="宋体"/>
          <w:sz w:val="24"/>
        </w:rPr>
        <w:t>▲9.</w:t>
      </w:r>
      <w:r>
        <w:rPr>
          <w:rFonts w:hint="eastAsia" w:ascii="宋体" w:hAnsi="宋体" w:cs="宋体"/>
          <w:sz w:val="24"/>
        </w:rPr>
        <w:tab/>
      </w:r>
      <w:r>
        <w:rPr>
          <w:rFonts w:hint="eastAsia" w:ascii="宋体" w:hAnsi="宋体" w:cs="宋体"/>
          <w:sz w:val="24"/>
        </w:rPr>
        <w:t>录像帧率≥28帧/秒；</w:t>
      </w:r>
    </w:p>
    <w:p>
      <w:pPr>
        <w:spacing w:line="360" w:lineRule="auto"/>
        <w:rPr>
          <w:rFonts w:hint="eastAsia" w:ascii="宋体" w:hAnsi="宋体" w:cs="宋体"/>
          <w:sz w:val="24"/>
        </w:rPr>
      </w:pPr>
      <w:r>
        <w:rPr>
          <w:rFonts w:hint="eastAsia" w:ascii="宋体" w:hAnsi="宋体" w:cs="宋体"/>
          <w:sz w:val="24"/>
        </w:rPr>
        <w:t>10.</w:t>
      </w:r>
      <w:r>
        <w:rPr>
          <w:rFonts w:hint="eastAsia" w:ascii="宋体" w:hAnsi="宋体" w:cs="宋体"/>
          <w:sz w:val="24"/>
        </w:rPr>
        <w:tab/>
      </w:r>
      <w:r>
        <w:rPr>
          <w:rFonts w:hint="eastAsia" w:ascii="宋体" w:hAnsi="宋体" w:cs="宋体"/>
          <w:sz w:val="24"/>
        </w:rPr>
        <w:t>光学放大倍率≥5倍；</w:t>
      </w:r>
    </w:p>
    <w:p>
      <w:pPr>
        <w:spacing w:line="360" w:lineRule="auto"/>
        <w:rPr>
          <w:rFonts w:hint="eastAsia" w:ascii="宋体" w:hAnsi="宋体" w:cs="宋体"/>
          <w:sz w:val="24"/>
        </w:rPr>
      </w:pPr>
      <w:r>
        <w:rPr>
          <w:rFonts w:hint="eastAsia" w:ascii="宋体" w:hAnsi="宋体" w:cs="宋体"/>
          <w:sz w:val="24"/>
        </w:rPr>
        <w:t>11.</w:t>
      </w:r>
      <w:r>
        <w:rPr>
          <w:rFonts w:hint="eastAsia" w:ascii="宋体" w:hAnsi="宋体" w:cs="宋体"/>
          <w:sz w:val="24"/>
        </w:rPr>
        <w:tab/>
      </w:r>
      <w:r>
        <w:rPr>
          <w:rFonts w:hint="eastAsia" w:ascii="宋体" w:hAnsi="宋体" w:cs="宋体"/>
          <w:sz w:val="24"/>
        </w:rPr>
        <w:t>调焦方式：手动调焦；调焦范围：-55~355μm；</w:t>
      </w:r>
    </w:p>
    <w:p>
      <w:pPr>
        <w:spacing w:line="360" w:lineRule="auto"/>
        <w:rPr>
          <w:rFonts w:hint="eastAsia" w:ascii="宋体" w:hAnsi="宋体" w:cs="宋体"/>
          <w:sz w:val="24"/>
        </w:rPr>
      </w:pPr>
      <w:r>
        <w:rPr>
          <w:rFonts w:hint="eastAsia" w:ascii="宋体" w:hAnsi="宋体" w:cs="宋体"/>
          <w:sz w:val="24"/>
        </w:rPr>
        <w:t xml:space="preserve">▲12.光源亮度无需手动调节可自适应 </w:t>
      </w:r>
    </w:p>
    <w:p>
      <w:pPr>
        <w:spacing w:line="360" w:lineRule="auto"/>
        <w:rPr>
          <w:rFonts w:hint="eastAsia" w:ascii="宋体" w:hAnsi="宋体" w:cs="宋体"/>
          <w:sz w:val="24"/>
        </w:rPr>
      </w:pPr>
      <w:r>
        <w:rPr>
          <w:rFonts w:hint="eastAsia" w:ascii="宋体" w:hAnsi="宋体" w:cs="宋体"/>
          <w:sz w:val="24"/>
        </w:rPr>
        <w:t>13.</w:t>
      </w:r>
      <w:r>
        <w:rPr>
          <w:rFonts w:hint="eastAsia" w:ascii="宋体" w:hAnsi="宋体" w:cs="宋体"/>
          <w:sz w:val="24"/>
        </w:rPr>
        <w:tab/>
      </w:r>
      <w:r>
        <w:rPr>
          <w:rFonts w:hint="eastAsia" w:ascii="宋体" w:hAnsi="宋体" w:cs="宋体"/>
          <w:sz w:val="24"/>
        </w:rPr>
        <w:t>单手操作设计</w:t>
      </w:r>
    </w:p>
    <w:p>
      <w:pPr>
        <w:spacing w:line="360" w:lineRule="auto"/>
        <w:rPr>
          <w:rFonts w:hint="eastAsia" w:ascii="宋体" w:hAnsi="宋体" w:cs="宋体"/>
          <w:sz w:val="24"/>
        </w:rPr>
      </w:pPr>
      <w:r>
        <w:rPr>
          <w:rFonts w:hint="eastAsia" w:ascii="宋体" w:hAnsi="宋体" w:cs="宋体"/>
          <w:sz w:val="24"/>
        </w:rPr>
        <w:t>▲14.</w:t>
      </w:r>
      <w:r>
        <w:rPr>
          <w:rFonts w:hint="eastAsia" w:ascii="宋体" w:hAnsi="宋体" w:cs="宋体"/>
          <w:sz w:val="24"/>
        </w:rPr>
        <w:tab/>
      </w:r>
      <w:r>
        <w:rPr>
          <w:rFonts w:hint="eastAsia" w:ascii="宋体" w:hAnsi="宋体" w:cs="宋体"/>
          <w:sz w:val="24"/>
        </w:rPr>
        <w:t>软件可设置床位数量、病人信息，以及自动标记每一床位的上次采集时间；</w:t>
      </w:r>
    </w:p>
    <w:p>
      <w:pPr>
        <w:spacing w:line="360" w:lineRule="auto"/>
        <w:rPr>
          <w:rFonts w:hint="eastAsia" w:ascii="宋体" w:hAnsi="宋体" w:cs="宋体"/>
          <w:sz w:val="24"/>
        </w:rPr>
      </w:pPr>
      <w:r>
        <w:rPr>
          <w:rFonts w:hint="eastAsia" w:ascii="宋体" w:hAnsi="宋体" w:cs="宋体"/>
          <w:sz w:val="24"/>
        </w:rPr>
        <w:t>15.</w:t>
      </w:r>
      <w:r>
        <w:rPr>
          <w:rFonts w:hint="eastAsia" w:ascii="宋体" w:hAnsi="宋体" w:cs="宋体"/>
          <w:sz w:val="24"/>
        </w:rPr>
        <w:tab/>
      </w:r>
      <w:r>
        <w:rPr>
          <w:rFonts w:hint="eastAsia" w:ascii="宋体" w:hAnsi="宋体" w:cs="宋体"/>
          <w:sz w:val="24"/>
        </w:rPr>
        <w:t>已采集的检查，可选用列表式与平铺式，并对已分析的检查自动标记；</w:t>
      </w:r>
    </w:p>
    <w:p>
      <w:pPr>
        <w:spacing w:line="360" w:lineRule="auto"/>
        <w:rPr>
          <w:rFonts w:hint="eastAsia" w:ascii="宋体" w:hAnsi="宋体" w:cs="宋体"/>
          <w:sz w:val="24"/>
        </w:rPr>
      </w:pPr>
      <w:r>
        <w:rPr>
          <w:rFonts w:hint="eastAsia" w:ascii="宋体" w:hAnsi="宋体" w:cs="宋体"/>
          <w:sz w:val="24"/>
        </w:rPr>
        <w:t>▲16.</w:t>
      </w:r>
      <w:r>
        <w:rPr>
          <w:rFonts w:hint="eastAsia" w:ascii="宋体" w:hAnsi="宋体" w:cs="宋体"/>
          <w:sz w:val="24"/>
        </w:rPr>
        <w:tab/>
      </w:r>
      <w:r>
        <w:rPr>
          <w:rFonts w:hint="eastAsia" w:ascii="宋体" w:hAnsi="宋体" w:cs="宋体"/>
          <w:sz w:val="24"/>
        </w:rPr>
        <w:t>可对血管自动识别描计，并计算出血管长度与直径；</w:t>
      </w:r>
    </w:p>
    <w:p>
      <w:pPr>
        <w:spacing w:line="360" w:lineRule="auto"/>
        <w:rPr>
          <w:rFonts w:hint="eastAsia" w:ascii="宋体" w:hAnsi="宋体" w:cs="宋体"/>
          <w:sz w:val="24"/>
        </w:rPr>
      </w:pPr>
      <w:r>
        <w:rPr>
          <w:rFonts w:hint="eastAsia" w:ascii="宋体" w:hAnsi="宋体" w:cs="宋体"/>
          <w:sz w:val="24"/>
        </w:rPr>
        <w:t>17.</w:t>
      </w:r>
      <w:r>
        <w:rPr>
          <w:rFonts w:hint="eastAsia" w:ascii="宋体" w:hAnsi="宋体" w:cs="宋体"/>
          <w:sz w:val="24"/>
        </w:rPr>
        <w:tab/>
      </w:r>
      <w:r>
        <w:rPr>
          <w:rFonts w:hint="eastAsia" w:ascii="宋体" w:hAnsi="宋体" w:cs="宋体"/>
          <w:sz w:val="24"/>
        </w:rPr>
        <w:t>具有将血管自动分类的功能，分成大、中、小血管；</w:t>
      </w:r>
    </w:p>
    <w:p>
      <w:pPr>
        <w:spacing w:line="360" w:lineRule="auto"/>
        <w:rPr>
          <w:rFonts w:hint="eastAsia" w:ascii="宋体" w:hAnsi="宋体" w:cs="宋体"/>
          <w:sz w:val="24"/>
        </w:rPr>
      </w:pPr>
      <w:r>
        <w:rPr>
          <w:rFonts w:hint="eastAsia" w:ascii="宋体" w:hAnsi="宋体" w:cs="宋体"/>
          <w:sz w:val="24"/>
        </w:rPr>
        <w:t>18.</w:t>
      </w:r>
      <w:r>
        <w:rPr>
          <w:rFonts w:hint="eastAsia" w:ascii="宋体" w:hAnsi="宋体" w:cs="宋体"/>
          <w:sz w:val="24"/>
        </w:rPr>
        <w:tab/>
      </w:r>
      <w:r>
        <w:rPr>
          <w:rFonts w:hint="eastAsia" w:ascii="宋体" w:hAnsi="宋体" w:cs="宋体"/>
          <w:sz w:val="24"/>
        </w:rPr>
        <w:t>具有报告界面，并可用触控方式，将图像快速拖入报告单，方便临床操作；</w:t>
      </w:r>
    </w:p>
    <w:p>
      <w:pPr>
        <w:spacing w:line="360" w:lineRule="auto"/>
        <w:rPr>
          <w:rFonts w:hint="eastAsia" w:ascii="宋体" w:hAnsi="宋体" w:cs="宋体"/>
          <w:sz w:val="24"/>
        </w:rPr>
      </w:pPr>
      <w:r>
        <w:rPr>
          <w:rFonts w:hint="eastAsia" w:ascii="宋体" w:hAnsi="宋体" w:cs="宋体"/>
          <w:sz w:val="24"/>
        </w:rPr>
        <w:t>19.</w:t>
      </w:r>
      <w:r>
        <w:rPr>
          <w:rFonts w:hint="eastAsia" w:ascii="宋体" w:hAnsi="宋体" w:cs="宋体"/>
          <w:sz w:val="24"/>
        </w:rPr>
        <w:tab/>
      </w:r>
      <w:r>
        <w:rPr>
          <w:rFonts w:hint="eastAsia" w:ascii="宋体" w:hAnsi="宋体" w:cs="宋体"/>
          <w:sz w:val="24"/>
        </w:rPr>
        <w:t>具有导出功能：可将选择的检查，快速导出，方便科研与教学；</w:t>
      </w:r>
    </w:p>
    <w:p>
      <w:pPr>
        <w:spacing w:line="360" w:lineRule="auto"/>
        <w:rPr>
          <w:rFonts w:hint="eastAsia" w:ascii="宋体" w:hAnsi="宋体" w:cs="宋体"/>
          <w:sz w:val="24"/>
        </w:rPr>
      </w:pPr>
      <w:r>
        <w:rPr>
          <w:rFonts w:hint="eastAsia" w:ascii="宋体" w:hAnsi="宋体" w:cs="宋体"/>
          <w:sz w:val="24"/>
        </w:rPr>
        <w:t>▲20.</w:t>
      </w:r>
      <w:r>
        <w:rPr>
          <w:rFonts w:hint="eastAsia" w:ascii="宋体" w:hAnsi="宋体" w:cs="宋体"/>
          <w:sz w:val="24"/>
        </w:rPr>
        <w:tab/>
      </w:r>
      <w:r>
        <w:rPr>
          <w:rFonts w:hint="eastAsia" w:ascii="宋体" w:hAnsi="宋体" w:cs="宋体"/>
          <w:sz w:val="24"/>
        </w:rPr>
        <w:t>具有病例对比功能：提供同一/不同患者的微循环图像、动图及报告的同屏对比，便于分析患者微循环情况；</w:t>
      </w:r>
    </w:p>
    <w:p>
      <w:pPr>
        <w:spacing w:line="360" w:lineRule="auto"/>
        <w:rPr>
          <w:rFonts w:hint="eastAsia" w:ascii="宋体" w:hAnsi="宋体" w:cs="宋体"/>
          <w:sz w:val="24"/>
        </w:rPr>
      </w:pPr>
      <w:r>
        <w:rPr>
          <w:rFonts w:hint="eastAsia" w:ascii="宋体" w:hAnsi="宋体" w:cs="宋体"/>
          <w:sz w:val="24"/>
        </w:rPr>
        <w:t>▲21.</w:t>
      </w:r>
      <w:r>
        <w:rPr>
          <w:rFonts w:hint="eastAsia" w:ascii="宋体" w:hAnsi="宋体" w:cs="宋体"/>
          <w:sz w:val="24"/>
        </w:rPr>
        <w:tab/>
      </w:r>
      <w:r>
        <w:rPr>
          <w:rFonts w:hint="eastAsia" w:ascii="宋体" w:hAnsi="宋体" w:cs="宋体"/>
          <w:sz w:val="24"/>
        </w:rPr>
        <w:t>具有趋势图功能：可选择同一患者3-10个采集数据，根据采集时间生成趋势图，利用不同图标及颜色进行流动性参数、异质性参数、血管密度等参数的区分，同时可保存及打印趋势图；</w:t>
      </w:r>
    </w:p>
    <w:p>
      <w:pPr>
        <w:spacing w:line="360" w:lineRule="auto"/>
        <w:rPr>
          <w:rFonts w:hint="eastAsia" w:ascii="宋体" w:hAnsi="宋体" w:cs="宋体"/>
          <w:sz w:val="24"/>
        </w:rPr>
      </w:pPr>
      <w:r>
        <w:rPr>
          <w:rFonts w:hint="eastAsia" w:ascii="宋体" w:hAnsi="宋体" w:cs="宋体"/>
          <w:sz w:val="24"/>
        </w:rPr>
        <w:t>22.</w:t>
      </w:r>
      <w:r>
        <w:rPr>
          <w:rFonts w:hint="eastAsia" w:ascii="宋体" w:hAnsi="宋体" w:cs="宋体"/>
          <w:sz w:val="24"/>
        </w:rPr>
        <w:tab/>
      </w:r>
      <w:r>
        <w:rPr>
          <w:rFonts w:hint="eastAsia" w:ascii="宋体" w:hAnsi="宋体" w:cs="宋体"/>
          <w:sz w:val="24"/>
        </w:rPr>
        <w:t>一次性镜片采用医用光学材料；</w:t>
      </w:r>
    </w:p>
    <w:p>
      <w:pPr>
        <w:spacing w:line="360" w:lineRule="auto"/>
        <w:rPr>
          <w:rFonts w:hint="eastAsia" w:ascii="宋体" w:hAnsi="宋体" w:cs="宋体"/>
          <w:sz w:val="24"/>
        </w:rPr>
      </w:pPr>
      <w:r>
        <w:rPr>
          <w:rFonts w:hint="eastAsia" w:ascii="宋体" w:hAnsi="宋体" w:cs="宋体"/>
          <w:sz w:val="24"/>
        </w:rPr>
        <w:t>23.</w:t>
      </w:r>
      <w:r>
        <w:rPr>
          <w:rFonts w:hint="eastAsia" w:ascii="宋体" w:hAnsi="宋体" w:cs="宋体"/>
          <w:sz w:val="24"/>
        </w:rPr>
        <w:tab/>
      </w:r>
      <w:r>
        <w:rPr>
          <w:rFonts w:hint="eastAsia" w:ascii="宋体" w:hAnsi="宋体" w:cs="宋体"/>
          <w:sz w:val="24"/>
        </w:rPr>
        <w:t>配有一体式专用移动工作站，线路内置无需整理；配有专用防水键盘和鼠标，可拆卸内置电池；</w:t>
      </w:r>
    </w:p>
    <w:p>
      <w:pPr>
        <w:spacing w:line="360" w:lineRule="auto"/>
        <w:rPr>
          <w:rFonts w:hint="eastAsia" w:ascii="宋体" w:hAnsi="宋体" w:cs="宋体"/>
          <w:sz w:val="24"/>
        </w:rPr>
      </w:pPr>
      <w:r>
        <w:rPr>
          <w:rFonts w:hint="eastAsia" w:ascii="宋体" w:hAnsi="宋体" w:cs="宋体"/>
          <w:sz w:val="24"/>
        </w:rPr>
        <w:t>24.</w:t>
      </w:r>
      <w:r>
        <w:rPr>
          <w:rFonts w:hint="eastAsia" w:ascii="宋体" w:hAnsi="宋体" w:cs="宋体"/>
          <w:sz w:val="24"/>
        </w:rPr>
        <w:tab/>
      </w:r>
      <w:r>
        <w:rPr>
          <w:rFonts w:hint="eastAsia" w:ascii="宋体" w:hAnsi="宋体" w:cs="宋体"/>
          <w:sz w:val="24"/>
        </w:rPr>
        <w:t>移动工作站配有触摸屏≥20寸，硬盘容量≥1TB，内存≥16GB；</w:t>
      </w:r>
    </w:p>
    <w:p>
      <w:pPr>
        <w:spacing w:line="360" w:lineRule="auto"/>
        <w:rPr>
          <w:rFonts w:hint="eastAsia" w:ascii="宋体" w:hAnsi="宋体" w:cs="宋体"/>
          <w:sz w:val="24"/>
        </w:rPr>
      </w:pPr>
      <w:r>
        <w:rPr>
          <w:rFonts w:hint="eastAsia" w:ascii="宋体" w:hAnsi="宋体" w:cs="宋体"/>
          <w:sz w:val="24"/>
        </w:rPr>
        <w:t>25.</w:t>
      </w:r>
      <w:r>
        <w:rPr>
          <w:rFonts w:hint="eastAsia" w:ascii="宋体" w:hAnsi="宋体" w:cs="宋体"/>
          <w:sz w:val="24"/>
        </w:rPr>
        <w:tab/>
      </w:r>
      <w:r>
        <w:rPr>
          <w:rFonts w:hint="eastAsia" w:ascii="宋体" w:hAnsi="宋体" w:cs="宋体"/>
          <w:sz w:val="24"/>
        </w:rPr>
        <w:t>移动工作站的操作托盘可气动控制升降，升降范围在1m-1.6m之间；</w:t>
      </w:r>
    </w:p>
    <w:p>
      <w:pPr>
        <w:spacing w:line="360" w:lineRule="auto"/>
        <w:rPr>
          <w:rFonts w:hint="eastAsia" w:ascii="宋体" w:hAnsi="宋体" w:cs="宋体"/>
          <w:sz w:val="24"/>
        </w:rPr>
      </w:pPr>
      <w:r>
        <w:rPr>
          <w:rFonts w:hint="eastAsia" w:ascii="宋体" w:hAnsi="宋体" w:cs="宋体"/>
          <w:sz w:val="24"/>
        </w:rPr>
        <w:t>26. 配置一次性镜片≥20个</w:t>
      </w:r>
    </w:p>
    <w:p>
      <w:pPr>
        <w:pStyle w:val="4"/>
        <w:spacing w:before="120" w:after="120" w:line="360" w:lineRule="auto"/>
        <w:rPr>
          <w:rFonts w:hint="eastAsia" w:ascii="宋体" w:hAnsi="宋体" w:cs="宋体"/>
        </w:rPr>
      </w:pPr>
      <w:bookmarkStart w:id="0" w:name="_bookmark76"/>
      <w:bookmarkEnd w:id="0"/>
      <w:bookmarkStart w:id="1" w:name="_bookmark79"/>
      <w:bookmarkEnd w:id="1"/>
      <w:r>
        <w:rPr>
          <w:rFonts w:hint="eastAsia" w:ascii="宋体" w:hAnsi="宋体" w:cs="宋体"/>
        </w:rPr>
        <w:t>*三、商务要求（以下内容除单独列明外，其余条款适用于所有包段）</w:t>
      </w:r>
    </w:p>
    <w:p>
      <w:pPr>
        <w:pStyle w:val="7"/>
        <w:ind w:left="420" w:firstLine="0" w:firstLineChars="0"/>
        <w:outlineLvl w:val="2"/>
        <w:rPr>
          <w:rFonts w:hint="eastAsia" w:ascii="宋体" w:hAnsi="宋体" w:cs="宋体"/>
          <w:bCs/>
          <w:kern w:val="0"/>
          <w:sz w:val="24"/>
          <w:szCs w:val="22"/>
        </w:rPr>
      </w:pPr>
      <w:r>
        <w:rPr>
          <w:rFonts w:hint="eastAsia" w:ascii="宋体" w:hAnsi="宋体" w:cs="宋体"/>
          <w:bCs/>
          <w:kern w:val="0"/>
          <w:sz w:val="24"/>
          <w:szCs w:val="22"/>
        </w:rPr>
        <w:t>1.付款方式：投标人须在合同签订生效之日起的7个工作日内，按合同总价10%支付履约保证金，安装调试并经采购人验收合格后，投标人须向采购人出具合法有效完整的完税发票及凭证资料进行支付结算（如采购项目涉及进口设备需提供商检证明），采购人支付合同总价的100%货款给投标人。</w:t>
      </w:r>
    </w:p>
    <w:p>
      <w:pPr>
        <w:pStyle w:val="7"/>
        <w:ind w:left="420" w:firstLine="0" w:firstLineChars="0"/>
        <w:outlineLvl w:val="2"/>
        <w:rPr>
          <w:rFonts w:hint="eastAsia" w:ascii="宋体" w:hAnsi="宋体" w:cs="宋体"/>
          <w:bCs/>
          <w:kern w:val="0"/>
          <w:sz w:val="24"/>
          <w:szCs w:val="22"/>
        </w:rPr>
      </w:pPr>
      <w:r>
        <w:rPr>
          <w:rFonts w:hint="eastAsia" w:ascii="宋体" w:hAnsi="宋体" w:cs="宋体"/>
          <w:bCs/>
          <w:kern w:val="0"/>
          <w:sz w:val="24"/>
          <w:szCs w:val="22"/>
        </w:rPr>
        <w:t>2.履约保证金的退还：货物自验收合格之日满1年，采购人接到投标人付款申请后30个工作日内，采购人一次性无息退还投标人的履约保证金。</w:t>
      </w:r>
    </w:p>
    <w:p>
      <w:pPr>
        <w:pStyle w:val="7"/>
        <w:ind w:left="420" w:firstLine="0" w:firstLineChars="0"/>
        <w:outlineLvl w:val="2"/>
        <w:rPr>
          <w:rFonts w:hint="eastAsia" w:ascii="宋体" w:hAnsi="宋体" w:cs="宋体"/>
          <w:bCs/>
          <w:kern w:val="0"/>
          <w:sz w:val="24"/>
          <w:szCs w:val="22"/>
        </w:rPr>
      </w:pPr>
      <w:r>
        <w:rPr>
          <w:rFonts w:hint="eastAsia" w:ascii="宋体" w:hAnsi="宋体" w:cs="宋体"/>
          <w:bCs/>
          <w:kern w:val="0"/>
          <w:sz w:val="24"/>
          <w:szCs w:val="22"/>
        </w:rPr>
        <w:t>3.交货时间：合同签订后45日内,</w:t>
      </w:r>
      <w:r>
        <w:rPr>
          <w:sz w:val="24"/>
          <w:szCs w:val="18"/>
        </w:rPr>
        <w:t>投标人须将所有货物运抵现场安装调试完毕并交付采购人验收，具体时间可由双方在合同中约定</w:t>
      </w:r>
      <w:r>
        <w:rPr>
          <w:rFonts w:hint="eastAsia" w:ascii="宋体" w:hAnsi="宋体" w:cs="宋体"/>
          <w:bCs/>
          <w:kern w:val="0"/>
          <w:sz w:val="24"/>
          <w:szCs w:val="22"/>
        </w:rPr>
        <w:t>。</w:t>
      </w:r>
    </w:p>
    <w:p>
      <w:pPr>
        <w:pStyle w:val="7"/>
        <w:ind w:left="420" w:firstLine="0" w:firstLineChars="0"/>
        <w:outlineLvl w:val="2"/>
        <w:rPr>
          <w:rFonts w:hint="eastAsia" w:ascii="宋体" w:hAnsi="宋体" w:cs="宋体"/>
          <w:bCs/>
          <w:kern w:val="0"/>
          <w:sz w:val="24"/>
          <w:szCs w:val="22"/>
        </w:rPr>
      </w:pPr>
      <w:r>
        <w:rPr>
          <w:rFonts w:hint="eastAsia" w:ascii="宋体" w:hAnsi="宋体" w:cs="宋体"/>
          <w:bCs/>
          <w:kern w:val="0"/>
          <w:sz w:val="24"/>
          <w:szCs w:val="22"/>
        </w:rPr>
        <w:t>4.由于投标人的原因未能按时供货的，每拖延一天，须向采购人支付合同总额千分之三的违约金；如超过供货期90天，采购人有权解除合同，履约保证金不予退还。</w:t>
      </w:r>
    </w:p>
    <w:p>
      <w:pPr>
        <w:pStyle w:val="7"/>
        <w:ind w:left="420" w:firstLine="0" w:firstLineChars="0"/>
        <w:outlineLvl w:val="2"/>
        <w:rPr>
          <w:rFonts w:hint="eastAsia" w:ascii="宋体" w:hAnsi="宋体" w:cs="宋体"/>
          <w:bCs/>
          <w:kern w:val="0"/>
          <w:sz w:val="24"/>
          <w:szCs w:val="22"/>
        </w:rPr>
      </w:pPr>
      <w:r>
        <w:rPr>
          <w:rFonts w:hint="eastAsia" w:ascii="宋体" w:hAnsi="宋体" w:cs="宋体"/>
          <w:bCs/>
          <w:kern w:val="0"/>
          <w:sz w:val="24"/>
          <w:szCs w:val="22"/>
        </w:rPr>
        <w:t>5.交货地点：四川省人民医院。</w:t>
      </w:r>
    </w:p>
    <w:p>
      <w:pPr>
        <w:pStyle w:val="7"/>
        <w:ind w:left="420" w:firstLine="0" w:firstLineChars="0"/>
        <w:outlineLvl w:val="2"/>
        <w:rPr>
          <w:rFonts w:hint="eastAsia" w:ascii="宋体" w:hAnsi="宋体" w:cs="宋体"/>
          <w:bCs/>
          <w:kern w:val="0"/>
          <w:sz w:val="24"/>
          <w:szCs w:val="22"/>
        </w:rPr>
      </w:pPr>
      <w:r>
        <w:rPr>
          <w:rFonts w:hint="eastAsia" w:ascii="宋体" w:hAnsi="宋体" w:cs="宋体"/>
          <w:bCs/>
          <w:kern w:val="0"/>
          <w:sz w:val="24"/>
          <w:szCs w:val="22"/>
        </w:rPr>
        <w:t>6.售后服务</w:t>
      </w:r>
    </w:p>
    <w:p>
      <w:pPr>
        <w:pStyle w:val="7"/>
        <w:ind w:left="420" w:firstLine="480"/>
        <w:outlineLvl w:val="3"/>
        <w:rPr>
          <w:rFonts w:hint="eastAsia" w:ascii="宋体" w:hAnsi="宋体" w:cs="宋体"/>
          <w:bCs/>
          <w:kern w:val="0"/>
          <w:sz w:val="24"/>
          <w:szCs w:val="22"/>
        </w:rPr>
      </w:pPr>
      <w:r>
        <w:rPr>
          <w:rFonts w:hint="eastAsia" w:ascii="宋体" w:hAnsi="宋体" w:cs="宋体"/>
          <w:bCs/>
          <w:kern w:val="0"/>
          <w:sz w:val="24"/>
          <w:szCs w:val="22"/>
        </w:rPr>
        <w:t>6.1送货上门、安装、调试，并试运行。</w:t>
      </w:r>
    </w:p>
    <w:p>
      <w:pPr>
        <w:pStyle w:val="7"/>
        <w:ind w:left="420" w:firstLine="480"/>
        <w:outlineLvl w:val="3"/>
        <w:rPr>
          <w:rFonts w:hint="eastAsia" w:ascii="宋体" w:hAnsi="宋体" w:cs="宋体"/>
          <w:bCs/>
          <w:kern w:val="0"/>
          <w:sz w:val="24"/>
          <w:szCs w:val="22"/>
        </w:rPr>
      </w:pPr>
      <w:r>
        <w:rPr>
          <w:rFonts w:hint="eastAsia" w:ascii="宋体" w:hAnsi="宋体" w:cs="宋体"/>
          <w:bCs/>
          <w:kern w:val="0"/>
          <w:sz w:val="24"/>
          <w:szCs w:val="22"/>
        </w:rPr>
        <w:t>6.2提供培训。保证受训人员能熟练操作，并对该设备能进行日常维护，如未达到，医院有权延后支付合同所约定之付款。</w:t>
      </w:r>
    </w:p>
    <w:p>
      <w:pPr>
        <w:pStyle w:val="7"/>
        <w:ind w:left="420" w:firstLine="480"/>
        <w:outlineLvl w:val="3"/>
        <w:rPr>
          <w:rFonts w:hint="eastAsia" w:ascii="宋体" w:hAnsi="宋体" w:cs="宋体"/>
          <w:bCs/>
          <w:kern w:val="0"/>
          <w:sz w:val="24"/>
          <w:szCs w:val="22"/>
        </w:rPr>
      </w:pPr>
      <w:r>
        <w:rPr>
          <w:rFonts w:hint="eastAsia" w:ascii="宋体" w:hAnsi="宋体" w:cs="宋体"/>
          <w:bCs/>
          <w:kern w:val="0"/>
          <w:sz w:val="24"/>
          <w:szCs w:val="22"/>
        </w:rPr>
        <w:t>6.3质保期</w:t>
      </w:r>
      <w:r>
        <w:rPr>
          <w:sz w:val="24"/>
          <w:szCs w:val="18"/>
        </w:rPr>
        <w:t>（含整机所有部件）</w:t>
      </w:r>
    </w:p>
    <w:p>
      <w:pPr>
        <w:pStyle w:val="7"/>
        <w:ind w:left="420" w:firstLine="480"/>
        <w:rPr>
          <w:rFonts w:hint="eastAsia" w:ascii="宋体" w:hAnsi="宋体" w:cs="宋体"/>
          <w:bCs/>
          <w:kern w:val="0"/>
          <w:sz w:val="24"/>
          <w:szCs w:val="22"/>
        </w:rPr>
      </w:pPr>
      <w:r>
        <w:rPr>
          <w:rFonts w:hint="eastAsia" w:ascii="宋体" w:hAnsi="宋体" w:cs="宋体"/>
          <w:bCs/>
          <w:kern w:val="0"/>
          <w:sz w:val="24"/>
          <w:szCs w:val="22"/>
        </w:rPr>
        <w:t>第1包：全自动洗胃机验收合格后至少4年，转运负压吸引器验收合格后至少3年。</w:t>
      </w:r>
    </w:p>
    <w:p>
      <w:pPr>
        <w:pStyle w:val="7"/>
        <w:ind w:left="420" w:firstLine="480"/>
        <w:rPr>
          <w:rFonts w:hint="eastAsia" w:ascii="宋体" w:hAnsi="宋体" w:cs="宋体"/>
          <w:bCs/>
          <w:kern w:val="0"/>
          <w:sz w:val="24"/>
          <w:szCs w:val="22"/>
        </w:rPr>
      </w:pPr>
      <w:r>
        <w:rPr>
          <w:rFonts w:hint="eastAsia" w:ascii="宋体" w:hAnsi="宋体" w:cs="宋体"/>
          <w:bCs/>
          <w:kern w:val="0"/>
          <w:sz w:val="24"/>
          <w:szCs w:val="22"/>
          <w:lang w:eastAsia="zh-CN"/>
        </w:rPr>
        <w:t>第3包</w:t>
      </w:r>
      <w:r>
        <w:rPr>
          <w:rFonts w:hint="eastAsia" w:ascii="宋体" w:hAnsi="宋体" w:cs="宋体"/>
          <w:bCs/>
          <w:kern w:val="0"/>
          <w:sz w:val="24"/>
          <w:szCs w:val="22"/>
        </w:rPr>
        <w:t>：舌下微循环成像系统验收合格后至少3年。</w:t>
      </w:r>
    </w:p>
    <w:p>
      <w:pPr>
        <w:pStyle w:val="7"/>
        <w:ind w:left="420" w:firstLine="480"/>
        <w:outlineLvl w:val="3"/>
        <w:rPr>
          <w:rFonts w:hint="eastAsia" w:ascii="宋体" w:hAnsi="宋体" w:cs="宋体"/>
          <w:bCs/>
          <w:kern w:val="0"/>
          <w:sz w:val="24"/>
          <w:szCs w:val="22"/>
        </w:rPr>
      </w:pPr>
      <w:r>
        <w:rPr>
          <w:rFonts w:hint="eastAsia" w:ascii="宋体" w:hAnsi="宋体" w:cs="宋体"/>
          <w:bCs/>
          <w:kern w:val="0"/>
          <w:sz w:val="24"/>
          <w:szCs w:val="22"/>
        </w:rPr>
        <w:t>6.4如货物在质保期内出现质量问题，投标人须在接到通知后12小时内响应，48小时内到场维修，或以合同约定为准，并承担相关费用；如质保期内货物经投标人两次维修仍不能达到国家相关质量标准，采购人有权更换全新货物、退货并追究投标人违约责任。</w:t>
      </w:r>
    </w:p>
    <w:p>
      <w:pPr>
        <w:pStyle w:val="7"/>
        <w:ind w:left="420" w:firstLine="480"/>
        <w:outlineLvl w:val="3"/>
        <w:rPr>
          <w:rFonts w:hint="eastAsia" w:ascii="宋体" w:hAnsi="宋体" w:cs="宋体"/>
          <w:bCs/>
          <w:kern w:val="0"/>
          <w:sz w:val="24"/>
          <w:szCs w:val="22"/>
        </w:rPr>
      </w:pPr>
      <w:r>
        <w:rPr>
          <w:rFonts w:hint="eastAsia" w:ascii="宋体" w:hAnsi="宋体" w:cs="宋体"/>
          <w:bCs/>
          <w:kern w:val="0"/>
          <w:sz w:val="24"/>
          <w:szCs w:val="22"/>
        </w:rPr>
        <w:t>6.5维修期间，根据采购人需要，提供备用设备。</w:t>
      </w:r>
    </w:p>
    <w:p>
      <w:pPr>
        <w:pStyle w:val="7"/>
        <w:ind w:left="420" w:firstLine="480"/>
        <w:outlineLvl w:val="3"/>
        <w:rPr>
          <w:rFonts w:hint="eastAsia" w:ascii="宋体" w:hAnsi="宋体" w:cs="宋体"/>
          <w:bCs/>
          <w:kern w:val="0"/>
          <w:sz w:val="24"/>
          <w:szCs w:val="22"/>
        </w:rPr>
      </w:pPr>
      <w:r>
        <w:rPr>
          <w:rFonts w:hint="eastAsia" w:ascii="宋体" w:hAnsi="宋体" w:cs="宋体"/>
          <w:bCs/>
          <w:kern w:val="0"/>
          <w:sz w:val="24"/>
          <w:szCs w:val="22"/>
        </w:rPr>
        <w:t>6.6投标人须指派专人负责与采购人联系售后服务事宜。</w:t>
      </w:r>
    </w:p>
    <w:p>
      <w:pPr>
        <w:pStyle w:val="7"/>
        <w:ind w:left="420" w:firstLine="480"/>
        <w:outlineLvl w:val="3"/>
        <w:rPr>
          <w:rFonts w:hint="eastAsia" w:ascii="宋体" w:hAnsi="宋体" w:cs="宋体"/>
          <w:bCs/>
          <w:kern w:val="0"/>
          <w:sz w:val="24"/>
          <w:szCs w:val="22"/>
        </w:rPr>
      </w:pPr>
      <w:r>
        <w:rPr>
          <w:rFonts w:hint="eastAsia" w:ascii="宋体" w:hAnsi="宋体" w:cs="宋体"/>
          <w:bCs/>
          <w:kern w:val="0"/>
          <w:sz w:val="24"/>
          <w:szCs w:val="22"/>
        </w:rPr>
        <w:t>6.7整机含所有部件（质保期内涉及维修、产品更换、人工费用等一切费用包含在此次报价中）</w:t>
      </w:r>
    </w:p>
    <w:p>
      <w:pPr>
        <w:pStyle w:val="7"/>
        <w:ind w:left="420" w:firstLine="0" w:firstLineChars="0"/>
        <w:outlineLvl w:val="2"/>
        <w:rPr>
          <w:rFonts w:hint="eastAsia" w:ascii="宋体" w:hAnsi="宋体" w:cs="宋体"/>
          <w:bCs/>
          <w:kern w:val="0"/>
          <w:sz w:val="24"/>
          <w:szCs w:val="22"/>
        </w:rPr>
      </w:pPr>
      <w:r>
        <w:rPr>
          <w:rFonts w:hint="eastAsia" w:ascii="宋体" w:hAnsi="宋体" w:cs="宋体"/>
          <w:bCs/>
          <w:kern w:val="0"/>
          <w:sz w:val="24"/>
          <w:szCs w:val="22"/>
        </w:rPr>
        <w:t>7.验收</w:t>
      </w:r>
    </w:p>
    <w:p>
      <w:pPr>
        <w:pStyle w:val="7"/>
        <w:ind w:left="420" w:firstLine="480"/>
        <w:outlineLvl w:val="3"/>
        <w:rPr>
          <w:rFonts w:hint="eastAsia" w:ascii="宋体" w:hAnsi="宋体" w:cs="宋体"/>
          <w:bCs/>
          <w:kern w:val="0"/>
          <w:sz w:val="24"/>
          <w:szCs w:val="22"/>
        </w:rPr>
      </w:pPr>
      <w:r>
        <w:rPr>
          <w:rFonts w:hint="eastAsia" w:ascii="宋体" w:hAnsi="宋体" w:cs="宋体"/>
          <w:bCs/>
          <w:kern w:val="0"/>
          <w:sz w:val="24"/>
          <w:szCs w:val="22"/>
        </w:rPr>
        <w:t>7.1验收交付标准和方法：</w:t>
      </w:r>
    </w:p>
    <w:p>
      <w:pPr>
        <w:pStyle w:val="7"/>
        <w:ind w:left="420" w:firstLine="480"/>
        <w:rPr>
          <w:rFonts w:hint="eastAsia" w:ascii="宋体" w:hAnsi="宋体" w:cs="宋体"/>
          <w:bCs/>
          <w:kern w:val="0"/>
          <w:sz w:val="24"/>
          <w:szCs w:val="22"/>
        </w:rPr>
      </w:pPr>
      <w:r>
        <w:rPr>
          <w:rFonts w:hint="eastAsia" w:ascii="宋体" w:hAnsi="宋体" w:cs="宋体"/>
          <w:bCs/>
          <w:kern w:val="0"/>
          <w:sz w:val="24"/>
          <w:szCs w:val="22"/>
        </w:rPr>
        <w:t>7.1.1按国家有关规定以及招标文件的质量要求和技术指标、中标人的响应投标文件及承诺与合同约定标准进行验收；</w:t>
      </w:r>
    </w:p>
    <w:p>
      <w:pPr>
        <w:pStyle w:val="7"/>
        <w:ind w:left="420" w:firstLine="480"/>
        <w:rPr>
          <w:rFonts w:hint="eastAsia" w:ascii="宋体" w:hAnsi="宋体" w:cs="宋体"/>
          <w:bCs/>
          <w:kern w:val="0"/>
          <w:sz w:val="24"/>
          <w:szCs w:val="22"/>
        </w:rPr>
      </w:pPr>
      <w:r>
        <w:rPr>
          <w:rFonts w:hint="eastAsia" w:ascii="宋体" w:hAnsi="宋体" w:cs="宋体"/>
          <w:bCs/>
          <w:kern w:val="0"/>
          <w:sz w:val="24"/>
          <w:szCs w:val="22"/>
        </w:rPr>
        <w:t>7.1.2其他未尽事宜按照《财政部关于进一步加 强政府采购需求和履约验收管理的指导意见》(财库〔2016〕205 号)的要求进行验收。</w:t>
      </w:r>
    </w:p>
    <w:p>
      <w:pPr>
        <w:pStyle w:val="7"/>
        <w:ind w:left="420" w:firstLine="480"/>
        <w:outlineLvl w:val="3"/>
        <w:rPr>
          <w:rFonts w:hint="eastAsia" w:ascii="宋体" w:hAnsi="宋体" w:cs="宋体"/>
          <w:bCs/>
          <w:kern w:val="0"/>
          <w:sz w:val="24"/>
          <w:szCs w:val="22"/>
        </w:rPr>
      </w:pPr>
      <w:r>
        <w:rPr>
          <w:rFonts w:hint="eastAsia" w:ascii="宋体" w:hAnsi="宋体" w:cs="宋体"/>
          <w:bCs/>
          <w:kern w:val="0"/>
          <w:sz w:val="24"/>
          <w:szCs w:val="22"/>
        </w:rPr>
        <w:t>7.2履约验收方案</w:t>
      </w:r>
    </w:p>
    <w:p>
      <w:pPr>
        <w:pStyle w:val="7"/>
        <w:ind w:left="420" w:firstLine="480"/>
        <w:rPr>
          <w:rFonts w:hint="eastAsia" w:ascii="宋体" w:hAnsi="宋体" w:cs="宋体"/>
          <w:bCs/>
          <w:kern w:val="0"/>
          <w:sz w:val="24"/>
          <w:szCs w:val="22"/>
        </w:rPr>
      </w:pPr>
      <w:r>
        <w:rPr>
          <w:rFonts w:hint="eastAsia" w:ascii="宋体" w:hAnsi="宋体" w:cs="宋体"/>
          <w:bCs/>
          <w:kern w:val="0"/>
          <w:sz w:val="24"/>
          <w:szCs w:val="22"/>
        </w:rPr>
        <w:t>履约验收方案需明确履约验收的主体、时间、方式、程序、内容和验收标准等事项，具体需包含以下内容：</w:t>
      </w:r>
    </w:p>
    <w:p>
      <w:pPr>
        <w:spacing w:line="360" w:lineRule="auto"/>
        <w:ind w:right="53" w:firstLine="480" w:firstLineChars="200"/>
        <w:textAlignment w:val="bottom"/>
        <w:rPr>
          <w:rFonts w:hint="eastAsia" w:ascii="宋体" w:hAnsi="宋体" w:cs="宋体"/>
          <w:color w:val="000000"/>
          <w:sz w:val="24"/>
        </w:rPr>
      </w:pPr>
      <w:r>
        <w:rPr>
          <w:rFonts w:hint="eastAsia" w:ascii="宋体" w:hAnsi="宋体" w:cs="宋体"/>
          <w:color w:val="000000"/>
          <w:sz w:val="24"/>
        </w:rPr>
        <w:t>1.验收组织方式：</w:t>
      </w:r>
    </w:p>
    <w:p>
      <w:pPr>
        <w:spacing w:line="360" w:lineRule="auto"/>
        <w:ind w:right="53" w:firstLine="960" w:firstLineChars="400"/>
        <w:textAlignment w:val="bottom"/>
        <w:rPr>
          <w:rFonts w:hint="eastAsia" w:ascii="宋体" w:hAnsi="宋体" w:cs="宋体"/>
          <w:color w:val="000000"/>
          <w:sz w:val="24"/>
        </w:rPr>
      </w:pPr>
      <w:r>
        <w:rPr>
          <w:rFonts w:hint="eastAsia" w:ascii="宋体" w:hAnsi="宋体" w:cs="宋体"/>
          <w:color w:val="000000"/>
          <w:sz w:val="24"/>
        </w:rPr>
        <w:sym w:font="Wingdings" w:char="00FE"/>
      </w:r>
      <w:r>
        <w:rPr>
          <w:rFonts w:hint="eastAsia" w:ascii="宋体" w:hAnsi="宋体" w:cs="宋体"/>
          <w:color w:val="000000"/>
          <w:sz w:val="24"/>
        </w:rPr>
        <w:t xml:space="preserve">自行验收       </w:t>
      </w:r>
      <w:r>
        <w:rPr>
          <w:rFonts w:hint="eastAsia" w:ascii="宋体" w:hAnsi="宋体" w:cs="宋体"/>
          <w:color w:val="000000"/>
          <w:sz w:val="24"/>
        </w:rPr>
        <w:sym w:font="Wingdings" w:char="F0A8"/>
      </w:r>
      <w:r>
        <w:rPr>
          <w:rFonts w:hint="eastAsia" w:ascii="宋体" w:hAnsi="宋体" w:cs="宋体"/>
          <w:color w:val="000000"/>
          <w:sz w:val="24"/>
        </w:rPr>
        <w:t>委托第三方验收</w:t>
      </w:r>
    </w:p>
    <w:p>
      <w:pPr>
        <w:spacing w:line="360" w:lineRule="auto"/>
        <w:ind w:right="53" w:firstLine="480" w:firstLineChars="200"/>
        <w:textAlignment w:val="bottom"/>
        <w:rPr>
          <w:rFonts w:hint="eastAsia" w:ascii="宋体" w:hAnsi="宋体" w:cs="宋体"/>
          <w:color w:val="000000"/>
          <w:sz w:val="24"/>
        </w:rPr>
      </w:pPr>
      <w:r>
        <w:rPr>
          <w:rFonts w:hint="eastAsia" w:ascii="宋体" w:hAnsi="宋体" w:cs="宋体"/>
          <w:color w:val="000000"/>
          <w:sz w:val="24"/>
        </w:rPr>
        <w:t>2.是否邀请本项目的其他供应商：</w:t>
      </w:r>
    </w:p>
    <w:p>
      <w:pPr>
        <w:spacing w:line="360" w:lineRule="auto"/>
        <w:ind w:right="53" w:firstLine="960" w:firstLineChars="400"/>
        <w:textAlignment w:val="bottom"/>
        <w:rPr>
          <w:rFonts w:hint="eastAsia" w:ascii="宋体" w:hAnsi="宋体" w:cs="宋体"/>
          <w:color w:val="000000"/>
          <w:sz w:val="24"/>
        </w:rPr>
      </w:pPr>
      <w:r>
        <w:rPr>
          <w:rFonts w:hint="eastAsia" w:ascii="宋体" w:hAnsi="宋体" w:cs="宋体"/>
          <w:color w:val="000000"/>
          <w:sz w:val="24"/>
        </w:rPr>
        <w:sym w:font="Wingdings" w:char="F0A8"/>
      </w:r>
      <w:r>
        <w:rPr>
          <w:rFonts w:hint="eastAsia" w:ascii="宋体" w:hAnsi="宋体" w:cs="宋体"/>
          <w:color w:val="000000"/>
          <w:sz w:val="24"/>
        </w:rPr>
        <w:t xml:space="preserve">是   </w:t>
      </w:r>
      <w:r>
        <w:rPr>
          <w:rFonts w:hint="eastAsia" w:ascii="宋体" w:hAnsi="宋体" w:cs="宋体"/>
          <w:color w:val="000000"/>
          <w:sz w:val="24"/>
        </w:rPr>
        <w:sym w:font="Wingdings" w:char="00FE"/>
      </w:r>
      <w:r>
        <w:rPr>
          <w:rFonts w:hint="eastAsia" w:ascii="宋体" w:hAnsi="宋体" w:cs="宋体"/>
          <w:color w:val="000000"/>
          <w:sz w:val="24"/>
        </w:rPr>
        <w:t>否</w:t>
      </w:r>
    </w:p>
    <w:p>
      <w:pPr>
        <w:spacing w:line="360" w:lineRule="auto"/>
        <w:ind w:right="53" w:firstLine="480" w:firstLineChars="200"/>
        <w:textAlignment w:val="bottom"/>
        <w:rPr>
          <w:rFonts w:hint="eastAsia" w:ascii="宋体" w:hAnsi="宋体" w:cs="宋体"/>
          <w:color w:val="000000"/>
          <w:sz w:val="24"/>
        </w:rPr>
      </w:pPr>
      <w:r>
        <w:rPr>
          <w:rFonts w:hint="eastAsia" w:ascii="宋体" w:hAnsi="宋体" w:cs="宋体"/>
          <w:color w:val="000000"/>
          <w:sz w:val="24"/>
        </w:rPr>
        <w:t>3.是否邀请专家：</w:t>
      </w:r>
    </w:p>
    <w:p>
      <w:pPr>
        <w:spacing w:line="360" w:lineRule="auto"/>
        <w:ind w:right="53" w:firstLine="960" w:firstLineChars="400"/>
        <w:textAlignment w:val="bottom"/>
        <w:rPr>
          <w:rFonts w:hint="eastAsia" w:ascii="宋体" w:hAnsi="宋体" w:cs="宋体"/>
          <w:color w:val="000000"/>
          <w:sz w:val="24"/>
        </w:rPr>
      </w:pPr>
      <w:r>
        <w:rPr>
          <w:rFonts w:hint="eastAsia" w:ascii="宋体" w:hAnsi="宋体" w:cs="宋体"/>
          <w:color w:val="000000"/>
          <w:sz w:val="24"/>
        </w:rPr>
        <w:sym w:font="Wingdings" w:char="F0A8"/>
      </w:r>
      <w:r>
        <w:rPr>
          <w:rFonts w:hint="eastAsia" w:ascii="宋体" w:hAnsi="宋体" w:cs="宋体"/>
          <w:color w:val="000000"/>
          <w:sz w:val="24"/>
        </w:rPr>
        <w:t xml:space="preserve">是   </w:t>
      </w:r>
      <w:r>
        <w:rPr>
          <w:rFonts w:hint="eastAsia" w:ascii="宋体" w:hAnsi="宋体" w:cs="宋体"/>
          <w:color w:val="000000"/>
          <w:sz w:val="24"/>
        </w:rPr>
        <w:sym w:font="Wingdings" w:char="00FE"/>
      </w:r>
      <w:r>
        <w:rPr>
          <w:rFonts w:hint="eastAsia" w:ascii="宋体" w:hAnsi="宋体" w:cs="宋体"/>
          <w:color w:val="000000"/>
          <w:sz w:val="24"/>
        </w:rPr>
        <w:t>否</w:t>
      </w:r>
    </w:p>
    <w:p>
      <w:pPr>
        <w:spacing w:line="360" w:lineRule="auto"/>
        <w:ind w:right="53" w:firstLine="480" w:firstLineChars="200"/>
        <w:textAlignment w:val="bottom"/>
        <w:rPr>
          <w:rFonts w:hint="eastAsia" w:ascii="宋体" w:hAnsi="宋体" w:cs="宋体"/>
          <w:color w:val="000000"/>
          <w:sz w:val="24"/>
        </w:rPr>
      </w:pPr>
      <w:r>
        <w:rPr>
          <w:rFonts w:hint="eastAsia" w:ascii="宋体" w:hAnsi="宋体" w:cs="宋体"/>
          <w:color w:val="000000"/>
          <w:sz w:val="24"/>
        </w:rPr>
        <w:t>4.是否邀请第三方检测机构</w:t>
      </w:r>
    </w:p>
    <w:p>
      <w:pPr>
        <w:spacing w:line="360" w:lineRule="auto"/>
        <w:ind w:right="53" w:firstLine="960" w:firstLineChars="400"/>
        <w:textAlignment w:val="bottom"/>
        <w:rPr>
          <w:rFonts w:hint="eastAsia" w:ascii="宋体" w:hAnsi="宋体" w:cs="宋体"/>
          <w:color w:val="000000"/>
          <w:sz w:val="24"/>
        </w:rPr>
      </w:pPr>
      <w:r>
        <w:rPr>
          <w:rFonts w:hint="eastAsia" w:ascii="宋体" w:hAnsi="宋体" w:cs="宋体"/>
          <w:color w:val="000000"/>
          <w:sz w:val="24"/>
        </w:rPr>
        <w:sym w:font="Wingdings" w:char="F0A8"/>
      </w:r>
      <w:r>
        <w:rPr>
          <w:rFonts w:hint="eastAsia" w:ascii="宋体" w:hAnsi="宋体" w:cs="宋体"/>
          <w:color w:val="000000"/>
          <w:sz w:val="24"/>
        </w:rPr>
        <w:t xml:space="preserve">是   </w:t>
      </w:r>
      <w:r>
        <w:rPr>
          <w:rFonts w:hint="eastAsia" w:ascii="宋体" w:hAnsi="宋体" w:cs="宋体"/>
          <w:color w:val="000000"/>
          <w:sz w:val="24"/>
        </w:rPr>
        <w:sym w:font="Wingdings" w:char="00FE"/>
      </w:r>
      <w:r>
        <w:rPr>
          <w:rFonts w:hint="eastAsia" w:ascii="宋体" w:hAnsi="宋体" w:cs="宋体"/>
          <w:color w:val="000000"/>
          <w:sz w:val="24"/>
        </w:rPr>
        <w:t>否</w:t>
      </w:r>
    </w:p>
    <w:p>
      <w:pPr>
        <w:spacing w:line="360" w:lineRule="auto"/>
        <w:ind w:right="53" w:firstLine="480" w:firstLineChars="200"/>
        <w:textAlignment w:val="bottom"/>
        <w:rPr>
          <w:rFonts w:hint="eastAsia" w:ascii="宋体" w:hAnsi="宋体" w:cs="宋体"/>
          <w:color w:val="000000"/>
          <w:sz w:val="24"/>
        </w:rPr>
      </w:pPr>
      <w:r>
        <w:rPr>
          <w:rFonts w:hint="eastAsia" w:ascii="宋体" w:hAnsi="宋体" w:cs="宋体"/>
          <w:color w:val="000000"/>
          <w:sz w:val="24"/>
        </w:rPr>
        <w:t>5.履约验收程序</w:t>
      </w:r>
    </w:p>
    <w:p>
      <w:pPr>
        <w:spacing w:line="360" w:lineRule="auto"/>
        <w:ind w:right="53" w:firstLine="960" w:firstLineChars="400"/>
        <w:textAlignment w:val="bottom"/>
        <w:rPr>
          <w:rFonts w:hint="eastAsia" w:ascii="宋体" w:hAnsi="宋体" w:cs="宋体"/>
          <w:color w:val="000000"/>
          <w:sz w:val="24"/>
        </w:rPr>
      </w:pPr>
      <w:r>
        <w:rPr>
          <w:rFonts w:hint="eastAsia" w:ascii="宋体" w:hAnsi="宋体" w:cs="宋体"/>
          <w:color w:val="000000"/>
          <w:sz w:val="24"/>
        </w:rPr>
        <w:sym w:font="Wingdings" w:char="00FE"/>
      </w:r>
      <w:r>
        <w:rPr>
          <w:rFonts w:hint="eastAsia" w:ascii="宋体" w:hAnsi="宋体" w:cs="宋体"/>
          <w:color w:val="000000"/>
          <w:sz w:val="24"/>
        </w:rPr>
        <w:t xml:space="preserve">一次性验收   </w:t>
      </w:r>
      <w:r>
        <w:rPr>
          <w:rFonts w:hint="eastAsia" w:ascii="宋体" w:hAnsi="宋体" w:cs="宋体"/>
          <w:color w:val="000000"/>
          <w:sz w:val="24"/>
        </w:rPr>
        <w:sym w:font="Wingdings" w:char="F0A8"/>
      </w:r>
      <w:r>
        <w:rPr>
          <w:rFonts w:hint="eastAsia" w:ascii="宋体" w:hAnsi="宋体" w:cs="宋体"/>
          <w:color w:val="000000"/>
          <w:sz w:val="24"/>
        </w:rPr>
        <w:t>分段/分期验收</w:t>
      </w:r>
    </w:p>
    <w:p>
      <w:pPr>
        <w:spacing w:line="360" w:lineRule="auto"/>
        <w:ind w:right="53" w:firstLine="480" w:firstLineChars="200"/>
        <w:textAlignment w:val="bottom"/>
        <w:rPr>
          <w:rFonts w:hint="eastAsia" w:ascii="宋体" w:hAnsi="宋体" w:cs="宋体"/>
          <w:color w:val="000000"/>
          <w:sz w:val="24"/>
        </w:rPr>
      </w:pPr>
      <w:r>
        <w:rPr>
          <w:rFonts w:hint="eastAsia" w:ascii="宋体" w:hAnsi="宋体" w:cs="宋体"/>
          <w:color w:val="000000"/>
          <w:sz w:val="24"/>
        </w:rPr>
        <w:t>6.履约验收时间</w:t>
      </w:r>
    </w:p>
    <w:p>
      <w:pPr>
        <w:spacing w:line="360" w:lineRule="auto"/>
        <w:ind w:right="53" w:firstLine="960" w:firstLineChars="400"/>
        <w:textAlignment w:val="bottom"/>
        <w:rPr>
          <w:rFonts w:hint="eastAsia" w:ascii="宋体" w:hAnsi="宋体" w:cs="宋体"/>
          <w:color w:val="000000"/>
          <w:sz w:val="24"/>
        </w:rPr>
      </w:pPr>
      <w:r>
        <w:rPr>
          <w:rFonts w:hint="eastAsia" w:ascii="宋体" w:hAnsi="宋体" w:cs="宋体"/>
          <w:color w:val="000000"/>
          <w:sz w:val="24"/>
        </w:rPr>
        <w:sym w:font="Wingdings" w:char="F0A8"/>
      </w:r>
      <w:r>
        <w:rPr>
          <w:rFonts w:hint="eastAsia" w:ascii="宋体" w:hAnsi="宋体" w:cs="宋体"/>
          <w:color w:val="000000"/>
          <w:sz w:val="24"/>
        </w:rPr>
        <w:t>计划于何时验收，XXXX年XX月XX日</w:t>
      </w:r>
    </w:p>
    <w:p>
      <w:pPr>
        <w:spacing w:line="360" w:lineRule="auto"/>
        <w:ind w:right="53" w:firstLine="960" w:firstLineChars="400"/>
        <w:textAlignment w:val="bottom"/>
        <w:rPr>
          <w:rFonts w:hint="eastAsia" w:ascii="宋体" w:hAnsi="宋体" w:cs="宋体"/>
          <w:color w:val="000000"/>
          <w:sz w:val="24"/>
        </w:rPr>
      </w:pPr>
      <w:r>
        <w:rPr>
          <w:rFonts w:hint="eastAsia" w:ascii="宋体" w:hAnsi="宋体" w:cs="宋体"/>
          <w:color w:val="000000"/>
          <w:sz w:val="24"/>
        </w:rPr>
        <w:sym w:font="Wingdings" w:char="00FE"/>
      </w:r>
      <w:r>
        <w:rPr>
          <w:rFonts w:hint="eastAsia" w:ascii="宋体" w:hAnsi="宋体" w:cs="宋体"/>
          <w:color w:val="000000"/>
          <w:sz w:val="24"/>
        </w:rPr>
        <w:t>供应商提出验收申请之日起20日内组织验收</w:t>
      </w:r>
    </w:p>
    <w:p>
      <w:pPr>
        <w:widowControl/>
        <w:spacing w:line="360" w:lineRule="auto"/>
        <w:ind w:right="53" w:firstLine="480" w:firstLineChars="200"/>
        <w:jc w:val="left"/>
        <w:textAlignment w:val="bottom"/>
        <w:rPr>
          <w:rFonts w:hint="eastAsia" w:ascii="宋体" w:hAnsi="宋体" w:cs="宋体"/>
          <w:color w:val="000000"/>
          <w:sz w:val="24"/>
        </w:rPr>
      </w:pPr>
      <w:r>
        <w:rPr>
          <w:rFonts w:hint="eastAsia" w:ascii="宋体" w:hAnsi="宋体" w:cs="宋体"/>
          <w:color w:val="000000"/>
          <w:sz w:val="24"/>
        </w:rPr>
        <w:t>7.验收组织的其他事项</w:t>
      </w:r>
    </w:p>
    <w:p>
      <w:pPr>
        <w:spacing w:line="360" w:lineRule="auto"/>
        <w:ind w:right="53" w:firstLine="960" w:firstLineChars="400"/>
        <w:textAlignment w:val="bottom"/>
        <w:rPr>
          <w:rFonts w:hint="eastAsia" w:ascii="宋体" w:hAnsi="宋体" w:cs="宋体"/>
          <w:color w:val="000000"/>
          <w:sz w:val="24"/>
        </w:rPr>
      </w:pPr>
      <w:r>
        <w:rPr>
          <w:rFonts w:hint="eastAsia" w:ascii="宋体" w:hAnsi="宋体" w:cs="宋体"/>
          <w:color w:val="000000"/>
          <w:sz w:val="24"/>
        </w:rPr>
        <w:t>供应商仅在完成设备点件、安装、调试、使用培训，且设备配置、技术性能指标符合采购需求后，方可提出验收申请。</w:t>
      </w:r>
    </w:p>
    <w:p>
      <w:pPr>
        <w:spacing w:line="360" w:lineRule="auto"/>
        <w:ind w:right="53" w:firstLine="480" w:firstLineChars="200"/>
        <w:textAlignment w:val="bottom"/>
        <w:rPr>
          <w:rFonts w:hint="eastAsia" w:ascii="宋体" w:hAnsi="宋体" w:cs="宋体"/>
          <w:color w:val="000000"/>
          <w:sz w:val="24"/>
        </w:rPr>
      </w:pPr>
      <w:r>
        <w:rPr>
          <w:rFonts w:hint="eastAsia" w:ascii="宋体" w:hAnsi="宋体" w:cs="宋体"/>
          <w:color w:val="000000"/>
          <w:sz w:val="24"/>
        </w:rPr>
        <w:t>8.技术履约验收内容</w:t>
      </w:r>
    </w:p>
    <w:p>
      <w:pPr>
        <w:spacing w:line="360" w:lineRule="auto"/>
        <w:ind w:right="53" w:firstLine="960" w:firstLineChars="400"/>
        <w:textAlignment w:val="bottom"/>
        <w:rPr>
          <w:rFonts w:hint="eastAsia" w:ascii="宋体" w:hAnsi="宋体" w:cs="宋体"/>
          <w:color w:val="000000"/>
          <w:sz w:val="24"/>
        </w:rPr>
      </w:pPr>
      <w:r>
        <w:rPr>
          <w:rFonts w:hint="eastAsia" w:ascii="宋体" w:hAnsi="宋体" w:cs="宋体"/>
          <w:color w:val="000000"/>
          <w:sz w:val="24"/>
        </w:rPr>
        <w:t>招标文件要求及投标文件响应内容、中标产品厂家注册内容、产品说明书（如涉及）等内容进行技术验收</w:t>
      </w:r>
    </w:p>
    <w:p>
      <w:pPr>
        <w:spacing w:line="360" w:lineRule="auto"/>
        <w:ind w:right="53" w:firstLine="480" w:firstLineChars="200"/>
        <w:textAlignment w:val="bottom"/>
        <w:rPr>
          <w:rFonts w:hint="eastAsia" w:ascii="宋体" w:hAnsi="宋体" w:cs="宋体"/>
          <w:color w:val="000000"/>
          <w:sz w:val="24"/>
        </w:rPr>
      </w:pPr>
      <w:r>
        <w:rPr>
          <w:rFonts w:hint="eastAsia" w:ascii="宋体" w:hAnsi="宋体" w:cs="宋体"/>
          <w:color w:val="000000"/>
          <w:sz w:val="24"/>
        </w:rPr>
        <w:t>9.商务履约验收内容</w:t>
      </w:r>
    </w:p>
    <w:p>
      <w:pPr>
        <w:spacing w:line="360" w:lineRule="auto"/>
        <w:ind w:right="53" w:firstLine="960" w:firstLineChars="400"/>
        <w:textAlignment w:val="bottom"/>
        <w:rPr>
          <w:rFonts w:hint="eastAsia" w:ascii="宋体" w:hAnsi="宋体" w:cs="宋体"/>
          <w:color w:val="000000"/>
          <w:sz w:val="24"/>
        </w:rPr>
      </w:pPr>
      <w:r>
        <w:rPr>
          <w:rFonts w:hint="eastAsia" w:ascii="宋体" w:hAnsi="宋体" w:cs="宋体"/>
          <w:color w:val="000000"/>
          <w:sz w:val="24"/>
        </w:rPr>
        <w:t>按投标文件响应商务内容验收。</w:t>
      </w:r>
    </w:p>
    <w:p>
      <w:pPr>
        <w:spacing w:line="360" w:lineRule="auto"/>
        <w:ind w:right="53" w:firstLine="480" w:firstLineChars="200"/>
        <w:textAlignment w:val="bottom"/>
        <w:rPr>
          <w:rFonts w:hint="eastAsia" w:ascii="宋体" w:hAnsi="宋体" w:cs="宋体"/>
          <w:color w:val="000000"/>
          <w:sz w:val="24"/>
        </w:rPr>
      </w:pPr>
      <w:r>
        <w:rPr>
          <w:rFonts w:hint="eastAsia" w:ascii="宋体" w:hAnsi="宋体" w:cs="宋体"/>
          <w:color w:val="000000"/>
          <w:sz w:val="24"/>
        </w:rPr>
        <w:t>10.履约验收标准</w:t>
      </w:r>
    </w:p>
    <w:p>
      <w:pPr>
        <w:spacing w:line="360" w:lineRule="auto"/>
        <w:ind w:right="53" w:firstLine="960" w:firstLineChars="400"/>
        <w:textAlignment w:val="bottom"/>
        <w:rPr>
          <w:rFonts w:hint="eastAsia" w:ascii="宋体" w:hAnsi="宋体" w:cs="宋体"/>
          <w:color w:val="000000"/>
          <w:sz w:val="24"/>
        </w:rPr>
      </w:pPr>
      <w:r>
        <w:rPr>
          <w:rFonts w:hint="eastAsia" w:ascii="宋体" w:hAnsi="宋体" w:cs="宋体"/>
          <w:color w:val="000000"/>
          <w:sz w:val="24"/>
        </w:rPr>
        <w:t>按国家相关法律、行业标准验收。</w:t>
      </w:r>
    </w:p>
    <w:p>
      <w:pPr>
        <w:widowControl/>
        <w:spacing w:line="360" w:lineRule="auto"/>
        <w:ind w:right="53" w:firstLine="480" w:firstLineChars="200"/>
        <w:jc w:val="left"/>
        <w:textAlignment w:val="bottom"/>
        <w:rPr>
          <w:rFonts w:hint="eastAsia" w:ascii="宋体" w:hAnsi="宋体" w:cs="宋体"/>
          <w:color w:val="000000"/>
          <w:sz w:val="24"/>
        </w:rPr>
      </w:pPr>
      <w:r>
        <w:rPr>
          <w:rFonts w:hint="eastAsia" w:ascii="宋体" w:hAnsi="宋体" w:cs="宋体"/>
          <w:color w:val="000000"/>
          <w:sz w:val="24"/>
        </w:rPr>
        <w:t>11.履约验收其他事项</w:t>
      </w:r>
    </w:p>
    <w:p>
      <w:pPr>
        <w:pStyle w:val="7"/>
        <w:ind w:firstLine="720" w:firstLineChars="300"/>
        <w:rPr>
          <w:rFonts w:hint="eastAsia" w:ascii="宋体" w:hAnsi="宋体" w:cs="宋体"/>
          <w:bCs/>
          <w:kern w:val="0"/>
          <w:sz w:val="24"/>
          <w:szCs w:val="22"/>
        </w:rPr>
      </w:pPr>
      <w:r>
        <w:rPr>
          <w:rFonts w:hint="eastAsia" w:ascii="宋体" w:hAnsi="宋体" w:cs="宋体"/>
          <w:color w:val="000000"/>
          <w:sz w:val="24"/>
        </w:rPr>
        <w:t>履约验收各条款间有不一致时，按较高标准进行。</w:t>
      </w:r>
    </w:p>
    <w:p>
      <w:pPr>
        <w:pStyle w:val="7"/>
        <w:ind w:left="420" w:firstLine="480"/>
        <w:outlineLvl w:val="3"/>
        <w:rPr>
          <w:rFonts w:hint="eastAsia" w:ascii="宋体" w:hAnsi="宋体" w:cs="宋体"/>
          <w:bCs/>
          <w:kern w:val="0"/>
          <w:sz w:val="24"/>
          <w:szCs w:val="22"/>
        </w:rPr>
      </w:pPr>
      <w:r>
        <w:rPr>
          <w:rFonts w:hint="eastAsia" w:ascii="宋体" w:hAnsi="宋体" w:cs="宋体"/>
          <w:bCs/>
          <w:kern w:val="0"/>
          <w:sz w:val="24"/>
          <w:szCs w:val="22"/>
        </w:rPr>
        <w:t>7.3投标人须在投标文件中单独提供配置清单【不同产品分别提供，格式参见本章格式1），并保证清单中的组件名称、型号与生产厂家技术资料（医疗器械注册证、说明书、装箱清单、技术白皮书等，至少其中之一】相符合，采购人将以此为依据进行验收。</w:t>
      </w:r>
    </w:p>
    <w:p>
      <w:pPr>
        <w:pStyle w:val="7"/>
        <w:ind w:left="420" w:firstLine="0" w:firstLineChars="0"/>
        <w:outlineLvl w:val="2"/>
        <w:rPr>
          <w:rFonts w:hint="eastAsia" w:ascii="宋体" w:hAnsi="宋体" w:cs="宋体"/>
          <w:bCs/>
          <w:kern w:val="0"/>
          <w:sz w:val="24"/>
          <w:szCs w:val="22"/>
        </w:rPr>
      </w:pPr>
      <w:r>
        <w:rPr>
          <w:rFonts w:hint="eastAsia" w:ascii="宋体" w:hAnsi="宋体" w:cs="宋体"/>
          <w:bCs/>
          <w:kern w:val="0"/>
          <w:sz w:val="24"/>
          <w:szCs w:val="22"/>
        </w:rPr>
        <w:t>8.签订合同须使用本招标文件中提供的模板（详见第八章政府采购合同），具体条款以招标文件、投标文件及双方另行约定为准。</w:t>
      </w:r>
    </w:p>
    <w:p>
      <w:pPr>
        <w:pStyle w:val="7"/>
        <w:ind w:left="420" w:firstLine="0" w:firstLineChars="0"/>
        <w:rPr>
          <w:rFonts w:hint="eastAsia" w:ascii="宋体" w:hAnsi="宋体" w:cs="宋体"/>
          <w:b/>
          <w:bCs/>
          <w:kern w:val="0"/>
          <w:sz w:val="24"/>
          <w:szCs w:val="22"/>
        </w:rPr>
      </w:pPr>
    </w:p>
    <w:p>
      <w:pPr>
        <w:pStyle w:val="7"/>
        <w:ind w:left="420" w:firstLine="0" w:firstLineChars="0"/>
        <w:rPr>
          <w:rFonts w:hint="eastAsia" w:ascii="宋体" w:hAnsi="宋体" w:cs="宋体"/>
          <w:bCs/>
          <w:kern w:val="0"/>
          <w:sz w:val="24"/>
          <w:szCs w:val="22"/>
        </w:rPr>
      </w:pPr>
      <w:r>
        <w:rPr>
          <w:rFonts w:hint="eastAsia" w:ascii="宋体" w:hAnsi="宋体" w:cs="宋体"/>
          <w:b/>
          <w:bCs/>
          <w:kern w:val="0"/>
          <w:sz w:val="24"/>
          <w:szCs w:val="22"/>
        </w:rPr>
        <w:t>注：若技术要求中指定或变相指定品牌、型号、产地等均不作为招标要求。</w:t>
      </w:r>
    </w:p>
    <w:p>
      <w:pPr>
        <w:pStyle w:val="7"/>
        <w:ind w:firstLineChars="0"/>
        <w:rPr>
          <w:rFonts w:hint="eastAsia" w:ascii="宋体" w:hAnsi="宋体" w:cs="宋体"/>
          <w:b/>
          <w:bCs/>
          <w:kern w:val="0"/>
          <w:sz w:val="24"/>
          <w:szCs w:val="22"/>
        </w:rPr>
      </w:pPr>
    </w:p>
    <w:p>
      <w:pPr>
        <w:pStyle w:val="7"/>
        <w:ind w:firstLineChars="0"/>
        <w:rPr>
          <w:rFonts w:hint="eastAsia" w:ascii="宋体" w:hAnsi="宋体" w:cs="宋体"/>
          <w:b/>
          <w:bCs/>
          <w:kern w:val="0"/>
          <w:sz w:val="24"/>
          <w:szCs w:val="22"/>
        </w:rPr>
      </w:pPr>
      <w:r>
        <w:rPr>
          <w:rFonts w:hint="eastAsia" w:ascii="宋体" w:hAnsi="宋体" w:cs="宋体"/>
          <w:b/>
          <w:bCs/>
          <w:kern w:val="0"/>
          <w:sz w:val="24"/>
          <w:szCs w:val="22"/>
        </w:rPr>
        <w:t>格式1</w:t>
      </w:r>
    </w:p>
    <w:p>
      <w:pPr>
        <w:pStyle w:val="7"/>
        <w:ind w:firstLineChars="0"/>
        <w:jc w:val="center"/>
        <w:rPr>
          <w:rFonts w:hint="eastAsia" w:ascii="宋体" w:hAnsi="宋体" w:cs="宋体"/>
          <w:b/>
          <w:bCs/>
          <w:kern w:val="0"/>
          <w:sz w:val="24"/>
          <w:szCs w:val="22"/>
        </w:rPr>
      </w:pPr>
      <w:r>
        <w:rPr>
          <w:rFonts w:hint="eastAsia" w:ascii="宋体" w:hAnsi="宋体" w:cs="宋体"/>
          <w:b/>
          <w:bCs/>
          <w:kern w:val="0"/>
          <w:sz w:val="24"/>
          <w:szCs w:val="22"/>
        </w:rPr>
        <w:t>配置清单</w:t>
      </w:r>
    </w:p>
    <w:p>
      <w:pPr>
        <w:pStyle w:val="3"/>
        <w:ind w:firstLine="0" w:firstLineChars="0"/>
        <w:rPr>
          <w:rFonts w:ascii="宋体" w:hAnsi="宋体"/>
          <w:b/>
          <w:bCs/>
          <w:szCs w:val="21"/>
        </w:rPr>
      </w:pPr>
      <w:r>
        <w:rPr>
          <w:rFonts w:hint="eastAsia" w:ascii="宋体" w:hAnsi="宋体"/>
          <w:b/>
          <w:bCs/>
          <w:sz w:val="21"/>
          <w:szCs w:val="21"/>
        </w:rPr>
        <w:t>招标产品1名称：XX</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3225"/>
        <w:gridCol w:w="2438"/>
        <w:gridCol w:w="691"/>
        <w:gridCol w:w="69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b/>
                <w:kern w:val="0"/>
                <w:szCs w:val="21"/>
              </w:rPr>
            </w:pPr>
            <w:r>
              <w:rPr>
                <w:rFonts w:hint="eastAsia"/>
                <w:b/>
                <w:kern w:val="0"/>
                <w:szCs w:val="21"/>
              </w:rPr>
              <w:t>序号</w:t>
            </w:r>
          </w:p>
        </w:tc>
        <w:tc>
          <w:tcPr>
            <w:tcW w:w="3402" w:type="dxa"/>
            <w:noWrap w:val="0"/>
            <w:vAlign w:val="center"/>
          </w:tcPr>
          <w:p>
            <w:pPr>
              <w:spacing w:line="460" w:lineRule="exact"/>
              <w:jc w:val="center"/>
              <w:outlineLvl w:val="0"/>
              <w:rPr>
                <w:b/>
                <w:kern w:val="0"/>
                <w:szCs w:val="21"/>
              </w:rPr>
            </w:pPr>
            <w:r>
              <w:rPr>
                <w:rFonts w:hint="eastAsia"/>
                <w:b/>
                <w:kern w:val="0"/>
                <w:szCs w:val="21"/>
              </w:rPr>
              <w:t>组件名称</w:t>
            </w:r>
          </w:p>
        </w:tc>
        <w:tc>
          <w:tcPr>
            <w:tcW w:w="2552" w:type="dxa"/>
            <w:noWrap w:val="0"/>
            <w:vAlign w:val="center"/>
          </w:tcPr>
          <w:p>
            <w:pPr>
              <w:spacing w:line="460" w:lineRule="exact"/>
              <w:jc w:val="center"/>
              <w:outlineLvl w:val="0"/>
              <w:rPr>
                <w:b/>
                <w:kern w:val="0"/>
                <w:szCs w:val="21"/>
              </w:rPr>
            </w:pPr>
            <w:r>
              <w:rPr>
                <w:rFonts w:hint="eastAsia"/>
                <w:b/>
                <w:kern w:val="0"/>
                <w:szCs w:val="21"/>
              </w:rPr>
              <w:t>型号</w:t>
            </w:r>
            <w:r>
              <w:rPr>
                <w:b/>
                <w:kern w:val="0"/>
                <w:szCs w:val="21"/>
              </w:rPr>
              <w:t>/</w:t>
            </w:r>
            <w:r>
              <w:rPr>
                <w:rFonts w:hint="eastAsia"/>
                <w:b/>
                <w:kern w:val="0"/>
                <w:szCs w:val="21"/>
              </w:rPr>
              <w:t>规格（如有）</w:t>
            </w:r>
          </w:p>
        </w:tc>
        <w:tc>
          <w:tcPr>
            <w:tcW w:w="708" w:type="dxa"/>
            <w:noWrap w:val="0"/>
            <w:vAlign w:val="center"/>
          </w:tcPr>
          <w:p>
            <w:pPr>
              <w:spacing w:line="460" w:lineRule="exact"/>
              <w:jc w:val="center"/>
              <w:outlineLvl w:val="0"/>
              <w:rPr>
                <w:b/>
                <w:kern w:val="0"/>
                <w:szCs w:val="21"/>
              </w:rPr>
            </w:pPr>
            <w:r>
              <w:rPr>
                <w:rFonts w:hint="eastAsia"/>
                <w:b/>
                <w:kern w:val="0"/>
                <w:szCs w:val="21"/>
              </w:rPr>
              <w:t>单位</w:t>
            </w:r>
          </w:p>
        </w:tc>
        <w:tc>
          <w:tcPr>
            <w:tcW w:w="709" w:type="dxa"/>
            <w:noWrap w:val="0"/>
            <w:vAlign w:val="center"/>
          </w:tcPr>
          <w:p>
            <w:pPr>
              <w:spacing w:line="460" w:lineRule="exact"/>
              <w:jc w:val="center"/>
              <w:outlineLvl w:val="0"/>
              <w:rPr>
                <w:b/>
                <w:kern w:val="0"/>
                <w:szCs w:val="21"/>
              </w:rPr>
            </w:pPr>
            <w:r>
              <w:rPr>
                <w:rFonts w:hint="eastAsia"/>
                <w:b/>
                <w:kern w:val="0"/>
                <w:szCs w:val="21"/>
              </w:rPr>
              <w:t>数量</w:t>
            </w:r>
          </w:p>
        </w:tc>
        <w:tc>
          <w:tcPr>
            <w:tcW w:w="2232" w:type="dxa"/>
            <w:noWrap w:val="0"/>
            <w:vAlign w:val="center"/>
          </w:tcPr>
          <w:p>
            <w:pPr>
              <w:spacing w:line="460" w:lineRule="exact"/>
              <w:jc w:val="center"/>
              <w:outlineLvl w:val="0"/>
              <w:rPr>
                <w:b/>
                <w:kern w:val="0"/>
                <w:szCs w:val="21"/>
              </w:rPr>
            </w:pPr>
            <w:r>
              <w:rPr>
                <w:rFonts w:hint="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Cs w:val="21"/>
              </w:rPr>
            </w:pPr>
            <w:r>
              <w:rPr>
                <w:rFonts w:hint="eastAsia"/>
                <w:kern w:val="0"/>
                <w:szCs w:val="21"/>
              </w:rPr>
              <w:t>1</w:t>
            </w:r>
          </w:p>
        </w:tc>
        <w:tc>
          <w:tcPr>
            <w:tcW w:w="3402" w:type="dxa"/>
            <w:noWrap w:val="0"/>
            <w:vAlign w:val="center"/>
          </w:tcPr>
          <w:p>
            <w:pPr>
              <w:spacing w:line="460" w:lineRule="exact"/>
              <w:outlineLvl w:val="0"/>
              <w:rPr>
                <w:kern w:val="0"/>
                <w:szCs w:val="21"/>
              </w:rPr>
            </w:pPr>
          </w:p>
        </w:tc>
        <w:tc>
          <w:tcPr>
            <w:tcW w:w="2552" w:type="dxa"/>
            <w:noWrap w:val="0"/>
            <w:vAlign w:val="center"/>
          </w:tcPr>
          <w:p>
            <w:pPr>
              <w:spacing w:line="460" w:lineRule="exact"/>
              <w:jc w:val="center"/>
              <w:outlineLvl w:val="0"/>
              <w:rPr>
                <w:kern w:val="0"/>
                <w:szCs w:val="21"/>
              </w:rPr>
            </w:pPr>
          </w:p>
        </w:tc>
        <w:tc>
          <w:tcPr>
            <w:tcW w:w="708" w:type="dxa"/>
            <w:noWrap w:val="0"/>
            <w:vAlign w:val="top"/>
          </w:tcPr>
          <w:p>
            <w:pPr>
              <w:spacing w:line="460" w:lineRule="exact"/>
              <w:jc w:val="center"/>
              <w:outlineLvl w:val="0"/>
              <w:rPr>
                <w:kern w:val="0"/>
                <w:szCs w:val="21"/>
              </w:rPr>
            </w:pPr>
          </w:p>
        </w:tc>
        <w:tc>
          <w:tcPr>
            <w:tcW w:w="709" w:type="dxa"/>
            <w:noWrap w:val="0"/>
            <w:vAlign w:val="center"/>
          </w:tcPr>
          <w:p>
            <w:pPr>
              <w:spacing w:line="460" w:lineRule="exact"/>
              <w:jc w:val="center"/>
              <w:outlineLvl w:val="0"/>
              <w:rPr>
                <w:kern w:val="0"/>
                <w:szCs w:val="21"/>
              </w:rPr>
            </w:pPr>
          </w:p>
        </w:tc>
        <w:tc>
          <w:tcPr>
            <w:tcW w:w="2232" w:type="dxa"/>
            <w:noWrap w:val="0"/>
            <w:vAlign w:val="center"/>
          </w:tcPr>
          <w:p>
            <w:pPr>
              <w:spacing w:line="460" w:lineRule="exact"/>
              <w:outlineLvl w:val="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 w:val="20"/>
                <w:szCs w:val="21"/>
              </w:rPr>
            </w:pPr>
            <w:r>
              <w:rPr>
                <w:rFonts w:hint="eastAsia"/>
                <w:kern w:val="0"/>
                <w:sz w:val="20"/>
                <w:szCs w:val="21"/>
              </w:rPr>
              <w:t>2</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 w:val="20"/>
                <w:szCs w:val="21"/>
              </w:rPr>
            </w:pPr>
            <w:r>
              <w:rPr>
                <w:rFonts w:hint="eastAsia"/>
                <w:kern w:val="0"/>
                <w:sz w:val="20"/>
                <w:szCs w:val="21"/>
              </w:rPr>
              <w:t>3</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 w:val="20"/>
                <w:szCs w:val="21"/>
              </w:rPr>
            </w:pPr>
            <w:r>
              <w:rPr>
                <w:kern w:val="0"/>
                <w:sz w:val="20"/>
                <w:szCs w:val="21"/>
              </w:rPr>
              <w:t>…</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bl>
    <w:p>
      <w:pPr>
        <w:pStyle w:val="3"/>
        <w:ind w:firstLine="0" w:firstLineChars="0"/>
      </w:pPr>
    </w:p>
    <w:p>
      <w:pPr>
        <w:pStyle w:val="3"/>
        <w:ind w:firstLine="0" w:firstLineChars="0"/>
        <w:rPr>
          <w:rFonts w:ascii="宋体" w:hAnsi="宋体"/>
          <w:b/>
          <w:bCs/>
          <w:szCs w:val="21"/>
        </w:rPr>
      </w:pPr>
      <w:r>
        <w:rPr>
          <w:rFonts w:hint="eastAsia" w:ascii="宋体" w:hAnsi="宋体"/>
          <w:b/>
          <w:bCs/>
          <w:sz w:val="21"/>
          <w:szCs w:val="21"/>
        </w:rPr>
        <w:t>招标产品</w:t>
      </w:r>
      <w:r>
        <w:rPr>
          <w:rFonts w:ascii="宋体" w:hAnsi="宋体"/>
          <w:b/>
          <w:bCs/>
          <w:sz w:val="21"/>
          <w:szCs w:val="21"/>
        </w:rPr>
        <w:t>2</w:t>
      </w:r>
      <w:r>
        <w:rPr>
          <w:rFonts w:hint="eastAsia" w:ascii="宋体" w:hAnsi="宋体"/>
          <w:b/>
          <w:bCs/>
          <w:sz w:val="21"/>
          <w:szCs w:val="21"/>
        </w:rPr>
        <w:t>名称：XX（如有）</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3225"/>
        <w:gridCol w:w="2438"/>
        <w:gridCol w:w="691"/>
        <w:gridCol w:w="69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b/>
                <w:kern w:val="0"/>
                <w:szCs w:val="21"/>
              </w:rPr>
            </w:pPr>
            <w:r>
              <w:rPr>
                <w:rFonts w:hint="eastAsia"/>
                <w:b/>
                <w:kern w:val="0"/>
                <w:szCs w:val="21"/>
              </w:rPr>
              <w:t>序号</w:t>
            </w:r>
          </w:p>
        </w:tc>
        <w:tc>
          <w:tcPr>
            <w:tcW w:w="3402" w:type="dxa"/>
            <w:noWrap w:val="0"/>
            <w:vAlign w:val="center"/>
          </w:tcPr>
          <w:p>
            <w:pPr>
              <w:spacing w:line="460" w:lineRule="exact"/>
              <w:jc w:val="center"/>
              <w:outlineLvl w:val="0"/>
              <w:rPr>
                <w:b/>
                <w:kern w:val="0"/>
                <w:szCs w:val="21"/>
              </w:rPr>
            </w:pPr>
            <w:r>
              <w:rPr>
                <w:rFonts w:hint="eastAsia"/>
                <w:b/>
                <w:kern w:val="0"/>
                <w:szCs w:val="21"/>
              </w:rPr>
              <w:t>组件名称</w:t>
            </w:r>
          </w:p>
        </w:tc>
        <w:tc>
          <w:tcPr>
            <w:tcW w:w="2552" w:type="dxa"/>
            <w:noWrap w:val="0"/>
            <w:vAlign w:val="center"/>
          </w:tcPr>
          <w:p>
            <w:pPr>
              <w:spacing w:line="460" w:lineRule="exact"/>
              <w:jc w:val="center"/>
              <w:outlineLvl w:val="0"/>
              <w:rPr>
                <w:b/>
                <w:kern w:val="0"/>
                <w:szCs w:val="21"/>
              </w:rPr>
            </w:pPr>
            <w:r>
              <w:rPr>
                <w:rFonts w:hint="eastAsia"/>
                <w:b/>
                <w:kern w:val="0"/>
                <w:szCs w:val="21"/>
              </w:rPr>
              <w:t>型号</w:t>
            </w:r>
            <w:r>
              <w:rPr>
                <w:b/>
                <w:kern w:val="0"/>
                <w:szCs w:val="21"/>
              </w:rPr>
              <w:t>/</w:t>
            </w:r>
            <w:r>
              <w:rPr>
                <w:rFonts w:hint="eastAsia"/>
                <w:b/>
                <w:kern w:val="0"/>
                <w:szCs w:val="21"/>
              </w:rPr>
              <w:t>规格（如有）</w:t>
            </w:r>
          </w:p>
        </w:tc>
        <w:tc>
          <w:tcPr>
            <w:tcW w:w="708" w:type="dxa"/>
            <w:noWrap w:val="0"/>
            <w:vAlign w:val="center"/>
          </w:tcPr>
          <w:p>
            <w:pPr>
              <w:spacing w:line="460" w:lineRule="exact"/>
              <w:jc w:val="center"/>
              <w:outlineLvl w:val="0"/>
              <w:rPr>
                <w:b/>
                <w:kern w:val="0"/>
                <w:szCs w:val="21"/>
              </w:rPr>
            </w:pPr>
            <w:r>
              <w:rPr>
                <w:rFonts w:hint="eastAsia"/>
                <w:b/>
                <w:kern w:val="0"/>
                <w:szCs w:val="21"/>
              </w:rPr>
              <w:t>单位</w:t>
            </w:r>
          </w:p>
        </w:tc>
        <w:tc>
          <w:tcPr>
            <w:tcW w:w="709" w:type="dxa"/>
            <w:noWrap w:val="0"/>
            <w:vAlign w:val="center"/>
          </w:tcPr>
          <w:p>
            <w:pPr>
              <w:spacing w:line="460" w:lineRule="exact"/>
              <w:jc w:val="center"/>
              <w:outlineLvl w:val="0"/>
              <w:rPr>
                <w:b/>
                <w:kern w:val="0"/>
                <w:szCs w:val="21"/>
              </w:rPr>
            </w:pPr>
            <w:r>
              <w:rPr>
                <w:rFonts w:hint="eastAsia"/>
                <w:b/>
                <w:kern w:val="0"/>
                <w:szCs w:val="21"/>
              </w:rPr>
              <w:t>数量</w:t>
            </w:r>
          </w:p>
        </w:tc>
        <w:tc>
          <w:tcPr>
            <w:tcW w:w="2232" w:type="dxa"/>
            <w:noWrap w:val="0"/>
            <w:vAlign w:val="center"/>
          </w:tcPr>
          <w:p>
            <w:pPr>
              <w:spacing w:line="460" w:lineRule="exact"/>
              <w:jc w:val="center"/>
              <w:outlineLvl w:val="0"/>
              <w:rPr>
                <w:b/>
                <w:kern w:val="0"/>
                <w:szCs w:val="21"/>
              </w:rPr>
            </w:pPr>
            <w:r>
              <w:rPr>
                <w:rFonts w:hint="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Cs w:val="21"/>
              </w:rPr>
            </w:pPr>
            <w:r>
              <w:rPr>
                <w:rFonts w:hint="eastAsia"/>
                <w:kern w:val="0"/>
                <w:szCs w:val="21"/>
              </w:rPr>
              <w:t>1</w:t>
            </w:r>
          </w:p>
        </w:tc>
        <w:tc>
          <w:tcPr>
            <w:tcW w:w="3402" w:type="dxa"/>
            <w:noWrap w:val="0"/>
            <w:vAlign w:val="center"/>
          </w:tcPr>
          <w:p>
            <w:pPr>
              <w:spacing w:line="460" w:lineRule="exact"/>
              <w:outlineLvl w:val="0"/>
              <w:rPr>
                <w:kern w:val="0"/>
                <w:szCs w:val="21"/>
              </w:rPr>
            </w:pPr>
          </w:p>
        </w:tc>
        <w:tc>
          <w:tcPr>
            <w:tcW w:w="2552" w:type="dxa"/>
            <w:noWrap w:val="0"/>
            <w:vAlign w:val="center"/>
          </w:tcPr>
          <w:p>
            <w:pPr>
              <w:spacing w:line="460" w:lineRule="exact"/>
              <w:jc w:val="center"/>
              <w:outlineLvl w:val="0"/>
              <w:rPr>
                <w:kern w:val="0"/>
                <w:szCs w:val="21"/>
              </w:rPr>
            </w:pPr>
          </w:p>
        </w:tc>
        <w:tc>
          <w:tcPr>
            <w:tcW w:w="708" w:type="dxa"/>
            <w:noWrap w:val="0"/>
            <w:vAlign w:val="top"/>
          </w:tcPr>
          <w:p>
            <w:pPr>
              <w:spacing w:line="460" w:lineRule="exact"/>
              <w:jc w:val="center"/>
              <w:outlineLvl w:val="0"/>
              <w:rPr>
                <w:kern w:val="0"/>
                <w:szCs w:val="21"/>
              </w:rPr>
            </w:pPr>
          </w:p>
        </w:tc>
        <w:tc>
          <w:tcPr>
            <w:tcW w:w="709" w:type="dxa"/>
            <w:noWrap w:val="0"/>
            <w:vAlign w:val="center"/>
          </w:tcPr>
          <w:p>
            <w:pPr>
              <w:spacing w:line="460" w:lineRule="exact"/>
              <w:jc w:val="center"/>
              <w:outlineLvl w:val="0"/>
              <w:rPr>
                <w:kern w:val="0"/>
                <w:szCs w:val="21"/>
              </w:rPr>
            </w:pPr>
          </w:p>
        </w:tc>
        <w:tc>
          <w:tcPr>
            <w:tcW w:w="2232" w:type="dxa"/>
            <w:noWrap w:val="0"/>
            <w:vAlign w:val="center"/>
          </w:tcPr>
          <w:p>
            <w:pPr>
              <w:spacing w:line="460" w:lineRule="exact"/>
              <w:outlineLvl w:val="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 w:val="20"/>
                <w:szCs w:val="21"/>
              </w:rPr>
            </w:pPr>
            <w:r>
              <w:rPr>
                <w:rFonts w:hint="eastAsia"/>
                <w:kern w:val="0"/>
                <w:sz w:val="20"/>
                <w:szCs w:val="21"/>
              </w:rPr>
              <w:t>2</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 w:val="20"/>
                <w:szCs w:val="21"/>
              </w:rPr>
            </w:pPr>
            <w:r>
              <w:rPr>
                <w:rFonts w:hint="eastAsia"/>
                <w:kern w:val="0"/>
                <w:sz w:val="20"/>
                <w:szCs w:val="21"/>
              </w:rPr>
              <w:t>3</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kern w:val="0"/>
                <w:sz w:val="20"/>
                <w:szCs w:val="21"/>
              </w:rPr>
            </w:pPr>
            <w:r>
              <w:rPr>
                <w:kern w:val="0"/>
                <w:sz w:val="20"/>
                <w:szCs w:val="21"/>
              </w:rPr>
              <w:t>…</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bl>
    <w:p>
      <w:pPr>
        <w:pStyle w:val="3"/>
        <w:ind w:firstLine="0" w:firstLineChars="0"/>
      </w:pPr>
    </w:p>
    <w:p>
      <w:pPr>
        <w:pStyle w:val="3"/>
        <w:ind w:firstLine="0" w:firstLineChars="0"/>
        <w:rPr>
          <w:rFonts w:ascii="宋体" w:hAnsi="宋体"/>
          <w:b/>
          <w:bCs/>
          <w:szCs w:val="21"/>
        </w:rPr>
      </w:pPr>
      <w:r>
        <w:rPr>
          <w:rFonts w:hint="eastAsia" w:ascii="宋体" w:hAnsi="宋体"/>
          <w:b/>
          <w:bCs/>
          <w:sz w:val="21"/>
          <w:szCs w:val="21"/>
        </w:rPr>
        <w:t>招标产品</w:t>
      </w:r>
      <w:r>
        <w:rPr>
          <w:rFonts w:ascii="宋体" w:hAnsi="宋体"/>
          <w:b/>
          <w:bCs/>
          <w:sz w:val="21"/>
          <w:szCs w:val="21"/>
        </w:rPr>
        <w:t>3</w:t>
      </w:r>
      <w:r>
        <w:rPr>
          <w:rFonts w:hint="eastAsia" w:ascii="宋体" w:hAnsi="宋体"/>
          <w:b/>
          <w:bCs/>
          <w:sz w:val="21"/>
          <w:szCs w:val="21"/>
        </w:rPr>
        <w:t>名称：XX（如有）</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3225"/>
        <w:gridCol w:w="2438"/>
        <w:gridCol w:w="691"/>
        <w:gridCol w:w="692"/>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outlineLvl w:val="0"/>
              <w:rPr>
                <w:b/>
                <w:kern w:val="0"/>
                <w:szCs w:val="21"/>
              </w:rPr>
            </w:pPr>
            <w:r>
              <w:rPr>
                <w:rFonts w:hint="eastAsia"/>
                <w:b/>
                <w:kern w:val="0"/>
                <w:szCs w:val="21"/>
              </w:rPr>
              <w:t>序号</w:t>
            </w:r>
          </w:p>
        </w:tc>
        <w:tc>
          <w:tcPr>
            <w:tcW w:w="3402" w:type="dxa"/>
            <w:noWrap w:val="0"/>
            <w:vAlign w:val="center"/>
          </w:tcPr>
          <w:p>
            <w:pPr>
              <w:spacing w:line="460" w:lineRule="exact"/>
              <w:jc w:val="center"/>
              <w:outlineLvl w:val="0"/>
              <w:rPr>
                <w:b/>
                <w:kern w:val="0"/>
                <w:szCs w:val="21"/>
              </w:rPr>
            </w:pPr>
            <w:r>
              <w:rPr>
                <w:rFonts w:hint="eastAsia"/>
                <w:b/>
                <w:kern w:val="0"/>
                <w:szCs w:val="21"/>
              </w:rPr>
              <w:t>组件名称</w:t>
            </w:r>
          </w:p>
        </w:tc>
        <w:tc>
          <w:tcPr>
            <w:tcW w:w="2552" w:type="dxa"/>
            <w:noWrap w:val="0"/>
            <w:vAlign w:val="center"/>
          </w:tcPr>
          <w:p>
            <w:pPr>
              <w:spacing w:line="460" w:lineRule="exact"/>
              <w:jc w:val="center"/>
              <w:outlineLvl w:val="0"/>
              <w:rPr>
                <w:b/>
                <w:kern w:val="0"/>
                <w:szCs w:val="21"/>
              </w:rPr>
            </w:pPr>
            <w:r>
              <w:rPr>
                <w:rFonts w:hint="eastAsia"/>
                <w:b/>
                <w:kern w:val="0"/>
                <w:szCs w:val="21"/>
              </w:rPr>
              <w:t>型号</w:t>
            </w:r>
            <w:r>
              <w:rPr>
                <w:b/>
                <w:kern w:val="0"/>
                <w:szCs w:val="21"/>
              </w:rPr>
              <w:t>/</w:t>
            </w:r>
            <w:r>
              <w:rPr>
                <w:rFonts w:hint="eastAsia"/>
                <w:b/>
                <w:kern w:val="0"/>
                <w:szCs w:val="21"/>
              </w:rPr>
              <w:t>规格（如有）</w:t>
            </w:r>
          </w:p>
        </w:tc>
        <w:tc>
          <w:tcPr>
            <w:tcW w:w="708" w:type="dxa"/>
            <w:noWrap w:val="0"/>
            <w:vAlign w:val="center"/>
          </w:tcPr>
          <w:p>
            <w:pPr>
              <w:spacing w:line="460" w:lineRule="exact"/>
              <w:jc w:val="center"/>
              <w:outlineLvl w:val="0"/>
              <w:rPr>
                <w:b/>
                <w:kern w:val="0"/>
                <w:szCs w:val="21"/>
              </w:rPr>
            </w:pPr>
            <w:r>
              <w:rPr>
                <w:rFonts w:hint="eastAsia"/>
                <w:b/>
                <w:kern w:val="0"/>
                <w:szCs w:val="21"/>
              </w:rPr>
              <w:t>单位</w:t>
            </w:r>
          </w:p>
        </w:tc>
        <w:tc>
          <w:tcPr>
            <w:tcW w:w="709" w:type="dxa"/>
            <w:noWrap w:val="0"/>
            <w:vAlign w:val="center"/>
          </w:tcPr>
          <w:p>
            <w:pPr>
              <w:spacing w:line="460" w:lineRule="exact"/>
              <w:jc w:val="center"/>
              <w:outlineLvl w:val="0"/>
              <w:rPr>
                <w:b/>
                <w:kern w:val="0"/>
                <w:szCs w:val="21"/>
              </w:rPr>
            </w:pPr>
            <w:r>
              <w:rPr>
                <w:rFonts w:hint="eastAsia"/>
                <w:b/>
                <w:kern w:val="0"/>
                <w:szCs w:val="21"/>
              </w:rPr>
              <w:t>数量</w:t>
            </w:r>
          </w:p>
        </w:tc>
        <w:tc>
          <w:tcPr>
            <w:tcW w:w="2232" w:type="dxa"/>
            <w:noWrap w:val="0"/>
            <w:vAlign w:val="center"/>
          </w:tcPr>
          <w:p>
            <w:pPr>
              <w:spacing w:line="460" w:lineRule="exact"/>
              <w:jc w:val="center"/>
              <w:outlineLvl w:val="0"/>
              <w:rPr>
                <w:b/>
                <w:kern w:val="0"/>
                <w:szCs w:val="21"/>
              </w:rPr>
            </w:pPr>
            <w:r>
              <w:rPr>
                <w:rFonts w:hint="eastAsia"/>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17" w:type="dxa"/>
            <w:noWrap w:val="0"/>
            <w:vAlign w:val="center"/>
          </w:tcPr>
          <w:p>
            <w:pPr>
              <w:spacing w:line="460" w:lineRule="exact"/>
              <w:jc w:val="center"/>
              <w:outlineLvl w:val="0"/>
              <w:rPr>
                <w:kern w:val="0"/>
                <w:szCs w:val="21"/>
              </w:rPr>
            </w:pPr>
            <w:r>
              <w:rPr>
                <w:rFonts w:hint="eastAsia"/>
                <w:kern w:val="0"/>
                <w:szCs w:val="21"/>
              </w:rPr>
              <w:t>1</w:t>
            </w:r>
          </w:p>
        </w:tc>
        <w:tc>
          <w:tcPr>
            <w:tcW w:w="3402" w:type="dxa"/>
            <w:noWrap w:val="0"/>
            <w:vAlign w:val="center"/>
          </w:tcPr>
          <w:p>
            <w:pPr>
              <w:spacing w:line="460" w:lineRule="exact"/>
              <w:outlineLvl w:val="0"/>
              <w:rPr>
                <w:kern w:val="0"/>
                <w:szCs w:val="21"/>
              </w:rPr>
            </w:pPr>
          </w:p>
        </w:tc>
        <w:tc>
          <w:tcPr>
            <w:tcW w:w="2552" w:type="dxa"/>
            <w:noWrap w:val="0"/>
            <w:vAlign w:val="center"/>
          </w:tcPr>
          <w:p>
            <w:pPr>
              <w:spacing w:line="460" w:lineRule="exact"/>
              <w:jc w:val="center"/>
              <w:outlineLvl w:val="0"/>
              <w:rPr>
                <w:kern w:val="0"/>
                <w:szCs w:val="21"/>
              </w:rPr>
            </w:pPr>
          </w:p>
        </w:tc>
        <w:tc>
          <w:tcPr>
            <w:tcW w:w="708" w:type="dxa"/>
            <w:noWrap w:val="0"/>
            <w:vAlign w:val="top"/>
          </w:tcPr>
          <w:p>
            <w:pPr>
              <w:spacing w:line="460" w:lineRule="exact"/>
              <w:jc w:val="center"/>
              <w:outlineLvl w:val="0"/>
              <w:rPr>
                <w:kern w:val="0"/>
                <w:szCs w:val="21"/>
              </w:rPr>
            </w:pPr>
          </w:p>
        </w:tc>
        <w:tc>
          <w:tcPr>
            <w:tcW w:w="709" w:type="dxa"/>
            <w:noWrap w:val="0"/>
            <w:vAlign w:val="center"/>
          </w:tcPr>
          <w:p>
            <w:pPr>
              <w:spacing w:line="460" w:lineRule="exact"/>
              <w:jc w:val="center"/>
              <w:outlineLvl w:val="0"/>
              <w:rPr>
                <w:kern w:val="0"/>
                <w:szCs w:val="21"/>
              </w:rPr>
            </w:pPr>
          </w:p>
        </w:tc>
        <w:tc>
          <w:tcPr>
            <w:tcW w:w="2232" w:type="dxa"/>
            <w:noWrap w:val="0"/>
            <w:vAlign w:val="center"/>
          </w:tcPr>
          <w:p>
            <w:pPr>
              <w:spacing w:line="460" w:lineRule="exact"/>
              <w:outlineLvl w:val="0"/>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817" w:type="dxa"/>
            <w:noWrap w:val="0"/>
            <w:vAlign w:val="center"/>
          </w:tcPr>
          <w:p>
            <w:pPr>
              <w:spacing w:line="460" w:lineRule="exact"/>
              <w:jc w:val="center"/>
              <w:outlineLvl w:val="0"/>
              <w:rPr>
                <w:kern w:val="0"/>
                <w:sz w:val="20"/>
                <w:szCs w:val="21"/>
              </w:rPr>
            </w:pPr>
            <w:r>
              <w:rPr>
                <w:rFonts w:hint="eastAsia"/>
                <w:kern w:val="0"/>
                <w:sz w:val="20"/>
                <w:szCs w:val="21"/>
              </w:rPr>
              <w:t>2</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pPr>
              <w:spacing w:line="460" w:lineRule="exact"/>
              <w:jc w:val="center"/>
              <w:outlineLvl w:val="0"/>
              <w:rPr>
                <w:kern w:val="0"/>
                <w:sz w:val="20"/>
                <w:szCs w:val="21"/>
              </w:rPr>
            </w:pPr>
            <w:r>
              <w:rPr>
                <w:rFonts w:hint="eastAsia"/>
                <w:kern w:val="0"/>
                <w:sz w:val="20"/>
                <w:szCs w:val="21"/>
              </w:rPr>
              <w:t>3</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817" w:type="dxa"/>
            <w:noWrap w:val="0"/>
            <w:vAlign w:val="center"/>
          </w:tcPr>
          <w:p>
            <w:pPr>
              <w:spacing w:line="460" w:lineRule="exact"/>
              <w:jc w:val="center"/>
              <w:outlineLvl w:val="0"/>
              <w:rPr>
                <w:kern w:val="0"/>
                <w:sz w:val="20"/>
                <w:szCs w:val="21"/>
              </w:rPr>
            </w:pPr>
            <w:r>
              <w:rPr>
                <w:kern w:val="0"/>
                <w:sz w:val="20"/>
                <w:szCs w:val="21"/>
              </w:rPr>
              <w:t>…</w:t>
            </w:r>
          </w:p>
        </w:tc>
        <w:tc>
          <w:tcPr>
            <w:tcW w:w="3402" w:type="dxa"/>
            <w:noWrap w:val="0"/>
            <w:vAlign w:val="center"/>
          </w:tcPr>
          <w:p>
            <w:pPr>
              <w:spacing w:line="460" w:lineRule="exact"/>
              <w:outlineLvl w:val="0"/>
              <w:rPr>
                <w:kern w:val="0"/>
                <w:sz w:val="20"/>
                <w:szCs w:val="21"/>
              </w:rPr>
            </w:pPr>
          </w:p>
        </w:tc>
        <w:tc>
          <w:tcPr>
            <w:tcW w:w="2552" w:type="dxa"/>
            <w:noWrap w:val="0"/>
            <w:vAlign w:val="center"/>
          </w:tcPr>
          <w:p>
            <w:pPr>
              <w:spacing w:line="460" w:lineRule="exact"/>
              <w:jc w:val="center"/>
              <w:outlineLvl w:val="0"/>
              <w:rPr>
                <w:kern w:val="0"/>
                <w:sz w:val="20"/>
                <w:szCs w:val="21"/>
              </w:rPr>
            </w:pPr>
          </w:p>
        </w:tc>
        <w:tc>
          <w:tcPr>
            <w:tcW w:w="708" w:type="dxa"/>
            <w:noWrap w:val="0"/>
            <w:vAlign w:val="top"/>
          </w:tcPr>
          <w:p>
            <w:pPr>
              <w:spacing w:line="460" w:lineRule="exact"/>
              <w:jc w:val="center"/>
              <w:outlineLvl w:val="0"/>
              <w:rPr>
                <w:kern w:val="0"/>
                <w:sz w:val="20"/>
                <w:szCs w:val="21"/>
              </w:rPr>
            </w:pPr>
          </w:p>
        </w:tc>
        <w:tc>
          <w:tcPr>
            <w:tcW w:w="709" w:type="dxa"/>
            <w:noWrap w:val="0"/>
            <w:vAlign w:val="center"/>
          </w:tcPr>
          <w:p>
            <w:pPr>
              <w:spacing w:line="460" w:lineRule="exact"/>
              <w:jc w:val="center"/>
              <w:outlineLvl w:val="0"/>
              <w:rPr>
                <w:kern w:val="0"/>
                <w:sz w:val="20"/>
                <w:szCs w:val="21"/>
              </w:rPr>
            </w:pPr>
          </w:p>
        </w:tc>
        <w:tc>
          <w:tcPr>
            <w:tcW w:w="2232" w:type="dxa"/>
            <w:noWrap w:val="0"/>
            <w:vAlign w:val="center"/>
          </w:tcPr>
          <w:p>
            <w:pPr>
              <w:spacing w:line="460" w:lineRule="exact"/>
              <w:outlineLvl w:val="0"/>
              <w:rPr>
                <w:kern w:val="0"/>
                <w:sz w:val="20"/>
                <w:szCs w:val="21"/>
              </w:rPr>
            </w:pPr>
          </w:p>
        </w:tc>
      </w:tr>
    </w:tbl>
    <w:p>
      <w:pPr>
        <w:ind w:right="53"/>
        <w:textAlignment w:val="bottom"/>
        <w:rPr>
          <w:rFonts w:hint="eastAsia" w:ascii="宋体" w:hAnsi="宋体" w:cs="宋体"/>
          <w:color w:val="000000"/>
          <w:sz w:val="24"/>
        </w:rPr>
        <w:sectPr>
          <w:pgSz w:w="11910" w:h="16840"/>
          <w:pgMar w:top="1440" w:right="1080" w:bottom="1440" w:left="1080" w:header="0" w:footer="904" w:gutter="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YTExNmY1NTc4MTA2ODEyNjAwOGRmMDMwMDNjNjQifQ=="/>
  </w:docVars>
  <w:rsids>
    <w:rsidRoot w:val="306962A0"/>
    <w:rsid w:val="3069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autoSpaceDE w:val="0"/>
      <w:autoSpaceDN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Lines="50" w:afterLines="50" w:line="420" w:lineRule="exact"/>
      <w:jc w:val="both"/>
      <w:outlineLvl w:val="1"/>
    </w:pPr>
    <w:rPr>
      <w:rFonts w:ascii="Arial" w:hAnsi="Arial"/>
      <w:b/>
      <w:bCs/>
      <w:kern w:val="0"/>
      <w:sz w:val="2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overflowPunct/>
      <w:autoSpaceDE/>
      <w:autoSpaceDN/>
      <w:spacing w:after="120"/>
      <w:jc w:val="left"/>
    </w:pPr>
    <w:rPr>
      <w:kern w:val="0"/>
      <w:sz w:val="24"/>
    </w:rPr>
  </w:style>
  <w:style w:type="paragraph" w:styleId="3">
    <w:name w:val="Body Text First Indent"/>
    <w:basedOn w:val="2"/>
    <w:unhideWhenUsed/>
    <w:qFormat/>
    <w:uiPriority w:val="0"/>
    <w:pPr>
      <w:ind w:firstLine="420" w:firstLineChars="100"/>
    </w:pPr>
  </w:style>
  <w:style w:type="paragraph" w:customStyle="1" w:styleId="7">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2022-08-15T08:15:00Z</dcterms:created>
  <dc:creator>K、凯</dc:creator>
  <cp:lastModifiedBy>K、凯</cp:lastModifiedBy>
  <dcterms:modified xsi:type="dcterms:W3CDTF">2022-08-15T08:16:34Z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EDC7846A1ED0494D9F6CF02F1C79F62C</vt:lpwstr>
  </property>
</Properties>
</file>